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5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10-K</w:t>
      </w:r>
    </w:p>
    <w:p>
      <w:pPr>
        <w:spacing w:after="0" w:line="76"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580" w:hanging="572"/>
        <w:spacing w:after="0"/>
        <w:tabs>
          <w:tab w:leader="none" w:pos="580" w:val="left"/>
        </w:tabs>
        <w:numPr>
          <w:ilvl w:val="0"/>
          <w:numId w:val="1"/>
        </w:numPr>
        <w:rPr>
          <w:rFonts w:ascii="MS PGothic" w:cs="MS PGothic" w:eastAsia="MS PGothic" w:hAnsi="MS PGothic"/>
          <w:sz w:val="21"/>
          <w:szCs w:val="21"/>
          <w:color w:val="auto"/>
          <w:highlight w:val="black"/>
        </w:rPr>
      </w:pPr>
      <w:r>
        <w:rPr>
          <w:rFonts w:ascii="Arial" w:cs="Arial" w:eastAsia="Arial" w:hAnsi="Arial"/>
          <w:sz w:val="21"/>
          <w:szCs w:val="21"/>
          <w:b w:val="1"/>
          <w:bCs w:val="1"/>
          <w:color w:val="auto"/>
        </w:rPr>
        <w:t>ANNUAL REPORT PURSUANT TO SECTION 13 OR 15(d) OF THE SECURITIES EXCHANGE ACT OF 1934</w:t>
      </w:r>
    </w:p>
    <w:p>
      <w:pPr>
        <w:spacing w:after="0" w:line="64"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 the fiscal year ended January 31, 2009</w:t>
      </w:r>
    </w:p>
    <w:p>
      <w:pPr>
        <w:spacing w:after="0" w:line="63"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or</w:t>
      </w:r>
    </w:p>
    <w:p>
      <w:pPr>
        <w:spacing w:after="0" w:line="58" w:lineRule="exact"/>
        <w:rPr>
          <w:sz w:val="24"/>
          <w:szCs w:val="24"/>
          <w:color w:val="auto"/>
        </w:rPr>
      </w:pPr>
    </w:p>
    <w:p>
      <w:pPr>
        <w:ind w:left="580" w:right="620" w:hanging="572"/>
        <w:spacing w:after="0" w:line="256" w:lineRule="auto"/>
        <w:tabs>
          <w:tab w:leader="none" w:pos="580" w:val="left"/>
        </w:tabs>
        <w:numPr>
          <w:ilvl w:val="0"/>
          <w:numId w:val="2"/>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TRANSITION REPORT PURSUANT TO SECTION 13 OR 15(d) OF THE SECURITIES EXCHANGE ACT OF 1934</w:t>
      </w:r>
    </w:p>
    <w:p>
      <w:pPr>
        <w:sectPr>
          <w:pgSz w:w="11900" w:h="16838" w:orient="portrait"/>
          <w:cols w:equalWidth="0" w:num="1">
            <w:col w:w="11360"/>
          </w:cols>
          <w:pgMar w:left="240" w:top="230" w:right="299" w:bottom="1440" w:gutter="0" w:footer="0" w:header="0"/>
        </w:sectPr>
      </w:pPr>
    </w:p>
    <w:p>
      <w:pPr>
        <w:spacing w:after="0" w:line="20" w:lineRule="exact"/>
        <w:rPr>
          <w:sz w:val="24"/>
          <w:szCs w:val="24"/>
          <w:color w:val="auto"/>
        </w:rPr>
      </w:pPr>
    </w:p>
    <w:p>
      <w:pPr>
        <w:ind w:left="4000"/>
        <w:spacing w:after="0"/>
        <w:rPr>
          <w:sz w:val="20"/>
          <w:szCs w:val="20"/>
          <w:color w:val="auto"/>
        </w:rPr>
      </w:pPr>
      <w:r>
        <w:rPr>
          <w:rFonts w:ascii="Arial" w:cs="Arial" w:eastAsia="Arial" w:hAnsi="Arial"/>
          <w:sz w:val="16"/>
          <w:szCs w:val="16"/>
          <w:color w:val="auto"/>
        </w:rPr>
        <w:t>For the transition period from</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4"/>
          <w:szCs w:val="14"/>
          <w:color w:val="auto"/>
        </w:rPr>
        <w:t>to</w:t>
      </w:r>
    </w:p>
    <w:p>
      <w:pPr>
        <w:spacing w:after="0" w:line="108" w:lineRule="exact"/>
        <w:rPr>
          <w:sz w:val="24"/>
          <w:szCs w:val="24"/>
          <w:color w:val="auto"/>
        </w:rPr>
      </w:pPr>
    </w:p>
    <w:p>
      <w:pPr>
        <w:sectPr>
          <w:pgSz w:w="11900" w:h="16838" w:orient="portrait"/>
          <w:cols w:equalWidth="0" w:num="2">
            <w:col w:w="6100" w:space="620"/>
            <w:col w:w="4640"/>
          </w:cols>
          <w:pgMar w:left="240" w:top="230" w:right="299" w:bottom="1440" w:gutter="0" w:footer="0" w:header="0"/>
          <w:type w:val="continuous"/>
        </w:sectPr>
      </w:pPr>
    </w:p>
    <w:p>
      <w:pPr>
        <w:jc w:val="center"/>
        <w:ind w:right="-59"/>
        <w:spacing w:after="0"/>
        <w:rPr>
          <w:sz w:val="20"/>
          <w:szCs w:val="20"/>
          <w:color w:val="auto"/>
        </w:rPr>
      </w:pPr>
      <w:r>
        <w:rPr>
          <w:rFonts w:ascii="Arial" w:cs="Arial" w:eastAsia="Arial" w:hAnsi="Arial"/>
          <w:sz w:val="16"/>
          <w:szCs w:val="16"/>
          <w:color w:val="auto"/>
        </w:rPr>
        <w:t>Commission file number 0-30877</w:t>
      </w:r>
    </w:p>
    <w:p>
      <w:pPr>
        <w:sectPr>
          <w:pgSz w:w="11900" w:h="16838" w:orient="portrait"/>
          <w:cols w:equalWidth="0" w:num="1">
            <w:col w:w="11360"/>
          </w:cols>
          <w:pgMar w:left="240" w:top="230" w:right="299" w:bottom="1440" w:gutter="0" w:footer="0" w:header="0"/>
          <w:type w:val="continuous"/>
        </w:sectPr>
      </w:pPr>
    </w:p>
    <w:p>
      <w:pPr>
        <w:spacing w:after="0" w:line="51"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92" w:lineRule="exact"/>
        <w:rPr>
          <w:sz w:val="24"/>
          <w:szCs w:val="24"/>
          <w:color w:val="auto"/>
        </w:rPr>
      </w:pPr>
    </w:p>
    <w:tbl>
      <w:tblPr>
        <w:tblLayout w:type="fixed"/>
        <w:tblInd w:w="1180" w:type="dxa"/>
        <w:tblCellMar>
          <w:top w:w="0" w:type="dxa"/>
          <w:left w:w="0" w:type="dxa"/>
          <w:bottom w:w="0" w:type="dxa"/>
          <w:right w:w="0" w:type="dxa"/>
        </w:tblCellMar>
      </w:tblPr>
      <w:tr>
        <w:trPr>
          <w:trHeight w:val="172"/>
        </w:trPr>
        <w:tc>
          <w:tcPr>
            <w:tcW w:w="1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020" w:type="dxa"/>
            <w:vAlign w:val="bottom"/>
            <w:gridSpan w:val="3"/>
          </w:tcPr>
          <w:p>
            <w:pPr>
              <w:jc w:val="center"/>
              <w:ind w:left="562"/>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2660" w:type="dxa"/>
            <w:vAlign w:val="bottom"/>
          </w:tcPr>
          <w:p>
            <w:pPr>
              <w:spacing w:after="0"/>
              <w:rPr>
                <w:sz w:val="14"/>
                <w:szCs w:val="14"/>
                <w:color w:val="auto"/>
              </w:rPr>
            </w:pPr>
          </w:p>
        </w:tc>
      </w:tr>
      <w:tr>
        <w:trPr>
          <w:trHeight w:val="273"/>
        </w:trPr>
        <w:tc>
          <w:tcPr>
            <w:tcW w:w="1060" w:type="dxa"/>
            <w:vAlign w:val="bottom"/>
          </w:tcPr>
          <w:p>
            <w:pPr>
              <w:spacing w:after="0"/>
              <w:rPr>
                <w:sz w:val="23"/>
                <w:szCs w:val="23"/>
                <w:color w:val="auto"/>
              </w:rPr>
            </w:pPr>
          </w:p>
        </w:tc>
        <w:tc>
          <w:tcPr>
            <w:tcW w:w="5160" w:type="dxa"/>
            <w:vAlign w:val="bottom"/>
            <w:gridSpan w:val="4"/>
          </w:tcPr>
          <w:p>
            <w:pPr>
              <w:jc w:val="center"/>
              <w:ind w:right="4020"/>
              <w:spacing w:after="0"/>
              <w:rPr>
                <w:sz w:val="20"/>
                <w:szCs w:val="20"/>
                <w:color w:val="auto"/>
              </w:rPr>
            </w:pPr>
            <w:r>
              <w:rPr>
                <w:rFonts w:ascii="Arial" w:cs="Arial" w:eastAsia="Arial" w:hAnsi="Arial"/>
                <w:sz w:val="18"/>
                <w:szCs w:val="18"/>
                <w:b w:val="1"/>
                <w:bCs w:val="1"/>
                <w:color w:val="auto"/>
                <w:w w:val="89"/>
              </w:rPr>
              <w:t>Bermuda</w:t>
            </w:r>
          </w:p>
        </w:tc>
        <w:tc>
          <w:tcPr>
            <w:tcW w:w="2660" w:type="dxa"/>
            <w:vAlign w:val="bottom"/>
          </w:tcPr>
          <w:p>
            <w:pPr>
              <w:jc w:val="center"/>
              <w:spacing w:after="0"/>
              <w:rPr>
                <w:sz w:val="20"/>
                <w:szCs w:val="20"/>
                <w:color w:val="auto"/>
              </w:rPr>
            </w:pPr>
            <w:r>
              <w:rPr>
                <w:rFonts w:ascii="Arial" w:cs="Arial" w:eastAsia="Arial" w:hAnsi="Arial"/>
                <w:sz w:val="18"/>
                <w:szCs w:val="18"/>
                <w:b w:val="1"/>
                <w:bCs w:val="1"/>
                <w:color w:val="auto"/>
                <w:w w:val="87"/>
              </w:rPr>
              <w:t>77-0481679</w:t>
            </w:r>
          </w:p>
        </w:tc>
      </w:tr>
      <w:tr>
        <w:trPr>
          <w:trHeight w:val="149"/>
        </w:trPr>
        <w:tc>
          <w:tcPr>
            <w:tcW w:w="6220" w:type="dxa"/>
            <w:vAlign w:val="bottom"/>
            <w:gridSpan w:val="5"/>
          </w:tcPr>
          <w:p>
            <w:pPr>
              <w:jc w:val="center"/>
              <w:ind w:right="2960"/>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2660" w:type="dxa"/>
            <w:vAlign w:val="bottom"/>
          </w:tcPr>
          <w:p>
            <w:pPr>
              <w:jc w:val="center"/>
              <w:spacing w:after="0" w:line="149" w:lineRule="exact"/>
              <w:rPr>
                <w:sz w:val="20"/>
                <w:szCs w:val="20"/>
                <w:color w:val="auto"/>
              </w:rPr>
            </w:pPr>
            <w:r>
              <w:rPr>
                <w:rFonts w:ascii="Arial" w:cs="Arial" w:eastAsia="Arial" w:hAnsi="Arial"/>
                <w:sz w:val="14"/>
                <w:szCs w:val="14"/>
                <w:b w:val="1"/>
                <w:bCs w:val="1"/>
                <w:i w:val="1"/>
                <w:iCs w:val="1"/>
                <w:color w:val="auto"/>
                <w:w w:val="85"/>
              </w:rPr>
              <w:t>(I.R.S. Employer</w:t>
            </w:r>
          </w:p>
        </w:tc>
      </w:tr>
      <w:tr>
        <w:trPr>
          <w:trHeight w:val="172"/>
        </w:trPr>
        <w:tc>
          <w:tcPr>
            <w:tcW w:w="6220" w:type="dxa"/>
            <w:vAlign w:val="bottom"/>
            <w:gridSpan w:val="5"/>
          </w:tcPr>
          <w:p>
            <w:pPr>
              <w:jc w:val="center"/>
              <w:ind w:right="2960"/>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2660" w:type="dxa"/>
            <w:vAlign w:val="bottom"/>
          </w:tcPr>
          <w:p>
            <w:pPr>
              <w:jc w:val="center"/>
              <w:spacing w:after="0"/>
              <w:rPr>
                <w:sz w:val="20"/>
                <w:szCs w:val="20"/>
                <w:color w:val="auto"/>
              </w:rPr>
            </w:pPr>
            <w:r>
              <w:rPr>
                <w:rFonts w:ascii="Arial" w:cs="Arial" w:eastAsia="Arial" w:hAnsi="Arial"/>
                <w:sz w:val="14"/>
                <w:szCs w:val="14"/>
                <w:b w:val="1"/>
                <w:bCs w:val="1"/>
                <w:i w:val="1"/>
                <w:iCs w:val="1"/>
                <w:color w:val="auto"/>
                <w:w w:val="87"/>
              </w:rPr>
              <w:t>Identification No.)</w:t>
            </w:r>
          </w:p>
        </w:tc>
      </w:tr>
      <w:tr>
        <w:trPr>
          <w:trHeight w:val="246"/>
        </w:trPr>
        <w:tc>
          <w:tcPr>
            <w:tcW w:w="1060" w:type="dxa"/>
            <w:vAlign w:val="bottom"/>
          </w:tcPr>
          <w:p>
            <w:pPr>
              <w:spacing w:after="0"/>
              <w:rPr>
                <w:sz w:val="21"/>
                <w:szCs w:val="21"/>
                <w:color w:val="auto"/>
              </w:rPr>
            </w:pPr>
          </w:p>
        </w:tc>
        <w:tc>
          <w:tcPr>
            <w:tcW w:w="7820" w:type="dxa"/>
            <w:vAlign w:val="bottom"/>
            <w:gridSpan w:val="5"/>
          </w:tcPr>
          <w:p>
            <w:pPr>
              <w:jc w:val="center"/>
              <w:ind w:right="804"/>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r>
      <w:tr>
        <w:trPr>
          <w:trHeight w:val="172"/>
        </w:trPr>
        <w:tc>
          <w:tcPr>
            <w:tcW w:w="1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2880" w:type="dxa"/>
            <w:vAlign w:val="bottom"/>
            <w:gridSpan w:val="2"/>
          </w:tcPr>
          <w:p>
            <w:pPr>
              <w:jc w:val="center"/>
              <w:ind w:right="480"/>
              <w:spacing w:after="0"/>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2660" w:type="dxa"/>
            <w:vAlign w:val="bottom"/>
          </w:tcPr>
          <w:p>
            <w:pPr>
              <w:spacing w:after="0"/>
              <w:rPr>
                <w:sz w:val="14"/>
                <w:szCs w:val="14"/>
                <w:color w:val="auto"/>
              </w:rPr>
            </w:pPr>
          </w:p>
        </w:tc>
      </w:tr>
      <w:tr>
        <w:trPr>
          <w:trHeight w:val="246"/>
        </w:trPr>
        <w:tc>
          <w:tcPr>
            <w:tcW w:w="5720" w:type="dxa"/>
            <w:vAlign w:val="bottom"/>
            <w:gridSpan w:val="4"/>
          </w:tcPr>
          <w:p>
            <w:pPr>
              <w:jc w:val="center"/>
              <w:ind w:left="3262"/>
              <w:spacing w:after="0"/>
              <w:rPr>
                <w:sz w:val="20"/>
                <w:szCs w:val="20"/>
                <w:color w:val="auto"/>
              </w:rPr>
            </w:pPr>
            <w:r>
              <w:rPr>
                <w:rFonts w:ascii="Arial" w:cs="Arial" w:eastAsia="Arial" w:hAnsi="Arial"/>
                <w:sz w:val="18"/>
                <w:szCs w:val="18"/>
                <w:b w:val="1"/>
                <w:bCs w:val="1"/>
                <w:color w:val="auto"/>
                <w:w w:val="89"/>
              </w:rPr>
              <w:t>(441) 296-6395</w:t>
            </w:r>
          </w:p>
        </w:tc>
        <w:tc>
          <w:tcPr>
            <w:tcW w:w="500" w:type="dxa"/>
            <w:vAlign w:val="bottom"/>
          </w:tcPr>
          <w:p>
            <w:pPr>
              <w:spacing w:after="0"/>
              <w:rPr>
                <w:sz w:val="21"/>
                <w:szCs w:val="21"/>
                <w:color w:val="auto"/>
              </w:rPr>
            </w:pPr>
          </w:p>
        </w:tc>
        <w:tc>
          <w:tcPr>
            <w:tcW w:w="2660" w:type="dxa"/>
            <w:vAlign w:val="bottom"/>
          </w:tcPr>
          <w:p>
            <w:pPr>
              <w:spacing w:after="0"/>
              <w:rPr>
                <w:sz w:val="21"/>
                <w:szCs w:val="21"/>
                <w:color w:val="auto"/>
              </w:rPr>
            </w:pPr>
          </w:p>
        </w:tc>
      </w:tr>
      <w:tr>
        <w:trPr>
          <w:trHeight w:val="172"/>
        </w:trPr>
        <w:tc>
          <w:tcPr>
            <w:tcW w:w="1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020" w:type="dxa"/>
            <w:vAlign w:val="bottom"/>
            <w:gridSpan w:val="3"/>
          </w:tcPr>
          <w:p>
            <w:pPr>
              <w:jc w:val="center"/>
              <w:ind w:left="582"/>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2660" w:type="dxa"/>
            <w:vAlign w:val="bottom"/>
          </w:tcPr>
          <w:p>
            <w:pPr>
              <w:spacing w:after="0"/>
              <w:rPr>
                <w:sz w:val="14"/>
                <w:szCs w:val="14"/>
                <w:color w:val="auto"/>
              </w:rPr>
            </w:pPr>
          </w:p>
        </w:tc>
      </w:tr>
      <w:tr>
        <w:trPr>
          <w:trHeight w:val="149"/>
        </w:trPr>
        <w:tc>
          <w:tcPr>
            <w:tcW w:w="10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2380" w:type="dxa"/>
            <w:vAlign w:val="bottom"/>
            <w:tcBorders>
              <w:bottom w:val="single" w:sz="8" w:color="auto"/>
            </w:tcBorders>
          </w:tcPr>
          <w:p>
            <w:pPr>
              <w:spacing w:after="0"/>
              <w:rPr>
                <w:sz w:val="12"/>
                <w:szCs w:val="12"/>
                <w:color w:val="auto"/>
              </w:rPr>
            </w:pPr>
          </w:p>
        </w:tc>
        <w:tc>
          <w:tcPr>
            <w:tcW w:w="3160" w:type="dxa"/>
            <w:vAlign w:val="bottom"/>
            <w:gridSpan w:val="2"/>
          </w:tcPr>
          <w:p>
            <w:pPr>
              <w:spacing w:after="0"/>
              <w:rPr>
                <w:sz w:val="12"/>
                <w:szCs w:val="12"/>
                <w:color w:val="auto"/>
              </w:rPr>
            </w:pPr>
          </w:p>
        </w:tc>
      </w:tr>
      <w:tr>
        <w:trPr>
          <w:trHeight w:val="248"/>
        </w:trPr>
        <w:tc>
          <w:tcPr>
            <w:tcW w:w="106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6680" w:type="dxa"/>
            <w:vAlign w:val="bottom"/>
            <w:gridSpan w:val="4"/>
          </w:tcPr>
          <w:p>
            <w:pPr>
              <w:jc w:val="center"/>
              <w:ind w:right="1944"/>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r>
      <w:tr>
        <w:trPr>
          <w:trHeight w:val="218"/>
        </w:trPr>
        <w:tc>
          <w:tcPr>
            <w:tcW w:w="1060" w:type="dxa"/>
            <w:vAlign w:val="bottom"/>
          </w:tcPr>
          <w:p>
            <w:pPr>
              <w:spacing w:after="0"/>
              <w:rPr>
                <w:sz w:val="18"/>
                <w:szCs w:val="18"/>
                <w:color w:val="auto"/>
              </w:rPr>
            </w:pPr>
          </w:p>
        </w:tc>
        <w:tc>
          <w:tcPr>
            <w:tcW w:w="11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Title of Each Class</w:t>
            </w:r>
          </w:p>
        </w:tc>
        <w:tc>
          <w:tcPr>
            <w:tcW w:w="4020" w:type="dxa"/>
            <w:vAlign w:val="bottom"/>
            <w:gridSpan w:val="3"/>
          </w:tcPr>
          <w:p>
            <w:pPr>
              <w:spacing w:after="0"/>
              <w:rPr>
                <w:sz w:val="18"/>
                <w:szCs w:val="18"/>
                <w:color w:val="auto"/>
              </w:rPr>
            </w:pPr>
          </w:p>
        </w:tc>
        <w:tc>
          <w:tcPr>
            <w:tcW w:w="2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Name of each exchange on which registered</w:t>
            </w:r>
          </w:p>
        </w:tc>
      </w:tr>
      <w:tr>
        <w:trPr>
          <w:trHeight w:val="222"/>
        </w:trPr>
        <w:tc>
          <w:tcPr>
            <w:tcW w:w="2200" w:type="dxa"/>
            <w:vAlign w:val="bottom"/>
            <w:gridSpan w:val="2"/>
          </w:tcPr>
          <w:p>
            <w:pPr>
              <w:spacing w:after="0"/>
              <w:rPr>
                <w:sz w:val="20"/>
                <w:szCs w:val="20"/>
                <w:color w:val="auto"/>
              </w:rPr>
            </w:pPr>
            <w:r>
              <w:rPr>
                <w:rFonts w:ascii="Arial" w:cs="Arial" w:eastAsia="Arial" w:hAnsi="Arial"/>
                <w:sz w:val="18"/>
                <w:szCs w:val="18"/>
                <w:b w:val="1"/>
                <w:bCs w:val="1"/>
                <w:color w:val="auto"/>
                <w:w w:val="91"/>
              </w:rPr>
              <w:t>Common shares, $0.002 par</w:t>
            </w:r>
          </w:p>
        </w:tc>
        <w:tc>
          <w:tcPr>
            <w:tcW w:w="4020" w:type="dxa"/>
            <w:vAlign w:val="bottom"/>
            <w:gridSpan w:val="3"/>
          </w:tcPr>
          <w:p>
            <w:pPr>
              <w:spacing w:after="0"/>
              <w:rPr>
                <w:sz w:val="20"/>
                <w:szCs w:val="20"/>
                <w:color w:val="auto"/>
              </w:rPr>
            </w:pPr>
            <w:r>
              <w:rPr>
                <w:rFonts w:ascii="Arial" w:cs="Arial" w:eastAsia="Arial" w:hAnsi="Arial"/>
                <w:sz w:val="18"/>
                <w:szCs w:val="18"/>
                <w:b w:val="1"/>
                <w:bCs w:val="1"/>
                <w:color w:val="auto"/>
              </w:rPr>
              <w:t>value per share</w:t>
            </w:r>
          </w:p>
        </w:tc>
        <w:tc>
          <w:tcPr>
            <w:tcW w:w="2660" w:type="dxa"/>
            <w:vAlign w:val="bottom"/>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r>
    </w:tbl>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12(g) of the Act:</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None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101600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230" w:right="299" w:bottom="1440" w:gutter="0" w:footer="0" w:header="0"/>
          <w:type w:val="continuous"/>
        </w:sectPr>
      </w:pPr>
    </w:p>
    <w:p>
      <w:pPr>
        <w:spacing w:after="0" w:line="205" w:lineRule="exact"/>
        <w:rPr>
          <w:sz w:val="24"/>
          <w:szCs w:val="24"/>
          <w:color w:val="auto"/>
        </w:rPr>
      </w:pPr>
    </w:p>
    <w:p>
      <w:pPr>
        <w:ind w:left="360"/>
        <w:spacing w:after="0"/>
        <w:rPr>
          <w:sz w:val="20"/>
          <w:szCs w:val="20"/>
          <w:color w:val="auto"/>
        </w:rPr>
      </w:pPr>
      <w:r>
        <w:rPr>
          <w:rFonts w:ascii="Arial" w:cs="Arial" w:eastAsia="Arial" w:hAnsi="Arial"/>
          <w:sz w:val="15"/>
          <w:szCs w:val="15"/>
          <w:color w:val="auto"/>
        </w:rPr>
        <w:t>Indicate by check mark if the registrant is a well-known seasoned issuer, as defined in Rule 405 of the Securities Act.</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spacing w:after="0"/>
        <w:rPr>
          <w:sz w:val="20"/>
          <w:szCs w:val="20"/>
          <w:color w:val="auto"/>
        </w:rPr>
      </w:pPr>
      <w:r>
        <w:rPr>
          <w:rFonts w:ascii="Arial" w:cs="Arial" w:eastAsia="Arial" w:hAnsi="Arial"/>
          <w:sz w:val="15"/>
          <w:szCs w:val="15"/>
          <w:color w:val="auto"/>
        </w:rPr>
        <w:t>Yes</w:t>
      </w:r>
    </w:p>
    <w:p>
      <w:pPr>
        <w:spacing w:after="0" w:line="20" w:lineRule="exact"/>
        <w:rPr>
          <w:sz w:val="24"/>
          <w:szCs w:val="24"/>
          <w:color w:val="auto"/>
        </w:rPr>
      </w:pPr>
      <w:r>
        <w:rPr>
          <w:sz w:val="24"/>
          <w:szCs w:val="24"/>
          <w:color w:val="auto"/>
        </w:rPr>
        <w:br w:type="column"/>
      </w:r>
    </w:p>
    <w:p>
      <w:pPr>
        <w:spacing w:after="0" w:line="15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20" w:lineRule="exact"/>
        <w:rPr>
          <w:sz w:val="24"/>
          <w:szCs w:val="24"/>
          <w:color w:val="auto"/>
        </w:rPr>
      </w:pPr>
      <w:r>
        <w:rPr>
          <w:sz w:val="24"/>
          <w:szCs w:val="24"/>
          <w:color w:val="auto"/>
        </w:rPr>
        <w:br w:type="column"/>
      </w:r>
    </w:p>
    <w:p>
      <w:pPr>
        <w:spacing w:after="0" w:line="15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14" w:lineRule="exact"/>
        <w:rPr>
          <w:sz w:val="24"/>
          <w:szCs w:val="24"/>
          <w:color w:val="auto"/>
        </w:rPr>
      </w:pPr>
    </w:p>
    <w:p>
      <w:pPr>
        <w:sectPr>
          <w:pgSz w:w="11900" w:h="16838" w:orient="portrait"/>
          <w:cols w:equalWidth="0" w:num="5">
            <w:col w:w="8600" w:space="160"/>
            <w:col w:w="260" w:space="80"/>
            <w:col w:w="160" w:space="180"/>
            <w:col w:w="220" w:space="80"/>
            <w:col w:w="1620"/>
          </w:cols>
          <w:pgMar w:left="240" w:top="230" w:right="299" w:bottom="1440" w:gutter="0" w:footer="0" w:header="0"/>
          <w:type w:val="continuous"/>
        </w:sectPr>
      </w:pPr>
    </w:p>
    <w:p>
      <w:pPr>
        <w:spacing w:after="0" w:line="28" w:lineRule="exact"/>
        <w:rPr>
          <w:sz w:val="24"/>
          <w:szCs w:val="24"/>
          <w:color w:val="auto"/>
        </w:rPr>
      </w:pPr>
    </w:p>
    <w:p>
      <w:pPr>
        <w:ind w:left="360"/>
        <w:spacing w:after="0"/>
        <w:rPr>
          <w:sz w:val="20"/>
          <w:szCs w:val="20"/>
          <w:color w:val="auto"/>
        </w:rPr>
      </w:pPr>
      <w:r>
        <w:rPr>
          <w:rFonts w:ascii="Arial" w:cs="Arial" w:eastAsia="Arial" w:hAnsi="Arial"/>
          <w:sz w:val="16"/>
          <w:szCs w:val="16"/>
          <w:color w:val="auto"/>
        </w:rPr>
        <w:t>Indicate by check mark if the registrant is not required to file reports pursuant to Section 13 or Section 15(d) of the Act.</w:t>
      </w:r>
    </w:p>
    <w:p>
      <w:pPr>
        <w:spacing w:after="0" w:line="20" w:lineRule="exact"/>
        <w:rPr>
          <w:sz w:val="24"/>
          <w:szCs w:val="24"/>
          <w:color w:val="auto"/>
        </w:rPr>
      </w:pPr>
      <w:r>
        <w:rPr>
          <w:sz w:val="24"/>
          <w:szCs w:val="24"/>
          <w:color w:val="auto"/>
        </w:rPr>
        <w:br w:type="column"/>
      </w:r>
    </w:p>
    <w:p>
      <w:pPr>
        <w:spacing w:after="0" w:line="8" w:lineRule="exact"/>
        <w:rPr>
          <w:sz w:val="24"/>
          <w:szCs w:val="24"/>
          <w:color w:val="auto"/>
        </w:rPr>
      </w:pPr>
    </w:p>
    <w:p>
      <w:pPr>
        <w:spacing w:after="0"/>
        <w:rPr>
          <w:sz w:val="20"/>
          <w:szCs w:val="20"/>
          <w:color w:val="auto"/>
        </w:rPr>
      </w:pPr>
      <w:r>
        <w:rPr>
          <w:rFonts w:ascii="Arial" w:cs="Arial" w:eastAsia="Arial" w:hAnsi="Arial"/>
          <w:sz w:val="13"/>
          <w:szCs w:val="13"/>
          <w:color w:val="auto"/>
        </w:rPr>
        <w:t>Yes</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8" w:lineRule="exact"/>
        <w:rPr>
          <w:sz w:val="24"/>
          <w:szCs w:val="24"/>
          <w:color w:val="auto"/>
        </w:rPr>
      </w:pPr>
    </w:p>
    <w:p>
      <w:pPr>
        <w:spacing w:after="0"/>
        <w:rPr>
          <w:sz w:val="20"/>
          <w:szCs w:val="20"/>
          <w:color w:val="auto"/>
        </w:rPr>
      </w:pPr>
      <w:r>
        <w:rPr>
          <w:rFonts w:ascii="Arial" w:cs="Arial" w:eastAsia="Arial" w:hAnsi="Arial"/>
          <w:sz w:val="15"/>
          <w:szCs w:val="15"/>
          <w:color w:val="auto"/>
        </w:rPr>
        <w:t>No</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137" w:lineRule="exact"/>
        <w:rPr>
          <w:sz w:val="24"/>
          <w:szCs w:val="24"/>
          <w:color w:val="auto"/>
        </w:rPr>
      </w:pPr>
    </w:p>
    <w:p>
      <w:pPr>
        <w:sectPr>
          <w:pgSz w:w="11900" w:h="16838" w:orient="portrait"/>
          <w:cols w:equalWidth="0" w:num="5">
            <w:col w:w="8740" w:space="180"/>
            <w:col w:w="240" w:space="100"/>
            <w:col w:w="160" w:space="180"/>
            <w:col w:w="200" w:space="100"/>
            <w:col w:w="1460"/>
          </w:cols>
          <w:pgMar w:left="240" w:top="230" w:right="299" w:bottom="1440" w:gutter="0" w:footer="0" w:header="0"/>
          <w:type w:val="continuous"/>
        </w:sectPr>
      </w:pPr>
    </w:p>
    <w:p>
      <w:pPr>
        <w:ind w:right="28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right="60"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w:t>
      </w:r>
      <w:r>
        <w:rPr>
          <w:rFonts w:ascii="MS PGothic" w:cs="MS PGothic" w:eastAsia="MS PGothic" w:hAnsi="MS PGothic"/>
          <w:sz w:val="18"/>
          <w:szCs w:val="18"/>
          <w:color w:val="auto"/>
        </w:rPr>
        <w:t>☐</w:t>
      </w:r>
    </w:p>
    <w:p>
      <w:pPr>
        <w:spacing w:after="0" w:line="30" w:lineRule="exact"/>
        <w:rPr>
          <w:sz w:val="24"/>
          <w:szCs w:val="24"/>
          <w:color w:val="auto"/>
        </w:rPr>
      </w:pPr>
    </w:p>
    <w:p>
      <w:pPr>
        <w:ind w:firstLine="342"/>
        <w:spacing w:after="0" w:line="313"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360"/>
          </w:cols>
          <w:pgMar w:left="240" w:top="230" w:right="299" w:bottom="1440" w:gutter="0" w:footer="0" w:header="0"/>
          <w:type w:val="continuous"/>
        </w:sectPr>
      </w:pPr>
    </w:p>
    <w:p>
      <w:pPr>
        <w:spacing w:after="0" w:line="33"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3"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88" w:lineRule="exact"/>
        <w:rPr>
          <w:sz w:val="20"/>
          <w:szCs w:val="20"/>
          <w:color w:val="auto"/>
        </w:rPr>
      </w:pPr>
      <w:r>
        <w:rPr>
          <w:rFonts w:ascii="Arial" w:cs="Arial" w:eastAsia="Arial" w:hAnsi="Arial"/>
          <w:sz w:val="18"/>
          <w:szCs w:val="18"/>
          <w:color w:val="auto"/>
        </w:rPr>
        <w:t xml:space="preserve">Non-accelerated filer </w:t>
      </w:r>
      <w:r>
        <w:rPr>
          <w:rFonts w:ascii="MS PGothic" w:cs="MS PGothic" w:eastAsia="MS PGothic" w:hAnsi="MS PGothic"/>
          <w:sz w:val="18"/>
          <w:szCs w:val="18"/>
          <w:color w:val="auto"/>
        </w:rPr>
        <w:t>☐</w:t>
      </w:r>
    </w:p>
    <w:p>
      <w:pPr>
        <w:spacing w:after="0" w:line="56" w:lineRule="exact"/>
        <w:rPr>
          <w:sz w:val="24"/>
          <w:szCs w:val="24"/>
          <w:color w:val="auto"/>
        </w:rPr>
      </w:pPr>
    </w:p>
    <w:p>
      <w:pPr>
        <w:ind w:left="300"/>
        <w:spacing w:after="0"/>
        <w:rPr>
          <w:sz w:val="20"/>
          <w:szCs w:val="20"/>
          <w:color w:val="auto"/>
        </w:rPr>
      </w:pPr>
      <w:r>
        <w:rPr>
          <w:rFonts w:ascii="Arial" w:cs="Arial" w:eastAsia="Arial" w:hAnsi="Arial"/>
          <w:sz w:val="16"/>
          <w:szCs w:val="16"/>
          <w:color w:val="auto"/>
        </w:rPr>
        <w:t>(Do not check if a smaller</w:t>
      </w:r>
    </w:p>
    <w:p>
      <w:pPr>
        <w:spacing w:after="0" w:line="24" w:lineRule="exact"/>
        <w:rPr>
          <w:sz w:val="24"/>
          <w:szCs w:val="24"/>
          <w:color w:val="auto"/>
        </w:rPr>
      </w:pPr>
    </w:p>
    <w:p>
      <w:pPr>
        <w:ind w:left="520"/>
        <w:spacing w:after="0"/>
        <w:rPr>
          <w:sz w:val="20"/>
          <w:szCs w:val="20"/>
          <w:color w:val="auto"/>
        </w:rPr>
      </w:pPr>
      <w:r>
        <w:rPr>
          <w:rFonts w:ascii="Arial" w:cs="Arial" w:eastAsia="Arial" w:hAnsi="Arial"/>
          <w:sz w:val="18"/>
          <w:szCs w:val="18"/>
          <w:color w:val="auto"/>
        </w:rPr>
        <w:t>reporting company)</w:t>
      </w:r>
    </w:p>
    <w:p>
      <w:pPr>
        <w:spacing w:after="0" w:line="20" w:lineRule="exact"/>
        <w:rPr>
          <w:sz w:val="24"/>
          <w:szCs w:val="24"/>
          <w:color w:val="auto"/>
        </w:rPr>
      </w:pPr>
      <w:r>
        <w:rPr>
          <w:sz w:val="24"/>
          <w:szCs w:val="24"/>
          <w:color w:val="auto"/>
        </w:rPr>
        <w:br w:type="column"/>
      </w:r>
    </w:p>
    <w:p>
      <w:pPr>
        <w:spacing w:after="0" w:line="13"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41" w:lineRule="exact"/>
        <w:rPr>
          <w:sz w:val="24"/>
          <w:szCs w:val="24"/>
          <w:color w:val="auto"/>
        </w:rPr>
      </w:pPr>
    </w:p>
    <w:p>
      <w:pPr>
        <w:sectPr>
          <w:pgSz w:w="11900" w:h="16838" w:orient="portrait"/>
          <w:cols w:equalWidth="0" w:num="7">
            <w:col w:w="1580" w:space="100"/>
            <w:col w:w="340" w:space="720"/>
            <w:col w:w="1180" w:space="100"/>
            <w:col w:w="300" w:space="720"/>
            <w:col w:w="2120" w:space="500"/>
            <w:col w:w="1920" w:space="100"/>
            <w:col w:w="1680"/>
          </w:cols>
          <w:pgMar w:left="240" w:top="230" w:right="299" w:bottom="1440"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123" w:lineRule="exact"/>
        <w:rPr>
          <w:sz w:val="24"/>
          <w:szCs w:val="24"/>
          <w:color w:val="auto"/>
        </w:rPr>
      </w:pPr>
    </w:p>
    <w:p>
      <w:pPr>
        <w:ind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$6,070,949,918 based upon the closing price of $14.69 per share on the Nasdaq Global Select Market on August 1, 2008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March 15, 2009, there were 618,229,230 common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ind w:right="140" w:firstLine="342"/>
        <w:spacing w:after="0" w:line="370" w:lineRule="auto"/>
        <w:rPr>
          <w:sz w:val="20"/>
          <w:szCs w:val="20"/>
          <w:color w:val="auto"/>
        </w:rPr>
      </w:pPr>
      <w:r>
        <w:rPr>
          <w:rFonts w:ascii="Arial" w:cs="Arial" w:eastAsia="Arial" w:hAnsi="Arial"/>
          <w:sz w:val="15"/>
          <w:szCs w:val="15"/>
          <w:color w:val="auto"/>
        </w:rPr>
        <w:t>Portions of Part III of this Form 10-K are incorporated by reference to the registrant’s proxy statement for its 2009 annual general meeting of shareholders, which proxy statement will be filed with the Securities and Exchange Commission within 120 days after the end of the fiscal year covered by this Form 10-K.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-5715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19050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230" w:right="29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340" w:type="dxa"/>
            <w:vAlign w:val="bottom"/>
            <w:gridSpan w:val="8"/>
          </w:tcPr>
          <w:p>
            <w:pPr>
              <w:jc w:val="center"/>
              <w:ind w:right="4300"/>
              <w:spacing w:after="0"/>
              <w:rPr>
                <w:sz w:val="20"/>
                <w:szCs w:val="20"/>
                <w:color w:val="auto"/>
              </w:rPr>
            </w:pPr>
            <w:r>
              <w:rPr>
                <w:rFonts w:ascii="Arial" w:cs="Arial" w:eastAsia="Arial" w:hAnsi="Arial"/>
                <w:sz w:val="18"/>
                <w:szCs w:val="18"/>
                <w:b w:val="1"/>
                <w:bCs w:val="1"/>
                <w:color w:val="auto"/>
                <w:w w:val="96"/>
              </w:rPr>
              <w:t>TABLE OF CONTENTS</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60" w:type="dxa"/>
            <w:vAlign w:val="bottom"/>
            <w:gridSpan w:val="6"/>
            <w:vMerge w:val="restart"/>
          </w:tcPr>
          <w:p>
            <w:pPr>
              <w:jc w:val="center"/>
              <w:ind w:right="4900"/>
              <w:spacing w:after="0"/>
              <w:rPr>
                <w:sz w:val="20"/>
                <w:szCs w:val="20"/>
                <w:color w:val="auto"/>
              </w:rPr>
            </w:pPr>
            <w:r>
              <w:rPr>
                <w:rFonts w:ascii="Arial" w:cs="Arial" w:eastAsia="Arial" w:hAnsi="Arial"/>
                <w:sz w:val="18"/>
                <w:szCs w:val="18"/>
                <w:b w:val="1"/>
                <w:bCs w:val="1"/>
                <w:color w:val="auto"/>
                <w:w w:val="98"/>
              </w:rPr>
              <w:t>PART I</w:t>
            </w:r>
          </w:p>
        </w:tc>
        <w:tc>
          <w:tcPr>
            <w:tcW w:w="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208"/>
        </w:trPr>
        <w:tc>
          <w:tcPr>
            <w:tcW w:w="7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760" w:type="dxa"/>
            <w:vAlign w:val="bottom"/>
            <w:gridSpan w:val="6"/>
            <w:vMerge w:val="continue"/>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5"/>
        </w:trPr>
        <w:tc>
          <w:tcPr>
            <w:tcW w:w="102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020" w:type="dxa"/>
            <w:vAlign w:val="bottom"/>
            <w:gridSpan w:val="20"/>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Business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0020" w:type="dxa"/>
            <w:vAlign w:val="bottom"/>
            <w:gridSpan w:val="20"/>
          </w:tcPr>
          <w:p>
            <w:pPr>
              <w:spacing w:after="0"/>
              <w:rPr>
                <w:rFonts w:ascii="Arial" w:cs="Arial" w:eastAsia="Arial" w:hAnsi="Arial"/>
                <w:sz w:val="18"/>
                <w:szCs w:val="18"/>
                <w:color w:val="0000EE"/>
              </w:rPr>
            </w:pPr>
            <w:hyperlink w:anchor="page19">
              <w:r>
                <w:rPr>
                  <w:rFonts w:ascii="Arial" w:cs="Arial" w:eastAsia="Arial" w:hAnsi="Arial"/>
                  <w:sz w:val="18"/>
                  <w:szCs w:val="18"/>
                  <w:color w:val="0000EE"/>
                </w:rPr>
                <w:t>Risk Factors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1B.</w:t>
            </w:r>
          </w:p>
        </w:tc>
        <w:tc>
          <w:tcPr>
            <w:tcW w:w="2000" w:type="dxa"/>
            <w:vAlign w:val="bottom"/>
            <w:tcBorders>
              <w:bottom w:val="single" w:sz="8" w:color="0000EE"/>
            </w:tcBorders>
            <w:gridSpan w:val="8"/>
          </w:tcPr>
          <w:p>
            <w:pPr>
              <w:spacing w:after="0"/>
              <w:rPr>
                <w:rFonts w:ascii="Arial" w:cs="Arial" w:eastAsia="Arial" w:hAnsi="Arial"/>
                <w:sz w:val="18"/>
                <w:szCs w:val="18"/>
                <w:color w:val="0000EE"/>
                <w:w w:val="87"/>
              </w:rPr>
            </w:pPr>
            <w:hyperlink w:anchor="page37">
              <w:r>
                <w:rPr>
                  <w:rFonts w:ascii="Arial" w:cs="Arial" w:eastAsia="Arial" w:hAnsi="Arial"/>
                  <w:sz w:val="18"/>
                  <w:szCs w:val="18"/>
                  <w:color w:val="0000EE"/>
                  <w:w w:val="87"/>
                </w:rPr>
                <w:t>Unresolved Staff Comments</w:t>
              </w:r>
            </w:hyperlink>
          </w:p>
        </w:tc>
        <w:tc>
          <w:tcPr>
            <w:tcW w:w="8020" w:type="dxa"/>
            <w:vAlign w:val="bottom"/>
            <w:gridSpan w:val="12"/>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2.</w:t>
            </w:r>
          </w:p>
        </w:tc>
        <w:tc>
          <w:tcPr>
            <w:tcW w:w="720" w:type="dxa"/>
            <w:vAlign w:val="bottom"/>
            <w:tcBorders>
              <w:bottom w:val="single" w:sz="8" w:color="0000EE"/>
            </w:tcBorders>
            <w:gridSpan w:val="2"/>
          </w:tcPr>
          <w:p>
            <w:pPr>
              <w:spacing w:after="0"/>
              <w:rPr>
                <w:rFonts w:ascii="Arial" w:cs="Arial" w:eastAsia="Arial" w:hAnsi="Arial"/>
                <w:sz w:val="18"/>
                <w:szCs w:val="18"/>
                <w:color w:val="0000EE"/>
                <w:w w:val="85"/>
              </w:rPr>
            </w:pPr>
            <w:hyperlink w:anchor="page37">
              <w:r>
                <w:rPr>
                  <w:rFonts w:ascii="Arial" w:cs="Arial" w:eastAsia="Arial" w:hAnsi="Arial"/>
                  <w:sz w:val="18"/>
                  <w:szCs w:val="18"/>
                  <w:color w:val="0000EE"/>
                  <w:w w:val="85"/>
                </w:rPr>
                <w:t>Properties</w:t>
              </w:r>
            </w:hyperlink>
          </w:p>
        </w:tc>
        <w:tc>
          <w:tcPr>
            <w:tcW w:w="9300" w:type="dxa"/>
            <w:vAlign w:val="bottom"/>
            <w:gridSpan w:val="18"/>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3.</w:t>
            </w:r>
          </w:p>
        </w:tc>
        <w:tc>
          <w:tcPr>
            <w:tcW w:w="10020" w:type="dxa"/>
            <w:vAlign w:val="bottom"/>
            <w:gridSpan w:val="20"/>
          </w:tcPr>
          <w:p>
            <w:pPr>
              <w:spacing w:after="0"/>
              <w:rPr>
                <w:rFonts w:ascii="Arial" w:cs="Arial" w:eastAsia="Arial" w:hAnsi="Arial"/>
                <w:sz w:val="18"/>
                <w:szCs w:val="18"/>
                <w:color w:val="0000EE"/>
              </w:rPr>
            </w:pPr>
            <w:hyperlink w:anchor="page38">
              <w:r>
                <w:rPr>
                  <w:rFonts w:ascii="Arial" w:cs="Arial" w:eastAsia="Arial" w:hAnsi="Arial"/>
                  <w:sz w:val="18"/>
                  <w:szCs w:val="18"/>
                  <w:color w:val="0000EE"/>
                </w:rPr>
                <w:t>Legal Proceedings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020" w:type="dxa"/>
            <w:vAlign w:val="bottom"/>
            <w:gridSpan w:val="20"/>
          </w:tcPr>
          <w:p>
            <w:pPr>
              <w:spacing w:after="0"/>
              <w:rPr>
                <w:rFonts w:ascii="Arial" w:cs="Arial" w:eastAsia="Arial" w:hAnsi="Arial"/>
                <w:sz w:val="18"/>
                <w:szCs w:val="18"/>
                <w:color w:val="0000EE"/>
              </w:rPr>
            </w:pPr>
            <w:hyperlink w:anchor="page38">
              <w:r>
                <w:rPr>
                  <w:rFonts w:ascii="Arial" w:cs="Arial" w:eastAsia="Arial" w:hAnsi="Arial"/>
                  <w:sz w:val="18"/>
                  <w:szCs w:val="18"/>
                  <w:color w:val="0000EE"/>
                </w:rPr>
                <w:t>Submission of Matters to a Vote of Security Holders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0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40" w:type="dxa"/>
            <w:vAlign w:val="bottom"/>
            <w:tcBorders>
              <w:top w:val="single" w:sz="8" w:color="0000EE"/>
            </w:tcBorders>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60" w:type="dxa"/>
            <w:vAlign w:val="bottom"/>
            <w:gridSpan w:val="6"/>
          </w:tcPr>
          <w:p>
            <w:pPr>
              <w:jc w:val="center"/>
              <w:ind w:right="4880"/>
              <w:spacing w:after="0"/>
              <w:rPr>
                <w:sz w:val="20"/>
                <w:szCs w:val="20"/>
                <w:color w:val="auto"/>
              </w:rPr>
            </w:pPr>
            <w:r>
              <w:rPr>
                <w:rFonts w:ascii="Arial" w:cs="Arial" w:eastAsia="Arial" w:hAnsi="Arial"/>
                <w:sz w:val="18"/>
                <w:szCs w:val="18"/>
                <w:b w:val="1"/>
                <w:bCs w:val="1"/>
                <w:color w:val="auto"/>
                <w:w w:val="99"/>
              </w:rPr>
              <w:t>PART II</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20" w:type="dxa"/>
            <w:vAlign w:val="bottom"/>
            <w:gridSpan w:val="2"/>
          </w:tcPr>
          <w:p>
            <w:pPr>
              <w:spacing w:after="0"/>
              <w:rPr>
                <w:sz w:val="20"/>
                <w:szCs w:val="20"/>
                <w:color w:val="auto"/>
              </w:rPr>
            </w:pPr>
            <w:r>
              <w:rPr>
                <w:rFonts w:ascii="Arial" w:cs="Arial" w:eastAsia="Arial" w:hAnsi="Arial"/>
                <w:sz w:val="18"/>
                <w:szCs w:val="18"/>
                <w:color w:val="auto"/>
              </w:rPr>
              <w:t>Item 5.</w:t>
            </w:r>
          </w:p>
        </w:tc>
        <w:tc>
          <w:tcPr>
            <w:tcW w:w="7880" w:type="dxa"/>
            <w:vAlign w:val="bottom"/>
            <w:tcBorders>
              <w:bottom w:val="single" w:sz="8" w:color="0000EE"/>
            </w:tcBorders>
            <w:gridSpan w:val="19"/>
          </w:tcPr>
          <w:p>
            <w:pPr>
              <w:spacing w:after="0"/>
              <w:rPr>
                <w:rFonts w:ascii="Arial" w:cs="Arial" w:eastAsia="Arial" w:hAnsi="Arial"/>
                <w:sz w:val="18"/>
                <w:szCs w:val="18"/>
                <w:color w:val="0000EE"/>
                <w:w w:val="88"/>
              </w:rPr>
            </w:pPr>
            <w:hyperlink w:anchor="page39">
              <w:r>
                <w:rPr>
                  <w:rFonts w:ascii="Arial" w:cs="Arial" w:eastAsia="Arial" w:hAnsi="Arial"/>
                  <w:sz w:val="18"/>
                  <w:szCs w:val="18"/>
                  <w:color w:val="0000EE"/>
                  <w:w w:val="88"/>
                </w:rPr>
                <w:t>Market for Registrant’s Common Equity, Related Stockholder Matters and Issuer Purchases of Equity Securities</w:t>
              </w:r>
            </w:hyperlink>
          </w:p>
        </w:tc>
        <w:tc>
          <w:tcPr>
            <w:tcW w:w="2140" w:type="dxa"/>
            <w:vAlign w:val="bottom"/>
          </w:tcPr>
          <w:p>
            <w:pPr>
              <w:spacing w:after="0"/>
              <w:rPr>
                <w:sz w:val="21"/>
                <w:szCs w:val="21"/>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0020" w:type="dxa"/>
            <w:vAlign w:val="bottom"/>
            <w:gridSpan w:val="20"/>
          </w:tcPr>
          <w:p>
            <w:pPr>
              <w:spacing w:after="0"/>
              <w:rPr>
                <w:rFonts w:ascii="Arial" w:cs="Arial" w:eastAsia="Arial" w:hAnsi="Arial"/>
                <w:sz w:val="18"/>
                <w:szCs w:val="18"/>
                <w:color w:val="0000EE"/>
              </w:rPr>
            </w:pPr>
            <w:hyperlink w:anchor="page41">
              <w:r>
                <w:rPr>
                  <w:rFonts w:ascii="Arial" w:cs="Arial" w:eastAsia="Arial" w:hAnsi="Arial"/>
                  <w:sz w:val="18"/>
                  <w:szCs w:val="18"/>
                  <w:color w:val="0000EE"/>
                </w:rPr>
                <w:t>Selected Financial Data</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7.</w:t>
            </w:r>
          </w:p>
        </w:tc>
        <w:tc>
          <w:tcPr>
            <w:tcW w:w="10020" w:type="dxa"/>
            <w:vAlign w:val="bottom"/>
            <w:gridSpan w:val="20"/>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Management’s Discussion and Analysis of Financial Condition and Results of Operations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7A.</w:t>
            </w:r>
          </w:p>
        </w:tc>
        <w:tc>
          <w:tcPr>
            <w:tcW w:w="4260" w:type="dxa"/>
            <w:vAlign w:val="bottom"/>
            <w:tcBorders>
              <w:top w:val="single" w:sz="8" w:color="0000EE"/>
              <w:bottom w:val="single" w:sz="8" w:color="0000EE"/>
            </w:tcBorders>
            <w:gridSpan w:val="14"/>
          </w:tcPr>
          <w:p>
            <w:pPr>
              <w:spacing w:after="0"/>
              <w:rPr>
                <w:rFonts w:ascii="Arial" w:cs="Arial" w:eastAsia="Arial" w:hAnsi="Arial"/>
                <w:sz w:val="18"/>
                <w:szCs w:val="18"/>
                <w:color w:val="0000EE"/>
                <w:w w:val="89"/>
              </w:rPr>
            </w:pPr>
            <w:hyperlink w:anchor="page66">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2"/>
                <w:szCs w:val="22"/>
                <w:color w:val="auto"/>
              </w:rPr>
            </w:pPr>
          </w:p>
        </w:tc>
        <w:tc>
          <w:tcPr>
            <w:tcW w:w="3720" w:type="dxa"/>
            <w:vAlign w:val="bottom"/>
            <w:gridSpan w:val="4"/>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8.</w:t>
            </w:r>
          </w:p>
        </w:tc>
        <w:tc>
          <w:tcPr>
            <w:tcW w:w="10020" w:type="dxa"/>
            <w:vAlign w:val="bottom"/>
            <w:gridSpan w:val="20"/>
          </w:tcPr>
          <w:p>
            <w:pPr>
              <w:spacing w:after="0"/>
              <w:rPr>
                <w:rFonts w:ascii="Arial" w:cs="Arial" w:eastAsia="Arial" w:hAnsi="Arial"/>
                <w:sz w:val="18"/>
                <w:szCs w:val="18"/>
                <w:color w:val="0000EE"/>
              </w:rPr>
            </w:pPr>
            <w:hyperlink w:anchor="page69">
              <w:r>
                <w:rPr>
                  <w:rFonts w:ascii="Arial" w:cs="Arial" w:eastAsia="Arial" w:hAnsi="Arial"/>
                  <w:sz w:val="18"/>
                  <w:szCs w:val="18"/>
                  <w:color w:val="0000EE"/>
                </w:rPr>
                <w:t>Financial Statements and Supplementary Data</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1320" w:type="dxa"/>
            <w:vAlign w:val="bottom"/>
            <w:gridSpan w:val="2"/>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9.</w:t>
            </w:r>
          </w:p>
        </w:tc>
        <w:tc>
          <w:tcPr>
            <w:tcW w:w="10020" w:type="dxa"/>
            <w:vAlign w:val="bottom"/>
            <w:gridSpan w:val="20"/>
          </w:tcPr>
          <w:p>
            <w:pPr>
              <w:spacing w:after="0"/>
              <w:rPr>
                <w:rFonts w:ascii="Arial" w:cs="Arial" w:eastAsia="Arial" w:hAnsi="Arial"/>
                <w:sz w:val="18"/>
                <w:szCs w:val="18"/>
                <w:color w:val="0000EE"/>
              </w:rPr>
            </w:pPr>
            <w:hyperlink w:anchor="page121">
              <w:r>
                <w:rPr>
                  <w:rFonts w:ascii="Arial" w:cs="Arial" w:eastAsia="Arial" w:hAnsi="Arial"/>
                  <w:sz w:val="18"/>
                  <w:szCs w:val="18"/>
                  <w:color w:val="0000EE"/>
                </w:rPr>
                <w:t>Changes in and Disagreements with Accountants on Accounting and Financial Disclosure</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120</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9A.</w:t>
            </w:r>
          </w:p>
        </w:tc>
        <w:tc>
          <w:tcPr>
            <w:tcW w:w="6320" w:type="dxa"/>
            <w:vAlign w:val="bottom"/>
            <w:tcBorders>
              <w:top w:val="single" w:sz="8" w:color="0000EE"/>
            </w:tcBorders>
            <w:gridSpan w:val="17"/>
          </w:tcPr>
          <w:p>
            <w:pPr>
              <w:spacing w:after="0"/>
              <w:rPr>
                <w:rFonts w:ascii="Arial" w:cs="Arial" w:eastAsia="Arial" w:hAnsi="Arial"/>
                <w:sz w:val="18"/>
                <w:szCs w:val="18"/>
                <w:color w:val="0000EE"/>
              </w:rPr>
            </w:pPr>
            <w:hyperlink w:anchor="page121">
              <w:r>
                <w:rPr>
                  <w:rFonts w:ascii="Arial" w:cs="Arial" w:eastAsia="Arial" w:hAnsi="Arial"/>
                  <w:sz w:val="18"/>
                  <w:szCs w:val="18"/>
                  <w:color w:val="0000EE"/>
                </w:rPr>
                <w:t>Controls and Procedures</w:t>
              </w:r>
            </w:hyperlink>
          </w:p>
        </w:tc>
        <w:tc>
          <w:tcPr>
            <w:tcW w:w="3700" w:type="dxa"/>
            <w:vAlign w:val="bottom"/>
            <w:gridSpan w:val="3"/>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120</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9B.</w:t>
            </w:r>
          </w:p>
        </w:tc>
        <w:tc>
          <w:tcPr>
            <w:tcW w:w="1720" w:type="dxa"/>
            <w:vAlign w:val="bottom"/>
            <w:tcBorders>
              <w:top w:val="single" w:sz="8" w:color="0000EE"/>
            </w:tcBorders>
            <w:gridSpan w:val="6"/>
          </w:tcPr>
          <w:p>
            <w:pPr>
              <w:spacing w:after="0"/>
              <w:rPr>
                <w:rFonts w:ascii="Arial" w:cs="Arial" w:eastAsia="Arial" w:hAnsi="Arial"/>
                <w:sz w:val="18"/>
                <w:szCs w:val="18"/>
                <w:color w:val="0000EE"/>
              </w:rPr>
            </w:pPr>
            <w:hyperlink w:anchor="page122">
              <w:r>
                <w:rPr>
                  <w:rFonts w:ascii="Arial" w:cs="Arial" w:eastAsia="Arial" w:hAnsi="Arial"/>
                  <w:sz w:val="18"/>
                  <w:szCs w:val="18"/>
                  <w:color w:val="0000EE"/>
                </w:rPr>
                <w:t>Other Information</w:t>
              </w:r>
            </w:hyperlink>
          </w:p>
        </w:tc>
        <w:tc>
          <w:tcPr>
            <w:tcW w:w="8300" w:type="dxa"/>
            <w:vAlign w:val="bottom"/>
            <w:gridSpan w:val="14"/>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121</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60" w:type="dxa"/>
            <w:vAlign w:val="bottom"/>
            <w:gridSpan w:val="6"/>
          </w:tcPr>
          <w:p>
            <w:pPr>
              <w:jc w:val="center"/>
              <w:ind w:right="4900"/>
              <w:spacing w:after="0"/>
              <w:rPr>
                <w:sz w:val="20"/>
                <w:szCs w:val="20"/>
                <w:color w:val="auto"/>
              </w:rPr>
            </w:pPr>
            <w:r>
              <w:rPr>
                <w:rFonts w:ascii="Arial" w:cs="Arial" w:eastAsia="Arial" w:hAnsi="Arial"/>
                <w:sz w:val="18"/>
                <w:szCs w:val="18"/>
                <w:b w:val="1"/>
                <w:bCs w:val="1"/>
                <w:color w:val="auto"/>
              </w:rPr>
              <w:t>PART III</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20" w:type="dxa"/>
            <w:vAlign w:val="bottom"/>
            <w:gridSpan w:val="2"/>
          </w:tcPr>
          <w:p>
            <w:pPr>
              <w:spacing w:after="0"/>
              <w:rPr>
                <w:sz w:val="20"/>
                <w:szCs w:val="20"/>
                <w:color w:val="auto"/>
              </w:rPr>
            </w:pPr>
            <w:r>
              <w:rPr>
                <w:rFonts w:ascii="Arial" w:cs="Arial" w:eastAsia="Arial" w:hAnsi="Arial"/>
                <w:sz w:val="18"/>
                <w:szCs w:val="18"/>
                <w:color w:val="auto"/>
              </w:rPr>
              <w:t>Item 10.</w:t>
            </w:r>
          </w:p>
        </w:tc>
        <w:tc>
          <w:tcPr>
            <w:tcW w:w="4000" w:type="dxa"/>
            <w:vAlign w:val="bottom"/>
            <w:tcBorders>
              <w:bottom w:val="single" w:sz="8" w:color="0000EE"/>
            </w:tcBorders>
            <w:gridSpan w:val="13"/>
          </w:tcPr>
          <w:p>
            <w:pPr>
              <w:spacing w:after="0"/>
              <w:rPr>
                <w:rFonts w:ascii="Arial" w:cs="Arial" w:eastAsia="Arial" w:hAnsi="Arial"/>
                <w:sz w:val="18"/>
                <w:szCs w:val="18"/>
                <w:color w:val="0000EE"/>
                <w:w w:val="88"/>
              </w:rPr>
            </w:pPr>
            <w:hyperlink w:anchor="page123">
              <w:r>
                <w:rPr>
                  <w:rFonts w:ascii="Arial" w:cs="Arial" w:eastAsia="Arial" w:hAnsi="Arial"/>
                  <w:sz w:val="18"/>
                  <w:szCs w:val="18"/>
                  <w:color w:val="0000EE"/>
                  <w:w w:val="88"/>
                </w:rPr>
                <w:t>Directors, Executive Officers and Corporate Governance</w:t>
              </w:r>
            </w:hyperlink>
          </w:p>
        </w:tc>
        <w:tc>
          <w:tcPr>
            <w:tcW w:w="6020" w:type="dxa"/>
            <w:vAlign w:val="bottom"/>
            <w:gridSpan w:val="7"/>
          </w:tcPr>
          <w:p>
            <w:pPr>
              <w:spacing w:after="0"/>
              <w:rPr>
                <w:sz w:val="21"/>
                <w:szCs w:val="21"/>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11.</w:t>
            </w:r>
          </w:p>
        </w:tc>
        <w:tc>
          <w:tcPr>
            <w:tcW w:w="10020" w:type="dxa"/>
            <w:vAlign w:val="bottom"/>
            <w:gridSpan w:val="20"/>
          </w:tcPr>
          <w:p>
            <w:pPr>
              <w:spacing w:after="0"/>
              <w:rPr>
                <w:rFonts w:ascii="Arial" w:cs="Arial" w:eastAsia="Arial" w:hAnsi="Arial"/>
                <w:sz w:val="18"/>
                <w:szCs w:val="18"/>
                <w:color w:val="0000EE"/>
              </w:rPr>
            </w:pPr>
            <w:hyperlink w:anchor="page123">
              <w:r>
                <w:rPr>
                  <w:rFonts w:ascii="Arial" w:cs="Arial" w:eastAsia="Arial" w:hAnsi="Arial"/>
                  <w:sz w:val="18"/>
                  <w:szCs w:val="18"/>
                  <w:color w:val="0000EE"/>
                </w:rPr>
                <w:t>Executive Compensation</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60" w:type="dxa"/>
            <w:vAlign w:val="bottom"/>
            <w:gridSpan w:val="7"/>
            <w:shd w:val="clear" w:color="auto" w:fill="0000EE"/>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40" w:type="dxa"/>
            <w:vAlign w:val="bottom"/>
            <w:gridSpan w:val="5"/>
          </w:tcPr>
          <w:p>
            <w:pPr>
              <w:spacing w:after="0" w:line="20" w:lineRule="exact"/>
              <w:rPr>
                <w:sz w:val="1"/>
                <w:szCs w:val="1"/>
                <w:color w:val="auto"/>
              </w:rPr>
            </w:pPr>
          </w:p>
        </w:tc>
        <w:tc>
          <w:tcPr>
            <w:tcW w:w="1860" w:type="dxa"/>
            <w:vAlign w:val="bottom"/>
            <w:gridSpan w:val="3"/>
          </w:tcPr>
          <w:p>
            <w:pPr>
              <w:spacing w:after="0" w:line="20" w:lineRule="exact"/>
              <w:rPr>
                <w:sz w:val="1"/>
                <w:szCs w:val="1"/>
                <w:color w:val="auto"/>
              </w:rPr>
            </w:pPr>
          </w:p>
        </w:tc>
        <w:tc>
          <w:tcPr>
            <w:tcW w:w="28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12.</w:t>
            </w:r>
          </w:p>
        </w:tc>
        <w:tc>
          <w:tcPr>
            <w:tcW w:w="10020" w:type="dxa"/>
            <w:vAlign w:val="bottom"/>
            <w:gridSpan w:val="20"/>
          </w:tcPr>
          <w:p>
            <w:pPr>
              <w:spacing w:after="0"/>
              <w:rPr>
                <w:rFonts w:ascii="Arial" w:cs="Arial" w:eastAsia="Arial" w:hAnsi="Arial"/>
                <w:sz w:val="18"/>
                <w:szCs w:val="18"/>
                <w:color w:val="0000EE"/>
              </w:rPr>
            </w:pPr>
            <w:hyperlink w:anchor="page123">
              <w:r>
                <w:rPr>
                  <w:rFonts w:ascii="Arial" w:cs="Arial" w:eastAsia="Arial" w:hAnsi="Arial"/>
                  <w:sz w:val="18"/>
                  <w:szCs w:val="18"/>
                  <w:color w:val="0000EE"/>
                </w:rPr>
                <w:t>Security Ownership of Certain Beneficial Owners and Management and Related Stockholders Matters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13.</w:t>
            </w:r>
          </w:p>
        </w:tc>
        <w:tc>
          <w:tcPr>
            <w:tcW w:w="5320" w:type="dxa"/>
            <w:vAlign w:val="bottom"/>
            <w:tcBorders>
              <w:top w:val="single" w:sz="8" w:color="0000EE"/>
              <w:bottom w:val="single" w:sz="8" w:color="0000EE"/>
            </w:tcBorders>
            <w:gridSpan w:val="15"/>
          </w:tcPr>
          <w:p>
            <w:pPr>
              <w:spacing w:after="0"/>
              <w:rPr>
                <w:rFonts w:ascii="Arial" w:cs="Arial" w:eastAsia="Arial" w:hAnsi="Arial"/>
                <w:sz w:val="18"/>
                <w:szCs w:val="18"/>
                <w:color w:val="0000EE"/>
                <w:w w:val="87"/>
              </w:rPr>
            </w:pPr>
            <w:hyperlink w:anchor="page124">
              <w:r>
                <w:rPr>
                  <w:rFonts w:ascii="Arial" w:cs="Arial" w:eastAsia="Arial" w:hAnsi="Arial"/>
                  <w:sz w:val="18"/>
                  <w:szCs w:val="18"/>
                  <w:color w:val="0000EE"/>
                  <w:w w:val="87"/>
                </w:rPr>
                <w:t>Certain Relationships and Related Transactions, and Director Independence</w:t>
              </w:r>
            </w:hyperlink>
          </w:p>
        </w:tc>
        <w:tc>
          <w:tcPr>
            <w:tcW w:w="1860" w:type="dxa"/>
            <w:vAlign w:val="bottom"/>
            <w:tcBorders>
              <w:top w:val="single" w:sz="8" w:color="0000EE"/>
            </w:tcBorders>
            <w:gridSpan w:val="3"/>
          </w:tcPr>
          <w:p>
            <w:pPr>
              <w:spacing w:after="0"/>
              <w:rPr>
                <w:sz w:val="22"/>
                <w:szCs w:val="22"/>
                <w:color w:val="auto"/>
              </w:rPr>
            </w:pPr>
          </w:p>
        </w:tc>
        <w:tc>
          <w:tcPr>
            <w:tcW w:w="2840" w:type="dxa"/>
            <w:vAlign w:val="bottom"/>
            <w:gridSpan w:val="2"/>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123</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sz w:val="20"/>
                <w:szCs w:val="20"/>
                <w:color w:val="auto"/>
              </w:rPr>
            </w:pPr>
            <w:r>
              <w:rPr>
                <w:rFonts w:ascii="Arial" w:cs="Arial" w:eastAsia="Arial" w:hAnsi="Arial"/>
                <w:sz w:val="18"/>
                <w:szCs w:val="18"/>
                <w:color w:val="auto"/>
              </w:rPr>
              <w:t>Item 14.</w:t>
            </w:r>
          </w:p>
        </w:tc>
        <w:tc>
          <w:tcPr>
            <w:tcW w:w="10020" w:type="dxa"/>
            <w:vAlign w:val="bottom"/>
            <w:gridSpan w:val="20"/>
          </w:tcPr>
          <w:p>
            <w:pPr>
              <w:spacing w:after="0"/>
              <w:rPr>
                <w:rFonts w:ascii="Arial" w:cs="Arial" w:eastAsia="Arial" w:hAnsi="Arial"/>
                <w:sz w:val="18"/>
                <w:szCs w:val="18"/>
                <w:color w:val="0000EE"/>
              </w:rPr>
            </w:pPr>
            <w:hyperlink w:anchor="page125">
              <w:r>
                <w:rPr>
                  <w:rFonts w:ascii="Arial" w:cs="Arial" w:eastAsia="Arial" w:hAnsi="Arial"/>
                  <w:sz w:val="18"/>
                  <w:szCs w:val="18"/>
                  <w:color w:val="0000EE"/>
                </w:rPr>
                <w:t>Principal Accounting Fees and Services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124</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0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60" w:type="dxa"/>
            <w:vAlign w:val="bottom"/>
            <w:gridSpan w:val="6"/>
          </w:tcPr>
          <w:p>
            <w:pPr>
              <w:jc w:val="center"/>
              <w:ind w:right="4900"/>
              <w:spacing w:after="0"/>
              <w:rPr>
                <w:sz w:val="20"/>
                <w:szCs w:val="20"/>
                <w:color w:val="auto"/>
              </w:rPr>
            </w:pPr>
            <w:r>
              <w:rPr>
                <w:rFonts w:ascii="Arial" w:cs="Arial" w:eastAsia="Arial" w:hAnsi="Arial"/>
                <w:sz w:val="18"/>
                <w:szCs w:val="18"/>
                <w:b w:val="1"/>
                <w:bCs w:val="1"/>
                <w:color w:val="auto"/>
                <w:w w:val="98"/>
              </w:rPr>
              <w:t>PART IV</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20" w:type="dxa"/>
            <w:vAlign w:val="bottom"/>
            <w:gridSpan w:val="2"/>
          </w:tcPr>
          <w:p>
            <w:pPr>
              <w:spacing w:after="0"/>
              <w:rPr>
                <w:sz w:val="20"/>
                <w:szCs w:val="20"/>
                <w:color w:val="auto"/>
              </w:rPr>
            </w:pPr>
            <w:r>
              <w:rPr>
                <w:rFonts w:ascii="Arial" w:cs="Arial" w:eastAsia="Arial" w:hAnsi="Arial"/>
                <w:sz w:val="18"/>
                <w:szCs w:val="18"/>
                <w:color w:val="auto"/>
              </w:rPr>
              <w:t>Item 15.</w:t>
            </w:r>
          </w:p>
        </w:tc>
        <w:tc>
          <w:tcPr>
            <w:tcW w:w="10020" w:type="dxa"/>
            <w:vAlign w:val="bottom"/>
            <w:gridSpan w:val="20"/>
          </w:tcPr>
          <w:p>
            <w:pPr>
              <w:spacing w:after="0"/>
              <w:rPr>
                <w:rFonts w:ascii="Arial" w:cs="Arial" w:eastAsia="Arial" w:hAnsi="Arial"/>
                <w:sz w:val="18"/>
                <w:szCs w:val="18"/>
                <w:color w:val="0000EE"/>
              </w:rPr>
            </w:pPr>
            <w:hyperlink w:anchor="page126">
              <w:r>
                <w:rPr>
                  <w:rFonts w:ascii="Arial" w:cs="Arial" w:eastAsia="Arial" w:hAnsi="Arial"/>
                  <w:sz w:val="18"/>
                  <w:szCs w:val="18"/>
                  <w:color w:val="0000EE"/>
                </w:rPr>
                <w:t>Exhibits and Financial Statement Schedules</w:t>
              </w:r>
            </w:hyperlink>
          </w:p>
        </w:tc>
        <w:tc>
          <w:tcPr>
            <w:tcW w:w="380" w:type="dxa"/>
            <w:vAlign w:val="bottom"/>
          </w:tcPr>
          <w:p>
            <w:pPr>
              <w:jc w:val="right"/>
              <w:spacing w:after="0"/>
              <w:rPr>
                <w:sz w:val="20"/>
                <w:szCs w:val="20"/>
                <w:color w:val="auto"/>
              </w:rPr>
            </w:pPr>
            <w:r>
              <w:rPr>
                <w:rFonts w:ascii="Arial" w:cs="Arial" w:eastAsia="Arial" w:hAnsi="Arial"/>
                <w:sz w:val="18"/>
                <w:szCs w:val="18"/>
                <w:color w:val="auto"/>
              </w:rPr>
              <w:t>125</w:t>
            </w:r>
          </w:p>
        </w:tc>
        <w:tc>
          <w:tcPr>
            <w:tcW w:w="0" w:type="dxa"/>
            <w:vAlign w:val="bottom"/>
          </w:tcPr>
          <w:p>
            <w:pPr>
              <w:spacing w:after="0"/>
              <w:rPr>
                <w:sz w:val="1"/>
                <w:szCs w:val="1"/>
                <w:color w:val="auto"/>
              </w:rPr>
            </w:pPr>
          </w:p>
        </w:tc>
      </w:tr>
      <w:tr>
        <w:trPr>
          <w:trHeight w:val="264"/>
        </w:trPr>
        <w:tc>
          <w:tcPr>
            <w:tcW w:w="1020" w:type="dxa"/>
            <w:vAlign w:val="bottom"/>
            <w:gridSpan w:val="2"/>
          </w:tcPr>
          <w:p>
            <w:pPr>
              <w:spacing w:after="0"/>
              <w:rPr>
                <w:rFonts w:ascii="Arial" w:cs="Arial" w:eastAsia="Arial" w:hAnsi="Arial"/>
                <w:sz w:val="18"/>
                <w:szCs w:val="18"/>
                <w:color w:val="0000EE"/>
              </w:rPr>
            </w:pPr>
            <w:hyperlink w:anchor="page130">
              <w:r>
                <w:rPr>
                  <w:rFonts w:ascii="Arial" w:cs="Arial" w:eastAsia="Arial" w:hAnsi="Arial"/>
                  <w:sz w:val="18"/>
                  <w:szCs w:val="18"/>
                  <w:color w:val="0000EE"/>
                </w:rPr>
                <w:t>Signatures</w:t>
              </w:r>
            </w:hyperlink>
          </w:p>
        </w:tc>
        <w:tc>
          <w:tcPr>
            <w:tcW w:w="620" w:type="dxa"/>
            <w:vAlign w:val="bottom"/>
            <w:tcBorders>
              <w:top w:val="single" w:sz="8" w:color="0000EE"/>
            </w:tcBorders>
          </w:tcPr>
          <w:p>
            <w:pPr>
              <w:spacing w:after="0"/>
              <w:rPr>
                <w:sz w:val="22"/>
                <w:szCs w:val="22"/>
                <w:color w:val="auto"/>
              </w:rPr>
            </w:pPr>
          </w:p>
        </w:tc>
        <w:tc>
          <w:tcPr>
            <w:tcW w:w="100" w:type="dxa"/>
            <w:vAlign w:val="bottom"/>
            <w:tcBorders>
              <w:top w:val="single" w:sz="8" w:color="0000EE"/>
            </w:tcBorders>
          </w:tcPr>
          <w:p>
            <w:pPr>
              <w:spacing w:after="0"/>
              <w:rPr>
                <w:sz w:val="22"/>
                <w:szCs w:val="22"/>
                <w:color w:val="auto"/>
              </w:rPr>
            </w:pPr>
          </w:p>
        </w:tc>
        <w:tc>
          <w:tcPr>
            <w:tcW w:w="160" w:type="dxa"/>
            <w:vAlign w:val="bottom"/>
            <w:tcBorders>
              <w:top w:val="single" w:sz="8" w:color="0000EE"/>
            </w:tcBorders>
          </w:tcPr>
          <w:p>
            <w:pPr>
              <w:spacing w:after="0"/>
              <w:rPr>
                <w:sz w:val="22"/>
                <w:szCs w:val="22"/>
                <w:color w:val="auto"/>
              </w:rPr>
            </w:pPr>
          </w:p>
        </w:tc>
        <w:tc>
          <w:tcPr>
            <w:tcW w:w="420" w:type="dxa"/>
            <w:vAlign w:val="bottom"/>
            <w:tcBorders>
              <w:top w:val="single" w:sz="8" w:color="0000EE"/>
            </w:tcBorders>
          </w:tcPr>
          <w:p>
            <w:pPr>
              <w:spacing w:after="0"/>
              <w:rPr>
                <w:sz w:val="22"/>
                <w:szCs w:val="22"/>
                <w:color w:val="auto"/>
              </w:rPr>
            </w:pPr>
          </w:p>
        </w:tc>
        <w:tc>
          <w:tcPr>
            <w:tcW w:w="36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40" w:type="dxa"/>
            <w:vAlign w:val="bottom"/>
            <w:tcBorders>
              <w:top w:val="single" w:sz="8" w:color="0000EE"/>
            </w:tcBorders>
          </w:tcPr>
          <w:p>
            <w:pPr>
              <w:spacing w:after="0"/>
              <w:rPr>
                <w:sz w:val="22"/>
                <w:szCs w:val="22"/>
                <w:color w:val="auto"/>
              </w:rPr>
            </w:pPr>
          </w:p>
        </w:tc>
        <w:tc>
          <w:tcPr>
            <w:tcW w:w="240" w:type="dxa"/>
            <w:vAlign w:val="bottom"/>
            <w:tcBorders>
              <w:top w:val="single" w:sz="8" w:color="0000EE"/>
            </w:tcBorders>
          </w:tcPr>
          <w:p>
            <w:pPr>
              <w:spacing w:after="0"/>
              <w:rPr>
                <w:sz w:val="22"/>
                <w:szCs w:val="22"/>
                <w:color w:val="auto"/>
              </w:rPr>
            </w:pPr>
          </w:p>
        </w:tc>
        <w:tc>
          <w:tcPr>
            <w:tcW w:w="800" w:type="dxa"/>
            <w:vAlign w:val="bottom"/>
            <w:tcBorders>
              <w:top w:val="single" w:sz="8" w:color="0000EE"/>
            </w:tcBorders>
          </w:tcPr>
          <w:p>
            <w:pPr>
              <w:spacing w:after="0"/>
              <w:rPr>
                <w:sz w:val="22"/>
                <w:szCs w:val="22"/>
                <w:color w:val="auto"/>
              </w:rPr>
            </w:pPr>
          </w:p>
        </w:tc>
        <w:tc>
          <w:tcPr>
            <w:tcW w:w="280" w:type="dxa"/>
            <w:vAlign w:val="bottom"/>
            <w:tcBorders>
              <w:top w:val="single" w:sz="8" w:color="0000EE"/>
            </w:tcBorders>
          </w:tcPr>
          <w:p>
            <w:pPr>
              <w:spacing w:after="0"/>
              <w:rPr>
                <w:sz w:val="22"/>
                <w:szCs w:val="22"/>
                <w:color w:val="auto"/>
              </w:rPr>
            </w:pPr>
          </w:p>
        </w:tc>
        <w:tc>
          <w:tcPr>
            <w:tcW w:w="1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140" w:type="dxa"/>
            <w:vAlign w:val="bottom"/>
          </w:tcPr>
          <w:p>
            <w:pPr>
              <w:spacing w:after="0"/>
              <w:rPr>
                <w:sz w:val="22"/>
                <w:szCs w:val="22"/>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5320" w:type="dxa"/>
            <w:vAlign w:val="bottom"/>
            <w:gridSpan w:val="15"/>
          </w:tcPr>
          <w:p>
            <w:pPr>
              <w:jc w:val="center"/>
              <w:ind w:left="3992"/>
              <w:spacing w:after="0"/>
              <w:rPr>
                <w:sz w:val="20"/>
                <w:szCs w:val="20"/>
                <w:color w:val="auto"/>
              </w:rPr>
            </w:pPr>
            <w:r>
              <w:rPr>
                <w:rFonts w:ascii="Arial" w:cs="Arial" w:eastAsia="Arial" w:hAnsi="Arial"/>
                <w:sz w:val="18"/>
                <w:szCs w:val="18"/>
                <w:color w:val="auto"/>
                <w:w w:val="79"/>
              </w:rPr>
              <w:t>1</w:t>
            </w:r>
          </w:p>
        </w:tc>
        <w:tc>
          <w:tcPr>
            <w:tcW w:w="9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including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without limitation, statements relating to such matters as: our anticipation that the rate of new orders and shipments will vary significantly from quarter to quarter; our expectation regarding industry trends; our anticipation that the total amount of sales through international distributors will increase in future periods; our expectation that a significant percentage of our sales will continue to come from direct sales to key customers; our expectations regarding our supply arrangement with Intel Corporation; our expectations regarding the number of days in inventory, inventory levels, and levels of accounts receivable; our expectation regarding the extent and duration of the current global economic crisis; our expectations regarding future growth based on our rate of sales growth, market acceptance of our products, costs of securing access to adequate manufacturing capacity, the timing and extent of research and development projects, costs of making improvements to facilities, operating expenses and shipments of certain products; the potential opportunities for a new generation of integrated circuit solutions in response to growing demand for products enabling the storage, transmission and management of large volumes of data at high speeds; our expectations regarding our facilities and the sufficiency of our facilities; the expectations regarding executive and director searches; the anticipated features and benefits of our technology solutions; our ability to execute our strategy and components of our strategy; our plan to strengthen and expand our relationship with customers using a variety of processes; our ability to anticipate the needs of our customers; our expectations to transition our semiconductor products to increasingly smaller line width geometries; the factors that impact our future success; our expectations regarding the benefits of our fabless manufacturing approach; our expectations regarding competition; our plans to reduce our costs; our expectations regarding our restructuring plans; our plan to attract new customers and retain existing customers by the introduction of new products; our continued efforts relating to the protection of our intellectual property, including claims of patent infringement; our expectations regarding the amount of customer concentration in the future; the amount of our future sales in Asia; our expectations regarding the portion of our operations and sales outside of the United States; our expectations regarding stock-based compensations; our expectations regarding our investment in research and development; our expected results, cash flows, and expenses, including those related to sales and marketing, research and development and general and administrative; our intention to make acquisitions, investments, strategic alliances and joint ventures; our expectations regarding revenue, sources of revenue and make-up of revenue; our expectation regarding gross margin and events that may cause gross margin to fluctuate; our expectations regarding the impact of legal proceedings and claims; our expectations regarding the adequacy of our capital resources to meet our capital needs; our expectations regarding the growth in business and operations; our expectations regarding future impairment review of our goodwill and intangible assets; our expectations regarding the effectiveness of our internal controls over financial reporting; our plan regarding dividends; our plan regarding forward exchange contracts and the effect of foreign exchange rates;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the impact of our complex products on market acceptance of our new products and our reputation with current or prospective customers; our success in integrating businesses we acquire and the impact such acquisitions may have on our operating results; our ability to estimate customer demand accurately; the success of our strategic relationships with customers; our reliance on independent foundries and</w:t>
      </w:r>
    </w:p>
    <w:p>
      <w:pPr>
        <w:spacing w:after="0" w:line="3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8" w:lineRule="auto"/>
        <w:rPr>
          <w:sz w:val="20"/>
          <w:szCs w:val="20"/>
          <w:color w:val="auto"/>
        </w:rPr>
      </w:pPr>
      <w:r>
        <w:rPr>
          <w:rFonts w:ascii="Arial" w:cs="Arial" w:eastAsia="Arial" w:hAnsi="Arial"/>
          <w:sz w:val="16"/>
          <w:szCs w:val="16"/>
          <w:i w:val="1"/>
          <w:iCs w:val="1"/>
          <w:color w:val="auto"/>
        </w:rPr>
        <w:t>subcontractors for the manufacture, assembly and testing of our products; our ability to manage future growth; the development and evolution of markets for our integrated circuits; our ability to protect our intellectual property; the impact of any change in our application of the U.S. federal income tax laws and/or foreign tax laws and the loss of any beneficial tax treatment that we currently enjoy; the impact of changes in international financial and regulatory conditions; the impact of changes in management; the impact of natural disasters on our business; our ability to obtain and renew licenses from third parties; the impact of the crisis in the global financial markets; our ability to raise funds; our expectations regarding our internal controls over financial reporting; our plans to implement and improve operational, financial and management systems; the impact of environmental regulations; and the outcome pending or future litigation and legal proceedings. 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or SoC,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transceivers, or PHY,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w:t>
      </w:r>
    </w:p>
    <w:p>
      <w:pPr>
        <w:spacing w:after="0" w:line="118"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Our core technologies were initially focused on the storage market, where we provide high-performance products to storage companies such as Fujitsu Ltd., Hitachi Ltd., Samsung Semiconductor, Seagate Technology, Toshiba Corporation and Western Digital Corporation. We subsequently applied our technology to the broadband communications market, where we provide industry-leading PHY wired and wireless Ethernet-switching solutions that enable the data transmission between communications systems to manufacturers of high-speed networking and wireless equipment including Asustek Computer Inc., Cisco Systems, Inc., Dell Inc., Huawei, Juniper Networks, Inc., Brocade Communication Systems, Inc., Intel and NETGEAR, Inc. Our wireless technology has a variety of uses in emerging consumer electronic devices, including enabling applications such as wireless connectivity, ad-hoc gaming, streaming audio, video and Voice over Internet Protocol, or VoIP, for products offered by companies such as Microsoft Corporation, Motorola, Inc., PalmOne and Sony Corporation.</w:t>
      </w:r>
    </w:p>
    <w:p>
      <w:pPr>
        <w:spacing w:after="0" w:line="11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fiscal 2007, we acquired the communications and applications processor business from Intel, or the ICAP Business, providing us with cellular and handheld solutions with customers such as Research in Motion Limited, Motorola and PalmOne. Also, during fiscal 2007, we acquired the printer semiconductor division from Avago Technologies Limited, which provides SoC and system level solutions for both inkjet and laser jet printer systems. We also have applied our technology by introducing integrated circuits and modules that provide power management broadly to electronic devices.</w:t>
      </w:r>
    </w:p>
    <w:p>
      <w:pPr>
        <w:spacing w:after="0" w:line="113"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We were incorporated in Bermuda in January 1995. Our registered address is Canon’s Court, 22 Victoria Street, Hamilton HM 12, Bermuda, and our telephone number there is (441) 296-6395. The mailing address of our business offices in Bermuda is Argyle House, 41A Cedar Avenue, Hamilton, HM 12, Bermuda. The address of our United States operating subsidiary is Marvell Semiconductor, Inc., 5488 Marvell Lane, Santa Clara, California 95054, and our telephone number there is (408) 222-2500. We also have operations in many countries including Israel, Singapore, Germany, Canada, China, Hong Kong, India, Italy, Japan, Korea, Malaysia, Switzerland, Taiwan and the United Kingdom. Our fiscal year ends on the Saturday nearest January 31. In this Annual Report on Form 10-K, we refer to the fiscal year ended January 27, 2007 as fiscal 2007, the fiscal year ended February 2, 2008 as fiscal 2008, the fiscal year ended January 31, 2009 as fiscal 2009 and the fiscal year ending January 30, 2010 as fiscal 2010.</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or the Exchange Act, as soon as reasonably practicable after we electronically file this material with, or furnish it to, the United States Securities and Exchange Commission, or SEC.</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semiconductor industry has evolved over the last four decades primarily due to the rapid and systematic advancements in photolithography techniques and new materials used in the manufacture of semiconductor devices, which has enabled the fabrication of transistor devices with ever finer feature sizes. As transistor line widths shrink over time, transistor density increases proportionally, enabling the manufacture of ever more complex devices in a fixed area of silicon. This phenomenon known as “Moore’s Law,” states that with the transition to each new successive process node, transistor device size will shrink by 0.7×, along with a 2× increase in the number of transistors, and a 1.5× increase device performance. Furthermore, the transition to ever small process geometries results in proportionally lower power consumption of integrated circuits.</w:t>
      </w:r>
    </w:p>
    <w:p>
      <w:pPr>
        <w:spacing w:after="0" w:line="12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effect of Moore’s Law on the semiconductor industry has been a rapid increase in the processing speed, the device density of integrated circuits and improved power efficiency, which has enabled the integration of multiple complex functions onto a single piece of silicon, which in the past, would have required multiple discrete integrated circuits. Concurrently, with the advances in semiconductor technology, there has been an evolutionary shift toward standards-based communication interconnect protocols. The transition to standards-based communication protocols, such as Ethernet, has given rise to a large and diverse number of electronic systems suppliers to address the simultaneous transmission of voice, video, audio and data through both wired and wireless connections.</w:t>
      </w:r>
    </w:p>
    <w:p>
      <w:pPr>
        <w:spacing w:after="0" w:line="116"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The capability to transmit and process information has led to both business enterprise and consumer electronic devices sharing and communicating ever larger amounts information for many different applications. Due in part to the ongoing evolution of both semiconductor and communications technology, the bandwidth demanded by users has continued to expand at an exponential rate. Additionally, as the bandwidth demand of both enterprise and consumer users increase, there has been a commensurate increase in the required amount of data storage capacity. We believe the market effects enabled by both the advances in semiconductor and communication technologies will provide a large and growing market for our products, technologies and intellectual property capabilities.</w:t>
      </w:r>
    </w:p>
    <w:p>
      <w:pPr>
        <w:spacing w:after="0" w:line="10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Within most modern electronic systems, in both the enterprise and consumer application domain, the device interconnects and data transmission occurs within the analog signal domain. However, due to advanced technologies, modern systems approaches and new algorithms, most new products convert the analog signals into digital signals to process the information. Given the high volume and cost sensitive nature of both enterprise and consumer applications, it is very beneficial to be able to integrate many of the analog and digital functions onto a single integrated circuit, which can help to increase system performance, lower costs and lower overall power consumption. As a result, these devices require a combination of both analog and digital integrated circuit technologies, more commonly known as mixed-signal technology. Historically, the ability to manufacture mixed-signal technologies required the use of expensive, non-scalable semiconductor manufacturing process technologies. However, to achieve price points that will accelerate the acceptance of these highly integrated mixed signal devices, a smaller number of semiconductor vendors, including us, have invested in the fundamental research and development capability, which allow for the use of high volume, lower cost and scalable complementary metal oxide semiconductor, or CMOS, fabrication technology.</w:t>
      </w:r>
    </w:p>
    <w:p>
      <w:pPr>
        <w:spacing w:after="0" w:line="120" w:lineRule="exact"/>
        <w:rPr>
          <w:sz w:val="20"/>
          <w:szCs w:val="20"/>
          <w:color w:val="auto"/>
        </w:rPr>
      </w:pPr>
    </w:p>
    <w:p>
      <w:pPr>
        <w:jc w:val="both"/>
        <w:ind w:right="40" w:firstLine="456"/>
        <w:spacing w:after="0" w:line="323" w:lineRule="auto"/>
        <w:rPr>
          <w:sz w:val="20"/>
          <w:szCs w:val="20"/>
          <w:color w:val="auto"/>
        </w:rPr>
      </w:pPr>
      <w:r>
        <w:rPr>
          <w:rFonts w:ascii="Arial" w:cs="Arial" w:eastAsia="Arial" w:hAnsi="Arial"/>
          <w:sz w:val="15"/>
          <w:szCs w:val="15"/>
          <w:color w:val="auto"/>
        </w:rPr>
        <w:t>Because the processing requirements of these mixed signal integrated circuits continue to expand with the increased performance and sophistication of the devices in which they are embedded, many of these integrated circuits are now also integrating high performance embedded microprocessors and complex digital signal processors to handle this increased workload. This minimizes or eliminates the need for a costly host central processing unit, or CPU. With improvements in the performance of such embedded microprocessors, devices can further expand their capabilities while at the same time minimizing power requirements.</w:t>
      </w:r>
    </w:p>
    <w:p>
      <w:pPr>
        <w:spacing w:after="0" w:line="98"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Many of these new, sophisticated devices are also handheld battery powered devices in which minimizing the power consumption is critical to maximize the life of the battery. Utilizing highly integrated chips as well as chips designed to optimize power efficiency is very important for these handheld devices. Additionally, advanced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digital power management solutions that regulate the power supplied to the integrated circuits in an efficient and cost-effective manner are becoming more and more important to help reduce overall power consumption as well as the total size of the power management solution.</w:t>
      </w:r>
    </w:p>
    <w:p>
      <w:pPr>
        <w:spacing w:after="0" w:line="132"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Given the increased sophistication of these devices, the high level of semiconductor integration, and the constant time to market pressures of the system manufacturers, it is becoming very important for a semiconductor manufacturer to develop a complete system level understanding of a device in order to provide optimal integration, software support and system reference designs to assist in timely product development.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target computers, communications-related equipment and consumer devices that require the benefits of highly integrated mixed-signal devices for high-speed data storage, transmission, and management. We also target a broad range of electronic products that can utilize our power management solutions. Additionally, we are developing new products that are targeted for new markets that we currently do not serve. Our current product offerings are primarily targeted at three broad end markets: enterprise and infrastructure communications networks, the converged digital home and converged mobility.</w:t>
      </w:r>
    </w:p>
    <w:p>
      <w:pPr>
        <w:spacing w:after="0" w:line="113"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offer our customers in these markets a wide range of integrated circuit solutions using proprietary communications mixed-signal processing, or CMSP, and digital signal processing technologies. We are applying our expertise in analog, mixed-signal, digital signal processing, embedded microprocessor, complex SoC capabilities and our extensive intellectual property portfolio in a variety of end-market applications. A description of a number of our products is set forth below.</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We offer a broad range of storage products targeted for hard disk drives, tape drive electronics, optical disk drives, solid-state flash drives and storage subsystems technology. We offer both discrete components targeted at specific storage-class requirements, as well as complex SoC solutions, which integrate multiple functional blocks onto a single device.</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Read Channel: </w:t>
      </w:r>
      <w:r>
        <w:rPr>
          <w:rFonts w:ascii="Arial" w:cs="Arial" w:eastAsia="Arial" w:hAnsi="Arial"/>
          <w:sz w:val="16"/>
          <w:szCs w:val="16"/>
          <w:color w:val="auto"/>
        </w:rPr>
        <w:t>A read channel is mixed-signal integrated circuit that provides the interface between the analog signals stored on magnetic disk drives and</w:t>
      </w:r>
      <w:r>
        <w:rPr>
          <w:rFonts w:ascii="Arial" w:cs="Arial" w:eastAsia="Arial" w:hAnsi="Arial"/>
          <w:sz w:val="16"/>
          <w:szCs w:val="16"/>
          <w:i w:val="1"/>
          <w:iCs w:val="1"/>
          <w:color w:val="auto"/>
        </w:rPr>
        <w:t xml:space="preserve"> </w:t>
      </w:r>
      <w:r>
        <w:rPr>
          <w:rFonts w:ascii="Arial" w:cs="Arial" w:eastAsia="Arial" w:hAnsi="Arial"/>
          <w:sz w:val="16"/>
          <w:szCs w:val="16"/>
          <w:color w:val="auto"/>
        </w:rPr>
        <w:t>the digital signals that computers can understand and manipulate. The performance of the read channel normally is the limiting factor to the performance of the overall storage system. We utilize advanced mixed-signal and digital signal processing technologies in our partial response maximum likelihood read channel products. 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12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Our read channel integrated circuits target specific feature and performance requirements of the enterprise, desktop and mobile computing markets. Our strategy is to consolidate the signal processing algorithms required by each of our different market segments into a single integrated circuit design. This consolidation can result in cost savings and reduced product line complexity.</w:t>
      </w:r>
    </w:p>
    <w:p>
      <w:pPr>
        <w:spacing w:after="0" w:line="14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i w:val="1"/>
          <w:iCs w:val="1"/>
          <w:color w:val="auto"/>
        </w:rPr>
        <w:t xml:space="preserve">Hard Disk Controller: </w:t>
      </w:r>
      <w:r>
        <w:rPr>
          <w:rFonts w:ascii="Arial" w:cs="Arial" w:eastAsia="Arial" w:hAnsi="Arial"/>
          <w:sz w:val="16"/>
          <w:szCs w:val="16"/>
          <w:color w:val="auto"/>
        </w:rPr>
        <w:t>A hard disk controller, or HDC, is an integrated circuit that provides high performance input/output, or I/O, interface control</w:t>
      </w:r>
      <w:r>
        <w:rPr>
          <w:rFonts w:ascii="Arial" w:cs="Arial" w:eastAsia="Arial" w:hAnsi="Arial"/>
          <w:sz w:val="16"/>
          <w:szCs w:val="16"/>
          <w:i w:val="1"/>
          <w:iCs w:val="1"/>
          <w:color w:val="auto"/>
        </w:rPr>
        <w:t xml:space="preserve"> </w:t>
      </w:r>
      <w:r>
        <w:rPr>
          <w:rFonts w:ascii="Arial" w:cs="Arial" w:eastAsia="Arial" w:hAnsi="Arial"/>
          <w:sz w:val="16"/>
          <w:szCs w:val="16"/>
          <w:color w:val="auto"/>
        </w:rPr>
        <w:t>between the hard disk drive read channel, servo motor controller and the host system. The HDC consists of a buffer controller, integrated reduced instruction set computer, or RISC, processors, a disk formatter, and an I/O interface. We offer HDC products with small computer systems interface, or SCSI, and serial architected SCSI, or SAS I/O interfaces, which are integrated onto enterprise hard disk drives.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i w:val="1"/>
          <w:iCs w:val="1"/>
          <w:color w:val="auto"/>
        </w:rPr>
        <w:t xml:space="preserve">System-on-a-Chip: </w:t>
      </w:r>
      <w:r>
        <w:rPr>
          <w:rFonts w:ascii="Arial" w:cs="Arial" w:eastAsia="Arial" w:hAnsi="Arial"/>
          <w:sz w:val="18"/>
          <w:szCs w:val="18"/>
          <w:color w:val="auto"/>
        </w:rPr>
        <w:t>Our integrated drive electronics platform is a flexible SoC solution that provides increased performance, reduced power consumption</w:t>
      </w:r>
      <w:r>
        <w:rPr>
          <w:rFonts w:ascii="Arial" w:cs="Arial" w:eastAsia="Arial" w:hAnsi="Arial"/>
          <w:sz w:val="18"/>
          <w:szCs w:val="18"/>
          <w:i w:val="1"/>
          <w:iCs w:val="1"/>
          <w:color w:val="auto"/>
        </w:rPr>
        <w:t xml:space="preserve"> </w:t>
      </w:r>
      <w:r>
        <w:rPr>
          <w:rFonts w:ascii="Arial" w:cs="Arial" w:eastAsia="Arial" w:hAnsi="Arial"/>
          <w:sz w:val="18"/>
          <w:szCs w:val="18"/>
          <w:color w:val="auto"/>
        </w:rPr>
        <w:t>and cost savings essential for next-generation hard disk drives. Utilizing our leading-edge read channel PHY devices as the core for integration, we 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product life cycle risk-reduction, lower cost of ownership and accelerated time-to-market.</w:t>
      </w:r>
    </w:p>
    <w:p>
      <w:pPr>
        <w:spacing w:after="0" w:line="143"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Our integrated SoC platform is designed to provide a solution for enterprise, desktop and mobile storage systems. Our current SoC products incorporate the read channel, hard disk controller, embedded memory and one or more ARM-microprocessors into a single integrated circuit. Within our SoC devices, the host system interface is based on serial advanced technology attachment, or SATA, which is the next generation internal storage interconnect. SATA is the evolution from the parallel bus ATA interface to high-speed serial bus architecture. SATA technology can offer extensive performance gains and manufacturing efficiencies to the mainstream PC storage user. With a data transfer rate of 1.5 Gigabits per second, or Gbps, and scalable to 6.0Gbps, SATA technology enables a cost-effective, storage interface for enterprise storage applications that, until now, have required more expensive interface technologies such as Fibre Channel and SCSI.</w:t>
      </w:r>
    </w:p>
    <w:p>
      <w:pPr>
        <w:spacing w:after="0" w:line="147"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i w:val="1"/>
          <w:iCs w:val="1"/>
          <w:color w:val="auto"/>
        </w:rPr>
        <w:t xml:space="preserve">Tape Drive Controllers: </w:t>
      </w:r>
      <w:r>
        <w:rPr>
          <w:rFonts w:ascii="Arial" w:cs="Arial" w:eastAsia="Arial" w:hAnsi="Arial"/>
          <w:sz w:val="18"/>
          <w:szCs w:val="18"/>
          <w:color w:val="auto"/>
        </w:rPr>
        <w:t>Our solutions provide our tape drive customers with SCSI, SAS and Fibre Channel I/O interfaces. These devices contain</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RISC processors, buffer controller, direct memory access, or DMA, and a microprocessor interface.</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Switching Products</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We have a broad portfolio of switching solutions for the enterprise networking, carrier access and small office/home office/residential networking markets. Our switching products enable voice, video, and data traffic to be seamlessly carried through the network with full fidelity. Additionally, we are supporting the increased usage of packet-based Internet Protocol communications of real-time traffic such as telephony and video-on-demand.</w:t>
      </w:r>
    </w:p>
    <w:p>
      <w:pPr>
        <w:spacing w:after="0" w:line="134" w:lineRule="exact"/>
        <w:rPr>
          <w:sz w:val="20"/>
          <w:szCs w:val="20"/>
          <w:color w:val="auto"/>
        </w:rPr>
      </w:pPr>
    </w:p>
    <w:p>
      <w:pPr>
        <w:ind w:firstLine="456"/>
        <w:spacing w:after="0" w:line="254" w:lineRule="auto"/>
        <w:rPr>
          <w:sz w:val="20"/>
          <w:szCs w:val="20"/>
          <w:color w:val="auto"/>
        </w:rPr>
      </w:pPr>
      <w:r>
        <w:rPr>
          <w:rFonts w:ascii="Arial" w:cs="Arial" w:eastAsia="Arial" w:hAnsi="Arial"/>
          <w:sz w:val="16"/>
          <w:szCs w:val="16"/>
          <w:i w:val="1"/>
          <w:iCs w:val="1"/>
          <w:color w:val="auto"/>
        </w:rPr>
        <w:t>Prestera</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Switch Family: </w:t>
      </w:r>
      <w:r>
        <w:rPr>
          <w:rFonts w:ascii="Arial" w:cs="Arial" w:eastAsia="Arial" w:hAnsi="Arial"/>
          <w:sz w:val="16"/>
          <w:szCs w:val="16"/>
          <w:color w:val="auto"/>
        </w:rPr>
        <w:t>The Prestera</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architecture is our sixth generation of Ethernet-based switching solutions. The Prestera</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family is designed to</w:t>
      </w:r>
      <w:r>
        <w:rPr>
          <w:rFonts w:ascii="Arial" w:cs="Arial" w:eastAsia="Arial" w:hAnsi="Arial"/>
          <w:sz w:val="16"/>
          <w:szCs w:val="16"/>
          <w:i w:val="1"/>
          <w:iCs w:val="1"/>
          <w:color w:val="auto"/>
        </w:rPr>
        <w:t xml:space="preserve"> </w:t>
      </w:r>
      <w:r>
        <w:rPr>
          <w:rFonts w:ascii="Arial" w:cs="Arial" w:eastAsia="Arial" w:hAnsi="Arial"/>
          <w:sz w:val="16"/>
          <w:szCs w:val="16"/>
          <w:color w:val="auto"/>
        </w:rPr>
        <w:t>enable system manufacturers to build a wide range of products that address high-density Gigabit Ethernet, or GbE, solutions for various network topologies, accommodating varying bandwidth requirements, including wide area networks, or WANs, metropolitan area networks, or MANs, enterprise networks, and small-</w:t>
      </w:r>
    </w:p>
    <w:p>
      <w:pPr>
        <w:spacing w:after="0" w:line="2" w:lineRule="exact"/>
        <w:rPr>
          <w:sz w:val="20"/>
          <w:szCs w:val="20"/>
          <w:color w:val="auto"/>
        </w:rPr>
      </w:pPr>
    </w:p>
    <w:p>
      <w:pPr>
        <w:ind w:right="80"/>
        <w:spacing w:after="0" w:line="221" w:lineRule="auto"/>
        <w:rPr>
          <w:sz w:val="20"/>
          <w:szCs w:val="20"/>
          <w:color w:val="auto"/>
        </w:rPr>
      </w:pPr>
      <w:r>
        <w:rPr>
          <w:rFonts w:ascii="Arial" w:cs="Arial" w:eastAsia="Arial" w:hAnsi="Arial"/>
          <w:sz w:val="18"/>
          <w:szCs w:val="18"/>
          <w:color w:val="auto"/>
        </w:rPr>
        <w:t>and-medium size businesses networks. Using the Prestera</w:t>
      </w:r>
      <w:r>
        <w:rPr>
          <w:rFonts w:ascii="Arial" w:cs="Arial" w:eastAsia="Arial" w:hAnsi="Arial"/>
          <w:sz w:val="22"/>
          <w:szCs w:val="22"/>
          <w:color w:val="auto"/>
          <w:vertAlign w:val="superscript"/>
        </w:rPr>
        <w:t>®</w:t>
      </w:r>
      <w:r>
        <w:rPr>
          <w:rFonts w:ascii="Arial" w:cs="Arial" w:eastAsia="Arial" w:hAnsi="Arial"/>
          <w:sz w:val="18"/>
          <w:szCs w:val="18"/>
          <w:color w:val="auto"/>
        </w:rPr>
        <w:t xml:space="preserve"> switching architecture, manufacturers can introduce high-performance, feature-rich and cost-effective products that not only meet today’s market needs but also provide a scalable platform for future requirements.</w:t>
      </w:r>
    </w:p>
    <w:p>
      <w:pPr>
        <w:spacing w:after="0" w:line="21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Prestera</w:t>
      </w:r>
      <w:r>
        <w:rPr>
          <w:rFonts w:ascii="Arial" w:cs="Arial" w:eastAsia="Arial" w:hAnsi="Arial"/>
          <w:sz w:val="20"/>
          <w:szCs w:val="20"/>
          <w:color w:val="auto"/>
          <w:vertAlign w:val="superscript"/>
        </w:rPr>
        <w:t>®</w:t>
      </w:r>
      <w:r>
        <w:rPr>
          <w:rFonts w:ascii="Arial" w:cs="Arial" w:eastAsia="Arial" w:hAnsi="Arial"/>
          <w:sz w:val="16"/>
          <w:szCs w:val="16"/>
          <w:color w:val="auto"/>
        </w:rPr>
        <w:t>-MX multi-layer switching family of products are fully integrated 10GbE, 1GbE and 100Mbps Fast Ethernet wire-speed configurable devices</w:t>
      </w:r>
    </w:p>
    <w:p>
      <w:pPr>
        <w:spacing w:after="0" w:line="14" w:lineRule="exact"/>
        <w:rPr>
          <w:sz w:val="20"/>
          <w:szCs w:val="20"/>
          <w:color w:val="auto"/>
        </w:rPr>
      </w:pPr>
    </w:p>
    <w:p>
      <w:pPr>
        <w:ind w:right="380"/>
        <w:spacing w:after="0" w:line="220" w:lineRule="auto"/>
        <w:rPr>
          <w:sz w:val="20"/>
          <w:szCs w:val="20"/>
          <w:color w:val="auto"/>
        </w:rPr>
      </w:pPr>
      <w:r>
        <w:rPr>
          <w:rFonts w:ascii="Arial" w:cs="Arial" w:eastAsia="Arial" w:hAnsi="Arial"/>
          <w:sz w:val="18"/>
          <w:szCs w:val="18"/>
          <w:color w:val="auto"/>
        </w:rPr>
        <w:t>targeted at metropolitan edge and access systems in service provider networks. The Prestera</w:t>
      </w:r>
      <w:r>
        <w:rPr>
          <w:rFonts w:ascii="Arial" w:cs="Arial" w:eastAsia="Arial" w:hAnsi="Arial"/>
          <w:sz w:val="22"/>
          <w:szCs w:val="22"/>
          <w:color w:val="auto"/>
          <w:vertAlign w:val="superscript"/>
        </w:rPr>
        <w:t>®</w:t>
      </w:r>
      <w:r>
        <w:rPr>
          <w:rFonts w:ascii="Arial" w:cs="Arial" w:eastAsia="Arial" w:hAnsi="Arial"/>
          <w:sz w:val="18"/>
          <w:szCs w:val="18"/>
          <w:color w:val="auto"/>
        </w:rPr>
        <w:t>-MX devices target MAN switching applications, including Layer 2/3 switching, Layer 2 to Layer 5 traffic classification for millions of flows, wire-speed access control lists, traffic policing and shaping, longest prefix match, network address translation and Multi-Protocol Label Switching functions.</w:t>
      </w:r>
    </w:p>
    <w:p>
      <w:pPr>
        <w:spacing w:after="0" w:line="21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Prestera</w:t>
      </w:r>
      <w:r>
        <w:rPr>
          <w:rFonts w:ascii="Arial" w:cs="Arial" w:eastAsia="Arial" w:hAnsi="Arial"/>
          <w:sz w:val="20"/>
          <w:szCs w:val="20"/>
          <w:color w:val="auto"/>
          <w:vertAlign w:val="superscript"/>
        </w:rPr>
        <w:t>®</w:t>
      </w:r>
      <w:r>
        <w:rPr>
          <w:rFonts w:ascii="Arial" w:cs="Arial" w:eastAsia="Arial" w:hAnsi="Arial"/>
          <w:sz w:val="16"/>
          <w:szCs w:val="16"/>
          <w:color w:val="auto"/>
        </w:rPr>
        <w:t>-EX family of packet processors is designed to deliver multi-layer enterprise switching to drive GbE to the desktop with exceptional price and</w:t>
      </w:r>
    </w:p>
    <w:p>
      <w:pPr>
        <w:spacing w:after="0" w:line="14" w:lineRule="exact"/>
        <w:rPr>
          <w:sz w:val="20"/>
          <w:szCs w:val="20"/>
          <w:color w:val="auto"/>
        </w:rPr>
      </w:pPr>
    </w:p>
    <w:p>
      <w:pPr>
        <w:ind w:right="180"/>
        <w:spacing w:after="0" w:line="214" w:lineRule="auto"/>
        <w:rPr>
          <w:sz w:val="20"/>
          <w:szCs w:val="20"/>
          <w:color w:val="auto"/>
        </w:rPr>
      </w:pPr>
      <w:r>
        <w:rPr>
          <w:rFonts w:ascii="Arial" w:cs="Arial" w:eastAsia="Arial" w:hAnsi="Arial"/>
          <w:sz w:val="18"/>
          <w:szCs w:val="18"/>
          <w:color w:val="auto"/>
        </w:rPr>
        <w:t>performance ratios and industry-leading features. The Prestera</w:t>
      </w:r>
      <w:r>
        <w:rPr>
          <w:rFonts w:ascii="Arial" w:cs="Arial" w:eastAsia="Arial" w:hAnsi="Arial"/>
          <w:sz w:val="22"/>
          <w:szCs w:val="22"/>
          <w:color w:val="auto"/>
          <w:vertAlign w:val="superscript"/>
        </w:rPr>
        <w:t>®</w:t>
      </w:r>
      <w:r>
        <w:rPr>
          <w:rFonts w:ascii="Arial" w:cs="Arial" w:eastAsia="Arial" w:hAnsi="Arial"/>
          <w:sz w:val="18"/>
          <w:szCs w:val="18"/>
          <w:color w:val="auto"/>
        </w:rPr>
        <w:t>-EX family is designed to provide a complete line of Fast Ethernet, Gigabit Ethernet and 10GbE switching solutions with 100% software compatibility.</w:t>
      </w:r>
    </w:p>
    <w:p>
      <w:pPr>
        <w:spacing w:after="0" w:line="21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Prestera</w:t>
      </w:r>
      <w:r>
        <w:rPr>
          <w:rFonts w:ascii="Arial" w:cs="Arial" w:eastAsia="Arial" w:hAnsi="Arial"/>
          <w:sz w:val="20"/>
          <w:szCs w:val="20"/>
          <w:color w:val="auto"/>
          <w:vertAlign w:val="superscript"/>
        </w:rPr>
        <w:t>®</w:t>
      </w:r>
      <w:r>
        <w:rPr>
          <w:rFonts w:ascii="Arial" w:cs="Arial" w:eastAsia="Arial" w:hAnsi="Arial"/>
          <w:sz w:val="16"/>
          <w:szCs w:val="16"/>
          <w:color w:val="auto"/>
        </w:rPr>
        <w:t>-DX family of packet processors offers integration and performance targeted at desktop GbE switches in small-and-medium size businesses</w:t>
      </w:r>
    </w:p>
    <w:p>
      <w:pPr>
        <w:spacing w:after="0" w:line="14" w:lineRule="exact"/>
        <w:rPr>
          <w:sz w:val="20"/>
          <w:szCs w:val="20"/>
          <w:color w:val="auto"/>
        </w:rPr>
      </w:pPr>
    </w:p>
    <w:p>
      <w:pPr>
        <w:ind w:right="380"/>
        <w:spacing w:after="0" w:line="214" w:lineRule="auto"/>
        <w:rPr>
          <w:sz w:val="20"/>
          <w:szCs w:val="20"/>
          <w:color w:val="auto"/>
        </w:rPr>
      </w:pPr>
      <w:r>
        <w:rPr>
          <w:rFonts w:ascii="Arial" w:cs="Arial" w:eastAsia="Arial" w:hAnsi="Arial"/>
          <w:sz w:val="18"/>
          <w:szCs w:val="18"/>
          <w:color w:val="auto"/>
        </w:rPr>
        <w:t>networks. The Prestera</w:t>
      </w:r>
      <w:r>
        <w:rPr>
          <w:rFonts w:ascii="Arial" w:cs="Arial" w:eastAsia="Arial" w:hAnsi="Arial"/>
          <w:sz w:val="22"/>
          <w:szCs w:val="22"/>
          <w:color w:val="auto"/>
          <w:vertAlign w:val="superscript"/>
        </w:rPr>
        <w:t>®</w:t>
      </w:r>
      <w:r>
        <w:rPr>
          <w:rFonts w:ascii="Arial" w:cs="Arial" w:eastAsia="Arial" w:hAnsi="Arial"/>
          <w:sz w:val="18"/>
          <w:szCs w:val="18"/>
          <w:color w:val="auto"/>
        </w:rPr>
        <w:t>-DX packet processors are designed to enable system vendors to design affordable, plug-and-play, high-density, standalone switches, which address the cost-sensitive unmanaged and lightly managed desktop switching market.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60" w:firstLine="456"/>
        <w:spacing w:after="0" w:line="257" w:lineRule="auto"/>
        <w:rPr>
          <w:sz w:val="20"/>
          <w:szCs w:val="20"/>
          <w:color w:val="auto"/>
        </w:rPr>
      </w:pPr>
      <w:r>
        <w:rPr>
          <w:rFonts w:ascii="Arial" w:cs="Arial" w:eastAsia="Arial" w:hAnsi="Arial"/>
          <w:sz w:val="16"/>
          <w:szCs w:val="16"/>
          <w:color w:val="auto"/>
        </w:rPr>
        <w:t>The family of fabric processors and crossbar switch fabrics offers the ability to expand and scale network topologies, which leverage the Prestera</w:t>
      </w:r>
      <w:r>
        <w:rPr>
          <w:rFonts w:ascii="Arial" w:cs="Arial" w:eastAsia="Arial" w:hAnsi="Arial"/>
          <w:sz w:val="20"/>
          <w:szCs w:val="20"/>
          <w:color w:val="auto"/>
          <w:vertAlign w:val="superscript"/>
        </w:rPr>
        <w:t>®</w:t>
      </w:r>
      <w:r>
        <w:rPr>
          <w:rFonts w:ascii="Arial" w:cs="Arial" w:eastAsia="Arial" w:hAnsi="Arial"/>
          <w:sz w:val="16"/>
          <w:szCs w:val="16"/>
          <w:color w:val="auto"/>
        </w:rPr>
        <w:t>-DX packet processors. The switch fabric processors are single-chip traffic managers with an integrated crossbar and Serializer/Deserializer, or SERDES, targeted for low cost, high-performance scaling of stackable and chassis-based systems in data centers, multi-tenant buildings and enterprise wiring closets.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Prestera</w:t>
      </w:r>
      <w:r>
        <w:rPr>
          <w:rFonts w:ascii="Arial" w:cs="Arial" w:eastAsia="Arial" w:hAnsi="Arial"/>
          <w:sz w:val="20"/>
          <w:szCs w:val="20"/>
          <w:color w:val="auto"/>
          <w:vertAlign w:val="superscript"/>
        </w:rPr>
        <w:t>®</w:t>
      </w:r>
      <w:r>
        <w:rPr>
          <w:rFonts w:ascii="Arial" w:cs="Arial" w:eastAsia="Arial" w:hAnsi="Arial"/>
          <w:sz w:val="16"/>
          <w:szCs w:val="16"/>
          <w:color w:val="auto"/>
        </w:rPr>
        <w:t>-CX switching family of products are fully integrated 100GbE and 40GbE devices targeted at the evolving requirements of datacenters. The</w:t>
      </w:r>
    </w:p>
    <w:p>
      <w:pPr>
        <w:spacing w:after="0" w:line="14" w:lineRule="exact"/>
        <w:rPr>
          <w:sz w:val="20"/>
          <w:szCs w:val="20"/>
          <w:color w:val="auto"/>
        </w:rPr>
      </w:pPr>
    </w:p>
    <w:p>
      <w:pPr>
        <w:ind w:right="80"/>
        <w:spacing w:after="0" w:line="238" w:lineRule="auto"/>
        <w:rPr>
          <w:sz w:val="20"/>
          <w:szCs w:val="20"/>
          <w:color w:val="auto"/>
        </w:rPr>
      </w:pPr>
      <w:r>
        <w:rPr>
          <w:rFonts w:ascii="Arial" w:cs="Arial" w:eastAsia="Arial" w:hAnsi="Arial"/>
          <w:sz w:val="16"/>
          <w:szCs w:val="16"/>
          <w:color w:val="auto"/>
        </w:rPr>
        <w:t>Prestera</w:t>
      </w:r>
      <w:r>
        <w:rPr>
          <w:rFonts w:ascii="Arial" w:cs="Arial" w:eastAsia="Arial" w:hAnsi="Arial"/>
          <w:sz w:val="20"/>
          <w:szCs w:val="20"/>
          <w:color w:val="auto"/>
          <w:vertAlign w:val="superscript"/>
        </w:rPr>
        <w:t>®</w:t>
      </w:r>
      <w:r>
        <w:rPr>
          <w:rFonts w:ascii="Arial" w:cs="Arial" w:eastAsia="Arial" w:hAnsi="Arial"/>
          <w:sz w:val="16"/>
          <w:szCs w:val="16"/>
          <w:color w:val="auto"/>
        </w:rPr>
        <w:t>-CX family is based on a configurable 480Gbps packet processing engine, which can support of to 48 ports of 10GbE on a single chip, as well as being configurable to support multiple 40GbE ports. This enables applications such as server virtualization, cloud computing and Software as a Service.</w:t>
      </w:r>
    </w:p>
    <w:p>
      <w:pPr>
        <w:spacing w:after="0" w:line="210" w:lineRule="exact"/>
        <w:rPr>
          <w:sz w:val="20"/>
          <w:szCs w:val="20"/>
          <w:color w:val="auto"/>
        </w:rPr>
      </w:pPr>
    </w:p>
    <w:p>
      <w:pPr>
        <w:jc w:val="both"/>
        <w:ind w:right="120" w:firstLine="456"/>
        <w:spacing w:after="0" w:line="246" w:lineRule="auto"/>
        <w:rPr>
          <w:sz w:val="20"/>
          <w:szCs w:val="20"/>
          <w:color w:val="auto"/>
        </w:rPr>
      </w:pPr>
      <w:r>
        <w:rPr>
          <w:rFonts w:ascii="Arial" w:cs="Arial" w:eastAsia="Arial" w:hAnsi="Arial"/>
          <w:sz w:val="16"/>
          <w:szCs w:val="16"/>
          <w:i w:val="1"/>
          <w:iCs w:val="1"/>
          <w:color w:val="auto"/>
        </w:rPr>
        <w:t>Link Street</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Multi-Port Integrated Switch Family: </w:t>
      </w:r>
      <w:r>
        <w:rPr>
          <w:rFonts w:ascii="Arial" w:cs="Arial" w:eastAsia="Arial" w:hAnsi="Arial"/>
          <w:sz w:val="16"/>
          <w:szCs w:val="16"/>
          <w:color w:val="auto"/>
        </w:rPr>
        <w:t>Our integrated Link Street</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10/100 Fast Ethernet and Gigabit switch product family, support three to</w:t>
      </w:r>
      <w:r>
        <w:rPr>
          <w:rFonts w:ascii="Arial" w:cs="Arial" w:eastAsia="Arial" w:hAnsi="Arial"/>
          <w:sz w:val="16"/>
          <w:szCs w:val="16"/>
          <w:i w:val="1"/>
          <w:iCs w:val="1"/>
          <w:color w:val="auto"/>
        </w:rPr>
        <w:t xml:space="preserve"> </w:t>
      </w:r>
      <w:r>
        <w:rPr>
          <w:rFonts w:ascii="Arial" w:cs="Arial" w:eastAsia="Arial" w:hAnsi="Arial"/>
          <w:sz w:val="16"/>
          <w:szCs w:val="16"/>
          <w:color w:val="auto"/>
        </w:rPr>
        <w:t>10 port switch architectures. The Link Street</w:t>
      </w:r>
      <w:r>
        <w:rPr>
          <w:rFonts w:ascii="Arial" w:cs="Arial" w:eastAsia="Arial" w:hAnsi="Arial"/>
          <w:sz w:val="20"/>
          <w:szCs w:val="20"/>
          <w:color w:val="auto"/>
          <w:vertAlign w:val="superscript"/>
        </w:rPr>
        <w:t>®</w:t>
      </w:r>
      <w:r>
        <w:rPr>
          <w:rFonts w:ascii="Arial" w:cs="Arial" w:eastAsia="Arial" w:hAnsi="Arial"/>
          <w:sz w:val="16"/>
          <w:szCs w:val="16"/>
          <w:color w:val="auto"/>
        </w:rPr>
        <w:t xml:space="preserve"> family is targeted to address the small office/home office Ethernet switch market, where cost, ease-of-use, and</w:t>
      </w:r>
    </w:p>
    <w:p>
      <w:pPr>
        <w:spacing w:after="0" w:line="2" w:lineRule="exact"/>
        <w:rPr>
          <w:sz w:val="20"/>
          <w:szCs w:val="20"/>
          <w:color w:val="auto"/>
        </w:rPr>
      </w:pPr>
    </w:p>
    <w:p>
      <w:pPr>
        <w:ind w:right="260"/>
        <w:spacing w:after="0" w:line="256" w:lineRule="auto"/>
        <w:rPr>
          <w:sz w:val="20"/>
          <w:szCs w:val="20"/>
          <w:color w:val="auto"/>
        </w:rPr>
      </w:pPr>
      <w:r>
        <w:rPr>
          <w:rFonts w:ascii="Arial" w:cs="Arial" w:eastAsia="Arial" w:hAnsi="Arial"/>
          <w:sz w:val="15"/>
          <w:szCs w:val="15"/>
          <w:color w:val="auto"/>
        </w:rPr>
        <w:t>flexibility are of paramount importance. The Link Street</w:t>
      </w:r>
      <w:r>
        <w:rPr>
          <w:rFonts w:ascii="Arial" w:cs="Arial" w:eastAsia="Arial" w:hAnsi="Arial"/>
          <w:sz w:val="19"/>
          <w:szCs w:val="19"/>
          <w:color w:val="auto"/>
          <w:vertAlign w:val="superscript"/>
        </w:rPr>
        <w:t>®</w:t>
      </w:r>
      <w:r>
        <w:rPr>
          <w:rFonts w:ascii="Arial" w:cs="Arial" w:eastAsia="Arial" w:hAnsi="Arial"/>
          <w:sz w:val="15"/>
          <w:szCs w:val="15"/>
          <w:color w:val="auto"/>
        </w:rPr>
        <w:t xml:space="preserve"> family of integrated switch products can reduce design complexities and time-to-market barriers typically associated with switch development. The small office/home office switches with integrated transceivers incorporate advanced features such as smart</w:t>
      </w:r>
    </w:p>
    <w:p>
      <w:pPr>
        <w:spacing w:after="0" w:line="1" w:lineRule="exact"/>
        <w:rPr>
          <w:sz w:val="20"/>
          <w:szCs w:val="20"/>
          <w:color w:val="auto"/>
        </w:rPr>
      </w:pPr>
    </w:p>
    <w:p>
      <w:pPr>
        <w:jc w:val="both"/>
        <w:ind w:right="120"/>
        <w:spacing w:after="0" w:line="257" w:lineRule="auto"/>
        <w:rPr>
          <w:sz w:val="20"/>
          <w:szCs w:val="20"/>
          <w:color w:val="auto"/>
        </w:rPr>
      </w:pPr>
      <w:r>
        <w:rPr>
          <w:rFonts w:ascii="Arial" w:cs="Arial" w:eastAsia="Arial" w:hAnsi="Arial"/>
          <w:sz w:val="16"/>
          <w:szCs w:val="16"/>
          <w:color w:val="auto"/>
        </w:rPr>
        <w:t>power management, which dramatically reduces power consumption by more than 50%, and Virtual Cable Tester</w:t>
      </w:r>
      <w:r>
        <w:rPr>
          <w:rFonts w:ascii="Arial" w:cs="Arial" w:eastAsia="Arial" w:hAnsi="Arial"/>
          <w:sz w:val="20"/>
          <w:szCs w:val="20"/>
          <w:color w:val="auto"/>
          <w:vertAlign w:val="superscript"/>
        </w:rPr>
        <w:t>™</w:t>
      </w:r>
      <w:r>
        <w:rPr>
          <w:rFonts w:ascii="Arial" w:cs="Arial" w:eastAsia="Arial" w:hAnsi="Arial"/>
          <w:sz w:val="16"/>
          <w:szCs w:val="16"/>
          <w:color w:val="auto"/>
        </w:rPr>
        <w:t>, or VCT, technology, which performs cable diagnostics to reduce overall network support costs. Because of these enhanced features, these switches are targeted at applications such as standalone switches, media converters, Internet Protocol phones, firewall appliances, wireless and wired gateway routers and wireless access points.</w:t>
      </w:r>
    </w:p>
    <w:p>
      <w:pPr>
        <w:spacing w:after="0" w:line="188" w:lineRule="exact"/>
        <w:rPr>
          <w:sz w:val="20"/>
          <w:szCs w:val="20"/>
          <w:color w:val="auto"/>
        </w:rPr>
      </w:pPr>
    </w:p>
    <w:p>
      <w:pPr>
        <w:jc w:val="center"/>
        <w:ind w:right="-39"/>
        <w:spacing w:after="0"/>
        <w:tabs>
          <w:tab w:leader="none" w:pos="160" w:val="left"/>
        </w:tabs>
        <w:rPr>
          <w:sz w:val="20"/>
          <w:szCs w:val="20"/>
          <w:color w:val="auto"/>
        </w:rPr>
      </w:pPr>
      <w:r>
        <w:rPr>
          <w:rFonts w:ascii="Arial" w:cs="Arial" w:eastAsia="Arial" w:hAnsi="Arial"/>
          <w:sz w:val="18"/>
          <w:szCs w:val="18"/>
          <w:i w:val="1"/>
          <w:iCs w:val="1"/>
          <w:color w:val="auto"/>
        </w:rPr>
        <w:t>Link Street</w:t>
      </w:r>
      <w:r>
        <w:rPr>
          <w:rFonts w:ascii="Arial" w:cs="Arial" w:eastAsia="Arial" w:hAnsi="Arial"/>
          <w:sz w:val="22"/>
          <w:szCs w:val="22"/>
          <w:i w:val="1"/>
          <w:iCs w:val="1"/>
          <w:color w:val="auto"/>
          <w:vertAlign w:val="superscript"/>
        </w:rPr>
        <w:t>®</w:t>
      </w:r>
      <w:r>
        <w:rPr>
          <w:rFonts w:ascii="Arial" w:cs="Arial" w:eastAsia="Arial" w:hAnsi="Arial"/>
          <w:sz w:val="18"/>
          <w:szCs w:val="18"/>
          <w:i w:val="1"/>
          <w:iCs w:val="1"/>
          <w:color w:val="auto"/>
        </w:rPr>
        <w:t xml:space="preserve"> Gateway Products:</w:t>
      </w:r>
      <w:r>
        <w:rPr>
          <w:sz w:val="20"/>
          <w:szCs w:val="20"/>
          <w:color w:val="auto"/>
        </w:rPr>
        <w:tab/>
      </w:r>
      <w:r>
        <w:rPr>
          <w:rFonts w:ascii="Arial" w:cs="Arial" w:eastAsia="Arial" w:hAnsi="Arial"/>
          <w:sz w:val="16"/>
          <w:szCs w:val="16"/>
          <w:color w:val="auto"/>
        </w:rPr>
        <w:t>Our Link Street</w:t>
      </w:r>
      <w:r>
        <w:rPr>
          <w:rFonts w:ascii="Arial" w:cs="Arial" w:eastAsia="Arial" w:hAnsi="Arial"/>
          <w:sz w:val="20"/>
          <w:szCs w:val="20"/>
          <w:i w:val="1"/>
          <w:iCs w:val="1"/>
          <w:color w:val="auto"/>
          <w:vertAlign w:val="superscript"/>
        </w:rPr>
        <w:t>®</w:t>
      </w:r>
      <w:r>
        <w:rPr>
          <w:rFonts w:ascii="Arial" w:cs="Arial" w:eastAsia="Arial" w:hAnsi="Arial"/>
          <w:sz w:val="16"/>
          <w:szCs w:val="16"/>
          <w:color w:val="auto"/>
        </w:rPr>
        <w:t xml:space="preserve"> family of highly integrated, 100Mbps full-wire-speed gateway devices is designed for small-and-</w:t>
      </w:r>
    </w:p>
    <w:p>
      <w:pPr>
        <w:ind w:right="200"/>
        <w:spacing w:after="0" w:line="256" w:lineRule="auto"/>
        <w:rPr>
          <w:sz w:val="20"/>
          <w:szCs w:val="20"/>
          <w:color w:val="auto"/>
        </w:rPr>
      </w:pPr>
      <w:r>
        <w:rPr>
          <w:rFonts w:ascii="Arial" w:cs="Arial" w:eastAsia="Arial" w:hAnsi="Arial"/>
          <w:sz w:val="15"/>
          <w:szCs w:val="15"/>
          <w:color w:val="auto"/>
        </w:rPr>
        <w:t>medium size businesses, small office/home office and residential gateway routers. The Link Street</w:t>
      </w:r>
      <w:r>
        <w:rPr>
          <w:rFonts w:ascii="Arial" w:cs="Arial" w:eastAsia="Arial" w:hAnsi="Arial"/>
          <w:sz w:val="19"/>
          <w:szCs w:val="19"/>
          <w:i w:val="1"/>
          <w:iCs w:val="1"/>
          <w:color w:val="auto"/>
          <w:vertAlign w:val="superscript"/>
        </w:rPr>
        <w:t>®</w:t>
      </w:r>
      <w:r>
        <w:rPr>
          <w:rFonts w:ascii="Arial" w:cs="Arial" w:eastAsia="Arial" w:hAnsi="Arial"/>
          <w:sz w:val="15"/>
          <w:szCs w:val="15"/>
          <w:color w:val="auto"/>
        </w:rPr>
        <w:t xml:space="preserve"> gateway family are single chip, mixed-signal SoC devices, which include a high performance ARM-based embedded microprocessor plus a multi-port 100Mbps Fast Ethernet switch, media access controller and PHY</w:t>
      </w:r>
    </w:p>
    <w:p>
      <w:pPr>
        <w:spacing w:after="0" w:line="1" w:lineRule="exact"/>
        <w:rPr>
          <w:sz w:val="20"/>
          <w:szCs w:val="20"/>
          <w:color w:val="auto"/>
        </w:rPr>
      </w:pPr>
    </w:p>
    <w:p>
      <w:pPr>
        <w:spacing w:after="0" w:line="257" w:lineRule="auto"/>
        <w:rPr>
          <w:sz w:val="20"/>
          <w:szCs w:val="20"/>
          <w:color w:val="auto"/>
        </w:rPr>
      </w:pPr>
      <w:r>
        <w:rPr>
          <w:rFonts w:ascii="Arial" w:cs="Arial" w:eastAsia="Arial" w:hAnsi="Arial"/>
          <w:sz w:val="16"/>
          <w:szCs w:val="16"/>
          <w:color w:val="auto"/>
        </w:rPr>
        <w:t>interface in addition to built-in VCT cable diagnostics capability to reduce overall network support costs. Additionally, the Link Street</w:t>
      </w:r>
      <w:r>
        <w:rPr>
          <w:rFonts w:ascii="Arial" w:cs="Arial" w:eastAsia="Arial" w:hAnsi="Arial"/>
          <w:sz w:val="20"/>
          <w:szCs w:val="20"/>
          <w:i w:val="1"/>
          <w:iCs w:val="1"/>
          <w:color w:val="auto"/>
          <w:vertAlign w:val="superscript"/>
        </w:rPr>
        <w:t>®</w:t>
      </w:r>
      <w:r>
        <w:rPr>
          <w:rFonts w:ascii="Arial" w:cs="Arial" w:eastAsia="Arial" w:hAnsi="Arial"/>
          <w:sz w:val="16"/>
          <w:szCs w:val="16"/>
          <w:color w:val="auto"/>
        </w:rPr>
        <w:t xml:space="preserve"> family includes comprehensive hardware reference designs with the latest firewall capabilities to isolate and protect WAN and local area networks, or LANs, from virus intrusion and software development kits enabling lower cost of development and faster time to market for the design of combined wired and wireless gateways.</w:t>
      </w:r>
    </w:p>
    <w:p>
      <w:pPr>
        <w:spacing w:after="0" w:line="2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Communications Controller and Embedded Processor Products</w:t>
      </w:r>
    </w:p>
    <w:p>
      <w:pPr>
        <w:spacing w:after="0" w:line="90"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We have a broad offering of high performance and highly integrated system control-plane communication controllers and fully integrated embedded processors. These devices offer both integrated embedded CPU technology as well as variants that can support discrete embedded RISC microprocessors. Our devices are used in a broad range of applications including routers, switches, digital subscriber line access multiplexers, access concentrators, wireless base stations, VoIP gateways and storage area networks.</w:t>
      </w:r>
    </w:p>
    <w:p>
      <w:pPr>
        <w:spacing w:after="0" w:line="161" w:lineRule="exact"/>
        <w:rPr>
          <w:sz w:val="20"/>
          <w:szCs w:val="20"/>
          <w:color w:val="auto"/>
        </w:rPr>
      </w:pPr>
    </w:p>
    <w:p>
      <w:pPr>
        <w:ind w:left="460"/>
        <w:spacing w:after="0"/>
        <w:tabs>
          <w:tab w:leader="none" w:pos="2300" w:val="left"/>
        </w:tabs>
        <w:rPr>
          <w:sz w:val="20"/>
          <w:szCs w:val="20"/>
          <w:color w:val="auto"/>
        </w:rPr>
      </w:pPr>
      <w:r>
        <w:rPr>
          <w:rFonts w:ascii="Arial" w:cs="Arial" w:eastAsia="Arial" w:hAnsi="Arial"/>
          <w:sz w:val="18"/>
          <w:szCs w:val="18"/>
          <w:i w:val="1"/>
          <w:iCs w:val="1"/>
          <w:color w:val="auto"/>
        </w:rPr>
        <w:t>Discovery</w:t>
      </w:r>
      <w:r>
        <w:rPr>
          <w:rFonts w:ascii="Arial" w:cs="Arial" w:eastAsia="Arial" w:hAnsi="Arial"/>
          <w:sz w:val="22"/>
          <w:szCs w:val="22"/>
          <w:i w:val="1"/>
          <w:iCs w:val="1"/>
          <w:color w:val="auto"/>
          <w:vertAlign w:val="superscript"/>
        </w:rPr>
        <w:t>™</w:t>
      </w:r>
      <w:r>
        <w:rPr>
          <w:rFonts w:ascii="Arial" w:cs="Arial" w:eastAsia="Arial" w:hAnsi="Arial"/>
          <w:sz w:val="18"/>
          <w:szCs w:val="18"/>
          <w:i w:val="1"/>
          <w:iCs w:val="1"/>
          <w:color w:val="auto"/>
        </w:rPr>
        <w:t xml:space="preserve"> Innovation</w:t>
      </w: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Our Discovery</w:t>
      </w:r>
      <w:r>
        <w:rPr>
          <w:rFonts w:ascii="Arial" w:cs="Arial" w:eastAsia="Arial" w:hAnsi="Arial"/>
          <w:sz w:val="19"/>
          <w:szCs w:val="19"/>
          <w:color w:val="auto"/>
          <w:vertAlign w:val="superscript"/>
        </w:rPr>
        <w:t>™</w:t>
      </w:r>
      <w:r>
        <w:rPr>
          <w:rFonts w:ascii="Arial" w:cs="Arial" w:eastAsia="Arial" w:hAnsi="Arial"/>
          <w:sz w:val="15"/>
          <w:szCs w:val="15"/>
          <w:color w:val="auto"/>
        </w:rPr>
        <w:t xml:space="preserve"> Innovation series is a complete SoC solution based on our Sheeva</w:t>
      </w:r>
      <w:r>
        <w:rPr>
          <w:rFonts w:ascii="Arial" w:cs="Arial" w:eastAsia="Arial" w:hAnsi="Arial"/>
          <w:sz w:val="19"/>
          <w:szCs w:val="19"/>
          <w:color w:val="auto"/>
          <w:vertAlign w:val="superscript"/>
        </w:rPr>
        <w:t>™</w:t>
      </w:r>
      <w:r>
        <w:rPr>
          <w:rFonts w:ascii="Arial" w:cs="Arial" w:eastAsia="Arial" w:hAnsi="Arial"/>
          <w:sz w:val="15"/>
          <w:szCs w:val="15"/>
          <w:color w:val="auto"/>
        </w:rPr>
        <w:t xml:space="preserve"> embedded CPU technology. By leveraging</w:t>
      </w:r>
    </w:p>
    <w:p>
      <w:pPr>
        <w:jc w:val="both"/>
        <w:ind w:right="80"/>
        <w:spacing w:after="0" w:line="232" w:lineRule="auto"/>
        <w:rPr>
          <w:sz w:val="20"/>
          <w:szCs w:val="20"/>
          <w:color w:val="auto"/>
        </w:rPr>
      </w:pPr>
      <w:r>
        <w:rPr>
          <w:rFonts w:ascii="Arial" w:cs="Arial" w:eastAsia="Arial" w:hAnsi="Arial"/>
          <w:sz w:val="17"/>
          <w:szCs w:val="17"/>
          <w:color w:val="auto"/>
        </w:rPr>
        <w:t>our highly successful Discovery</w:t>
      </w:r>
      <w:r>
        <w:rPr>
          <w:rFonts w:ascii="Arial" w:cs="Arial" w:eastAsia="Arial" w:hAnsi="Arial"/>
          <w:sz w:val="21"/>
          <w:szCs w:val="21"/>
          <w:i w:val="1"/>
          <w:iCs w:val="1"/>
          <w:color w:val="auto"/>
          <w:vertAlign w:val="superscript"/>
        </w:rPr>
        <w:t>™</w:t>
      </w:r>
      <w:r>
        <w:rPr>
          <w:rFonts w:ascii="Arial" w:cs="Arial" w:eastAsia="Arial" w:hAnsi="Arial"/>
          <w:sz w:val="17"/>
          <w:szCs w:val="17"/>
          <w:color w:val="auto"/>
        </w:rPr>
        <w:t xml:space="preserve"> system controllers and deep expertise in ARM instruction-set-compliant CPUs, the Discovery</w:t>
      </w:r>
      <w:r>
        <w:rPr>
          <w:rFonts w:ascii="Arial" w:cs="Arial" w:eastAsia="Arial" w:hAnsi="Arial"/>
          <w:sz w:val="21"/>
          <w:szCs w:val="21"/>
          <w:color w:val="auto"/>
          <w:vertAlign w:val="superscript"/>
        </w:rPr>
        <w:t>™</w:t>
      </w:r>
      <w:r>
        <w:rPr>
          <w:rFonts w:ascii="Arial" w:cs="Arial" w:eastAsia="Arial" w:hAnsi="Arial"/>
          <w:sz w:val="17"/>
          <w:szCs w:val="17"/>
          <w:color w:val="auto"/>
        </w:rPr>
        <w:t xml:space="preserve"> Innovation SoCs offer one of the highest levels of integration in the industry. The high-performance, low-power, highly integrated processors are ideally suited to a wide range of applications ranging from sophisticated routers, switches, and wireless base stations to high-volume laser printer applications.</w:t>
      </w:r>
    </w:p>
    <w:p>
      <w:pPr>
        <w:spacing w:after="0" w:line="212" w:lineRule="exact"/>
        <w:rPr>
          <w:sz w:val="20"/>
          <w:szCs w:val="20"/>
          <w:color w:val="auto"/>
        </w:rPr>
      </w:pPr>
    </w:p>
    <w:p>
      <w:pPr>
        <w:ind w:right="340" w:firstLine="456"/>
        <w:spacing w:after="0" w:line="257" w:lineRule="auto"/>
        <w:rPr>
          <w:sz w:val="20"/>
          <w:szCs w:val="20"/>
          <w:color w:val="auto"/>
        </w:rPr>
      </w:pPr>
      <w:r>
        <w:rPr>
          <w:rFonts w:ascii="Arial" w:cs="Arial" w:eastAsia="Arial" w:hAnsi="Arial"/>
          <w:sz w:val="16"/>
          <w:szCs w:val="16"/>
          <w:i w:val="1"/>
          <w:iCs w:val="1"/>
          <w:color w:val="auto"/>
        </w:rPr>
        <w:t>Discovery</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System Controllers: </w:t>
      </w:r>
      <w:r>
        <w:rPr>
          <w:rFonts w:ascii="Arial" w:cs="Arial" w:eastAsia="Arial" w:hAnsi="Arial"/>
          <w:sz w:val="16"/>
          <w:szCs w:val="16"/>
          <w:color w:val="auto"/>
        </w:rPr>
        <w:t>Our high-performance Discovery</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system controllers support MIPS</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and PowerPC</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CPU-based communication</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Our controllers are used in systems developed by leading original equipment manufacturers, or OEMs, for the Internet infrastructure. These include enterprise switches, LAN to WAN edge routers, enterprise routers, access concentrators, telecom equipment and laser printers. Our</w:t>
      </w:r>
    </w:p>
    <w:p>
      <w:pPr>
        <w:spacing w:after="0" w:line="15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60"/>
          </w:cols>
          <w:pgMar w:left="240" w:top="459" w:right="29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300" w:lineRule="auto"/>
        <w:rPr>
          <w:sz w:val="20"/>
          <w:szCs w:val="20"/>
          <w:color w:val="auto"/>
        </w:rPr>
      </w:pPr>
      <w:r>
        <w:rPr>
          <w:rFonts w:ascii="Arial" w:cs="Arial" w:eastAsia="Arial" w:hAnsi="Arial"/>
          <w:sz w:val="15"/>
          <w:szCs w:val="15"/>
          <w:color w:val="auto"/>
        </w:rPr>
        <w:t>system controllers contain all of the key control blocks needed to build high-performance 32-bit and 64-bit CPU subsystems, including a DRAM controller, a peripheral device controller, direct memory access engines, timers, PCI interfaces and interrupt controllers. These system controllers are designed to provide</w:t>
      </w:r>
    </w:p>
    <w:p>
      <w:pPr>
        <w:spacing w:after="0" w:line="1" w:lineRule="exact"/>
        <w:rPr>
          <w:sz w:val="20"/>
          <w:szCs w:val="20"/>
          <w:color w:val="auto"/>
        </w:rPr>
      </w:pPr>
    </w:p>
    <w:p>
      <w:pPr>
        <w:jc w:val="both"/>
        <w:ind w:right="100"/>
        <w:spacing w:after="0" w:line="225" w:lineRule="auto"/>
        <w:rPr>
          <w:sz w:val="20"/>
          <w:szCs w:val="20"/>
          <w:color w:val="auto"/>
        </w:rPr>
      </w:pPr>
      <w:r>
        <w:rPr>
          <w:rFonts w:ascii="Arial" w:cs="Arial" w:eastAsia="Arial" w:hAnsi="Arial"/>
          <w:sz w:val="18"/>
          <w:szCs w:val="18"/>
          <w:color w:val="auto"/>
        </w:rPr>
        <w:t>system designers with the ability to match their CPU performance to the targeted overall system price/performance. Our portfolio Discovery</w:t>
      </w:r>
      <w:r>
        <w:rPr>
          <w:rFonts w:ascii="Arial" w:cs="Arial" w:eastAsia="Arial" w:hAnsi="Arial"/>
          <w:sz w:val="22"/>
          <w:szCs w:val="22"/>
          <w:color w:val="auto"/>
          <w:vertAlign w:val="superscript"/>
        </w:rPr>
        <w:t>™</w:t>
      </w:r>
      <w:r>
        <w:rPr>
          <w:rFonts w:ascii="Arial" w:cs="Arial" w:eastAsia="Arial" w:hAnsi="Arial"/>
          <w:sz w:val="18"/>
          <w:szCs w:val="18"/>
          <w:color w:val="auto"/>
        </w:rPr>
        <w:t xml:space="preserve"> system controllers are generally software-compatible with older generations, thereby supporting faster time to market, lower product development risk and lower cost of ownership due to the re-use of system software, which might otherwise need to be re-developed.</w:t>
      </w:r>
    </w:p>
    <w:p>
      <w:pPr>
        <w:spacing w:after="0" w:line="212" w:lineRule="exact"/>
        <w:rPr>
          <w:sz w:val="20"/>
          <w:szCs w:val="20"/>
          <w:color w:val="auto"/>
        </w:rPr>
      </w:pPr>
    </w:p>
    <w:p>
      <w:pPr>
        <w:ind w:right="100" w:firstLine="456"/>
        <w:spacing w:after="0" w:line="254" w:lineRule="auto"/>
        <w:rPr>
          <w:sz w:val="20"/>
          <w:szCs w:val="20"/>
          <w:color w:val="auto"/>
        </w:rPr>
      </w:pPr>
      <w:r>
        <w:rPr>
          <w:rFonts w:ascii="Arial" w:cs="Arial" w:eastAsia="Arial" w:hAnsi="Arial"/>
          <w:sz w:val="16"/>
          <w:szCs w:val="16"/>
          <w:i w:val="1"/>
          <w:iCs w:val="1"/>
          <w:color w:val="auto"/>
        </w:rPr>
        <w:t>Horizon</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WAN Communication Controllers: </w:t>
      </w:r>
      <w:r>
        <w:rPr>
          <w:rFonts w:ascii="Arial" w:cs="Arial" w:eastAsia="Arial" w:hAnsi="Arial"/>
          <w:sz w:val="16"/>
          <w:szCs w:val="16"/>
          <w:color w:val="auto"/>
        </w:rPr>
        <w:t>Our Horizon</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family of single chip advanced communications controllers provides all of the required</w:t>
      </w:r>
      <w:r>
        <w:rPr>
          <w:rFonts w:ascii="Arial" w:cs="Arial" w:eastAsia="Arial" w:hAnsi="Arial"/>
          <w:sz w:val="16"/>
          <w:szCs w:val="16"/>
          <w:i w:val="1"/>
          <w:iCs w:val="1"/>
          <w:color w:val="auto"/>
        </w:rPr>
        <w:t xml:space="preserve"> </w:t>
      </w:r>
      <w:r>
        <w:rPr>
          <w:rFonts w:ascii="Arial" w:cs="Arial" w:eastAsia="Arial" w:hAnsi="Arial"/>
          <w:sz w:val="16"/>
          <w:szCs w:val="16"/>
          <w:color w:val="auto"/>
        </w:rPr>
        <w:t>network interfaces that bridge the LAN with the Internet infrastructure and combines most of the common functions found in multi-service access routers. These devices target the core of next-generation multi-service edge routers and remote access equipment that merge the functions of LAN-to-WAN routers, VoIP</w:t>
      </w:r>
    </w:p>
    <w:p>
      <w:pPr>
        <w:spacing w:after="0" w:line="2" w:lineRule="exact"/>
        <w:rPr>
          <w:sz w:val="20"/>
          <w:szCs w:val="20"/>
          <w:color w:val="auto"/>
        </w:rPr>
      </w:pPr>
    </w:p>
    <w:p>
      <w:pPr>
        <w:ind w:right="80"/>
        <w:spacing w:after="0" w:line="250" w:lineRule="auto"/>
        <w:rPr>
          <w:sz w:val="20"/>
          <w:szCs w:val="20"/>
          <w:color w:val="auto"/>
        </w:rPr>
      </w:pPr>
      <w:r>
        <w:rPr>
          <w:rFonts w:ascii="Arial" w:cs="Arial" w:eastAsia="Arial" w:hAnsi="Arial"/>
          <w:sz w:val="16"/>
          <w:szCs w:val="16"/>
          <w:color w:val="auto"/>
        </w:rPr>
        <w:t>gateways, network security equipment and remote access concentrators. The Horizon</w:t>
      </w:r>
      <w:r>
        <w:rPr>
          <w:rFonts w:ascii="Arial" w:cs="Arial" w:eastAsia="Arial" w:hAnsi="Arial"/>
          <w:sz w:val="20"/>
          <w:szCs w:val="20"/>
          <w:color w:val="auto"/>
          <w:vertAlign w:val="superscript"/>
        </w:rPr>
        <w:t>™</w:t>
      </w:r>
      <w:r>
        <w:rPr>
          <w:rFonts w:ascii="Arial" w:cs="Arial" w:eastAsia="Arial" w:hAnsi="Arial"/>
          <w:sz w:val="16"/>
          <w:szCs w:val="16"/>
          <w:color w:val="auto"/>
        </w:rPr>
        <w:t xml:space="preserve"> family has been designed to enable end-to-end quality of service, or QoS, for applications that run at the edge of a network with the integration of hardware support for differentiated services and 802.1p and 802.1q support. Our</w:t>
      </w:r>
    </w:p>
    <w:p>
      <w:pPr>
        <w:spacing w:after="0" w:line="1" w:lineRule="exact"/>
        <w:rPr>
          <w:sz w:val="20"/>
          <w:szCs w:val="20"/>
          <w:color w:val="auto"/>
        </w:rPr>
      </w:pPr>
    </w:p>
    <w:p>
      <w:pPr>
        <w:ind w:right="20"/>
        <w:spacing w:after="0" w:line="259" w:lineRule="auto"/>
        <w:rPr>
          <w:sz w:val="20"/>
          <w:szCs w:val="20"/>
          <w:color w:val="auto"/>
        </w:rPr>
      </w:pPr>
      <w:r>
        <w:rPr>
          <w:rFonts w:ascii="Arial" w:cs="Arial" w:eastAsia="Arial" w:hAnsi="Arial"/>
          <w:sz w:val="15"/>
          <w:szCs w:val="15"/>
          <w:color w:val="auto"/>
        </w:rPr>
        <w:t>Horizon</w:t>
      </w:r>
      <w:r>
        <w:rPr>
          <w:rFonts w:ascii="Arial" w:cs="Arial" w:eastAsia="Arial" w:hAnsi="Arial"/>
          <w:sz w:val="19"/>
          <w:szCs w:val="19"/>
          <w:color w:val="auto"/>
          <w:vertAlign w:val="superscript"/>
        </w:rPr>
        <w:t>™</w:t>
      </w:r>
      <w:r>
        <w:rPr>
          <w:rFonts w:ascii="Arial" w:cs="Arial" w:eastAsia="Arial" w:hAnsi="Arial"/>
          <w:sz w:val="15"/>
          <w:szCs w:val="15"/>
          <w:color w:val="auto"/>
        </w:rPr>
        <w:t xml:space="preserve"> system controllers provide new packet processing capabilities for systems that require the convergence of voice, video and data at the edge of the network. The integrated NetGX</w:t>
      </w:r>
      <w:r>
        <w:rPr>
          <w:rFonts w:ascii="Arial" w:cs="Arial" w:eastAsia="Arial" w:hAnsi="Arial"/>
          <w:sz w:val="19"/>
          <w:szCs w:val="19"/>
          <w:color w:val="auto"/>
          <w:vertAlign w:val="superscript"/>
        </w:rPr>
        <w:t>™</w:t>
      </w:r>
      <w:r>
        <w:rPr>
          <w:rFonts w:ascii="Arial" w:cs="Arial" w:eastAsia="Arial" w:hAnsi="Arial"/>
          <w:sz w:val="15"/>
          <w:szCs w:val="15"/>
          <w:color w:val="auto"/>
        </w:rPr>
        <w:t xml:space="preserve"> coprocessor can handle computation-intensive tasks such as flow-classification based on Layer 3 to Layer 5 packet information,</w:t>
      </w:r>
    </w:p>
    <w:p>
      <w:pPr>
        <w:spacing w:after="0" w:line="2" w:lineRule="exact"/>
        <w:rPr>
          <w:sz w:val="20"/>
          <w:szCs w:val="20"/>
          <w:color w:val="auto"/>
        </w:rPr>
      </w:pPr>
    </w:p>
    <w:p>
      <w:pPr>
        <w:ind w:right="340"/>
        <w:spacing w:after="0" w:line="220" w:lineRule="auto"/>
        <w:rPr>
          <w:sz w:val="20"/>
          <w:szCs w:val="20"/>
          <w:color w:val="auto"/>
        </w:rPr>
      </w:pPr>
      <w:r>
        <w:rPr>
          <w:rFonts w:ascii="Arial" w:cs="Arial" w:eastAsia="Arial" w:hAnsi="Arial"/>
          <w:sz w:val="18"/>
          <w:szCs w:val="18"/>
          <w:color w:val="auto"/>
        </w:rPr>
        <w:t>encryption and authentication for security purposes and virtually any other packet processing function typically handled by the host CPU. The NetGX</w:t>
      </w:r>
      <w:r>
        <w:rPr>
          <w:rFonts w:ascii="Arial" w:cs="Arial" w:eastAsia="Arial" w:hAnsi="Arial"/>
          <w:sz w:val="22"/>
          <w:szCs w:val="22"/>
          <w:color w:val="auto"/>
          <w:vertAlign w:val="superscript"/>
        </w:rPr>
        <w:t>™</w:t>
      </w:r>
      <w:r>
        <w:rPr>
          <w:rFonts w:ascii="Arial" w:cs="Arial" w:eastAsia="Arial" w:hAnsi="Arial"/>
          <w:sz w:val="18"/>
          <w:szCs w:val="18"/>
          <w:color w:val="auto"/>
        </w:rPr>
        <w:t xml:space="preserve"> coprocessor can free processing power so that the CPU can run multi-service applications such as managing virtual private networks, firewalls and integrated voice services.</w:t>
      </w:r>
    </w:p>
    <w:p>
      <w:pPr>
        <w:spacing w:after="0" w:line="203" w:lineRule="exact"/>
        <w:rPr>
          <w:sz w:val="20"/>
          <w:szCs w:val="20"/>
          <w:color w:val="auto"/>
        </w:rPr>
      </w:pPr>
    </w:p>
    <w:p>
      <w:pPr>
        <w:jc w:val="center"/>
        <w:ind w:right="200"/>
        <w:spacing w:after="0"/>
        <w:tabs>
          <w:tab w:leader="none" w:pos="160" w:val="left"/>
        </w:tabs>
        <w:rPr>
          <w:sz w:val="20"/>
          <w:szCs w:val="20"/>
          <w:color w:val="auto"/>
        </w:rPr>
      </w:pPr>
      <w:r>
        <w:rPr>
          <w:rFonts w:ascii="Arial" w:cs="Arial" w:eastAsia="Arial" w:hAnsi="Arial"/>
          <w:sz w:val="18"/>
          <w:szCs w:val="18"/>
          <w:i w:val="1"/>
          <w:iCs w:val="1"/>
          <w:color w:val="auto"/>
        </w:rPr>
        <w:t>Kirkwood</w:t>
      </w:r>
      <w:r>
        <w:rPr>
          <w:rFonts w:ascii="Arial" w:cs="Arial" w:eastAsia="Arial" w:hAnsi="Arial"/>
          <w:sz w:val="22"/>
          <w:szCs w:val="22"/>
          <w:i w:val="1"/>
          <w:iCs w:val="1"/>
          <w:color w:val="auto"/>
          <w:vertAlign w:val="superscript"/>
        </w:rPr>
        <w:t>™</w:t>
      </w:r>
      <w:r>
        <w:rPr>
          <w:rFonts w:ascii="Arial" w:cs="Arial" w:eastAsia="Arial" w:hAnsi="Arial"/>
          <w:sz w:val="18"/>
          <w:szCs w:val="18"/>
          <w:i w:val="1"/>
          <w:iCs w:val="1"/>
          <w:color w:val="auto"/>
        </w:rPr>
        <w:t xml:space="preserve"> Embedded Processor:</w:t>
      </w:r>
      <w:r>
        <w:rPr>
          <w:sz w:val="20"/>
          <w:szCs w:val="20"/>
          <w:color w:val="auto"/>
        </w:rPr>
        <w:tab/>
      </w:r>
      <w:r>
        <w:rPr>
          <w:rFonts w:ascii="Arial" w:cs="Arial" w:eastAsia="Arial" w:hAnsi="Arial"/>
          <w:sz w:val="16"/>
          <w:szCs w:val="16"/>
          <w:color w:val="auto"/>
        </w:rPr>
        <w:t>The Kirkwood</w:t>
      </w:r>
      <w:r>
        <w:rPr>
          <w:rFonts w:ascii="Arial" w:cs="Arial" w:eastAsia="Arial" w:hAnsi="Arial"/>
          <w:sz w:val="20"/>
          <w:szCs w:val="20"/>
          <w:color w:val="auto"/>
          <w:vertAlign w:val="superscript"/>
        </w:rPr>
        <w:t>™</w:t>
      </w:r>
      <w:r>
        <w:rPr>
          <w:rFonts w:ascii="Arial" w:cs="Arial" w:eastAsia="Arial" w:hAnsi="Arial"/>
          <w:sz w:val="16"/>
          <w:szCs w:val="16"/>
          <w:color w:val="auto"/>
        </w:rPr>
        <w:t xml:space="preserve"> product family is the third generation of our highly integrated embedded processor SoC. The</w:t>
      </w:r>
    </w:p>
    <w:p>
      <w:pPr>
        <w:jc w:val="both"/>
        <w:ind w:right="180"/>
        <w:spacing w:after="0" w:line="264" w:lineRule="auto"/>
        <w:rPr>
          <w:sz w:val="20"/>
          <w:szCs w:val="20"/>
          <w:color w:val="auto"/>
        </w:rPr>
      </w:pPr>
      <w:r>
        <w:rPr>
          <w:rFonts w:ascii="Arial" w:cs="Arial" w:eastAsia="Arial" w:hAnsi="Arial"/>
          <w:sz w:val="15"/>
          <w:szCs w:val="15"/>
          <w:color w:val="auto"/>
        </w:rPr>
        <w:t>Kirkwood</w:t>
      </w:r>
      <w:r>
        <w:rPr>
          <w:rFonts w:ascii="Arial" w:cs="Arial" w:eastAsia="Arial" w:hAnsi="Arial"/>
          <w:sz w:val="19"/>
          <w:szCs w:val="19"/>
          <w:color w:val="auto"/>
          <w:vertAlign w:val="superscript"/>
        </w:rPr>
        <w:t>™</w:t>
      </w:r>
      <w:r>
        <w:rPr>
          <w:rFonts w:ascii="Arial" w:cs="Arial" w:eastAsia="Arial" w:hAnsi="Arial"/>
          <w:sz w:val="15"/>
          <w:szCs w:val="15"/>
          <w:color w:val="auto"/>
        </w:rPr>
        <w:t xml:space="preserve"> family is based on our Sheeva</w:t>
      </w:r>
      <w:r>
        <w:rPr>
          <w:rFonts w:ascii="Arial" w:cs="Arial" w:eastAsia="Arial" w:hAnsi="Arial"/>
          <w:sz w:val="19"/>
          <w:szCs w:val="19"/>
          <w:color w:val="auto"/>
          <w:vertAlign w:val="superscript"/>
        </w:rPr>
        <w:t>™</w:t>
      </w:r>
      <w:r>
        <w:rPr>
          <w:rFonts w:ascii="Arial" w:cs="Arial" w:eastAsia="Arial" w:hAnsi="Arial"/>
          <w:sz w:val="15"/>
          <w:szCs w:val="15"/>
          <w:color w:val="auto"/>
        </w:rPr>
        <w:t xml:space="preserve"> embedded CPU technology, providing users with single and dual-CPU cores, which have been highly optimized to maximize the overall computing performance while simultaneously lowering total device power consumption. Purposely built to address the needs for network connected consumer electronic equipment, this family provides the performance, flexibility, interfaces and price points that fit the needs of the digital economy.</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color w:val="auto"/>
        </w:rPr>
        <w:t>Applications for Kirkwood</w:t>
      </w:r>
      <w:r>
        <w:rPr>
          <w:rFonts w:ascii="Arial" w:cs="Arial" w:eastAsia="Arial" w:hAnsi="Arial"/>
          <w:sz w:val="21"/>
          <w:szCs w:val="21"/>
          <w:color w:val="auto"/>
          <w:vertAlign w:val="superscript"/>
        </w:rPr>
        <w:t>™</w:t>
      </w:r>
      <w:r>
        <w:rPr>
          <w:rFonts w:ascii="Arial" w:cs="Arial" w:eastAsia="Arial" w:hAnsi="Arial"/>
          <w:sz w:val="17"/>
          <w:szCs w:val="17"/>
          <w:color w:val="auto"/>
        </w:rPr>
        <w:t xml:space="preserve"> SoCs include home gateways, set-top boxes, network storage, printers, media players and point-of-service terminals.</w:t>
      </w:r>
    </w:p>
    <w:p>
      <w:pPr>
        <w:spacing w:after="0" w:line="191" w:lineRule="exact"/>
        <w:rPr>
          <w:sz w:val="20"/>
          <w:szCs w:val="20"/>
          <w:color w:val="auto"/>
        </w:rPr>
      </w:pPr>
    </w:p>
    <w:p>
      <w:pPr>
        <w:ind w:firstLine="456"/>
        <w:spacing w:after="0" w:line="246" w:lineRule="auto"/>
        <w:rPr>
          <w:sz w:val="20"/>
          <w:szCs w:val="20"/>
          <w:color w:val="auto"/>
        </w:rPr>
      </w:pPr>
      <w:r>
        <w:rPr>
          <w:rFonts w:ascii="Arial" w:cs="Arial" w:eastAsia="Arial" w:hAnsi="Arial"/>
          <w:sz w:val="16"/>
          <w:szCs w:val="16"/>
          <w:i w:val="1"/>
          <w:iCs w:val="1"/>
          <w:color w:val="auto"/>
        </w:rPr>
        <w:t>Orion</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Embedded Processor: </w:t>
      </w:r>
      <w:r>
        <w:rPr>
          <w:rFonts w:ascii="Arial" w:cs="Arial" w:eastAsia="Arial" w:hAnsi="Arial"/>
          <w:sz w:val="16"/>
          <w:szCs w:val="16"/>
          <w:color w:val="auto"/>
        </w:rPr>
        <w:t>The Orion</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product family is designed to enable media vault platforms that allow users to instantly access rich multimedia</w:t>
      </w:r>
      <w:r>
        <w:rPr>
          <w:rFonts w:ascii="Arial" w:cs="Arial" w:eastAsia="Arial" w:hAnsi="Arial"/>
          <w:sz w:val="16"/>
          <w:szCs w:val="16"/>
          <w:i w:val="1"/>
          <w:iCs w:val="1"/>
          <w:color w:val="auto"/>
        </w:rPr>
        <w:t xml:space="preserve"> </w:t>
      </w:r>
      <w:r>
        <w:rPr>
          <w:rFonts w:ascii="Arial" w:cs="Arial" w:eastAsia="Arial" w:hAnsi="Arial"/>
          <w:sz w:val="16"/>
          <w:szCs w:val="16"/>
          <w:color w:val="auto"/>
        </w:rPr>
        <w:t>and data content throughout the home. The Orion</w:t>
      </w:r>
      <w:r>
        <w:rPr>
          <w:rFonts w:ascii="Arial" w:cs="Arial" w:eastAsia="Arial" w:hAnsi="Arial"/>
          <w:sz w:val="20"/>
          <w:szCs w:val="20"/>
          <w:color w:val="auto"/>
          <w:vertAlign w:val="superscript"/>
        </w:rPr>
        <w:t>™</w:t>
      </w:r>
      <w:r>
        <w:rPr>
          <w:rFonts w:ascii="Arial" w:cs="Arial" w:eastAsia="Arial" w:hAnsi="Arial"/>
          <w:sz w:val="16"/>
          <w:szCs w:val="16"/>
          <w:color w:val="auto"/>
        </w:rPr>
        <w:t xml:space="preserve"> family enables what we believe is the industry’s first guaranteed, home-wide QoS, designed to offer true,</w:t>
      </w:r>
    </w:p>
    <w:p>
      <w:pPr>
        <w:spacing w:after="0" w:line="2" w:lineRule="exact"/>
        <w:rPr>
          <w:sz w:val="20"/>
          <w:szCs w:val="20"/>
          <w:color w:val="auto"/>
        </w:rPr>
      </w:pPr>
    </w:p>
    <w:p>
      <w:pPr>
        <w:ind w:right="100"/>
        <w:spacing w:after="0" w:line="256" w:lineRule="auto"/>
        <w:rPr>
          <w:sz w:val="20"/>
          <w:szCs w:val="20"/>
          <w:color w:val="auto"/>
        </w:rPr>
      </w:pPr>
      <w:r>
        <w:rPr>
          <w:rFonts w:ascii="Arial" w:cs="Arial" w:eastAsia="Arial" w:hAnsi="Arial"/>
          <w:sz w:val="15"/>
          <w:szCs w:val="15"/>
          <w:color w:val="auto"/>
        </w:rPr>
        <w:t>uninterrupted multi-streaming performance. The Orion</w:t>
      </w:r>
      <w:r>
        <w:rPr>
          <w:rFonts w:ascii="Arial" w:cs="Arial" w:eastAsia="Arial" w:hAnsi="Arial"/>
          <w:sz w:val="19"/>
          <w:szCs w:val="19"/>
          <w:color w:val="auto"/>
          <w:vertAlign w:val="superscript"/>
        </w:rPr>
        <w:t>™</w:t>
      </w:r>
      <w:r>
        <w:rPr>
          <w:rFonts w:ascii="Arial" w:cs="Arial" w:eastAsia="Arial" w:hAnsi="Arial"/>
          <w:sz w:val="15"/>
          <w:szCs w:val="15"/>
          <w:color w:val="auto"/>
        </w:rPr>
        <w:t xml:space="preserve"> product family powers a range of media vault platforms, each capable of delivering simultaneous streams of rich, multimedia content seamlessly across wired and wireless networks. The scalable storage, networking and smart media processing architecture of</w:t>
      </w:r>
    </w:p>
    <w:p>
      <w:pPr>
        <w:spacing w:after="0" w:line="1" w:lineRule="exact"/>
        <w:rPr>
          <w:sz w:val="20"/>
          <w:szCs w:val="20"/>
          <w:color w:val="auto"/>
        </w:rPr>
      </w:pPr>
    </w:p>
    <w:p>
      <w:pPr>
        <w:ind w:right="580"/>
        <w:spacing w:after="0" w:line="287" w:lineRule="auto"/>
        <w:rPr>
          <w:sz w:val="20"/>
          <w:szCs w:val="20"/>
          <w:color w:val="auto"/>
        </w:rPr>
      </w:pPr>
      <w:r>
        <w:rPr>
          <w:rFonts w:ascii="Arial" w:cs="Arial" w:eastAsia="Arial" w:hAnsi="Arial"/>
          <w:sz w:val="15"/>
          <w:szCs w:val="15"/>
          <w:color w:val="auto"/>
        </w:rPr>
        <w:t>Orion</w:t>
      </w:r>
      <w:r>
        <w:rPr>
          <w:rFonts w:ascii="Arial" w:cs="Arial" w:eastAsia="Arial" w:hAnsi="Arial"/>
          <w:sz w:val="19"/>
          <w:szCs w:val="19"/>
          <w:color w:val="auto"/>
          <w:vertAlign w:val="superscript"/>
        </w:rPr>
        <w:t>™</w:t>
      </w:r>
      <w:r>
        <w:rPr>
          <w:rFonts w:ascii="Arial" w:cs="Arial" w:eastAsia="Arial" w:hAnsi="Arial"/>
          <w:sz w:val="15"/>
          <w:szCs w:val="15"/>
          <w:color w:val="auto"/>
        </w:rPr>
        <w:t xml:space="preserve"> is designed to provide a price/performance advantage over other solutions and to be a key component in markets such as standalone home storage appliances, integrated storage appliances, including access points and digital video recorders and next generation broadband service provider products.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Enterprise Transceiver and PC Connectivity Products</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We offer a portfolio of low power, high-performance PHY, LAN on Motherboard, or LOM, and network interface card solutions for demanding network connectivity applications. We provide these products to the enterprise networking, storage networking and PC markets.</w:t>
      </w:r>
    </w:p>
    <w:p>
      <w:pPr>
        <w:spacing w:after="0" w:line="159" w:lineRule="exact"/>
        <w:rPr>
          <w:sz w:val="20"/>
          <w:szCs w:val="20"/>
          <w:color w:val="auto"/>
        </w:rPr>
      </w:pPr>
    </w:p>
    <w:p>
      <w:pPr>
        <w:ind w:right="40" w:firstLine="456"/>
        <w:spacing w:after="0" w:line="250" w:lineRule="auto"/>
        <w:rPr>
          <w:sz w:val="20"/>
          <w:szCs w:val="20"/>
          <w:color w:val="auto"/>
        </w:rPr>
      </w:pPr>
      <w:r>
        <w:rPr>
          <w:rFonts w:ascii="Arial" w:cs="Arial" w:eastAsia="Arial" w:hAnsi="Arial"/>
          <w:sz w:val="16"/>
          <w:szCs w:val="16"/>
          <w:i w:val="1"/>
          <w:iCs w:val="1"/>
          <w:color w:val="auto"/>
        </w:rPr>
        <w:t>Alaska</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Gigabit Ethernet Transceiver Family: </w:t>
      </w:r>
      <w:r>
        <w:rPr>
          <w:rFonts w:ascii="Arial" w:cs="Arial" w:eastAsia="Arial" w:hAnsi="Arial"/>
          <w:sz w:val="16"/>
          <w:szCs w:val="16"/>
          <w:color w:val="auto"/>
        </w:rPr>
        <w:t>Our Alaska</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family of GbE transceivers enables the development of enterprise networking systems where</w:t>
      </w:r>
      <w:r>
        <w:rPr>
          <w:rFonts w:ascii="Arial" w:cs="Arial" w:eastAsia="Arial" w:hAnsi="Arial"/>
          <w:sz w:val="16"/>
          <w:szCs w:val="16"/>
          <w:i w:val="1"/>
          <w:iCs w:val="1"/>
          <w:color w:val="auto"/>
        </w:rPr>
        <w:t xml:space="preserve"> </w:t>
      </w:r>
      <w:r>
        <w:rPr>
          <w:rFonts w:ascii="Arial" w:cs="Arial" w:eastAsia="Arial" w:hAnsi="Arial"/>
          <w:sz w:val="16"/>
          <w:szCs w:val="16"/>
          <w:color w:val="auto"/>
        </w:rPr>
        <w:t>high performance and low power dissipation are competitive differentiators. Each member of the product family is based on our industry leading 1.25Gbps</w:t>
      </w:r>
    </w:p>
    <w:p>
      <w:pPr>
        <w:spacing w:after="0" w:line="1" w:lineRule="exact"/>
        <w:rPr>
          <w:sz w:val="20"/>
          <w:szCs w:val="20"/>
          <w:color w:val="auto"/>
        </w:rPr>
      </w:pPr>
    </w:p>
    <w:p>
      <w:pPr>
        <w:ind w:right="540"/>
        <w:spacing w:after="0" w:line="221" w:lineRule="auto"/>
        <w:rPr>
          <w:sz w:val="20"/>
          <w:szCs w:val="20"/>
          <w:color w:val="auto"/>
        </w:rPr>
      </w:pPr>
      <w:r>
        <w:rPr>
          <w:rFonts w:ascii="Arial" w:cs="Arial" w:eastAsia="Arial" w:hAnsi="Arial"/>
          <w:sz w:val="18"/>
          <w:szCs w:val="18"/>
          <w:color w:val="auto"/>
        </w:rPr>
        <w:t>SERDES intellectual property, enabling seamless data transmission over either copper or fiber-optic cabling. The design of the Alaska</w:t>
      </w:r>
      <w:r>
        <w:rPr>
          <w:rFonts w:ascii="Arial" w:cs="Arial" w:eastAsia="Arial" w:hAnsi="Arial"/>
          <w:sz w:val="22"/>
          <w:szCs w:val="22"/>
          <w:color w:val="auto"/>
          <w:vertAlign w:val="superscript"/>
        </w:rPr>
        <w:t>®</w:t>
      </w:r>
      <w:r>
        <w:rPr>
          <w:rFonts w:ascii="Arial" w:cs="Arial" w:eastAsia="Arial" w:hAnsi="Arial"/>
          <w:sz w:val="18"/>
          <w:szCs w:val="18"/>
          <w:color w:val="auto"/>
        </w:rPr>
        <w:t xml:space="preserve"> family of products incorporates sophisticated digital signal processing algorithms and</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94" w:lineRule="auto"/>
        <w:rPr>
          <w:sz w:val="20"/>
          <w:szCs w:val="20"/>
          <w:color w:val="auto"/>
        </w:rPr>
      </w:pPr>
      <w:r>
        <w:rPr>
          <w:rFonts w:ascii="Arial" w:cs="Arial" w:eastAsia="Arial" w:hAnsi="Arial"/>
          <w:sz w:val="16"/>
          <w:szCs w:val="16"/>
          <w:color w:val="auto"/>
        </w:rPr>
        <w:t>power management techniques to achieve high data transmission quality and low power dissipation. The devices also support our VCT technology, which allow end-users to quickly and remotely analyze the signal quality and attributes of the data transmission cable, which can significantly reduce installation time and cable debug efforts. The advanced built-in diagnostic capability of our VCT technology help network operators pinpoint the cause of network malfunctions, thereby avoiding unnecessary equipment returns, on-site service calls by field support personnel or bringing down the network. Target applications include network interface cards, LOMs, enterprise routers and next-generation switches.</w:t>
      </w:r>
    </w:p>
    <w:p>
      <w:pPr>
        <w:spacing w:after="0" w:line="143" w:lineRule="exact"/>
        <w:rPr>
          <w:sz w:val="20"/>
          <w:szCs w:val="20"/>
          <w:color w:val="auto"/>
        </w:rPr>
      </w:pPr>
    </w:p>
    <w:p>
      <w:pPr>
        <w:ind w:right="140" w:firstLine="456"/>
        <w:spacing w:after="0" w:line="250" w:lineRule="auto"/>
        <w:rPr>
          <w:sz w:val="20"/>
          <w:szCs w:val="20"/>
          <w:color w:val="auto"/>
        </w:rPr>
      </w:pPr>
      <w:r>
        <w:rPr>
          <w:rFonts w:ascii="Arial" w:cs="Arial" w:eastAsia="Arial" w:hAnsi="Arial"/>
          <w:sz w:val="16"/>
          <w:szCs w:val="16"/>
          <w:i w:val="1"/>
          <w:iCs w:val="1"/>
          <w:color w:val="auto"/>
        </w:rPr>
        <w:t>Alaska</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X 10 Gigabit Ethernet Transceiver Family: </w:t>
      </w:r>
      <w:r>
        <w:rPr>
          <w:rFonts w:ascii="Arial" w:cs="Arial" w:eastAsia="Arial" w:hAnsi="Arial"/>
          <w:sz w:val="16"/>
          <w:szCs w:val="16"/>
          <w:color w:val="auto"/>
        </w:rPr>
        <w:t>Our Alaska</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X 10Gbps uplink and backplane transceiver products are the evolutionary extension of</w:t>
      </w:r>
      <w:r>
        <w:rPr>
          <w:rFonts w:ascii="Arial" w:cs="Arial" w:eastAsia="Arial" w:hAnsi="Arial"/>
          <w:sz w:val="16"/>
          <w:szCs w:val="16"/>
          <w:i w:val="1"/>
          <w:iCs w:val="1"/>
          <w:color w:val="auto"/>
        </w:rPr>
        <w:t xml:space="preserve"> </w:t>
      </w:r>
      <w:r>
        <w:rPr>
          <w:rFonts w:ascii="Arial" w:cs="Arial" w:eastAsia="Arial" w:hAnsi="Arial"/>
          <w:sz w:val="16"/>
          <w:szCs w:val="16"/>
          <w:color w:val="auto"/>
        </w:rPr>
        <w:t>our FE and GbE transceiver technology. The family enables the accelerated deployment of 10GbE and Fibre Channel capable systems for the LAN, MAN and</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WAN markets. The Alaska</w:t>
      </w:r>
      <w:r>
        <w:rPr>
          <w:rFonts w:ascii="Arial" w:cs="Arial" w:eastAsia="Arial" w:hAnsi="Arial"/>
          <w:sz w:val="22"/>
          <w:szCs w:val="22"/>
          <w:color w:val="auto"/>
          <w:vertAlign w:val="superscript"/>
        </w:rPr>
        <w:t>®</w:t>
      </w:r>
      <w:r>
        <w:rPr>
          <w:rFonts w:ascii="Arial" w:cs="Arial" w:eastAsia="Arial" w:hAnsi="Arial"/>
          <w:sz w:val="18"/>
          <w:szCs w:val="18"/>
          <w:color w:val="auto"/>
        </w:rPr>
        <w:t xml:space="preserve"> X transceiver family features low power consumption, high performance, and small form factor.</w:t>
      </w:r>
    </w:p>
    <w:p>
      <w:pPr>
        <w:spacing w:after="0" w:line="152"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 xml:space="preserve">Fast Ethernet Transceiver Family: </w:t>
      </w:r>
      <w:r>
        <w:rPr>
          <w:rFonts w:ascii="Arial" w:cs="Arial" w:eastAsia="Arial" w:hAnsi="Arial"/>
          <w:sz w:val="18"/>
          <w:szCs w:val="18"/>
          <w:color w:val="auto"/>
        </w:rPr>
        <w:t>Our 100Mbps Fast Ethernet physical layer products offer low power dissipation, small form factor, high performance</w:t>
      </w:r>
      <w:r>
        <w:rPr>
          <w:rFonts w:ascii="Arial" w:cs="Arial" w:eastAsia="Arial" w:hAnsi="Arial"/>
          <w:sz w:val="18"/>
          <w:szCs w:val="18"/>
          <w:i w:val="1"/>
          <w:iCs w:val="1"/>
          <w:color w:val="auto"/>
        </w:rPr>
        <w:t xml:space="preserve"> </w:t>
      </w:r>
      <w:r>
        <w:rPr>
          <w:rFonts w:ascii="Arial" w:cs="Arial" w:eastAsia="Arial" w:hAnsi="Arial"/>
          <w:sz w:val="18"/>
          <w:szCs w:val="18"/>
          <w:color w:val="auto"/>
        </w:rPr>
        <w:t>and advanced features. The latest members of the Fast Ethernet PHY family offer very low power consumption of just 130mWatts per port, enabling network systems manufacturers to decrease system cost by reducing both power supply and fan requirements. Additionally, the devices support value-add features such as VCT technology used to diagnose the attached cable plant.</w:t>
      </w:r>
    </w:p>
    <w:p>
      <w:pPr>
        <w:spacing w:after="0" w:line="170" w:lineRule="exact"/>
        <w:rPr>
          <w:sz w:val="20"/>
          <w:szCs w:val="20"/>
          <w:color w:val="auto"/>
        </w:rPr>
      </w:pPr>
    </w:p>
    <w:p>
      <w:pPr>
        <w:ind w:firstLine="456"/>
        <w:spacing w:after="0" w:line="246" w:lineRule="auto"/>
        <w:rPr>
          <w:sz w:val="20"/>
          <w:szCs w:val="20"/>
          <w:color w:val="auto"/>
        </w:rPr>
      </w:pPr>
      <w:r>
        <w:rPr>
          <w:rFonts w:ascii="Arial" w:cs="Arial" w:eastAsia="Arial" w:hAnsi="Arial"/>
          <w:sz w:val="16"/>
          <w:szCs w:val="16"/>
          <w:i w:val="1"/>
          <w:iCs w:val="1"/>
          <w:color w:val="auto"/>
        </w:rPr>
        <w:t>Yukon</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Gigabit Ethernet PC Connectivity Products: </w:t>
      </w:r>
      <w:r>
        <w:rPr>
          <w:rFonts w:ascii="Arial" w:cs="Arial" w:eastAsia="Arial" w:hAnsi="Arial"/>
          <w:sz w:val="16"/>
          <w:szCs w:val="16"/>
          <w:color w:val="auto"/>
        </w:rPr>
        <w:t>Our Yukon</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connectivity products are targeted for the volume deployment of Gigabit Ethernet PC-client and server network connectivity solutions. The Yukon</w:t>
      </w:r>
      <w:r>
        <w:rPr>
          <w:rFonts w:ascii="Arial" w:cs="Arial" w:eastAsia="Arial" w:hAnsi="Arial"/>
          <w:sz w:val="20"/>
          <w:szCs w:val="20"/>
          <w:color w:val="auto"/>
          <w:vertAlign w:val="superscript"/>
        </w:rPr>
        <w:t>™</w:t>
      </w:r>
      <w:r>
        <w:rPr>
          <w:rFonts w:ascii="Arial" w:cs="Arial" w:eastAsia="Arial" w:hAnsi="Arial"/>
          <w:sz w:val="16"/>
          <w:szCs w:val="16"/>
          <w:color w:val="auto"/>
        </w:rPr>
        <w:t xml:space="preserve"> family of integrated, single-chip solutions is based on our proven enterprise-class Alaska</w:t>
      </w:r>
      <w:r>
        <w:rPr>
          <w:rFonts w:ascii="Arial" w:cs="Arial" w:eastAsia="Arial" w:hAnsi="Arial"/>
          <w:sz w:val="20"/>
          <w:szCs w:val="20"/>
          <w:color w:val="auto"/>
          <w:vertAlign w:val="superscript"/>
        </w:rPr>
        <w:t>®</w:t>
      </w:r>
      <w:r>
        <w:rPr>
          <w:rFonts w:ascii="Arial" w:cs="Arial" w:eastAsia="Arial" w:hAnsi="Arial"/>
          <w:sz w:val="16"/>
          <w:szCs w:val="16"/>
          <w:color w:val="auto"/>
        </w:rPr>
        <w:t xml:space="preserve"> family of</w:t>
      </w:r>
    </w:p>
    <w:p>
      <w:pPr>
        <w:spacing w:after="0" w:line="2" w:lineRule="exact"/>
        <w:rPr>
          <w:sz w:val="20"/>
          <w:szCs w:val="20"/>
          <w:color w:val="auto"/>
        </w:rPr>
      </w:pPr>
    </w:p>
    <w:p>
      <w:pPr>
        <w:ind w:right="280"/>
        <w:spacing w:after="0" w:line="238" w:lineRule="auto"/>
        <w:rPr>
          <w:sz w:val="20"/>
          <w:szCs w:val="20"/>
          <w:color w:val="auto"/>
        </w:rPr>
      </w:pPr>
      <w:r>
        <w:rPr>
          <w:rFonts w:ascii="Arial" w:cs="Arial" w:eastAsia="Arial" w:hAnsi="Arial"/>
          <w:sz w:val="16"/>
          <w:szCs w:val="16"/>
          <w:color w:val="auto"/>
        </w:rPr>
        <w:t>GbE MAC, PHY interface and associated comprehensive software suite. The Yukon</w:t>
      </w:r>
      <w:r>
        <w:rPr>
          <w:rFonts w:ascii="Arial" w:cs="Arial" w:eastAsia="Arial" w:hAnsi="Arial"/>
          <w:sz w:val="20"/>
          <w:szCs w:val="20"/>
          <w:color w:val="auto"/>
          <w:vertAlign w:val="superscript"/>
        </w:rPr>
        <w:t>™</w:t>
      </w:r>
      <w:r>
        <w:rPr>
          <w:rFonts w:ascii="Arial" w:cs="Arial" w:eastAsia="Arial" w:hAnsi="Arial"/>
          <w:sz w:val="16"/>
          <w:szCs w:val="16"/>
          <w:color w:val="auto"/>
        </w:rPr>
        <w:t xml:space="preserve"> devices are offered in an ultra-small form factor with low-power requirements, and are targeted for client and server network interface cards, or NIC, and LOM applications for both traditional peripheral connect interface, or</w:t>
      </w:r>
    </w:p>
    <w:p>
      <w:pPr>
        <w:spacing w:after="0" w:line="8" w:lineRule="exact"/>
        <w:rPr>
          <w:sz w:val="20"/>
          <w:szCs w:val="20"/>
          <w:color w:val="auto"/>
        </w:rPr>
      </w:pPr>
    </w:p>
    <w:p>
      <w:pPr>
        <w:spacing w:after="0"/>
        <w:rPr>
          <w:sz w:val="20"/>
          <w:szCs w:val="20"/>
          <w:color w:val="auto"/>
        </w:rPr>
      </w:pPr>
      <w:r>
        <w:rPr>
          <w:rFonts w:ascii="Arial" w:cs="Arial" w:eastAsia="Arial" w:hAnsi="Arial"/>
          <w:sz w:val="16"/>
          <w:szCs w:val="16"/>
          <w:color w:val="auto"/>
        </w:rPr>
        <w:t>PCI, bus and PCI-Express architectures. The Yukon</w:t>
      </w:r>
      <w:r>
        <w:rPr>
          <w:rFonts w:ascii="Arial" w:cs="Arial" w:eastAsia="Arial" w:hAnsi="Arial"/>
          <w:sz w:val="20"/>
          <w:szCs w:val="20"/>
          <w:color w:val="auto"/>
          <w:vertAlign w:val="superscript"/>
        </w:rPr>
        <w:t>™</w:t>
      </w:r>
      <w:r>
        <w:rPr>
          <w:rFonts w:ascii="Arial" w:cs="Arial" w:eastAsia="Arial" w:hAnsi="Arial"/>
          <w:sz w:val="16"/>
          <w:szCs w:val="16"/>
          <w:color w:val="auto"/>
        </w:rPr>
        <w:t xml:space="preserve"> products provide a wide variety of manageability features such as VCT technology, which reduces network</w:t>
      </w:r>
    </w:p>
    <w:p>
      <w:pPr>
        <w:spacing w:after="0" w:line="14" w:lineRule="exact"/>
        <w:rPr>
          <w:sz w:val="20"/>
          <w:szCs w:val="20"/>
          <w:color w:val="auto"/>
        </w:rPr>
      </w:pPr>
    </w:p>
    <w:p>
      <w:pPr>
        <w:ind w:right="140"/>
        <w:spacing w:after="0" w:line="220" w:lineRule="auto"/>
        <w:rPr>
          <w:sz w:val="20"/>
          <w:szCs w:val="20"/>
          <w:color w:val="auto"/>
        </w:rPr>
      </w:pPr>
      <w:r>
        <w:rPr>
          <w:rFonts w:ascii="Arial" w:cs="Arial" w:eastAsia="Arial" w:hAnsi="Arial"/>
          <w:sz w:val="18"/>
          <w:szCs w:val="18"/>
          <w:color w:val="auto"/>
        </w:rPr>
        <w:t>installation and support costs, and is optimized for 32-bit PCI clients. With a low pin count for such a device, the Yukon</w:t>
      </w:r>
      <w:r>
        <w:rPr>
          <w:rFonts w:ascii="Arial" w:cs="Arial" w:eastAsia="Arial" w:hAnsi="Arial"/>
          <w:sz w:val="22"/>
          <w:szCs w:val="22"/>
          <w:color w:val="auto"/>
          <w:vertAlign w:val="superscript"/>
        </w:rPr>
        <w:t>™</w:t>
      </w:r>
      <w:r>
        <w:rPr>
          <w:rFonts w:ascii="Arial" w:cs="Arial" w:eastAsia="Arial" w:hAnsi="Arial"/>
          <w:sz w:val="18"/>
          <w:szCs w:val="18"/>
          <w:color w:val="auto"/>
        </w:rPr>
        <w:t xml:space="preserve"> product is designed to minimize board space, simplify signal routing and reduce the number of required printed circuit board layers with the goal of a cost-effective motherboard and low profile network interface card implementation.</w:t>
      </w:r>
    </w:p>
    <w:p>
      <w:pPr>
        <w:spacing w:after="0" w:line="2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Cellular and Handheld Products</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 xml:space="preserve">Communications Processors: </w:t>
      </w:r>
      <w:r>
        <w:rPr>
          <w:rFonts w:ascii="Arial" w:cs="Arial" w:eastAsia="Arial" w:hAnsi="Arial"/>
          <w:sz w:val="16"/>
          <w:szCs w:val="16"/>
          <w:color w:val="auto"/>
        </w:rPr>
        <w:t>Our communications processors are highly integrated cellular SoC devices that enable mobile handset development to</w:t>
      </w:r>
      <w:r>
        <w:rPr>
          <w:rFonts w:ascii="Arial" w:cs="Arial" w:eastAsia="Arial" w:hAnsi="Arial"/>
          <w:sz w:val="16"/>
          <w:szCs w:val="16"/>
          <w:i w:val="1"/>
          <w:iCs w:val="1"/>
          <w:color w:val="auto"/>
        </w:rPr>
        <w:t xml:space="preserve"> </w:t>
      </w:r>
      <w:r>
        <w:rPr>
          <w:rFonts w:ascii="Arial" w:cs="Arial" w:eastAsia="Arial" w:hAnsi="Arial"/>
          <w:sz w:val="16"/>
          <w:szCs w:val="16"/>
          <w:color w:val="auto"/>
        </w:rPr>
        <w:t>address dual-mode GSM/GPRS, WCDMA and HSDPA mobile network standards. Our communications processors incorporate a high-performance dual-band baseband modem processor and our industry leading application processor in a highly integrated, low-power SoC platform for voice and computation-intensive mobile data applications. Our communications and applications processor families are based on our ARM-compliant XScale micro-architecture, thus allowing for software compatibility across our entire cellular product portfolio enabling handset designers a faster time-to-market advantage.</w:t>
      </w:r>
    </w:p>
    <w:p>
      <w:pPr>
        <w:spacing w:after="0" w:line="1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i w:val="1"/>
          <w:iCs w:val="1"/>
          <w:color w:val="auto"/>
        </w:rPr>
        <w:t xml:space="preserve">Applications Processors: </w:t>
      </w:r>
      <w:r>
        <w:rPr>
          <w:rFonts w:ascii="Arial" w:cs="Arial" w:eastAsia="Arial" w:hAnsi="Arial"/>
          <w:sz w:val="16"/>
          <w:szCs w:val="16"/>
          <w:color w:val="auto"/>
        </w:rPr>
        <w:t>Our applications processors are designed to deliver advanced integration, leading multimedia performance, and superior power</w:t>
      </w:r>
      <w:r>
        <w:rPr>
          <w:rFonts w:ascii="Arial" w:cs="Arial" w:eastAsia="Arial" w:hAnsi="Arial"/>
          <w:sz w:val="16"/>
          <w:szCs w:val="16"/>
          <w:i w:val="1"/>
          <w:iCs w:val="1"/>
          <w:color w:val="auto"/>
        </w:rPr>
        <w:t xml:space="preserve"> </w:t>
      </w:r>
      <w:r>
        <w:rPr>
          <w:rFonts w:ascii="Arial" w:cs="Arial" w:eastAsia="Arial" w:hAnsi="Arial"/>
          <w:sz w:val="16"/>
          <w:szCs w:val="16"/>
          <w:color w:val="auto"/>
        </w:rPr>
        <w:t>savings for the mobile cellular, PDA, handheld consumer, and embedded markets. Our applications processors are highly integrated SoC devices based on our ARM-compliant XScale micro-architecture. Our applications processors are ideal for high-performance, low-power, space-sensitive devices enabling mobile and consumer product manufacturers the ability to integrate advanced applications within a range of power specifications to help differentiate their offerings.</w:t>
      </w:r>
    </w:p>
    <w:p>
      <w:pPr>
        <w:spacing w:after="0" w:line="11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i w:val="1"/>
          <w:iCs w:val="1"/>
          <w:color w:val="auto"/>
        </w:rPr>
        <w:t xml:space="preserve">Ecosystem Partners: </w:t>
      </w:r>
      <w:r>
        <w:rPr>
          <w:rFonts w:ascii="Arial" w:cs="Arial" w:eastAsia="Arial" w:hAnsi="Arial"/>
          <w:sz w:val="16"/>
          <w:szCs w:val="16"/>
          <w:color w:val="auto"/>
        </w:rPr>
        <w:t>Through a comprehensive ecosystem comprised of third party providers of communications and applications processors, tools and</w:t>
      </w:r>
      <w:r>
        <w:rPr>
          <w:rFonts w:ascii="Arial" w:cs="Arial" w:eastAsia="Arial" w:hAnsi="Arial"/>
          <w:sz w:val="16"/>
          <w:szCs w:val="16"/>
          <w:i w:val="1"/>
          <w:iCs w:val="1"/>
          <w:color w:val="auto"/>
        </w:rPr>
        <w:t xml:space="preserve"> </w:t>
      </w:r>
      <w:r>
        <w:rPr>
          <w:rFonts w:ascii="Arial" w:cs="Arial" w:eastAsia="Arial" w:hAnsi="Arial"/>
          <w:sz w:val="16"/>
          <w:szCs w:val="16"/>
          <w:color w:val="auto"/>
        </w:rPr>
        <w:t>support, we assist select ecosystem partners in their platform solutions development, which can speed up the time-to-market for cellular and handheld devices.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Wireless Products</w:t>
      </w:r>
    </w:p>
    <w:p>
      <w:pPr>
        <w:spacing w:after="0" w:line="117" w:lineRule="exact"/>
        <w:rPr>
          <w:sz w:val="20"/>
          <w:szCs w:val="20"/>
          <w:color w:val="auto"/>
        </w:rPr>
      </w:pPr>
    </w:p>
    <w:p>
      <w:pPr>
        <w:ind w:firstLine="456"/>
        <w:spacing w:after="0" w:line="250" w:lineRule="auto"/>
        <w:rPr>
          <w:sz w:val="20"/>
          <w:szCs w:val="20"/>
          <w:color w:val="auto"/>
        </w:rPr>
      </w:pPr>
      <w:r>
        <w:rPr>
          <w:rFonts w:ascii="Arial" w:cs="Arial" w:eastAsia="Arial" w:hAnsi="Arial"/>
          <w:sz w:val="16"/>
          <w:szCs w:val="16"/>
          <w:i w:val="1"/>
          <w:iCs w:val="1"/>
          <w:color w:val="auto"/>
        </w:rPr>
        <w:t>Libertas</w:t>
      </w:r>
      <w:r>
        <w:rPr>
          <w:rFonts w:ascii="Arial" w:cs="Arial" w:eastAsia="Arial" w:hAnsi="Arial"/>
          <w:sz w:val="20"/>
          <w:szCs w:val="20"/>
          <w:i w:val="1"/>
          <w:iCs w:val="1"/>
          <w:color w:val="auto"/>
          <w:vertAlign w:val="superscript"/>
        </w:rPr>
        <w:t>®</w:t>
      </w:r>
      <w:r>
        <w:rPr>
          <w:rFonts w:ascii="Arial" w:cs="Arial" w:eastAsia="Arial" w:hAnsi="Arial"/>
          <w:sz w:val="16"/>
          <w:szCs w:val="16"/>
          <w:i w:val="1"/>
          <w:iCs w:val="1"/>
          <w:color w:val="auto"/>
        </w:rPr>
        <w:t xml:space="preserve"> Wireless LAN Family: </w:t>
      </w:r>
      <w:r>
        <w:rPr>
          <w:rFonts w:ascii="Arial" w:cs="Arial" w:eastAsia="Arial" w:hAnsi="Arial"/>
          <w:sz w:val="16"/>
          <w:szCs w:val="16"/>
          <w:color w:val="auto"/>
        </w:rPr>
        <w:t>The Libertas</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family of wireless LAN, or WLAN, devices are Institute of Electrical and Electronics Engineers, or IEEE,</w:t>
      </w:r>
      <w:r>
        <w:rPr>
          <w:rFonts w:ascii="Arial" w:cs="Arial" w:eastAsia="Arial" w:hAnsi="Arial"/>
          <w:sz w:val="16"/>
          <w:szCs w:val="16"/>
          <w:i w:val="1"/>
          <w:iCs w:val="1"/>
          <w:color w:val="auto"/>
        </w:rPr>
        <w:t xml:space="preserve"> </w:t>
      </w:r>
      <w:r>
        <w:rPr>
          <w:rFonts w:ascii="Arial" w:cs="Arial" w:eastAsia="Arial" w:hAnsi="Arial"/>
          <w:sz w:val="16"/>
          <w:szCs w:val="16"/>
          <w:color w:val="auto"/>
        </w:rPr>
        <w:t>802.11 solutions for the small office/home office, small-and-medium size businesses, corporate enterprise and residential consumer electronics markets. The</w:t>
      </w:r>
    </w:p>
    <w:p>
      <w:pPr>
        <w:spacing w:after="0" w:line="1" w:lineRule="exact"/>
        <w:rPr>
          <w:sz w:val="20"/>
          <w:szCs w:val="20"/>
          <w:color w:val="auto"/>
        </w:rPr>
      </w:pPr>
    </w:p>
    <w:p>
      <w:pPr>
        <w:ind w:right="20"/>
        <w:spacing w:after="0" w:line="227" w:lineRule="auto"/>
        <w:rPr>
          <w:sz w:val="20"/>
          <w:szCs w:val="20"/>
          <w:color w:val="auto"/>
        </w:rPr>
      </w:pPr>
      <w:r>
        <w:rPr>
          <w:rFonts w:ascii="Arial" w:cs="Arial" w:eastAsia="Arial" w:hAnsi="Arial"/>
          <w:sz w:val="18"/>
          <w:szCs w:val="18"/>
          <w:color w:val="auto"/>
        </w:rPr>
        <w:t>Libertas</w:t>
      </w:r>
      <w:r>
        <w:rPr>
          <w:rFonts w:ascii="Arial" w:cs="Arial" w:eastAsia="Arial" w:hAnsi="Arial"/>
          <w:sz w:val="22"/>
          <w:szCs w:val="22"/>
          <w:color w:val="auto"/>
          <w:vertAlign w:val="superscript"/>
        </w:rPr>
        <w:t>®</w:t>
      </w:r>
      <w:r>
        <w:rPr>
          <w:rFonts w:ascii="Arial" w:cs="Arial" w:eastAsia="Arial" w:hAnsi="Arial"/>
          <w:sz w:val="18"/>
          <w:szCs w:val="18"/>
          <w:color w:val="auto"/>
        </w:rPr>
        <w:t xml:space="preserve"> product line combines the flexibility of embedded IEEE 802.11 standards with dedicated hardware acceleration engines to support Advance Encryption Standard wireless security and QoS. These products integrate high performance embedded ARM-microprocessor technology as well as advanced networking capabilities including Transmission Control Protocol, User Datagram Protocol and Internet Protocol network processing to enable the device to perform ad-hoc wireless connections to other wireless devices.</w:t>
      </w:r>
    </w:p>
    <w:p>
      <w:pPr>
        <w:spacing w:after="0" w:line="213" w:lineRule="exact"/>
        <w:rPr>
          <w:sz w:val="20"/>
          <w:szCs w:val="20"/>
          <w:color w:val="auto"/>
        </w:rPr>
      </w:pPr>
    </w:p>
    <w:p>
      <w:pPr>
        <w:ind w:right="60" w:firstLine="456"/>
        <w:spacing w:after="0" w:line="243" w:lineRule="auto"/>
        <w:rPr>
          <w:sz w:val="20"/>
          <w:szCs w:val="20"/>
          <w:color w:val="auto"/>
        </w:rPr>
      </w:pPr>
      <w:r>
        <w:rPr>
          <w:rFonts w:ascii="Arial" w:cs="Arial" w:eastAsia="Arial" w:hAnsi="Arial"/>
          <w:sz w:val="17"/>
          <w:szCs w:val="17"/>
          <w:color w:val="auto"/>
        </w:rPr>
        <w:t>The Libertas</w:t>
      </w:r>
      <w:r>
        <w:rPr>
          <w:rFonts w:ascii="Arial" w:cs="Arial" w:eastAsia="Arial" w:hAnsi="Arial"/>
          <w:sz w:val="21"/>
          <w:szCs w:val="21"/>
          <w:color w:val="auto"/>
          <w:vertAlign w:val="superscript"/>
        </w:rPr>
        <w:t>®</w:t>
      </w:r>
      <w:r>
        <w:rPr>
          <w:rFonts w:ascii="Arial" w:cs="Arial" w:eastAsia="Arial" w:hAnsi="Arial"/>
          <w:sz w:val="17"/>
          <w:szCs w:val="17"/>
          <w:color w:val="auto"/>
        </w:rPr>
        <w:t xml:space="preserve"> product line is a complete family of WLAN solutions. Our Libertas</w:t>
      </w:r>
      <w:r>
        <w:rPr>
          <w:rFonts w:ascii="Arial" w:cs="Arial" w:eastAsia="Arial" w:hAnsi="Arial"/>
          <w:sz w:val="21"/>
          <w:szCs w:val="21"/>
          <w:color w:val="auto"/>
          <w:vertAlign w:val="superscript"/>
        </w:rPr>
        <w:t>®</w:t>
      </w:r>
      <w:r>
        <w:rPr>
          <w:rFonts w:ascii="Arial" w:cs="Arial" w:eastAsia="Arial" w:hAnsi="Arial"/>
          <w:sz w:val="17"/>
          <w:szCs w:val="17"/>
          <w:color w:val="auto"/>
        </w:rPr>
        <w:t xml:space="preserve"> 802.11a/b/g solutions offer high performance, low-power and space saving single-chip integration for WLAN applications that demand 54 Mbps wireless connectivity. Our 802.11n WLAN solutions are Multiple-Input, Multiple-Output based devices, which support wireless data transmission rates between 150Mbps to 600Mbps, in both the 2.4GHz and 5GHz bands. Our WLAN products are aimed at traditional PC-client adapter cards, highly integrated wireless home gateways, dual-mode cellular and VoIP handsets, standalone game consoles and multiple emerging consumer applications, which require low-power wireless connectivity, such as digital still cameras, printers, MP3 music players, automobile media head-end units and other applications.</w:t>
      </w:r>
    </w:p>
    <w:p>
      <w:pPr>
        <w:spacing w:after="0" w:line="26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Personal Area Networking Products</w:t>
      </w:r>
    </w:p>
    <w:p>
      <w:pPr>
        <w:spacing w:after="0" w:line="9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Bluetooth Wireless Networking Family: </w:t>
      </w:r>
      <w:r>
        <w:rPr>
          <w:rFonts w:ascii="Arial" w:cs="Arial" w:eastAsia="Arial" w:hAnsi="Arial"/>
          <w:sz w:val="18"/>
          <w:szCs w:val="18"/>
          <w:color w:val="auto"/>
        </w:rPr>
        <w:t>We offer a portfolio of highly integrated wireless personal area network products, which combine our</w:t>
      </w:r>
      <w:r>
        <w:rPr>
          <w:rFonts w:ascii="Arial" w:cs="Arial" w:eastAsia="Arial" w:hAnsi="Arial"/>
          <w:sz w:val="18"/>
          <w:szCs w:val="18"/>
          <w:i w:val="1"/>
          <w:iCs w:val="1"/>
          <w:color w:val="auto"/>
        </w:rPr>
        <w:t xml:space="preserve"> </w:t>
      </w:r>
      <w:r>
        <w:rPr>
          <w:rFonts w:ascii="Arial" w:cs="Arial" w:eastAsia="Arial" w:hAnsi="Arial"/>
          <w:sz w:val="18"/>
          <w:szCs w:val="18"/>
          <w:color w:val="auto"/>
        </w:rPr>
        <w:t>IEEE 802.11 a/b/g WLAN intellectual property with a Bluetooth 2.1 enhanced data rate core in a ultra-low-power, small footprint single die. The product provides extended battery life in cellular handsets, converged devices, game consoles, MP3 music players and other emerging consumer devices, which require both short- and long-range wireless connectivity. These devices support the latest Bluetooth SIG specification enabling Bluetooth enhanced data rates of up to 3Mbps and extends the transmission range up to 100 meters. We offer a highly integrated, low-power wireless personal area network device, which combines our IEEE 802.11 a/b/g WLAN core with a Bluetooth 2.1 enhanced data rate core, in addition to a world-wide FM radio receiver-transceiver. This product supports simultaneous use of Bluetooth applications as well as FM radio reception and transmission, ideally suited for the low power requirements of mobile handset devices.</w:t>
      </w:r>
    </w:p>
    <w:p>
      <w:pPr>
        <w:spacing w:after="0" w:line="22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Printing ASIC Products</w:t>
      </w:r>
    </w:p>
    <w:p>
      <w:pPr>
        <w:spacing w:after="0" w:line="90"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i w:val="1"/>
          <w:iCs w:val="1"/>
          <w:color w:val="auto"/>
        </w:rPr>
        <w:t xml:space="preserve">Printing ASICs: </w:t>
      </w:r>
      <w:r>
        <w:rPr>
          <w:rFonts w:ascii="Arial" w:cs="Arial" w:eastAsia="Arial" w:hAnsi="Arial"/>
          <w:sz w:val="16"/>
          <w:szCs w:val="16"/>
          <w:color w:val="auto"/>
        </w:rPr>
        <w:t>We offer custom and semi-custom SoC products aimed at the printer market. These devices are the core integrated circuits for image</w:t>
      </w:r>
      <w:r>
        <w:rPr>
          <w:rFonts w:ascii="Arial" w:cs="Arial" w:eastAsia="Arial" w:hAnsi="Arial"/>
          <w:sz w:val="16"/>
          <w:szCs w:val="16"/>
          <w:i w:val="1"/>
          <w:iCs w:val="1"/>
          <w:color w:val="auto"/>
        </w:rPr>
        <w:t xml:space="preserve"> </w:t>
      </w:r>
      <w:r>
        <w:rPr>
          <w:rFonts w:ascii="Arial" w:cs="Arial" w:eastAsia="Arial" w:hAnsi="Arial"/>
          <w:sz w:val="16"/>
          <w:szCs w:val="16"/>
          <w:color w:val="auto"/>
        </w:rPr>
        <w:t>processing and the control of laser printers, inkjet printers and “all-in-one” products incorporating printing, scanning, networking, wireless and fax capabilities. We also provide printer control systems based on Marvell Printing ASICs aimed at offering highly integrated solutions and shorter time-to-market.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Digital Video Processing Products</w:t>
      </w:r>
    </w:p>
    <w:p>
      <w:pPr>
        <w:spacing w:after="0" w:line="117" w:lineRule="exact"/>
        <w:rPr>
          <w:sz w:val="20"/>
          <w:szCs w:val="20"/>
          <w:color w:val="auto"/>
        </w:rPr>
      </w:pPr>
    </w:p>
    <w:p>
      <w:pPr>
        <w:ind w:right="120" w:firstLine="456"/>
        <w:spacing w:after="0" w:line="257" w:lineRule="auto"/>
        <w:rPr>
          <w:sz w:val="20"/>
          <w:szCs w:val="20"/>
          <w:color w:val="auto"/>
        </w:rPr>
      </w:pPr>
      <w:r>
        <w:rPr>
          <w:rFonts w:ascii="Arial" w:cs="Arial" w:eastAsia="Arial" w:hAnsi="Arial"/>
          <w:sz w:val="16"/>
          <w:szCs w:val="16"/>
          <w:i w:val="1"/>
          <w:iCs w:val="1"/>
          <w:color w:val="auto"/>
        </w:rPr>
        <w:t xml:space="preserve">Digital Video Format Converter: </w:t>
      </w:r>
      <w:r>
        <w:rPr>
          <w:rFonts w:ascii="Arial" w:cs="Arial" w:eastAsia="Arial" w:hAnsi="Arial"/>
          <w:sz w:val="16"/>
          <w:szCs w:val="16"/>
          <w:color w:val="auto"/>
        </w:rPr>
        <w:t>Our digital video format converter with award-winning Qdeo</w:t>
      </w:r>
      <w:r>
        <w:rPr>
          <w:rFonts w:ascii="Arial" w:cs="Arial" w:eastAsia="Arial" w:hAnsi="Arial"/>
          <w:sz w:val="20"/>
          <w:szCs w:val="20"/>
          <w:color w:val="auto"/>
          <w:vertAlign w:val="superscript"/>
        </w:rPr>
        <w:t>™</w:t>
      </w:r>
      <w:r>
        <w:rPr>
          <w:rFonts w:ascii="Arial" w:cs="Arial" w:eastAsia="Arial" w:hAnsi="Arial"/>
          <w:sz w:val="16"/>
          <w:szCs w:val="16"/>
          <w:i w:val="1"/>
          <w:iCs w:val="1"/>
          <w:color w:val="auto"/>
        </w:rPr>
        <w:t xml:space="preserve"> </w:t>
      </w:r>
      <w:r>
        <w:rPr>
          <w:rFonts w:ascii="Arial" w:cs="Arial" w:eastAsia="Arial" w:hAnsi="Arial"/>
          <w:sz w:val="16"/>
          <w:szCs w:val="16"/>
          <w:color w:val="auto"/>
        </w:rPr>
        <w:t>video processing converts PC graphics, standard-definition and HD video into 1080p HD outputs, removing signal noise and image artifacts. In mass production since 2007, the Marvell 88DE2710 digital video format is now shipping in blue-laser players and recorders and A/V receivers and is also targeted at digital television, HD-set-top boxes and media clients.</w:t>
      </w:r>
    </w:p>
    <w:p>
      <w:pPr>
        <w:spacing w:after="0" w:line="2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Power Management and Green Technology Products</w:t>
      </w:r>
    </w:p>
    <w:p>
      <w:pPr>
        <w:spacing w:after="0" w:line="117" w:lineRule="exact"/>
        <w:rPr>
          <w:sz w:val="20"/>
          <w:szCs w:val="20"/>
          <w:color w:val="auto"/>
        </w:rPr>
      </w:pPr>
    </w:p>
    <w:p>
      <w:pPr>
        <w:ind w:right="100" w:firstLine="456"/>
        <w:spacing w:after="0" w:line="261" w:lineRule="auto"/>
        <w:rPr>
          <w:sz w:val="20"/>
          <w:szCs w:val="20"/>
          <w:color w:val="auto"/>
        </w:rPr>
      </w:pPr>
      <w:r>
        <w:rPr>
          <w:rFonts w:ascii="Arial" w:cs="Arial" w:eastAsia="Arial" w:hAnsi="Arial"/>
          <w:sz w:val="18"/>
          <w:szCs w:val="18"/>
          <w:i w:val="1"/>
          <w:iCs w:val="1"/>
          <w:color w:val="auto"/>
        </w:rPr>
        <w:t>DSP Switcher</w:t>
      </w:r>
      <w:r>
        <w:rPr>
          <w:rFonts w:ascii="Arial" w:cs="Arial" w:eastAsia="Arial" w:hAnsi="Arial"/>
          <w:sz w:val="22"/>
          <w:szCs w:val="22"/>
          <w:i w:val="1"/>
          <w:iCs w:val="1"/>
          <w:color w:val="auto"/>
          <w:vertAlign w:val="superscript"/>
        </w:rPr>
        <w:t>®</w:t>
      </w:r>
      <w:r>
        <w:rPr>
          <w:rFonts w:ascii="Arial" w:cs="Arial" w:eastAsia="Arial" w:hAnsi="Arial"/>
          <w:sz w:val="18"/>
          <w:szCs w:val="18"/>
          <w:i w:val="1"/>
          <w:iCs w:val="1"/>
          <w:color w:val="auto"/>
        </w:rPr>
        <w:t xml:space="preserve"> Integrated Regulators: </w:t>
      </w:r>
      <w:r>
        <w:rPr>
          <w:rFonts w:ascii="Arial" w:cs="Arial" w:eastAsia="Arial" w:hAnsi="Arial"/>
          <w:sz w:val="18"/>
          <w:szCs w:val="18"/>
          <w:color w:val="auto"/>
        </w:rPr>
        <w:t>Our DSP Switcher</w:t>
      </w:r>
      <w:r>
        <w:rPr>
          <w:rFonts w:ascii="Arial" w:cs="Arial" w:eastAsia="Arial" w:hAnsi="Arial"/>
          <w:sz w:val="22"/>
          <w:szCs w:val="22"/>
          <w:i w:val="1"/>
          <w:iCs w:val="1"/>
          <w:color w:val="auto"/>
          <w:vertAlign w:val="superscript"/>
        </w:rPr>
        <w:t>®</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regulators form the core of what we believe is the industry’s smallest and highest-performance step-down power supply. DSP Switcher</w:t>
      </w:r>
      <w:r>
        <w:rPr>
          <w:rFonts w:ascii="Arial" w:cs="Arial" w:eastAsia="Arial" w:hAnsi="Arial"/>
          <w:sz w:val="22"/>
          <w:szCs w:val="22"/>
          <w:i w:val="1"/>
          <w:iCs w:val="1"/>
          <w:color w:val="auto"/>
          <w:vertAlign w:val="superscript"/>
        </w:rPr>
        <w:t>®</w:t>
      </w:r>
      <w:r>
        <w:rPr>
          <w:rFonts w:ascii="Arial" w:cs="Arial" w:eastAsia="Arial" w:hAnsi="Arial"/>
          <w:sz w:val="18"/>
          <w:szCs w:val="18"/>
          <w:color w:val="auto"/>
        </w:rPr>
        <w:t xml:space="preserve"> integrated</w:t>
      </w:r>
    </w:p>
    <w:p>
      <w:pPr>
        <w:spacing w:after="0" w:line="7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80"/>
          </w:cols>
          <w:pgMar w:left="240" w:top="459" w:right="2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regulators are designed to provide efficiency, precision and transient response together with small solution size to provide system designers with enhanced form factor and battery life in portable equipment. The integration of power metal-oxide semiconductor field-effect transistors, internal frequency compensation and single resistor output programming reduces design efforts and increases system reliability.</w:t>
      </w:r>
    </w:p>
    <w:p>
      <w:pPr>
        <w:spacing w:after="0" w:line="167" w:lineRule="exact"/>
        <w:rPr>
          <w:sz w:val="20"/>
          <w:szCs w:val="20"/>
          <w:color w:val="auto"/>
        </w:rPr>
      </w:pPr>
    </w:p>
    <w:p>
      <w:pPr>
        <w:ind w:right="100" w:firstLine="456"/>
        <w:spacing w:after="0" w:line="285" w:lineRule="auto"/>
        <w:rPr>
          <w:sz w:val="20"/>
          <w:szCs w:val="20"/>
          <w:color w:val="auto"/>
        </w:rPr>
      </w:pPr>
      <w:r>
        <w:rPr>
          <w:rFonts w:ascii="Arial" w:cs="Arial" w:eastAsia="Arial" w:hAnsi="Arial"/>
          <w:sz w:val="15"/>
          <w:szCs w:val="15"/>
          <w:i w:val="1"/>
          <w:iCs w:val="1"/>
          <w:color w:val="auto"/>
        </w:rPr>
        <w:t>DSP Switcher</w:t>
      </w:r>
      <w:r>
        <w:rPr>
          <w:rFonts w:ascii="Arial" w:cs="Arial" w:eastAsia="Arial" w:hAnsi="Arial"/>
          <w:sz w:val="19"/>
          <w:szCs w:val="19"/>
          <w:i w:val="1"/>
          <w:iCs w:val="1"/>
          <w:color w:val="auto"/>
          <w:vertAlign w:val="superscript"/>
        </w:rPr>
        <w:t>®</w:t>
      </w:r>
      <w:r>
        <w:rPr>
          <w:rFonts w:ascii="Arial" w:cs="Arial" w:eastAsia="Arial" w:hAnsi="Arial"/>
          <w:sz w:val="15"/>
          <w:szCs w:val="15"/>
          <w:i w:val="1"/>
          <w:iCs w:val="1"/>
          <w:color w:val="auto"/>
        </w:rPr>
        <w:t xml:space="preserve"> Integrated Regulator Modules: </w:t>
      </w:r>
      <w:r>
        <w:rPr>
          <w:rFonts w:ascii="Arial" w:cs="Arial" w:eastAsia="Arial" w:hAnsi="Arial"/>
          <w:sz w:val="15"/>
          <w:szCs w:val="15"/>
          <w:color w:val="auto"/>
        </w:rPr>
        <w:t>DSP Switcher</w:t>
      </w:r>
      <w:r>
        <w:rPr>
          <w:rFonts w:ascii="Arial" w:cs="Arial" w:eastAsia="Arial" w:hAnsi="Arial"/>
          <w:sz w:val="19"/>
          <w:szCs w:val="19"/>
          <w:i w:val="1"/>
          <w:iCs w:val="1"/>
          <w:color w:val="auto"/>
          <w:vertAlign w:val="superscript"/>
        </w:rPr>
        <w:t>®</w:t>
      </w:r>
      <w:r>
        <w:rPr>
          <w:rFonts w:ascii="Arial" w:cs="Arial" w:eastAsia="Arial" w:hAnsi="Arial"/>
          <w:sz w:val="15"/>
          <w:szCs w:val="15"/>
          <w:i w:val="1"/>
          <w:iCs w:val="1"/>
          <w:color w:val="auto"/>
        </w:rPr>
        <w:t xml:space="preserve"> </w:t>
      </w:r>
      <w:r>
        <w:rPr>
          <w:rFonts w:ascii="Arial" w:cs="Arial" w:eastAsia="Arial" w:hAnsi="Arial"/>
          <w:sz w:val="15"/>
          <w:szCs w:val="15"/>
          <w:color w:val="auto"/>
        </w:rPr>
        <w:t>integrated regulator modules provide plug-and-play implementations of our switching</w:t>
      </w:r>
      <w:r>
        <w:rPr>
          <w:rFonts w:ascii="Arial" w:cs="Arial" w:eastAsia="Arial" w:hAnsi="Arial"/>
          <w:sz w:val="15"/>
          <w:szCs w:val="15"/>
          <w:i w:val="1"/>
          <w:iCs w:val="1"/>
          <w:color w:val="auto"/>
        </w:rPr>
        <w:t xml:space="preserve"> </w:t>
      </w:r>
      <w:r>
        <w:rPr>
          <w:rFonts w:ascii="Arial" w:cs="Arial" w:eastAsia="Arial" w:hAnsi="Arial"/>
          <w:sz w:val="15"/>
          <w:szCs w:val="15"/>
          <w:color w:val="auto"/>
        </w:rPr>
        <w:t>regulator integrated circuits in convenient, modular form factors. The same benefits in performance — efficiency, precision, transient response and small size — are preserved while providing a fully assembled, tested and guaranteed power supply. We offer single in-line package, dual in-line package, or surface mount technology form factors that can be combined with a single programming resistor to set the desired output voltage. A full range of output voltages are supported.</w:t>
      </w:r>
    </w:p>
    <w:p>
      <w:pPr>
        <w:spacing w:after="0" w:line="15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Digital PFC Controllers: </w:t>
      </w:r>
      <w:r>
        <w:rPr>
          <w:rFonts w:ascii="Arial" w:cs="Arial" w:eastAsia="Arial" w:hAnsi="Arial"/>
          <w:sz w:val="16"/>
          <w:szCs w:val="16"/>
          <w:color w:val="auto"/>
        </w:rPr>
        <w:t>Our DSP-based PFC controller for AC-DC power supplies are designed to significantly cut PC energy usage and help reduce</w:t>
      </w:r>
      <w:r>
        <w:rPr>
          <w:rFonts w:ascii="Arial" w:cs="Arial" w:eastAsia="Arial" w:hAnsi="Arial"/>
          <w:sz w:val="16"/>
          <w:szCs w:val="16"/>
          <w:i w:val="1"/>
          <w:iCs w:val="1"/>
          <w:color w:val="auto"/>
        </w:rPr>
        <w:t xml:space="preserve"> </w:t>
      </w:r>
      <w:r>
        <w:rPr>
          <w:rFonts w:ascii="Arial" w:cs="Arial" w:eastAsia="Arial" w:hAnsi="Arial"/>
          <w:sz w:val="16"/>
          <w:szCs w:val="16"/>
          <w:color w:val="auto"/>
        </w:rPr>
        <w:t>the carbon footprint and the need to add more power plants. By integrating more functionality onto a single chip, an average of 20 discrete components traditionally used to build notebook adapters and desktop PC power supplies can be displaced. This allows OEMs to increase product reliability while reducing size and cost. With our smart technology for power supplies, the DSP determines the amount of power required for users’ applications with mixed-mode technology that optimizes operation throughout the cycle by changing from Pulse-Width Modulation to Pulse-Frequency Mode. This keeps the peak current at the lowest level, improving energy efficiency as well as reducing overall system size. The adaptive drive capability of the DSP intelligently adjusts the driving level to the switch; reducing switching loses, while adaptive adjustments also reduce electromagnetic interference for a wide range of switches. Adaptive current limits are also automatically adjusted for varying current threshold limits worldwide, which adds system protection and reliability.</w:t>
      </w:r>
    </w:p>
    <w:p>
      <w:pPr>
        <w:spacing w:after="0" w:line="11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Based on our operational management, we have determined that we operate in one reportable business segment: the design, development and sale of integrated circuits. Please see the financial information regarding this reportable business segment set forth in Part II, Item 7 of this Annual Report on Form 10-K and the information regarding our net revenue and long-lived assets based on geographic regions included in Note 13 — Segment and Geographic Information of our notes to the Consolidated Financial Statements set forth in Part II, Item 8 of this Annual Report on Form 10-K.</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direct sales force targets markets that have high intensity data communications processing and high performance storage requirements.</w:t>
      </w:r>
    </w:p>
    <w:p>
      <w:pPr>
        <w:spacing w:after="0" w:line="194"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customers for our storage products are manufacturers of hard disk drives for the enterprise, desktop and mobile computing markets. Additionally we target manufacturers of blue-laser DVD player sub-systems within the consumer and PC-client market. Furthermore, our storage subsystem products target medium to large RAID system manufactures.</w:t>
      </w:r>
    </w:p>
    <w:p>
      <w:pPr>
        <w:spacing w:after="0" w:line="14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The target customers for our wired and wireless communications products are manufacturers of high-speed networking equipment targeted at WANs, MANs and LANs, in addition to PC-client OEMs. Our target customers for our wireless products include manufacturers of WLAN solutions for small-and-medium size businesses, small office/home office and residential gateway solutions as well as manufacturers of a variety of new consumer applications such as cellular handsets, gaming devices, PDAs, and home entertainment multimedia client devices.</w:t>
      </w:r>
    </w:p>
    <w:p>
      <w:pPr>
        <w:spacing w:after="0" w:line="11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target customers for our cellular and handheld products are manufacturers of cellular handsets, PDAs, personal navigation devices and a large variety of other handheld, portable consumer applications.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target customers for our power management and green technology products are very diverse and include manufacturers of many different electronic devices. The target customers for our video imaging solutions include manufacturers of consumer electronic devices, such as digital televisions, HD-based media players, HD-based set-top-boxes, media clients and audio-visual receivers. The target customers for our VoIP products are the manufacturers and vendors of wireless communications equipment and handsets for the internet voice communications market.</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anticipate that the total amount of sales through distributors will increase in future periods; however, we expect a significant percentage of our sales will continue to come from direct sales to key customers.</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Our marketing team works in conjunction with our field sales and application engineering force and is organized around our product applications and end-markets. Due to the complexity of our products, we believe that individual meetings with our marketing, sales and engineering teams provide the most effective and rapid means of communicating the capabilities, benefits and extremely technical specifications of each significant new product.</w:t>
      </w:r>
    </w:p>
    <w:p>
      <w:pPr>
        <w:spacing w:after="0" w:line="107" w:lineRule="exact"/>
        <w:rPr>
          <w:sz w:val="20"/>
          <w:szCs w:val="20"/>
          <w:color w:val="auto"/>
        </w:rPr>
      </w:pPr>
    </w:p>
    <w:p>
      <w:pPr>
        <w:jc w:val="both"/>
        <w:ind w:right="100" w:firstLine="456"/>
        <w:spacing w:after="0" w:line="268" w:lineRule="auto"/>
        <w:rPr>
          <w:sz w:val="20"/>
          <w:szCs w:val="20"/>
          <w:color w:val="auto"/>
        </w:rPr>
      </w:pPr>
      <w:r>
        <w:rPr>
          <w:rFonts w:ascii="Arial" w:cs="Arial" w:eastAsia="Arial" w:hAnsi="Arial"/>
          <w:sz w:val="18"/>
          <w:szCs w:val="18"/>
          <w:color w:val="auto"/>
        </w:rPr>
        <w:t>A small number of customers have historically accounted for a substantial portion of our revenue. Customers representing 10% or more of our net revenue in fiscal 2009, 2008 and 2007 are set forth below:</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2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494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jc w:val="right"/>
              <w:spacing w:after="0"/>
              <w:rPr>
                <w:sz w:val="20"/>
                <w:szCs w:val="20"/>
                <w:color w:val="auto"/>
              </w:rPr>
            </w:pPr>
            <w:r>
              <w:rPr>
                <w:rFonts w:ascii="Arial" w:cs="Arial" w:eastAsia="Arial" w:hAnsi="Arial"/>
                <w:sz w:val="14"/>
                <w:szCs w:val="14"/>
                <w:b w:val="1"/>
                <w:bCs w:val="1"/>
                <w:color w:val="auto"/>
                <w:w w:val="83"/>
              </w:rPr>
              <w:t>2008</w:t>
            </w:r>
          </w:p>
        </w:tc>
        <w:tc>
          <w:tcPr>
            <w:tcW w:w="360" w:type="dxa"/>
            <w:vAlign w:val="bottom"/>
          </w:tcPr>
          <w:p>
            <w:pPr>
              <w:spacing w:after="0"/>
              <w:rPr>
                <w:sz w:val="14"/>
                <w:szCs w:val="14"/>
                <w:color w:val="auto"/>
              </w:rPr>
            </w:pPr>
          </w:p>
        </w:tc>
        <w:tc>
          <w:tcPr>
            <w:tcW w:w="6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2007</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494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21%</w:t>
            </w:r>
          </w:p>
        </w:tc>
        <w:tc>
          <w:tcPr>
            <w:tcW w:w="6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w:t>
            </w: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4940" w:type="dxa"/>
            <w:vAlign w:val="bottom"/>
            <w:gridSpan w:val="3"/>
          </w:tcPr>
          <w:p>
            <w:pPr>
              <w:jc w:val="right"/>
              <w:ind w:right="560"/>
              <w:spacing w:after="0"/>
              <w:rPr>
                <w:sz w:val="20"/>
                <w:szCs w:val="20"/>
                <w:color w:val="auto"/>
              </w:rPr>
            </w:pPr>
            <w:r>
              <w:rPr>
                <w:rFonts w:ascii="Arial" w:cs="Arial" w:eastAsia="Arial" w:hAnsi="Arial"/>
                <w:sz w:val="18"/>
                <w:szCs w:val="18"/>
                <w:color w:val="auto"/>
              </w:rPr>
              <w:t>*</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620" w:type="dxa"/>
            <w:vAlign w:val="bottom"/>
            <w:gridSpan w:val="3"/>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Samsung</w:t>
            </w:r>
          </w:p>
        </w:tc>
        <w:tc>
          <w:tcPr>
            <w:tcW w:w="494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16 weeks prior to the anticipated delivery date and typically prior to an order for the product. These lead times typically change based on industry lead times.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believe that our future success depends on our ability to introduce improvements to our existing products and to develop new products that deliver cost-effective solutions for both existing and new markets. Our</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8" w:lineRule="auto"/>
        <w:rPr>
          <w:sz w:val="20"/>
          <w:szCs w:val="20"/>
          <w:color w:val="auto"/>
        </w:rPr>
      </w:pPr>
      <w:r>
        <w:rPr>
          <w:rFonts w:ascii="Arial" w:cs="Arial" w:eastAsia="Arial" w:hAnsi="Arial"/>
          <w:sz w:val="16"/>
          <w:szCs w:val="16"/>
          <w:color w:val="auto"/>
        </w:rPr>
        <w:t>research and development efforts are directed largely to the development of high-performance analog, mixed- signal, digital signal processing and embedded microprocessor integrated circuits. We devote a significant portion of our resources to expanding our core intellectual property technology portfolio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13"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have assembled a core team of engineers who have extensive experience in the areas of mixed-signal circuit design, digital signal processing, embedded microprocessors, CMOS technology and system-level architectures. We have invested, and expect that we will continue to invest, significant funds for research and development. Our research and development expense was $930.0 million, $989.0 million and $658.2 million in fiscal 2009, 2008 and 2007, respectively.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We believe that our fabless manufacturing approach provides us with the benefits of superior manufacturing capability as well as flexibility to move the manufacturing, assembly and testing of our products to those vendors that offer the best capability at an attractive price. Our engineers work closely with our foundries and other subcontractors to increase yields, lower manufacturing costs and improve quality.</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vast majority of our integrated circuits are substantially fabricated using widely available CMOS processes, which provide greater flexibility to engage independent foundries to manufacture integrated circuits at lower cost.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with the remaining manufacturing outsourced to other foundries primarily in Asia. We work closely with our foundry partners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outsource all product packaging and substantially all testing requirements for our production products to several assembly and test subcontractors, including STATS ChipPAC Ltd. and Global Testing Corporation in Singapore, Siliconware Precision Industries in Taiwan and ASE Electronics in Singapore, Taiwan and Malaysia. We perform some in-house testing in Malaysia primarily for our printer ASIC solutions and in the United States of new production and pre-production materials prior to transferring the volume packaging and testing offshore to our third party assembly and test subcontractors.</w:t>
      </w:r>
    </w:p>
    <w:p>
      <w:pPr>
        <w:spacing w:after="0" w:line="113"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remainder of our production products is manufactured on a turnkey basis, whereby we purchase fully assembled and tested products from our foundry partners. Our products are designed to use low cost, standard packages and to be tested with widely available test equipment. In addition, we specifically design our integrated circuits for ease of testability, further reducing production costs.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We are certified to the International Organization for Standards Quality Management ISO 9001:2000 level. We build quality into our products starting with the design and development process. Our designs are subjected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spacing w:after="0" w:line="306" w:lineRule="auto"/>
        <w:rPr>
          <w:sz w:val="20"/>
          <w:szCs w:val="20"/>
          <w:color w:val="auto"/>
        </w:rPr>
      </w:pPr>
      <w:r>
        <w:rPr>
          <w:rFonts w:ascii="Arial" w:cs="Arial" w:eastAsia="Arial" w:hAnsi="Arial"/>
          <w:sz w:val="16"/>
          <w:szCs w:val="16"/>
          <w:color w:val="auto"/>
        </w:rPr>
        <w:t>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assembly-test subcontractors have been awarded ISO 9000 certification.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We monitor the environmental impact of our products. The need for lead-free solutions in electronic components and systems has received increasing attention within the semiconductor industry and many companies are moving towards becoming compliant with the Restriction of Hazardous Substances Directive, or RoHS, the European legislation that restricts the use of a number of substances, including lead. We believe that our current products are compliant with the RoHS Directive.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As of January 31, 2009, we have been issued and/or have acquired over 850 U.S. patents and over 200 foreign patents and we have more than 2,300 U.S. and foreign pending patent applications on various aspects of our technology, with expiration dates ranging approximately from 2010 to 2027. We have filed a number of additional patent applications in the United States and other countries. However, we cannot be certain whether we will be issued patents as a result of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12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43" w:lineRule="exact"/>
        <w:rPr>
          <w:sz w:val="20"/>
          <w:szCs w:val="20"/>
          <w:color w:val="auto"/>
        </w:rPr>
      </w:pPr>
    </w:p>
    <w:p>
      <w:pPr>
        <w:ind w:right="660" w:firstLine="456"/>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85"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400" w:firstLine="456"/>
        <w:spacing w:after="0" w:line="259" w:lineRule="auto"/>
        <w:rPr>
          <w:sz w:val="20"/>
          <w:szCs w:val="20"/>
          <w:color w:val="auto"/>
        </w:rPr>
      </w:pPr>
      <w:r>
        <w:rPr>
          <w:rFonts w:ascii="Arial" w:cs="Arial" w:eastAsia="Arial" w:hAnsi="Arial"/>
          <w:sz w:val="18"/>
          <w:szCs w:val="18"/>
          <w:color w:val="auto"/>
        </w:rPr>
        <w:t>The markets for our products are intensely competitive,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emergence of new industry standards;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Our current products face competition from a number of sources. We believe that our principal competitors for our read channel and storage SoC devices are LSI Corporation and STMicroelectronics. Our hard disk controller products compete primarily against devices offered by LSI and those internally developed by the hard disk manufacturers. Our tape drive controller products compete primarily against devices internally developed by tape drive manufacturers.</w:t>
      </w:r>
    </w:p>
    <w:p>
      <w:pPr>
        <w:spacing w:after="0" w:line="10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For transceiver and connectivity products, we compete primarily with LSI, Broadcom Corporation, Intel, Realtek Semiconductor and Vitesse Semiconductor. Our switching products compete primarily against Broadcom and Vitesse Semiconductor. In the market for system controllers, our competitors include Tundra Semiconductor and PLX Technology, and our communications controllers and embedded processors compete directly with products from companies such as Freescale Semiconductor, Raza Microelectronics and PMC-Sierra.</w:t>
      </w:r>
    </w:p>
    <w:p>
      <w:pPr>
        <w:spacing w:after="0" w:line="143"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Our cellular and handheld products compete against Broadcom, Freescale Semiconductor, MediaTek Incorporated, QUALCOMM Corporation, Samsung, STMicroelectronics and Texas Instruments.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the wireless LAN market, our competitors include Atheros Communications, Broadcom, Conexant Systems, Intel and Texas Instruments.</w:t>
      </w:r>
    </w:p>
    <w:p>
      <w:pPr>
        <w:spacing w:after="0" w:line="194"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For our power management products we compete with a number of companies including Analog Devices, International Rectifier, Intersil Corporation, Linear Technology, Maxim Integrated Products Incorporated, National Semiconductor and Texas Instruments.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80"/>
          </w:cols>
          <w:pgMar w:left="240" w:top="45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In addition, we expect increased competition in the future from other emerging and established companies. Although we believe we will be able to successfully compete with existing and potential competitors, some of these current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18"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10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 addition, many of our current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14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need to continue to reduce the cost of our products. We intend to accomplish this by implementing design changes that lower the cost of manufacturing, assembly and testing, by entering into long-term, strategic arrangements with our foundry partners to secure wafer capacity at reduced prices, by negotiating reduced charges from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could be adversely impacted.</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As of January 31, 2009, we had a total of 5,552 employees. Our employees are not represented by any collective bargaining agreements, and we have not experienced any work stoppage. We consider our relations with our employees to be good. On March 5, 2009, in response to the deteriorating global economic environment we announced plans to lower our overall costs and expenses. As a result of this plan and combined with certain cost reduction measures taken in the fourth quarter of fiscal 2009, we plan to reduce our global workforce by approximately 15%, or approximately 850 employees.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January 31, 2009:</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2240" w:type="dxa"/>
            <w:vAlign w:val="bottom"/>
          </w:tcPr>
          <w:p>
            <w:pPr>
              <w:spacing w:after="0"/>
              <w:rPr>
                <w:sz w:val="14"/>
                <w:szCs w:val="14"/>
                <w:color w:val="auto"/>
              </w:rPr>
            </w:pPr>
          </w:p>
        </w:tc>
        <w:tc>
          <w:tcPr>
            <w:tcW w:w="26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3"/>
              </w:rPr>
              <w:t>Age</w:t>
            </w:r>
          </w:p>
        </w:tc>
        <w:tc>
          <w:tcPr>
            <w:tcW w:w="220" w:type="dxa"/>
            <w:vAlign w:val="bottom"/>
          </w:tcPr>
          <w:p>
            <w:pPr>
              <w:spacing w:after="0"/>
              <w:rPr>
                <w:sz w:val="14"/>
                <w:szCs w:val="14"/>
                <w:color w:val="auto"/>
              </w:rPr>
            </w:pPr>
          </w:p>
        </w:tc>
        <w:tc>
          <w:tcPr>
            <w:tcW w:w="6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5"/>
              </w:rPr>
              <w:t>Position(s)</w:t>
            </w:r>
          </w:p>
        </w:tc>
        <w:tc>
          <w:tcPr>
            <w:tcW w:w="6200" w:type="dxa"/>
            <w:vAlign w:val="bottom"/>
          </w:tcPr>
          <w:p>
            <w:pPr>
              <w:spacing w:after="0"/>
              <w:rPr>
                <w:sz w:val="14"/>
                <w:szCs w:val="14"/>
                <w:color w:val="auto"/>
              </w:rPr>
            </w:pPr>
          </w:p>
        </w:tc>
      </w:tr>
      <w:tr>
        <w:trPr>
          <w:trHeight w:val="201"/>
        </w:trPr>
        <w:tc>
          <w:tcPr>
            <w:tcW w:w="2620" w:type="dxa"/>
            <w:vAlign w:val="bottom"/>
            <w:gridSpan w:val="2"/>
          </w:tcPr>
          <w:p>
            <w:pPr>
              <w:spacing w:after="0" w:line="201" w:lineRule="exact"/>
              <w:rPr>
                <w:sz w:val="20"/>
                <w:szCs w:val="20"/>
                <w:color w:val="auto"/>
              </w:rPr>
            </w:pPr>
            <w:r>
              <w:rPr>
                <w:rFonts w:ascii="Arial" w:cs="Arial" w:eastAsia="Arial" w:hAnsi="Arial"/>
                <w:sz w:val="18"/>
                <w:szCs w:val="18"/>
                <w:color w:val="auto"/>
              </w:rPr>
              <w:t>Dr. Sehat Sutardja</w:t>
            </w:r>
          </w:p>
        </w:tc>
        <w:tc>
          <w:tcPr>
            <w:tcW w:w="260" w:type="dxa"/>
            <w:vAlign w:val="bottom"/>
          </w:tcPr>
          <w:p>
            <w:pPr>
              <w:spacing w:after="0" w:line="201" w:lineRule="exact"/>
              <w:rPr>
                <w:sz w:val="20"/>
                <w:szCs w:val="20"/>
                <w:color w:val="auto"/>
              </w:rPr>
            </w:pPr>
            <w:r>
              <w:rPr>
                <w:rFonts w:ascii="Arial" w:cs="Arial" w:eastAsia="Arial" w:hAnsi="Arial"/>
                <w:sz w:val="18"/>
                <w:szCs w:val="18"/>
                <w:color w:val="auto"/>
              </w:rPr>
              <w:t>47</w:t>
            </w:r>
          </w:p>
        </w:tc>
        <w:tc>
          <w:tcPr>
            <w:tcW w:w="220" w:type="dxa"/>
            <w:vAlign w:val="bottom"/>
          </w:tcPr>
          <w:p>
            <w:pPr>
              <w:spacing w:after="0"/>
              <w:rPr>
                <w:sz w:val="17"/>
                <w:szCs w:val="17"/>
                <w:color w:val="auto"/>
              </w:rPr>
            </w:pPr>
          </w:p>
        </w:tc>
        <w:tc>
          <w:tcPr>
            <w:tcW w:w="640" w:type="dxa"/>
            <w:vAlign w:val="bottom"/>
          </w:tcPr>
          <w:p>
            <w:pPr>
              <w:spacing w:after="0" w:line="201" w:lineRule="exact"/>
              <w:rPr>
                <w:sz w:val="20"/>
                <w:szCs w:val="20"/>
                <w:color w:val="auto"/>
              </w:rPr>
            </w:pPr>
            <w:r>
              <w:rPr>
                <w:rFonts w:ascii="Arial" w:cs="Arial" w:eastAsia="Arial" w:hAnsi="Arial"/>
                <w:sz w:val="18"/>
                <w:szCs w:val="18"/>
                <w:color w:val="auto"/>
                <w:w w:val="76"/>
              </w:rPr>
              <w:t>President,</w:t>
            </w:r>
          </w:p>
        </w:tc>
        <w:tc>
          <w:tcPr>
            <w:tcW w:w="6200" w:type="dxa"/>
            <w:vAlign w:val="bottom"/>
          </w:tcPr>
          <w:p>
            <w:pPr>
              <w:ind w:left="100"/>
              <w:spacing w:after="0" w:line="201" w:lineRule="exact"/>
              <w:rPr>
                <w:sz w:val="20"/>
                <w:szCs w:val="20"/>
                <w:color w:val="auto"/>
              </w:rPr>
            </w:pPr>
            <w:r>
              <w:rPr>
                <w:rFonts w:ascii="Arial" w:cs="Arial" w:eastAsia="Arial" w:hAnsi="Arial"/>
                <w:sz w:val="18"/>
                <w:szCs w:val="18"/>
                <w:color w:val="auto"/>
              </w:rPr>
              <w:t>Chief Executive Officer and Chairman of the Board</w:t>
            </w:r>
          </w:p>
        </w:tc>
      </w:tr>
      <w:tr>
        <w:trPr>
          <w:trHeight w:val="216"/>
        </w:trPr>
        <w:tc>
          <w:tcPr>
            <w:tcW w:w="262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260" w:type="dxa"/>
            <w:vAlign w:val="bottom"/>
          </w:tcPr>
          <w:p>
            <w:pPr>
              <w:spacing w:after="0"/>
              <w:rPr>
                <w:sz w:val="20"/>
                <w:szCs w:val="20"/>
                <w:color w:val="auto"/>
              </w:rPr>
            </w:pPr>
            <w:r>
              <w:rPr>
                <w:rFonts w:ascii="Arial" w:cs="Arial" w:eastAsia="Arial" w:hAnsi="Arial"/>
                <w:sz w:val="18"/>
                <w:szCs w:val="18"/>
                <w:color w:val="auto"/>
              </w:rPr>
              <w:t>49</w:t>
            </w:r>
          </w:p>
        </w:tc>
        <w:tc>
          <w:tcPr>
            <w:tcW w:w="220" w:type="dxa"/>
            <w:vAlign w:val="bottom"/>
          </w:tcPr>
          <w:p>
            <w:pPr>
              <w:spacing w:after="0"/>
              <w:rPr>
                <w:sz w:val="18"/>
                <w:szCs w:val="18"/>
                <w:color w:val="auto"/>
              </w:rPr>
            </w:pPr>
          </w:p>
        </w:tc>
        <w:tc>
          <w:tcPr>
            <w:tcW w:w="6840" w:type="dxa"/>
            <w:vAlign w:val="bottom"/>
            <w:gridSpan w:val="2"/>
          </w:tcPr>
          <w:p>
            <w:pPr>
              <w:spacing w:after="0"/>
              <w:rPr>
                <w:sz w:val="20"/>
                <w:szCs w:val="20"/>
                <w:color w:val="auto"/>
              </w:rPr>
            </w:pPr>
            <w:r>
              <w:rPr>
                <w:rFonts w:ascii="Arial" w:cs="Arial" w:eastAsia="Arial" w:hAnsi="Arial"/>
                <w:sz w:val="18"/>
                <w:szCs w:val="18"/>
                <w:color w:val="auto"/>
              </w:rPr>
              <w:t>Chief Financial Officer, Interim Chief Operating Officer and Secretary (1)</w:t>
            </w:r>
          </w:p>
        </w:tc>
      </w:tr>
      <w:tr>
        <w:trPr>
          <w:trHeight w:val="222"/>
        </w:trPr>
        <w:tc>
          <w:tcPr>
            <w:tcW w:w="262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260" w:type="dxa"/>
            <w:vAlign w:val="bottom"/>
          </w:tcPr>
          <w:p>
            <w:pPr>
              <w:spacing w:after="0"/>
              <w:rPr>
                <w:sz w:val="20"/>
                <w:szCs w:val="20"/>
                <w:color w:val="auto"/>
              </w:rPr>
            </w:pPr>
            <w:r>
              <w:rPr>
                <w:rFonts w:ascii="Arial" w:cs="Arial" w:eastAsia="Arial" w:hAnsi="Arial"/>
                <w:sz w:val="18"/>
                <w:szCs w:val="18"/>
                <w:color w:val="auto"/>
              </w:rPr>
              <w:t>46</w:t>
            </w:r>
          </w:p>
        </w:tc>
        <w:tc>
          <w:tcPr>
            <w:tcW w:w="220" w:type="dxa"/>
            <w:vAlign w:val="bottom"/>
          </w:tcPr>
          <w:p>
            <w:pPr>
              <w:spacing w:after="0"/>
              <w:rPr>
                <w:sz w:val="19"/>
                <w:szCs w:val="19"/>
                <w:color w:val="auto"/>
              </w:rPr>
            </w:pPr>
          </w:p>
        </w:tc>
        <w:tc>
          <w:tcPr>
            <w:tcW w:w="6840" w:type="dxa"/>
            <w:vAlign w:val="bottom"/>
            <w:gridSpan w:val="2"/>
          </w:tcPr>
          <w:p>
            <w:pPr>
              <w:spacing w:after="0"/>
              <w:rPr>
                <w:sz w:val="20"/>
                <w:szCs w:val="20"/>
                <w:color w:val="auto"/>
              </w:rPr>
            </w:pPr>
            <w:r>
              <w:rPr>
                <w:rFonts w:ascii="Arial" w:cs="Arial" w:eastAsia="Arial" w:hAnsi="Arial"/>
                <w:sz w:val="18"/>
                <w:szCs w:val="18"/>
                <w:color w:val="auto"/>
                <w:w w:val="89"/>
              </w:rPr>
              <w:t>Vice President, Chief Technology Officer, Chief Research and Development Officer and Director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right="260" w:hanging="452"/>
        <w:spacing w:after="0" w:line="268"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Clyde R. Hosein became our Chief Financial Officer on June 23, 2008. Our previous Interim Chief Financial Officer, George de Urioste, resigned from such position on June 23, 2008 and assumed the</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40"/>
          </w:cols>
          <w:pgMar w:left="240" w:top="459" w:right="31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60"/>
        <w:spacing w:after="0" w:line="268" w:lineRule="auto"/>
        <w:rPr>
          <w:sz w:val="20"/>
          <w:szCs w:val="20"/>
          <w:color w:val="auto"/>
        </w:rPr>
      </w:pPr>
      <w:r>
        <w:rPr>
          <w:rFonts w:ascii="Arial" w:cs="Arial" w:eastAsia="Arial" w:hAnsi="Arial"/>
          <w:sz w:val="18"/>
          <w:szCs w:val="18"/>
          <w:color w:val="auto"/>
        </w:rPr>
        <w:t>position of Acting Chief Operating Officer. On October 10, 2008, Mr. de Urioste’s service as our Acting Chief Operating Officer concluded. Mr. Hosein was appointed to serve as Interim Chief Operating Officer on October 20, 2008.</w:t>
      </w:r>
    </w:p>
    <w:p>
      <w:pPr>
        <w:spacing w:after="0" w:line="145"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i w:val="1"/>
          <w:iCs w:val="1"/>
          <w:color w:val="auto"/>
        </w:rPr>
        <w:t>Dr. Sehat Sutardja</w:t>
      </w:r>
      <w:r>
        <w:rPr>
          <w:rFonts w:ascii="Arial" w:cs="Arial" w:eastAsia="Arial" w:hAnsi="Arial"/>
          <w:sz w:val="16"/>
          <w:szCs w:val="16"/>
          <w:color w:val="auto"/>
        </w:rPr>
        <w:t>, one of our co-founders, has served as the President, Chief Executive Officer and Co-Chairman of our Board of Directors since 1995,</w:t>
      </w:r>
      <w:r>
        <w:rPr>
          <w:rFonts w:ascii="Arial" w:cs="Arial" w:eastAsia="Arial" w:hAnsi="Arial"/>
          <w:sz w:val="16"/>
          <w:szCs w:val="16"/>
          <w:i w:val="1"/>
          <w:iCs w:val="1"/>
          <w:color w:val="auto"/>
        </w:rPr>
        <w:t xml:space="preserve"> </w:t>
      </w:r>
      <w:r>
        <w:rPr>
          <w:rFonts w:ascii="Arial" w:cs="Arial" w:eastAsia="Arial" w:hAnsi="Arial"/>
          <w:sz w:val="16"/>
          <w:szCs w:val="16"/>
          <w:color w:val="auto"/>
        </w:rPr>
        <w:t>and Chairman of our Board of Directors since 2003. In addition, Dr. Sehat Sutardja serves as President, Chief Executive Officer and a director of our U.S. operating subsidiary, Marvell Semiconductor, Inc., or MSI. Dr. Sehat Sutardja holds one private company directorship and directorships in our subsidiaries, including Marvell Semiconductor, Ltd., Marvell Technology, Inc. and SysKonnect, Inc. Dr. Sehat Sutardja holds a BS from Iowa State University, and a MS and Ph.D. in Electrical Engineering and Computer Science from the University of California at Berkeley. Dr. Sehat Sutardja was elected as a Fellow to the IEEE in 2007 and holds over 90 U.S. patents. Dr. Sehat Sutardja is the brother of Dr. Pantas Sutardja.</w:t>
      </w:r>
    </w:p>
    <w:p>
      <w:pPr>
        <w:spacing w:after="0" w:line="12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Clyde R. Hosein </w:t>
      </w:r>
      <w:r>
        <w:rPr>
          <w:rFonts w:ascii="Arial" w:cs="Arial" w:eastAsia="Arial" w:hAnsi="Arial"/>
          <w:sz w:val="16"/>
          <w:szCs w:val="16"/>
          <w:color w:val="auto"/>
        </w:rPr>
        <w:t>has served as our Chief Financial Officer since June 2008, our Corporate Secretary since September 2008 and has served as our Interim</w:t>
      </w:r>
      <w:r>
        <w:rPr>
          <w:rFonts w:ascii="Arial" w:cs="Arial" w:eastAsia="Arial" w:hAnsi="Arial"/>
          <w:sz w:val="16"/>
          <w:szCs w:val="16"/>
          <w:i w:val="1"/>
          <w:iCs w:val="1"/>
          <w:color w:val="auto"/>
        </w:rPr>
        <w:t xml:space="preserve"> </w:t>
      </w:r>
      <w:r>
        <w:rPr>
          <w:rFonts w:ascii="Arial" w:cs="Arial" w:eastAsia="Arial" w:hAnsi="Arial"/>
          <w:sz w:val="16"/>
          <w:szCs w:val="16"/>
          <w:color w:val="auto"/>
        </w:rPr>
        <w:t>Chief Operating Officer since October 2008. From March 2003 until June 2008, Mr. Hosein served as Chief Financial Officer for Integrated Device Technologies, a publicly traded company that develops and delivers mixed signal semiconductor solutions to the communications, computing and consumer end markets. From 2001 until 2003, Mr. Hosein served as Chief Financial Officer at Advanced Interconnect Technologies. From 1997 to 2001, Mr. Hosein was the Chief Financial Officer and senior director of corporate planning of Candescent Technologies Corporation. Previous to Candescent, Mr. Hosein spent over 14 years with IBM Corporation, where he held several engineering and financial positions within their storage, microelectronics, data systems and corporate divisions. Mr. Hosein serves on the board of directors of Cree Inc., a publicly traded company that develops and manufactures LED products. Mr. Hosein holds an MBA from New York University Stern School of Business and a BS in industrial engineering from Polytechnic University in New York.</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i w:val="1"/>
          <w:iCs w:val="1"/>
          <w:color w:val="auto"/>
        </w:rPr>
        <w:t>Dr. Pantas Sutardja</w:t>
      </w:r>
      <w:r>
        <w:rPr>
          <w:rFonts w:ascii="Arial" w:cs="Arial" w:eastAsia="Arial" w:hAnsi="Arial"/>
          <w:sz w:val="16"/>
          <w:szCs w:val="16"/>
          <w:color w:val="auto"/>
        </w:rPr>
        <w:t>, one of our co-founders, has served as Vice President and a director since our inception 1995. Dr. Pantas Sutardja was appointed Chief</w:t>
      </w:r>
      <w:r>
        <w:rPr>
          <w:rFonts w:ascii="Arial" w:cs="Arial" w:eastAsia="Arial" w:hAnsi="Arial"/>
          <w:sz w:val="16"/>
          <w:szCs w:val="16"/>
          <w:i w:val="1"/>
          <w:iCs w:val="1"/>
          <w:color w:val="auto"/>
        </w:rPr>
        <w:t xml:space="preserve"> </w:t>
      </w:r>
      <w:r>
        <w:rPr>
          <w:rFonts w:ascii="Arial" w:cs="Arial" w:eastAsia="Arial" w:hAnsi="Arial"/>
          <w:sz w:val="16"/>
          <w:szCs w:val="16"/>
          <w:color w:val="auto"/>
        </w:rPr>
        <w:t>Technology Officer in 2000 and Chief Research and Development Officer in August 2007. Dr. Pantas Sutardja served as our Acting Chief Operating Officer from September 2007 until June 2008. In addition, Dr. Pantas Sutardja serves as Vice President, Chief Technology Officer and a director of our U.S. operating subsidiary, MSI. Dr. Pantas Sutardja does not hold any other directorships other than in our subsidiaries, including Marvell Semiconductor, Ltd., Marvell Technology, Inc. and SysKonnect, Inc. Dr. Pantas Sutardja holds a BS, MS and Ph.D. in Electrical Engineering and Computer Science from the University of California at Berkeley. Dr. Pantas Sutardja is the brother of Dr. Sehat Sutardja.</w:t>
      </w:r>
    </w:p>
    <w:p>
      <w:pPr>
        <w:spacing w:after="0" w:line="23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9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may lose all or part of your investment.</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condition and results of operations may vary, which may cause the price of our common shares to decline.</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operating results have fluctuated in the past and could do so in the future. Because our operating results are difficult to predict, you should not rely on quarterly comparisons of our results of operations as an indication of our future performance.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446"/>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17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Recently we have experienced a substantial downturn in the market price of our common shares.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201"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recent global financial crisis. As a result, our financial results and the market price of our common shares may decline.</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operate primarily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revenue and results of operations. In addition, during these downturns some competitors may become 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Recently global credit and financial markets have been experiencing extreme volatility and disruptions, including severely diminished liquidity and credit availability, declines in consumer confidence, declines in economic growth, volatile energy costs, increases in unemployment rates, and uncertainty about economic stability. As a result, in the fourth quarter of fiscal 2009 we experienced cancellations, deferrals and a significant slowdown in orders and anticipate that these lower revenue levels could continue for the foreseeable future. These conditions make it difficult for our customers, our vendors and us to accurately forecast and plan future business activities, and could cause global businesses to slow spending on our products and services, which</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would delay and lengthen sales cycles. During challenging economic times our customers and distributors may face issues gaining timely access to sufficient credit, which could impact their ability to make timely payments to us. If that were to occur, we may be required to increase our allowance for doubtful accounts and our days sales outstanding would increase. We cannot predict the timing, strength or duration of any economic slowdown or subsequent economic recovery, global or in the hard disk drive and semiconductor industry. If the economy or markets in which we operate continue to deteriorate,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We have experienced significant changes in our management and our Board of Directors in recent years. In May 2007, our former Chief Financial Officer resigned. In addition, our former Executive Vice President and Chief Operating Officer, who is one of our co-founders, resigned from those executive officer positions and as a member of our Board of Directors but continued to serve in various non-executive officer positions for our U.S. operating subsidiary. In June 2008, we hired a Chief Financial Officer to replace our Interim Chief Financial Officer who transitioned to Acting Chief Operating Officer. The service of our Acting Chief Operating Officer concluded in October 2008 and our Chief Financial Officer was appointed to serve as Interim Chief Operating Officer until a permanent replacement can be hired. We also recently hired a new general counsel of our U.S. operating subsidiary. If we cannot recruit a qualified permanent replacement for the position of Chief Operating Officer, our business may suffer. Moreover, we continue to search for new independent directors to fill the existing vacancies on our Board of Directors, and two of the independent directors currently on our Board of Directors joined our Board of Directors in October 2007 and July 2008, respectively. An independent director will either succeed Dr. Sehat Sutardja as Chairman of the Board or be appointed to a new position of Lead Director. Although we will endeavor to implement any director and management transition in as non-disruptive a manner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202" w:lineRule="exact"/>
        <w:rPr>
          <w:sz w:val="20"/>
          <w:szCs w:val="20"/>
          <w:color w:val="auto"/>
        </w:rPr>
      </w:pPr>
    </w:p>
    <w:p>
      <w:pPr>
        <w:jc w:val="both"/>
        <w:spacing w:after="0" w:line="335" w:lineRule="auto"/>
        <w:rPr>
          <w:sz w:val="20"/>
          <w:szCs w:val="20"/>
          <w:color w:val="auto"/>
        </w:rPr>
      </w:pPr>
      <w:r>
        <w:rPr>
          <w:rFonts w:ascii="Arial" w:cs="Arial" w:eastAsia="Arial" w:hAnsi="Arial"/>
          <w:sz w:val="15"/>
          <w:szCs w:val="15"/>
          <w:b w:val="1"/>
          <w:bCs w:val="1"/>
          <w:i w:val="1"/>
          <w:iCs w:val="1"/>
          <w:color w:val="auto"/>
        </w:rPr>
        <w:t>We and certain of our current and former officers and directors have been named as parties to consolidated purported shareholder derivative and class action lawsuits relating to our historic stock option granting practices, and may be named in additional litigation, all of which could require significant management time and attention, result in significant legal expenses, or cause our business, financial condition, results of operations and cash flows to suffer.</w:t>
      </w:r>
    </w:p>
    <w:p>
      <w:pPr>
        <w:spacing w:after="0" w:line="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have been named as a nominal defendant in a purported consolidated shareholder derivative action that names a number of our current and former directors and officers as defendants and that seeks to recover damages purportedly sustained by us in connection with our historic stock option granting practices. The parties in the consolidated derivative lawsuit have reached a tentative settlement, as described below. In addition, a putative consolidated class action has been filed against us and certain of our current and former officers and directors that alleges violations of the federal securities laws in connection with our historic stock option granting practices and which seeks to recover damages. Although our settlement with the SEC in May 2008 concluded the SEC’s formal investigation of us with respect to our historic stock option granting practices, we cannot be certain regarding the outcome of any other unresolved litigation, regulatory proceedings and government enforcement actions relating to our historic stock option granting practices.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Our historic stock option granting practices and the restatement of our financial statements have exposed us to greater risks associated with litigation, regulatory proceedings and government enforcement actions. We and our current and former executive officers and board members may in the future be subject to additional private and government actions relating to our historic stock option granting practices. Subject to certain limitations, we are obligated to indemnify our current and former directors, officers and employees in connection with such lawsuits and government investigations of our historic stock option granting practices and any subsequent litigation.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which could have a material adverse effect on our business, financial condition, results of operations and cash flows. An unfavorable outcome in these litigations could exceed the proceeds obtained from a settlement and policy release with our directors and officers liability insurers and could have a material adverse effect on our business, financial condition, results of operations and cash flows.</w:t>
      </w:r>
    </w:p>
    <w:p>
      <w:pPr>
        <w:spacing w:after="0" w:line="120"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Further, we could be required to pay damages or additional penalties or have other remedies imposed against us, our directors, executive officers or other officers, or employees, which could harm our reputation, business, financial condition, results of operations and cash flows. Moreover, our settlement with the SEC, the tentatively settled shareholder derivative actions and the pending class action litigation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customer and investor confidence in our board and management, and our revenue, net income, expenses, results of operations, profitability, earnings per share and cash flows.</w:t>
      </w:r>
    </w:p>
    <w:p>
      <w:pPr>
        <w:spacing w:after="0" w:line="20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The tentative settlement of the consolidated shareholder derivative actions requires the court’s preliminary and final approval, and may not be approved by the court.</w:t>
      </w:r>
    </w:p>
    <w:p>
      <w:pPr>
        <w:spacing w:after="0" w:line="5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On or about March 5, 2008, the parties to the consolidated shareholder derivative action entered into a memorandum of understanding that tentatively settles and resolves the pending consolidated derivative action filed in connection with our historic stock option granting practices. This tentative settlement of the consolidated derivative action requires court approval before it becomes final. The court may not preliminarily or finally approve the tentative settlement. If the court does not approve the tentative settlement, the parties might elect or be required to continue litigating the consolidated derivative actions.</w:t>
      </w:r>
    </w:p>
    <w:p>
      <w:pPr>
        <w:spacing w:after="0" w:line="194"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On May 8, 2008, we announced that we had reached an agreement with the SEC to settle this matter.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197"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51"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Securities class action litigation often has been brought against a company following periods of volatility in the market price of its securities. Companies in the integrated circuit industry and other technology industries are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520"/>
        <w:spacing w:after="0" w:line="306" w:lineRule="auto"/>
        <w:rPr>
          <w:sz w:val="20"/>
          <w:szCs w:val="20"/>
          <w:color w:val="auto"/>
        </w:rPr>
      </w:pPr>
      <w:r>
        <w:rPr>
          <w:rFonts w:ascii="Arial" w:cs="Arial" w:eastAsia="Arial" w:hAnsi="Arial"/>
          <w:sz w:val="16"/>
          <w:szCs w:val="16"/>
          <w:color w:val="auto"/>
        </w:rPr>
        <w:t>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88"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11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Recent U.S. sub-prime mortgage defaults have had a significant impact across various sectors of the financial markets, causing global credit and liquidity issues. The short-term funding markets experienced credit issues beginning in the second half of calendar 2007 and continuing to date through the first quarter of calendar 2009, leading to liquidity disruption in asset-backed commercial paper and failed auctions in the auction rate securities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16" w:lineRule="exact"/>
        <w:rPr>
          <w:sz w:val="20"/>
          <w:szCs w:val="20"/>
          <w:color w:val="auto"/>
        </w:rPr>
      </w:pPr>
    </w:p>
    <w:p>
      <w:pPr>
        <w:ind w:right="140" w:firstLine="456"/>
        <w:spacing w:after="0" w:line="286" w:lineRule="auto"/>
        <w:rPr>
          <w:sz w:val="20"/>
          <w:szCs w:val="20"/>
          <w:color w:val="auto"/>
        </w:rPr>
      </w:pPr>
      <w:r>
        <w:rPr>
          <w:rFonts w:ascii="Arial" w:cs="Arial" w:eastAsia="Arial" w:hAnsi="Arial"/>
          <w:sz w:val="16"/>
          <w:szCs w:val="16"/>
          <w:color w:val="auto"/>
        </w:rPr>
        <w:t>As of January 31, 2009, our investment portfolio included $41.9 million in par value of auction rate securities. Auction rate securities are usually found in the form of municipal bonds, preferred stock, pools of student loans or collateralized debt obligations with contractual maturities generally between 20 and</w:t>
      </w:r>
    </w:p>
    <w:p>
      <w:pPr>
        <w:ind w:right="120"/>
        <w:spacing w:after="0" w:line="253" w:lineRule="auto"/>
        <w:rPr>
          <w:sz w:val="20"/>
          <w:szCs w:val="20"/>
          <w:color w:val="auto"/>
        </w:rPr>
      </w:pPr>
      <w:r>
        <w:rPr>
          <w:rFonts w:ascii="Arial" w:cs="Arial" w:eastAsia="Arial" w:hAnsi="Arial"/>
          <w:sz w:val="18"/>
          <w:szCs w:val="18"/>
          <w:color w:val="auto"/>
        </w:rPr>
        <w:t>30 years and whose interest rates are reset every seven to 35 days through an auction process. At the end of each reset period, investors can sell or continue to hold the securities at par. Our auction rate securities are all backed by student loans originated under the Federal Family Education Loan Program, or the FFELP, and are over-collateralized, insured and guaranteed by the United States Federal Department of Education, or the DOE. All auction rate securities held by us are rated by the major independent rating agencies as either AAA or Aaa at the time of purchase and their current ratings are still within the guidelines of our investment policy.</w:t>
      </w:r>
    </w:p>
    <w:p>
      <w:pPr>
        <w:spacing w:after="0" w:line="145"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Due to the auction failures, the auction rate securities do not have a readily determinable market value. To estimate the fair value of the auction rate securities as of January 31, 2009, we used a discounted cash flow model on the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considering</w:t>
      </w:r>
    </w:p>
    <w:p>
      <w:pPr>
        <w:spacing w:after="0" w:line="2" w:lineRule="exact"/>
        <w:rPr>
          <w:sz w:val="20"/>
          <w:szCs w:val="20"/>
          <w:color w:val="auto"/>
        </w:rPr>
      </w:pPr>
    </w:p>
    <w:p>
      <w:pPr>
        <w:ind w:right="540"/>
        <w:spacing w:after="0" w:line="261" w:lineRule="auto"/>
        <w:rPr>
          <w:sz w:val="20"/>
          <w:szCs w:val="20"/>
          <w:color w:val="auto"/>
        </w:rPr>
      </w:pPr>
      <w:r>
        <w:rPr>
          <w:rFonts w:ascii="Arial" w:cs="Arial" w:eastAsia="Arial" w:hAnsi="Arial"/>
          <w:sz w:val="18"/>
          <w:szCs w:val="18"/>
          <w:color w:val="auto"/>
        </w:rPr>
        <w:t>the guarantees by the DOE of the underlying student loans, guarantees by other third parties, additional credit enhancements included in the securities, and the rate of return required by investors to own these securities in the current environment.</w:t>
      </w:r>
    </w:p>
    <w:p>
      <w:pPr>
        <w:spacing w:after="0" w:line="13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the fourth quarter of fiscal 2009, UBS, one of the brokers who we purchased auction rate securities from, offered a settlement where UBS has the right to call and sell one of the auction securities we purchased from them at par value of $5 million at a future date. As a result of our participation in this settlement, we included the put option from the settlement in the long term investments and elected to apply Statement of Financial Accounting Standards, or SFAS, No. 159, “The Fair Value Option for Financial Assets and Financial Liabilities,” or SFAS 159, to measure the put option at fair value. We also elected to transfer this auction rate security to trading securities from available-for-securities pursuant to SFAS 115, “Accounting for Certain Investments in Debt and Equity Securities</w:t>
      </w:r>
      <w:r>
        <w:rPr>
          <w:rFonts w:ascii="Arial" w:cs="Arial" w:eastAsia="Arial" w:hAnsi="Arial"/>
          <w:sz w:val="16"/>
          <w:szCs w:val="16"/>
          <w:i w:val="1"/>
          <w:iCs w:val="1"/>
          <w:color w:val="auto"/>
        </w:rPr>
        <w:t>,</w:t>
      </w:r>
      <w:r>
        <w:rPr>
          <w:rFonts w:ascii="Arial" w:cs="Arial" w:eastAsia="Arial" w:hAnsi="Arial"/>
          <w:sz w:val="16"/>
          <w:szCs w:val="16"/>
          <w:color w:val="auto"/>
        </w:rPr>
        <w:t>” or SFAS 115, as our intent is to exercise the put option at a future date.</w:t>
      </w:r>
    </w:p>
    <w:p>
      <w:pPr>
        <w:spacing w:after="0" w:line="12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of January 31, 2009, the estimated fair values of the auction rate securities were $1.3 million less than their par value. Based primarily on our ability and intent to hold these securities until recovery and the extent of impairment, we concluded the decline in fair values was temporary and recorded the unrealized loss to accumulated other comprehensive income (loss), a component of shareholders’ equity as of January 31, 2009. We specifically noted that we had approximately 4.5% of our total cash invested in these auction rate securities, a cash balance of approximately $927.4 million in cash and cash equivalents other than auction rate securities and restricted cash, and that we continue to generate positive cash flow on a quarterly basis.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January 31, 2009.</w:t>
      </w:r>
    </w:p>
    <w:p>
      <w:pPr>
        <w:spacing w:after="0" w:line="14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194"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jc w:val="both"/>
        <w:ind w:right="120" w:firstLine="456"/>
        <w:spacing w:after="0" w:line="294"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In the past three fiscal years, we have completed the acquisition of the ICAP Business and other small acquisitions.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Integrating newly acquired businesses or technologies typically entail many risks that could put a strain on our resources, could be costly and time consuming, and might not be successful. In addition, any acquisitions could materially harm our results of operations or liquidity as a result of either the issuance of dilutive equity securities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0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addition, the purchase price of any acquired businesses may exceed the current fair values of the net tangible assets of the acquired businesses. As a result, we would be required to record material amounts of goodwill, acquired in-process research and development, or IPRD, charges and other intangible assets, which could result in significant impairment and acquired IPRD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had approximately $2.0 billion of goodwill and $287.0 million of intangible assets on our balance sheet as of January 31, 2009. Under GAAP, we are required to review our intangible assets for impairment whenever events or changes in circumstances indicate that the carrying value of these assets may not be recoverable. If the businesses acquired fail to meet our expectations set out at the time of the acquisition or if our market capitalization adjusted for control premiums and other factors declines to below our carrying value, we could incur significant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private companies. If the companies that we invest in are unable to execute their plans and succeed in their respective markets, we may not benefit from such investments, and we could potentially lose the amounts we invest. In addition, we evaluate our investment portfolio on a regular basis to determine if impairments have occurred. Impairment charges could have a material impact on our results of operations in any period.</w:t>
      </w:r>
    </w:p>
    <w:p>
      <w:pPr>
        <w:spacing w:after="0" w:line="188"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51"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some of our customers are participants in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51"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For the year ended January 31, 2009, one customer accounted for a total of approximately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00" w:hanging="446"/>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substantially all of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 party contractors. As a consequence of this earthquake, these contractors suffered power outages and disruptions that impaired their production capacity. Major earthquakes also occurred in Taiwan in 2002, 2003, 2004 and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20"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to transition the manufacture of our products to other foundries, and we could experience significant delays in securing sufficient supplies of those components.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This could result in a material decline in revenues, net income and cash flow.</w:t>
      </w:r>
    </w:p>
    <w:p>
      <w:pPr>
        <w:spacing w:after="0" w:line="165"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are unable to accurately predict our future sales and to appropriately budget for our expenses, our results of operations could suffer.</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rapidly changing nature of the global economy and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our profitability could be adversely affected due to our higher expense levels. For example, in the fourth quarter of fiscal 2009, we implemented cost reduction measures to reduce operating expenses due to the deteriorating economic environment. Further, in the first quarter of fiscal 2010, we announced plans that combined with the cost reduction measures taken in the fourth quarter of fiscal 2009, will reduce our global workforce by approximately 15%, or approximately 850 employees. We expect cost savings from this restructuring to be used to offset market forces or to be reinvested in our businesses to strengthen our competitiveness, but we cannot be certain that we will be successful in these efforts.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35"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We strongly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1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in accordance with Auditing Standard No. 5, a process which sometimes leads to modifications in such controls. These modifications could affect the overall effectiveness or evaluation of the control system in the future by us or our independent registered public accounting firm.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Changes in financial accounting standards or practices or changes in existing taxation rules or practices may cause adverse unexpected revenue and expense fluctuations and affect our reported results of operations.</w:t>
      </w:r>
    </w:p>
    <w:p>
      <w:pPr>
        <w:spacing w:after="0" w:line="51"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Changes to existing rules or the questioning of current practices by regulators may adversely affect our reported financial results or the way we conduct our business.</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44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5,552 employees, as of January 31, 2009.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scale down our business further through additional expense and headcount reductions as well as facility consolidations or closures that could result in restructuring charges that would materially and adversely affect our results of operations. In the fourth quarter of fiscal 2009, we implemented cost reduction measures to reduce operating expenses due to the deteriorating economic environment. Further, in the first quarter of fiscal 2010, we announced plans that combined with the cost reduction measures taken in the fourth quarter of fiscal 2009, will reduce our global workforce by approximately 15%, or approximately 850 employees.</w:t>
      </w:r>
    </w:p>
    <w:p>
      <w:pPr>
        <w:spacing w:after="0" w:line="121"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current or future business.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We sell many of our products to customers through distributors and manufacturers’ representatives. From time to time, we enter into relationships with new distributors and manufacturers’ representatives, and we are unable to predict the extent to which new distributors and manufacturers’ representatives will be successful in marketing and selling our products. Moreover, many of our distributors and manufacturers’ representatives also</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market and sell competing 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210"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45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94" w:lineRule="auto"/>
        <w:rPr>
          <w:sz w:val="20"/>
          <w:szCs w:val="20"/>
          <w:color w:val="auto"/>
        </w:rPr>
      </w:pPr>
      <w:r>
        <w:rPr>
          <w:rFonts w:ascii="Arial" w:cs="Arial" w:eastAsia="Arial" w:hAnsi="Arial"/>
          <w:sz w:val="16"/>
          <w:szCs w:val="16"/>
          <w:color w:val="auto"/>
        </w:rPr>
        <w:t>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97"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4"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key employees or the inability to attract or retain qualified personnel, including engineers and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Dr. Sehat Sutardja, our President and Chief Executive Officer, and Weili Dai, who serves as our Vice President of Sales for Communications and Consumer Business of MSI, are husband and wife, and Dr. Sehat Sutardja and Dr. Pantas Sutardja, our Vice President, Chief Technology Officer and Chief Research and Development Officer, are brothers. Together, these three individuals held approximately 18% of our outstanding common shares as of January 31, 2009.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pacing w:after="0" w:line="118"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13" w:lineRule="exact"/>
        <w:rPr>
          <w:sz w:val="20"/>
          <w:szCs w:val="20"/>
          <w:color w:val="auto"/>
        </w:rPr>
      </w:pPr>
    </w:p>
    <w:p>
      <w:pPr>
        <w:ind w:right="1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and economic risks, which may harm our results of operations, because a majority of our products and our customers’ products are manufactured and sold outside of the United States.</w:t>
      </w:r>
    </w:p>
    <w:p>
      <w:pPr>
        <w:spacing w:after="0" w:line="4"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86% of our net revenue in fiscal 2009, 84% of our net revenue in fiscal 2008 and 89% of our net revenue in fiscal 2007.</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substantial operations, including approximately 21% of our workforce as of January 31, 2009,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w:t>
      </w:r>
    </w:p>
    <w:p>
      <w:pPr>
        <w:spacing w:after="0" w:line="143" w:lineRule="exact"/>
        <w:rPr>
          <w:sz w:val="20"/>
          <w:szCs w:val="20"/>
          <w:color w:val="auto"/>
        </w:rPr>
      </w:pPr>
    </w:p>
    <w:p>
      <w:pPr>
        <w:ind w:right="440" w:firstLine="45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4" w:lineRule="exact"/>
        <w:rPr>
          <w:sz w:val="20"/>
          <w:szCs w:val="20"/>
          <w:color w:val="auto"/>
        </w:rPr>
      </w:pPr>
    </w:p>
    <w:p>
      <w:pPr>
        <w:ind w:left="900" w:right="36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2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80"/>
          </w:cols>
          <w:pgMar w:left="240" w:top="459" w:right="27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profit margin.</w:t>
      </w:r>
    </w:p>
    <w:p>
      <w:pPr>
        <w:spacing w:after="0" w:line="51"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profit margin.</w:t>
      </w:r>
    </w:p>
    <w:p>
      <w:pPr>
        <w:spacing w:after="0" w:line="143"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product sales cycle that does not assure product sales, and that if unsuccessful, may harm our results of operations.</w:t>
      </w:r>
    </w:p>
    <w:p>
      <w:pPr>
        <w:spacing w:after="0" w:line="125"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40" w:lineRule="exact"/>
        <w:rPr>
          <w:sz w:val="20"/>
          <w:szCs w:val="20"/>
          <w:color w:val="auto"/>
        </w:rPr>
      </w:pPr>
    </w:p>
    <w:p>
      <w:pPr>
        <w:ind w:right="120" w:firstLine="456"/>
        <w:spacing w:after="0" w:line="287"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products, the customer generally will solely use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 for the prior generation.</w:t>
      </w:r>
    </w:p>
    <w:p>
      <w:pPr>
        <w:spacing w:after="0" w:line="12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Our future success will depend on our ability to anticipate and adapt to changes in technology and industry standards and our customers’ changing demands. We sell products in markets that are characterized by rapid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firstLine="456"/>
        <w:spacing w:after="0" w:line="307" w:lineRule="auto"/>
        <w:rPr>
          <w:sz w:val="20"/>
          <w:szCs w:val="20"/>
          <w:color w:val="auto"/>
        </w:rPr>
      </w:pPr>
      <w:r>
        <w:rPr>
          <w:rFonts w:ascii="Arial" w:cs="Arial" w:eastAsia="Arial" w:hAnsi="Arial"/>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w:t>
      </w:r>
    </w:p>
    <w:p>
      <w:pPr>
        <w:spacing w:after="0" w:line="193"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5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certain patent licenses with third parties that are up for renewal in calendar year 2009,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40" w:hanging="446"/>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6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We have agreed to indemnify select customers for claims made against our products, where such claims allege infringement of third party intellectual property rights, including, but not limited to, patents, registered trademarks, and/or copyrights. For example, customers have requested us to indemnify them in connection with a patent infringement lawsuits filed in Texas by Australia’s Commonwealth Scientific and Industrial Research Organization, or CSIRO, which alleges its asserted patent is essential to the 802.11 wireless standard. We have also filed an action, also in Texas, against CSIRO seeking a declaratory judgment that CSIRO’s patent is invalid and unenforceable and that we and our customers do not infringe the CSIRO patent. Similarly, certain customers have asked us to indemnify them in connection with patent infringement lawsuits filed in Texas by Wi-Lan, a Canadian company, who likewise alleges their asserted patents are essential to the 802.11 wireless standard. Marvell is also named as a defendant in those cases. In addition, we filed a declaratory judgment action in California against Wi-Lan asking the court to find that our products do not infringe a certain Wi-Lan patent that Wi-Lan claims read on products that practice IEEE 802.11, 802.16 and/or Bluetooth standards. We believe it does not infringe either the asserted CSIRO or Wi-Lan patents and we will vigorously defend ourselves in these matters.</w:t>
      </w:r>
    </w:p>
    <w:p>
      <w:pPr>
        <w:spacing w:after="0" w:line="12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and/or our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90"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43"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18" w:lineRule="auto"/>
        <w:rPr>
          <w:sz w:val="20"/>
          <w:szCs w:val="20"/>
          <w:color w:val="auto"/>
        </w:rPr>
      </w:pPr>
      <w:r>
        <w:rPr>
          <w:rFonts w:ascii="Arial" w:cs="Arial" w:eastAsia="Arial" w:hAnsi="Arial"/>
          <w:sz w:val="15"/>
          <w:szCs w:val="15"/>
          <w:color w:val="auto"/>
        </w:rPr>
        <w:t>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In light of the current economic downturn, we are in discussion with the Economic Development Board of Singapore to amend part of the pioneer conditions for the future years. We intend to come to an agreement which would preserve the 15 year tax exemption status and expect to receive the final amendments from the Economic Development Board of Singapore by July 2009. If our Pioneer Status is terminated early, our financial results could be harmed.</w:t>
      </w:r>
    </w:p>
    <w:p>
      <w:pPr>
        <w:spacing w:after="0" w:line="10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February 2, 2008, two Israeli subsidiaries, Marvell Software Solutions Israel Ltd. formerly known as Radlan Computer Communications Ltd. and Marvell DSPC Ltd., or Marvell DSPC, merged into Marvell Israel (M.I.S.L) Ltd., or MISL. In December 2008, the Israel Tax Authorities ruled that the merger agreement under §103H of the Israel Tax Ordinance would allow offset of carryforward net operating losses against the taxable income generated by the merged company but limited to 20% of the accumulated net operating losses prior to the merger or no greater than 50% of the taxable income generated by the merged company during the 5 years following the merger. Any significant changes to our operations in Israel may require a valuation allowance to offset our deferred tax assets which consequently could adversely affect our financial results.</w:t>
      </w:r>
    </w:p>
    <w:p>
      <w:pPr>
        <w:spacing w:after="0" w:line="12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Under the law, including Amendment No. 60 to the law that was published in April 2005, by virtue of the “approved or benefited enterprise” status granted to certain of its enterprises, the Israeli subsidiaries are entitled to various tax benefits. Two divisions, MISL and Marvell DSPC, have five approved programs and one program under the amended law. The first program was approved for MISL in 1995 and the most recent was approved in 2006. Marvell D.S.P.C. has five approved programs and two programs under the amended law; with the first approved in 1990 and the most recent in 2007. The benefit period is generally 10 to 15 years and begins commencing in the first year in which our Israeli subsidiaries earn taxable income from the approved or benefited enterprises provided the maximum period to which it is restricted by law has not elapsed. Income from the approved or benefited enterprises is subject to reduced tax rates ranging between 0% and 10% or tax exemptions for fiscal years 2008 through 2020. As our tax holidays expire, we expect that we will start paying income tax at the statutory tax rate on our operations within these development regions which will adversely impact our effective tax rate.</w:t>
      </w:r>
    </w:p>
    <w:p>
      <w:pPr>
        <w:spacing w:after="0" w:line="118"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Malaysia, Switzerland and Shanghai, China subject us to the risks of owning real property, which include:</w:t>
      </w:r>
    </w:p>
    <w:p>
      <w:pPr>
        <w:spacing w:after="0" w:line="51" w:lineRule="exact"/>
        <w:rPr>
          <w:sz w:val="20"/>
          <w:szCs w:val="20"/>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60"/>
          </w:cols>
          <w:pgMar w:left="240" w:top="459" w:right="29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51"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9"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5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171"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Our U.S. headquarters, housing research and design functions as well as elements of sales, marketing, administration and operations, is located in Santa Clara, California. The Santa Clara facility consists of</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approximately 993,000 square feet on 33.8 acres of land. We also own buildings in Switzerland, Malaysia, China and Singapore which are used for operations, research and design, sales, marketing and administrative functions.</w:t>
      </w:r>
    </w:p>
    <w:p>
      <w:pPr>
        <w:spacing w:after="0" w:line="132" w:lineRule="exact"/>
        <w:rPr>
          <w:sz w:val="20"/>
          <w:szCs w:val="20"/>
          <w:color w:val="auto"/>
        </w:rPr>
      </w:pPr>
    </w:p>
    <w:p>
      <w:pPr>
        <w:ind w:right="300" w:firstLine="456"/>
        <w:spacing w:after="0" w:line="298" w:lineRule="auto"/>
        <w:rPr>
          <w:sz w:val="20"/>
          <w:szCs w:val="20"/>
          <w:color w:val="auto"/>
        </w:rPr>
      </w:pPr>
      <w:r>
        <w:rPr>
          <w:rFonts w:ascii="Arial" w:cs="Arial" w:eastAsia="Arial" w:hAnsi="Arial"/>
          <w:sz w:val="16"/>
          <w:szCs w:val="16"/>
          <w:color w:val="auto"/>
        </w:rPr>
        <w:t>In addition to these properties, we lease approximately 361,000 square feet in Israel for research and design, administration and operations, which lease term expires in August 2025. We also lease smaller facilities in Bermuda, Canada, China, Finland, Germany, India, Italy, Japan, Korea, Taiwan, the United Kingdom and the United States, which are occupied by administrative, sales, design and field application personnel. We also lease one additional building in California, totaling approximately 41,000 square feet, which is currently subleased to tenants as of January 31, 2009.</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Based upon our estimates of future hiring, we believe that our current facilities will be adequate to meet our requirements at least through the next fiscal</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year.</w:t>
      </w:r>
    </w:p>
    <w:p>
      <w:pPr>
        <w:spacing w:after="0" w:line="28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information set forth under Note 12 – Commitments and Contingencies (Contingencies) of our notes to the Consolidated Financial Statements set forth in Part II, Item 8 of this Annual Report on Form 10-K is incorporated herein by reference. For additional discussion of certain risks associated with legal proceedings,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Submission of Matters to a Vote of Security Holders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 matters were submitted to a vote of security holders during the fourth quarter of fiscal 2009.</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4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Stockholder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The following table shows, for the periods indicated, the high and low intra-day sale prices for our common shares on the Nasdaq Global Select Market and reflects the stock split effected in fiscal 2007.</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8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w w:val="93"/>
              </w:rPr>
              <w:t>Fiscal Year 2009</w:t>
            </w:r>
          </w:p>
        </w:tc>
        <w:tc>
          <w:tcPr>
            <w:tcW w:w="1360" w:type="dxa"/>
            <w:vAlign w:val="bottom"/>
            <w:gridSpan w:val="5"/>
          </w:tcPr>
          <w:p>
            <w:pPr>
              <w:ind w:left="200"/>
              <w:spacing w:after="0"/>
              <w:rPr>
                <w:sz w:val="20"/>
                <w:szCs w:val="20"/>
                <w:color w:val="auto"/>
              </w:rPr>
            </w:pPr>
            <w:r>
              <w:rPr>
                <w:rFonts w:ascii="Arial" w:cs="Arial" w:eastAsia="Arial" w:hAnsi="Arial"/>
                <w:sz w:val="14"/>
                <w:szCs w:val="14"/>
                <w:b w:val="1"/>
                <w:bCs w:val="1"/>
                <w:color w:val="auto"/>
              </w:rPr>
              <w:t>Fiscal Year 2008</w:t>
            </w:r>
          </w:p>
        </w:tc>
      </w:tr>
      <w:tr>
        <w:trPr>
          <w:trHeight w:val="142"/>
        </w:trPr>
        <w:tc>
          <w:tcPr>
            <w:tcW w:w="476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400" w:type="dxa"/>
            <w:vAlign w:val="bottom"/>
            <w:tcBorders>
              <w:top w:val="single" w:sz="8" w:color="auto"/>
              <w:bottom w:val="single" w:sz="8" w:color="auto"/>
            </w:tcBorders>
          </w:tcPr>
          <w:p>
            <w:pPr>
              <w:ind w:left="20"/>
              <w:spacing w:after="0" w:line="142" w:lineRule="exact"/>
              <w:rPr>
                <w:sz w:val="20"/>
                <w:szCs w:val="20"/>
                <w:color w:val="auto"/>
              </w:rPr>
            </w:pPr>
            <w:r>
              <w:rPr>
                <w:rFonts w:ascii="Arial" w:cs="Arial" w:eastAsia="Arial" w:hAnsi="Arial"/>
                <w:sz w:val="14"/>
                <w:szCs w:val="14"/>
                <w:b w:val="1"/>
                <w:bCs w:val="1"/>
                <w:color w:val="auto"/>
              </w:rPr>
              <w:t>High</w:t>
            </w:r>
          </w:p>
        </w:tc>
        <w:tc>
          <w:tcPr>
            <w:tcW w:w="18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400" w:type="dxa"/>
            <w:vAlign w:val="bottom"/>
            <w:tcBorders>
              <w:top w:val="single" w:sz="8" w:color="auto"/>
              <w:bottom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340" w:type="dxa"/>
            <w:vAlign w:val="bottom"/>
          </w:tcPr>
          <w:p>
            <w:pPr>
              <w:spacing w:after="0"/>
              <w:rPr>
                <w:sz w:val="12"/>
                <w:szCs w:val="12"/>
                <w:color w:val="auto"/>
              </w:rPr>
            </w:pPr>
          </w:p>
        </w:tc>
        <w:tc>
          <w:tcPr>
            <w:tcW w:w="500" w:type="dxa"/>
            <w:vAlign w:val="bottom"/>
            <w:tcBorders>
              <w:top w:val="single" w:sz="8" w:color="auto"/>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9"/>
              </w:rPr>
              <w:t>High</w:t>
            </w:r>
          </w:p>
        </w:tc>
        <w:tc>
          <w:tcPr>
            <w:tcW w:w="340" w:type="dxa"/>
            <w:vAlign w:val="bottom"/>
            <w:tcBorders>
              <w:top w:val="single" w:sz="8" w:color="auto"/>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400" w:type="dxa"/>
            <w:vAlign w:val="bottom"/>
            <w:tcBorders>
              <w:top w:val="single" w:sz="8" w:color="auto"/>
              <w:bottom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20" w:type="dxa"/>
            <w:vAlign w:val="bottom"/>
          </w:tcPr>
          <w:p>
            <w:pPr>
              <w:spacing w:after="0"/>
              <w:rPr>
                <w:sz w:val="12"/>
                <w:szCs w:val="12"/>
                <w:color w:val="auto"/>
              </w:rPr>
            </w:pPr>
          </w:p>
        </w:tc>
      </w:tr>
      <w:tr>
        <w:trPr>
          <w:trHeight w:val="210"/>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First Quarter</w:t>
            </w:r>
          </w:p>
        </w:tc>
        <w:tc>
          <w:tcPr>
            <w:tcW w:w="3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4"/>
              </w:rPr>
              <w:t>13.69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4"/>
              </w:rPr>
              <w:t>10.02</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$21.20</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16.04</w:t>
            </w:r>
          </w:p>
        </w:tc>
        <w:tc>
          <w:tcPr>
            <w:tcW w:w="20" w:type="dxa"/>
            <w:vAlign w:val="bottom"/>
          </w:tcPr>
          <w:p>
            <w:pPr>
              <w:spacing w:after="0"/>
              <w:rPr>
                <w:sz w:val="18"/>
                <w:szCs w:val="18"/>
                <w:color w:val="auto"/>
              </w:rPr>
            </w:pPr>
          </w:p>
        </w:tc>
      </w:tr>
      <w:tr>
        <w:trPr>
          <w:trHeight w:val="216"/>
        </w:trPr>
        <w:tc>
          <w:tcPr>
            <w:tcW w:w="4760" w:type="dxa"/>
            <w:vAlign w:val="bottom"/>
          </w:tcPr>
          <w:p>
            <w:pPr>
              <w:spacing w:after="0"/>
              <w:rPr>
                <w:sz w:val="20"/>
                <w:szCs w:val="20"/>
                <w:color w:val="auto"/>
              </w:rPr>
            </w:pPr>
            <w:r>
              <w:rPr>
                <w:rFonts w:ascii="Arial" w:cs="Arial" w:eastAsia="Arial" w:hAnsi="Arial"/>
                <w:sz w:val="18"/>
                <w:szCs w:val="18"/>
                <w:color w:val="auto"/>
              </w:rPr>
              <w:t>Second Quarter</w:t>
            </w:r>
          </w:p>
        </w:tc>
        <w:tc>
          <w:tcPr>
            <w:tcW w:w="3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180"/>
              <w:spacing w:after="0"/>
              <w:rPr>
                <w:sz w:val="20"/>
                <w:szCs w:val="20"/>
                <w:color w:val="auto"/>
              </w:rPr>
            </w:pPr>
            <w:r>
              <w:rPr>
                <w:rFonts w:ascii="Arial" w:cs="Arial" w:eastAsia="Arial" w:hAnsi="Arial"/>
                <w:sz w:val="18"/>
                <w:szCs w:val="18"/>
                <w:color w:val="auto"/>
                <w:w w:val="84"/>
              </w:rPr>
              <w:t>18.31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40"/>
              <w:spacing w:after="0"/>
              <w:rPr>
                <w:sz w:val="20"/>
                <w:szCs w:val="20"/>
                <w:color w:val="auto"/>
              </w:rPr>
            </w:pPr>
            <w:r>
              <w:rPr>
                <w:rFonts w:ascii="Arial" w:cs="Arial" w:eastAsia="Arial" w:hAnsi="Arial"/>
                <w:sz w:val="18"/>
                <w:szCs w:val="18"/>
                <w:color w:val="auto"/>
                <w:w w:val="84"/>
              </w:rPr>
              <w:t>12.79</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$20.04</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15.25</w:t>
            </w:r>
          </w:p>
        </w:tc>
        <w:tc>
          <w:tcPr>
            <w:tcW w:w="20" w:type="dxa"/>
            <w:vAlign w:val="bottom"/>
          </w:tcPr>
          <w:p>
            <w:pPr>
              <w:spacing w:after="0"/>
              <w:rPr>
                <w:sz w:val="18"/>
                <w:szCs w:val="18"/>
                <w:color w:val="auto"/>
              </w:rPr>
            </w:pPr>
          </w:p>
        </w:tc>
      </w:tr>
      <w:tr>
        <w:trPr>
          <w:trHeight w:val="216"/>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3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4"/>
              </w:rPr>
              <w:t>16.63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5.61</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$19.08</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15.27</w:t>
            </w:r>
          </w:p>
        </w:tc>
        <w:tc>
          <w:tcPr>
            <w:tcW w:w="20" w:type="dxa"/>
            <w:vAlign w:val="bottom"/>
          </w:tcPr>
          <w:p>
            <w:pPr>
              <w:spacing w:after="0"/>
              <w:rPr>
                <w:sz w:val="18"/>
                <w:szCs w:val="18"/>
                <w:color w:val="auto"/>
              </w:rPr>
            </w:pPr>
          </w:p>
        </w:tc>
      </w:tr>
      <w:tr>
        <w:trPr>
          <w:trHeight w:val="222"/>
        </w:trPr>
        <w:tc>
          <w:tcPr>
            <w:tcW w:w="4760" w:type="dxa"/>
            <w:vAlign w:val="bottom"/>
          </w:tcPr>
          <w:p>
            <w:pPr>
              <w:spacing w:after="0"/>
              <w:rPr>
                <w:sz w:val="20"/>
                <w:szCs w:val="20"/>
                <w:color w:val="auto"/>
              </w:rPr>
            </w:pPr>
            <w:r>
              <w:rPr>
                <w:rFonts w:ascii="Arial" w:cs="Arial" w:eastAsia="Arial" w:hAnsi="Arial"/>
                <w:sz w:val="18"/>
                <w:szCs w:val="18"/>
                <w:color w:val="auto"/>
              </w:rPr>
              <w:t>Fourth Quarter</w:t>
            </w:r>
          </w:p>
        </w:tc>
        <w:tc>
          <w:tcPr>
            <w:tcW w:w="3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180"/>
              <w:spacing w:after="0"/>
              <w:rPr>
                <w:sz w:val="20"/>
                <w:szCs w:val="20"/>
                <w:color w:val="auto"/>
              </w:rPr>
            </w:pPr>
            <w:r>
              <w:rPr>
                <w:rFonts w:ascii="Arial" w:cs="Arial" w:eastAsia="Arial" w:hAnsi="Arial"/>
                <w:sz w:val="18"/>
                <w:szCs w:val="18"/>
                <w:color w:val="auto"/>
              </w:rPr>
              <w:t>7.73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40"/>
              <w:spacing w:after="0"/>
              <w:rPr>
                <w:sz w:val="20"/>
                <w:szCs w:val="20"/>
                <w:color w:val="auto"/>
              </w:rPr>
            </w:pPr>
            <w:r>
              <w:rPr>
                <w:rFonts w:ascii="Arial" w:cs="Arial" w:eastAsia="Arial" w:hAnsi="Arial"/>
                <w:sz w:val="18"/>
                <w:szCs w:val="18"/>
                <w:color w:val="auto"/>
              </w:rPr>
              <w:t>4.48</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$18.84</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9.77</w:t>
            </w:r>
          </w:p>
        </w:tc>
        <w:tc>
          <w:tcPr>
            <w:tcW w:w="20" w:type="dxa"/>
            <w:vAlign w:val="bottom"/>
          </w:tcPr>
          <w:p>
            <w:pPr>
              <w:spacing w:after="0"/>
              <w:rPr>
                <w:sz w:val="19"/>
                <w:szCs w:val="19"/>
                <w:color w:val="auto"/>
              </w:rPr>
            </w:pPr>
          </w:p>
        </w:tc>
      </w:tr>
    </w:tbl>
    <w:p>
      <w:pPr>
        <w:spacing w:after="0" w:line="14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As of March 15, 2009 the approximate number of record holders of our common shares was 217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30, 2004, through January 31, 2009. The graph assumes that $100 was invested on January 30, 2004 in our common shares and on January 31, 2004 in each index and that any dividends were reinvested. No cash dividends have been declared on our common shares since our initial public offering in 2000.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1196975</wp:posOffset>
            </wp:positionH>
            <wp:positionV relativeFrom="paragraph">
              <wp:posOffset>147320</wp:posOffset>
            </wp:positionV>
            <wp:extent cx="4862195" cy="414210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4862195" cy="41421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We have never declared or paid a cash dividend on our common shares and do not anticipate paying any cash dividends in the foreseeable future. Any future determination with respect to the declaration and payment of dividends will be at the discretion of our Board of Directors.</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380"/>
          </w:cols>
          <w:pgMar w:left="240" w:top="45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9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Information regarding the securities authorized for issuance under our equity compensation plans can be found under Part III, Item 12 of this Annual Report on Form 10-K under the caption “Equity Compensation Plan Information.”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jc w:val="right"/>
              <w:ind w:right="15"/>
              <w:spacing w:after="0"/>
              <w:rPr>
                <w:sz w:val="20"/>
                <w:szCs w:val="20"/>
                <w:color w:val="auto"/>
              </w:rPr>
            </w:pPr>
            <w:r>
              <w:rPr>
                <w:rFonts w:ascii="Arial" w:cs="Arial" w:eastAsia="Arial" w:hAnsi="Arial"/>
                <w:sz w:val="14"/>
                <w:szCs w:val="14"/>
                <w:b w:val="1"/>
                <w:bCs w:val="1"/>
                <w:color w:val="auto"/>
                <w:w w:val="85"/>
              </w:rPr>
              <w:t>January 31,</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0" w:type="dxa"/>
            <w:vAlign w:val="bottom"/>
            <w:gridSpan w:val="2"/>
          </w:tcPr>
          <w:p>
            <w:pPr>
              <w:jc w:val="right"/>
              <w:ind w:right="449"/>
              <w:spacing w:after="0"/>
              <w:rPr>
                <w:sz w:val="20"/>
                <w:szCs w:val="20"/>
                <w:color w:val="auto"/>
              </w:rPr>
            </w:pPr>
            <w:r>
              <w:rPr>
                <w:rFonts w:ascii="Arial" w:cs="Arial" w:eastAsia="Arial" w:hAnsi="Arial"/>
                <w:sz w:val="14"/>
                <w:szCs w:val="14"/>
                <w:b w:val="1"/>
                <w:bCs w:val="1"/>
                <w:color w:val="auto"/>
                <w:w w:val="90"/>
              </w:rPr>
              <w:t>February 2,</w:t>
            </w:r>
          </w:p>
        </w:tc>
        <w:tc>
          <w:tcPr>
            <w:tcW w:w="80" w:type="dxa"/>
            <w:vAlign w:val="bottom"/>
          </w:tcPr>
          <w:p>
            <w:pPr>
              <w:spacing w:after="0"/>
              <w:rPr>
                <w:sz w:val="14"/>
                <w:szCs w:val="14"/>
                <w:color w:val="auto"/>
              </w:rPr>
            </w:pPr>
          </w:p>
        </w:tc>
        <w:tc>
          <w:tcPr>
            <w:tcW w:w="12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8"/>
              </w:rPr>
              <w:t>January 27,</w:t>
            </w:r>
          </w:p>
        </w:tc>
        <w:tc>
          <w:tcPr>
            <w:tcW w:w="100" w:type="dxa"/>
            <w:vAlign w:val="bottom"/>
          </w:tcPr>
          <w:p>
            <w:pPr>
              <w:spacing w:after="0"/>
              <w:rPr>
                <w:sz w:val="14"/>
                <w:szCs w:val="14"/>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88"/>
              </w:rPr>
              <w:t>January 28,</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ind w:left="2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w w:val="89"/>
              </w:rPr>
              <w:t>2009 (1)(2)</w:t>
            </w:r>
          </w:p>
        </w:tc>
        <w:tc>
          <w:tcPr>
            <w:tcW w:w="340" w:type="dxa"/>
            <w:vAlign w:val="bottom"/>
          </w:tcPr>
          <w:p>
            <w:pPr>
              <w:spacing w:after="0"/>
              <w:rPr>
                <w:sz w:val="14"/>
                <w:szCs w:val="1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2"/>
              </w:rPr>
              <w:t>2008 (1)(2)(3)</w:t>
            </w:r>
          </w:p>
        </w:tc>
        <w:tc>
          <w:tcPr>
            <w:tcW w:w="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w w:val="92"/>
              </w:rPr>
              <w:t>2007 (4)(5)</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2006 (5)</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2005 (1)</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jc w:val="right"/>
              <w:ind w:right="55"/>
              <w:spacing w:after="0" w:line="142" w:lineRule="exact"/>
              <w:rPr>
                <w:sz w:val="20"/>
                <w:szCs w:val="20"/>
                <w:color w:val="auto"/>
              </w:rPr>
            </w:pPr>
            <w:r>
              <w:rPr>
                <w:rFonts w:ascii="Arial" w:cs="Arial" w:eastAsia="Arial" w:hAnsi="Arial"/>
                <w:sz w:val="14"/>
                <w:szCs w:val="14"/>
                <w:b w:val="1"/>
                <w:bCs w:val="1"/>
                <w:color w:val="auto"/>
              </w:rPr>
              <w:t>(In</w:t>
            </w:r>
          </w:p>
        </w:tc>
        <w:tc>
          <w:tcPr>
            <w:tcW w:w="400" w:type="dxa"/>
            <w:vAlign w:val="bottom"/>
          </w:tcPr>
          <w:p>
            <w:pPr>
              <w:jc w:val="right"/>
              <w:spacing w:after="0"/>
              <w:rPr>
                <w:sz w:val="20"/>
                <w:szCs w:val="20"/>
                <w:color w:val="auto"/>
              </w:rPr>
            </w:pPr>
            <w:r>
              <w:rPr>
                <w:rFonts w:ascii="Arial" w:cs="Arial" w:eastAsia="Arial" w:hAnsi="Arial"/>
                <w:sz w:val="10"/>
                <w:szCs w:val="10"/>
                <w:b w:val="1"/>
                <w:bCs w:val="1"/>
                <w:color w:val="auto"/>
                <w:w w:val="71"/>
              </w:rPr>
              <w:t>thousands,</w:t>
            </w:r>
          </w:p>
        </w:tc>
        <w:tc>
          <w:tcPr>
            <w:tcW w:w="2360" w:type="dxa"/>
            <w:vAlign w:val="bottom"/>
            <w:gridSpan w:val="6"/>
          </w:tcPr>
          <w:p>
            <w:pPr>
              <w:jc w:val="right"/>
              <w:ind w:right="700"/>
              <w:spacing w:after="0" w:line="142" w:lineRule="exact"/>
              <w:rPr>
                <w:sz w:val="20"/>
                <w:szCs w:val="20"/>
                <w:color w:val="auto"/>
              </w:rPr>
            </w:pPr>
            <w:r>
              <w:rPr>
                <w:rFonts w:ascii="Arial" w:cs="Arial" w:eastAsia="Arial" w:hAnsi="Arial"/>
                <w:sz w:val="14"/>
                <w:szCs w:val="14"/>
                <w:b w:val="1"/>
                <w:bCs w:val="1"/>
                <w:color w:val="auto"/>
                <w:w w:val="92"/>
              </w:rPr>
              <w:t>except per share amounts)</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Operations Data:</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Net revenue</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2,950,563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49"/>
              <w:spacing w:after="0"/>
              <w:rPr>
                <w:sz w:val="20"/>
                <w:szCs w:val="20"/>
                <w:color w:val="auto"/>
              </w:rPr>
            </w:pPr>
            <w:r>
              <w:rPr>
                <w:rFonts w:ascii="Arial" w:cs="Arial" w:eastAsia="Arial" w:hAnsi="Arial"/>
                <w:sz w:val="18"/>
                <w:szCs w:val="18"/>
                <w:color w:val="auto"/>
                <w:w w:val="97"/>
              </w:rPr>
              <w:t>2,894,693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2,237,553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w w:val="97"/>
              </w:rPr>
              <w:t>1,670,266</w:t>
            </w:r>
          </w:p>
        </w:tc>
        <w:tc>
          <w:tcPr>
            <w:tcW w:w="2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1,224,580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1,426,624</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49"/>
              <w:spacing w:after="0"/>
              <w:rPr>
                <w:sz w:val="20"/>
                <w:szCs w:val="20"/>
                <w:color w:val="auto"/>
              </w:rPr>
            </w:pPr>
            <w:r>
              <w:rPr>
                <w:rFonts w:ascii="Arial" w:cs="Arial" w:eastAsia="Arial" w:hAnsi="Arial"/>
                <w:sz w:val="18"/>
                <w:szCs w:val="18"/>
                <w:color w:val="auto"/>
                <w:w w:val="97"/>
              </w:rPr>
              <w:t>1,497,796</w:t>
            </w: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7"/>
              </w:rPr>
              <w:t>1,100,241</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783,244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586,104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929,990</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49"/>
              <w:spacing w:after="0"/>
              <w:rPr>
                <w:sz w:val="20"/>
                <w:szCs w:val="20"/>
                <w:color w:val="auto"/>
              </w:rPr>
            </w:pPr>
            <w:r>
              <w:rPr>
                <w:rFonts w:ascii="Arial" w:cs="Arial" w:eastAsia="Arial" w:hAnsi="Arial"/>
                <w:sz w:val="18"/>
                <w:szCs w:val="18"/>
                <w:color w:val="auto"/>
              </w:rPr>
              <w:t>988,996</w:t>
            </w:r>
          </w:p>
        </w:tc>
        <w:tc>
          <w:tcPr>
            <w:tcW w:w="80" w:type="dxa"/>
            <w:vAlign w:val="bottom"/>
          </w:tcPr>
          <w:p>
            <w:pPr>
              <w:spacing w:after="0"/>
              <w:rPr>
                <w:sz w:val="18"/>
                <w:szCs w:val="18"/>
                <w:color w:val="auto"/>
              </w:rPr>
            </w:pPr>
          </w:p>
        </w:tc>
        <w:tc>
          <w:tcPr>
            <w:tcW w:w="1200" w:type="dxa"/>
            <w:vAlign w:val="bottom"/>
            <w:gridSpan w:val="2"/>
          </w:tcPr>
          <w:p>
            <w:pPr>
              <w:jc w:val="right"/>
              <w:ind w:right="400"/>
              <w:spacing w:after="0"/>
              <w:rPr>
                <w:sz w:val="20"/>
                <w:szCs w:val="20"/>
                <w:color w:val="auto"/>
              </w:rPr>
            </w:pPr>
            <w:r>
              <w:rPr>
                <w:rFonts w:ascii="Arial" w:cs="Arial" w:eastAsia="Arial" w:hAnsi="Arial"/>
                <w:sz w:val="18"/>
                <w:szCs w:val="18"/>
                <w:color w:val="auto"/>
              </w:rPr>
              <w:t>658,211</w:t>
            </w:r>
          </w:p>
        </w:tc>
        <w:tc>
          <w:tcPr>
            <w:tcW w:w="100" w:type="dxa"/>
            <w:vAlign w:val="bottom"/>
          </w:tcPr>
          <w:p>
            <w:pPr>
              <w:spacing w:after="0"/>
              <w:rPr>
                <w:sz w:val="18"/>
                <w:szCs w:val="18"/>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366,740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304,291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165,176</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9"/>
              <w:spacing w:after="0"/>
              <w:rPr>
                <w:sz w:val="20"/>
                <w:szCs w:val="20"/>
                <w:color w:val="auto"/>
              </w:rPr>
            </w:pPr>
            <w:r>
              <w:rPr>
                <w:rFonts w:ascii="Arial" w:cs="Arial" w:eastAsia="Arial" w:hAnsi="Arial"/>
                <w:sz w:val="18"/>
                <w:szCs w:val="18"/>
                <w:color w:val="auto"/>
              </w:rPr>
              <w:t>(105,590)</w:t>
            </w: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1,057</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256,482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83,857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Net income (loss)</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147,242</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09"/>
              <w:spacing w:after="0"/>
              <w:rPr>
                <w:sz w:val="20"/>
                <w:szCs w:val="20"/>
                <w:color w:val="auto"/>
              </w:rPr>
            </w:pPr>
            <w:r>
              <w:rPr>
                <w:rFonts w:ascii="Arial" w:cs="Arial" w:eastAsia="Arial" w:hAnsi="Arial"/>
                <w:sz w:val="18"/>
                <w:szCs w:val="18"/>
                <w:color w:val="auto"/>
              </w:rPr>
              <w:t>(114,427)</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(12,095)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199,490</w:t>
            </w:r>
          </w:p>
        </w:tc>
        <w:tc>
          <w:tcPr>
            <w:tcW w:w="2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62,795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309"/>
              <w:spacing w:after="0"/>
              <w:rPr>
                <w:sz w:val="20"/>
                <w:szCs w:val="20"/>
                <w:color w:val="auto"/>
              </w:rPr>
            </w:pPr>
            <w:r>
              <w:rPr>
                <w:rFonts w:ascii="Arial" w:cs="Arial" w:eastAsia="Arial" w:hAnsi="Arial"/>
                <w:sz w:val="18"/>
                <w:szCs w:val="18"/>
                <w:color w:val="auto"/>
              </w:rPr>
              <w:t>(0.19)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(0.02)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0.35</w:t>
            </w:r>
          </w:p>
        </w:tc>
        <w:tc>
          <w:tcPr>
            <w:tcW w:w="2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0.23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09"/>
              <w:spacing w:after="0"/>
              <w:rPr>
                <w:sz w:val="20"/>
                <w:szCs w:val="20"/>
                <w:color w:val="auto"/>
              </w:rPr>
            </w:pPr>
            <w:r>
              <w:rPr>
                <w:rFonts w:ascii="Arial" w:cs="Arial" w:eastAsia="Arial" w:hAnsi="Arial"/>
                <w:sz w:val="18"/>
                <w:szCs w:val="18"/>
                <w:color w:val="auto"/>
              </w:rPr>
              <w:t>(0.19)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(0.02)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0.32</w:t>
            </w:r>
          </w:p>
        </w:tc>
        <w:tc>
          <w:tcPr>
            <w:tcW w:w="2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0.11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608,747</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49"/>
              <w:spacing w:after="0"/>
              <w:rPr>
                <w:sz w:val="20"/>
                <w:szCs w:val="20"/>
                <w:color w:val="auto"/>
              </w:rPr>
            </w:pPr>
            <w:r>
              <w:rPr>
                <w:rFonts w:ascii="Arial" w:cs="Arial" w:eastAsia="Arial" w:hAnsi="Arial"/>
                <w:sz w:val="18"/>
                <w:szCs w:val="18"/>
                <w:color w:val="auto"/>
              </w:rPr>
              <w:t>590,308</w:t>
            </w: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586,152</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565,870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539,375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630,328</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49"/>
              <w:spacing w:after="0"/>
              <w:rPr>
                <w:sz w:val="20"/>
                <w:szCs w:val="20"/>
                <w:color w:val="auto"/>
              </w:rPr>
            </w:pPr>
            <w:r>
              <w:rPr>
                <w:rFonts w:ascii="Arial" w:cs="Arial" w:eastAsia="Arial" w:hAnsi="Arial"/>
                <w:sz w:val="18"/>
                <w:szCs w:val="18"/>
                <w:color w:val="auto"/>
              </w:rPr>
              <w:t>590,308</w:t>
            </w:r>
          </w:p>
        </w:tc>
        <w:tc>
          <w:tcPr>
            <w:tcW w:w="80" w:type="dxa"/>
            <w:vAlign w:val="bottom"/>
          </w:tcPr>
          <w:p>
            <w:pPr>
              <w:spacing w:after="0"/>
              <w:rPr>
                <w:sz w:val="18"/>
                <w:szCs w:val="18"/>
                <w:color w:val="auto"/>
              </w:rPr>
            </w:pPr>
          </w:p>
        </w:tc>
        <w:tc>
          <w:tcPr>
            <w:tcW w:w="1200" w:type="dxa"/>
            <w:vAlign w:val="bottom"/>
            <w:gridSpan w:val="2"/>
          </w:tcPr>
          <w:p>
            <w:pPr>
              <w:jc w:val="right"/>
              <w:ind w:right="400"/>
              <w:spacing w:after="0"/>
              <w:rPr>
                <w:sz w:val="20"/>
                <w:szCs w:val="20"/>
                <w:color w:val="auto"/>
              </w:rPr>
            </w:pPr>
            <w:r>
              <w:rPr>
                <w:rFonts w:ascii="Arial" w:cs="Arial" w:eastAsia="Arial" w:hAnsi="Arial"/>
                <w:sz w:val="18"/>
                <w:szCs w:val="18"/>
                <w:color w:val="auto"/>
              </w:rPr>
              <w:t>586,152</w:t>
            </w:r>
          </w:p>
        </w:tc>
        <w:tc>
          <w:tcPr>
            <w:tcW w:w="100" w:type="dxa"/>
            <w:vAlign w:val="bottom"/>
          </w:tcPr>
          <w:p>
            <w:pPr>
              <w:spacing w:after="0"/>
              <w:rPr>
                <w:sz w:val="18"/>
                <w:szCs w:val="18"/>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631,289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597,653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w w:val="93"/>
              </w:rPr>
              <w:t>Cash, cash equivalents, restricted cash and short-term investments</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951,909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49"/>
              <w:spacing w:after="0"/>
              <w:rPr>
                <w:sz w:val="20"/>
                <w:szCs w:val="20"/>
                <w:color w:val="auto"/>
              </w:rPr>
            </w:pPr>
            <w:r>
              <w:rPr>
                <w:rFonts w:ascii="Arial" w:cs="Arial" w:eastAsia="Arial" w:hAnsi="Arial"/>
                <w:sz w:val="18"/>
                <w:szCs w:val="18"/>
                <w:color w:val="auto"/>
              </w:rPr>
              <w:t>630,902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ind w:right="400"/>
              <w:spacing w:after="0"/>
              <w:rPr>
                <w:sz w:val="20"/>
                <w:szCs w:val="20"/>
                <w:color w:val="auto"/>
              </w:rPr>
            </w:pPr>
            <w:r>
              <w:rPr>
                <w:rFonts w:ascii="Arial" w:cs="Arial" w:eastAsia="Arial" w:hAnsi="Arial"/>
                <w:sz w:val="18"/>
                <w:szCs w:val="18"/>
                <w:color w:val="auto"/>
              </w:rPr>
              <w:t>596,380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921,022</w:t>
            </w:r>
          </w:p>
        </w:tc>
        <w:tc>
          <w:tcPr>
            <w:tcW w:w="2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660,014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1,150,667</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49"/>
              <w:spacing w:after="0"/>
              <w:rPr>
                <w:sz w:val="20"/>
                <w:szCs w:val="20"/>
                <w:color w:val="auto"/>
              </w:rPr>
            </w:pPr>
            <w:r>
              <w:rPr>
                <w:rFonts w:ascii="Arial" w:cs="Arial" w:eastAsia="Arial" w:hAnsi="Arial"/>
                <w:sz w:val="18"/>
                <w:szCs w:val="18"/>
                <w:color w:val="auto"/>
              </w:rPr>
              <w:t>920,529</w:t>
            </w: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636,849</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7"/>
              </w:rPr>
              <w:t>1,124,394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798,805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Total assets</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4,414,200</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49"/>
              <w:spacing w:after="0"/>
              <w:rPr>
                <w:sz w:val="20"/>
                <w:szCs w:val="20"/>
                <w:color w:val="auto"/>
              </w:rPr>
            </w:pPr>
            <w:r>
              <w:rPr>
                <w:rFonts w:ascii="Arial" w:cs="Arial" w:eastAsia="Arial" w:hAnsi="Arial"/>
                <w:sz w:val="18"/>
                <w:szCs w:val="18"/>
                <w:color w:val="auto"/>
                <w:w w:val="97"/>
              </w:rPr>
              <w:t>4,550,594</w:t>
            </w:r>
          </w:p>
        </w:tc>
        <w:tc>
          <w:tcPr>
            <w:tcW w:w="80" w:type="dxa"/>
            <w:vAlign w:val="bottom"/>
          </w:tcPr>
          <w:p>
            <w:pPr>
              <w:spacing w:after="0"/>
              <w:rPr>
                <w:sz w:val="18"/>
                <w:szCs w:val="18"/>
                <w:color w:val="auto"/>
              </w:rPr>
            </w:pPr>
          </w:p>
        </w:tc>
        <w:tc>
          <w:tcPr>
            <w:tcW w:w="120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4,527,700</w:t>
            </w:r>
          </w:p>
        </w:tc>
        <w:tc>
          <w:tcPr>
            <w:tcW w:w="100" w:type="dxa"/>
            <w:vAlign w:val="bottom"/>
          </w:tcPr>
          <w:p>
            <w:pPr>
              <w:spacing w:after="0"/>
              <w:rPr>
                <w:sz w:val="18"/>
                <w:szCs w:val="18"/>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w w:val="97"/>
              </w:rPr>
              <w:t>3,504,506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w w:val="99"/>
              </w:rPr>
              <w:t>2,788,866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Term loan and capital lease obligations, net of current portion</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49"/>
              <w:spacing w:after="0"/>
              <w:rPr>
                <w:sz w:val="20"/>
                <w:szCs w:val="20"/>
                <w:color w:val="auto"/>
              </w:rPr>
            </w:pPr>
            <w:r>
              <w:rPr>
                <w:rFonts w:ascii="Arial" w:cs="Arial" w:eastAsia="Arial" w:hAnsi="Arial"/>
                <w:sz w:val="18"/>
                <w:szCs w:val="18"/>
                <w:color w:val="auto"/>
              </w:rPr>
              <w:t>394,988</w:t>
            </w: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411,846</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24,447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11,590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3,829,067</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49"/>
              <w:spacing w:after="0"/>
              <w:rPr>
                <w:sz w:val="20"/>
                <w:szCs w:val="20"/>
                <w:color w:val="auto"/>
              </w:rPr>
            </w:pPr>
            <w:r>
              <w:rPr>
                <w:rFonts w:ascii="Arial" w:cs="Arial" w:eastAsia="Arial" w:hAnsi="Arial"/>
                <w:sz w:val="18"/>
                <w:szCs w:val="18"/>
                <w:color w:val="auto"/>
                <w:w w:val="97"/>
              </w:rPr>
              <w:t>3,411,519</w:t>
            </w:r>
          </w:p>
        </w:tc>
        <w:tc>
          <w:tcPr>
            <w:tcW w:w="80" w:type="dxa"/>
            <w:vAlign w:val="bottom"/>
          </w:tcPr>
          <w:p>
            <w:pPr>
              <w:spacing w:after="0"/>
              <w:rPr>
                <w:sz w:val="18"/>
                <w:szCs w:val="18"/>
                <w:color w:val="auto"/>
              </w:rPr>
            </w:pPr>
          </w:p>
        </w:tc>
        <w:tc>
          <w:tcPr>
            <w:tcW w:w="1200" w:type="dxa"/>
            <w:vAlign w:val="bottom"/>
            <w:gridSpan w:val="2"/>
          </w:tcPr>
          <w:p>
            <w:pPr>
              <w:jc w:val="right"/>
              <w:ind w:right="400"/>
              <w:spacing w:after="0"/>
              <w:rPr>
                <w:sz w:val="20"/>
                <w:szCs w:val="20"/>
                <w:color w:val="auto"/>
              </w:rPr>
            </w:pPr>
            <w:r>
              <w:rPr>
                <w:rFonts w:ascii="Arial" w:cs="Arial" w:eastAsia="Arial" w:hAnsi="Arial"/>
                <w:sz w:val="18"/>
                <w:szCs w:val="18"/>
                <w:color w:val="auto"/>
                <w:w w:val="97"/>
              </w:rPr>
              <w:t>3,227,184</w:t>
            </w:r>
          </w:p>
        </w:tc>
        <w:tc>
          <w:tcPr>
            <w:tcW w:w="100" w:type="dxa"/>
            <w:vAlign w:val="bottom"/>
          </w:tcPr>
          <w:p>
            <w:pPr>
              <w:spacing w:after="0"/>
              <w:rPr>
                <w:sz w:val="18"/>
                <w:szCs w:val="18"/>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w w:val="97"/>
              </w:rPr>
              <w:t>3,007,225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w w:val="99"/>
              </w:rPr>
              <w:t>2,491,631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Number of employees</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5,552</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49"/>
              <w:spacing w:after="0"/>
              <w:rPr>
                <w:sz w:val="20"/>
                <w:szCs w:val="20"/>
                <w:color w:val="auto"/>
              </w:rPr>
            </w:pPr>
            <w:r>
              <w:rPr>
                <w:rFonts w:ascii="Arial" w:cs="Arial" w:eastAsia="Arial" w:hAnsi="Arial"/>
                <w:sz w:val="18"/>
                <w:szCs w:val="18"/>
                <w:color w:val="auto"/>
              </w:rPr>
              <w:t>5,331</w:t>
            </w: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5,249</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2,500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80" w:hanging="452"/>
        <w:spacing w:after="0" w:line="284" w:lineRule="auto"/>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In addition to recurring amortization of acquired intangible assets, we recorded the following charges during the respective fiscal years in amortization and write-off of goodwill and acquired intangible assets and other: (a) In the fourth quarter of fiscal 2009, we wrote-off $15.6 million of intangible assets that were determined to be impaired due to declining revenue from products acquired and to a delay in the deployment of technology within a certain industry.</w:t>
      </w:r>
    </w:p>
    <w:p>
      <w:pPr>
        <w:spacing w:after="0" w:line="1" w:lineRule="exact"/>
        <w:rPr>
          <w:rFonts w:ascii="Arial" w:cs="Arial" w:eastAsia="Arial" w:hAnsi="Arial"/>
          <w:sz w:val="16"/>
          <w:szCs w:val="16"/>
          <w:color w:val="auto"/>
        </w:rPr>
      </w:pPr>
    </w:p>
    <w:p>
      <w:pPr>
        <w:ind w:left="460" w:right="20"/>
        <w:spacing w:after="0" w:line="288" w:lineRule="auto"/>
        <w:rPr>
          <w:rFonts w:ascii="Arial" w:cs="Arial" w:eastAsia="Arial" w:hAnsi="Arial"/>
          <w:sz w:val="16"/>
          <w:szCs w:val="16"/>
          <w:color w:val="auto"/>
        </w:rPr>
      </w:pPr>
      <w:r>
        <w:rPr>
          <w:rFonts w:ascii="Arial" w:cs="Arial" w:eastAsia="Arial" w:hAnsi="Arial"/>
          <w:sz w:val="16"/>
          <w:szCs w:val="16"/>
          <w:color w:val="auto"/>
        </w:rPr>
        <w:t>(b) In the fourth quarter of fiscal 2008, we wrote-off $7.2 million of intangible assets that were determined to be impaired due to declining revenue from products acquired. (c) In the first quarter of fiscal 2005, we entered into a technology license and non-assert agreement with a licensor pursuant to which the parties agreed to not take action against each other relative to the use of certain technologies. Under the arrangement, we agreed to make a one-time payment of $13.5 million which was charged to expenses in that quarter. In the second quarter of fiscal 2005, we entered into a technology license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and was charged to expenses.</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line="283"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 the fourth quarter of fiscal 2009, we recorded a restructuring charge of $9.7 million related to a worldwide reduction in force implemented to realign our cost structure. The restructuring also included charges of $2.7 million related to the impairment of abandoned facilities. The workforce reduction affected all functions of our global workforce and was completed in the fourth quarter of fiscal 2009. In the fourth quarter of fiscal 2008, we recorded a restructuring charge of $7.9 million related to a worldwide reduction in force implemented primarily to reduce operating expenses. The workforce reduction affected all functions of our global workforce and was completed in the fourth quarter of fiscal 2008.</w:t>
      </w:r>
    </w:p>
    <w:p>
      <w:pPr>
        <w:spacing w:after="0" w:line="2" w:lineRule="exact"/>
        <w:rPr>
          <w:rFonts w:ascii="Arial" w:cs="Arial" w:eastAsia="Arial" w:hAnsi="Arial"/>
          <w:sz w:val="16"/>
          <w:szCs w:val="16"/>
          <w:color w:val="auto"/>
        </w:rPr>
      </w:pPr>
    </w:p>
    <w:p>
      <w:pPr>
        <w:ind w:left="460" w:right="460" w:hanging="452"/>
        <w:spacing w:after="0" w:line="250"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the fourth quarter of fiscal 2008, we recorded a one-time benefit of $22.1 million in other income related to the true-up of credits under the supply agreement with Intel to reflect differences in the original estimate and actual product mix and yields.</w:t>
      </w:r>
    </w:p>
    <w:p>
      <w:pPr>
        <w:ind w:left="460" w:right="100" w:hanging="452"/>
        <w:spacing w:after="0" w:line="281"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Effective from the beginning of fiscal 2007, we adopted SFAS No. 123 (revised 2004), “Share Based Payment,” or SFAS 123R, requiring us to measure and recognize compensation expense for all share-based awards to employees and directors based on estimated fair values. We adopted SFAS 123R under the modified prospective method, reflecting in our fiscal 2007 results the compensation expense associated with unvested options granted prior to fiscal 2007, as well as options granted during that year. In fiscal 2007, we recorded an adjustment of $8.8 million for the cumulative effect of a change in accounting principle related to estimating forfeitures in our adoption of SFAS 123R.</w:t>
      </w:r>
    </w:p>
    <w:p>
      <w:pPr>
        <w:spacing w:after="0" w:line="3" w:lineRule="exact"/>
        <w:rPr>
          <w:rFonts w:ascii="Arial" w:cs="Arial" w:eastAsia="Arial" w:hAnsi="Arial"/>
          <w:sz w:val="16"/>
          <w:szCs w:val="16"/>
          <w:color w:val="auto"/>
        </w:rPr>
      </w:pPr>
    </w:p>
    <w:p>
      <w:pPr>
        <w:ind w:left="460" w:right="300" w:hanging="452"/>
        <w:spacing w:after="0" w:line="255"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the fourth quarter of fiscal 2007, we recorded an acquired IPRD charge of $77.8 million in connection with our acquisition of the ICAP Business. In fourth quarter of fiscal 2006, we recorded an acquired IPRD charge of $4.3 million in connection with our acquisition of the hard disk and tape drive controller business of QLogic Corporation.</w:t>
      </w:r>
    </w:p>
    <w:p>
      <w:pPr>
        <w:spacing w:after="0" w:line="13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360"/>
          </w:cols>
          <w:pgMar w:left="240" w:top="459" w:right="29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SoC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0"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In fiscal 2009, approximately 21% of our net revenue was derived from sales to one significant customer. In fiscal 2008, approximately 17% of our net revenue was derived from sales to one significant customer. In fiscal 2007, approximately 39% of our net revenue was derived from sales to three significant customers, each of which accounted for 10% or more of our net revenue during the period. Also, in fiscal 2009, 2008 and 2007, no distributor accounted for more than 10% of our net revenue, respectively. We expect to continue to experience significant customer concentration in future periods. In addition, most of our sales are made to customers located outside of the United States, primarily in Asia. Sales to customers in Asia represented approximately 86%, 84% and 89% of our net revenue for fiscal 2009, 2008 and 2007, respectively. Because many manufacturers and manufacturing subcontractors of our customers are located in Asia, we expect that most of our revenue will continue to be represented by sales to our customers in that region. Substantially all of our sales to date have been denominated in U.S. dollars.</w:t>
      </w:r>
    </w:p>
    <w:p>
      <w:pPr>
        <w:spacing w:after="0" w:line="118"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98"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Financial markets in the United States, Europe and Asia experienced extreme disruption in the second half of fiscal 2009, including, among other things, severely diminished liquidity and credit availability, declines in consumer confidence, declines in economic growth, volatile energy costs, increases in unemployment rates, and uncertainty about economic stability. In the third quarter of fiscal 2009, concerns related to the deterioration in the global financial and credit markets, including with respect to the availability and cost of credit, contributed to instability in worldwide capital and credit markets and diminished expectations for the U.S. and global economy. These conditions worsened in the fourth quarter of fiscal 2009 and, combined with uncertainty about the global economy in general, contributed to volatility of unprecedented levels and a further economic slowdown.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Although governments have taken unprecedented actions in an attempt to alleviate the credit crisis, customers and consumers began to cut back on spending in order to conserve cash in the third quarter of fiscal 2009. This resulted in the slowing of orders from our direct OEM customers and distributors, which continued into the fourth quarter of fiscal 2009 and into the first quarter of fiscal 2010.</w:t>
      </w:r>
    </w:p>
    <w:p>
      <w:pPr>
        <w:spacing w:after="0" w:line="140" w:lineRule="exact"/>
        <w:rPr>
          <w:sz w:val="20"/>
          <w:szCs w:val="20"/>
          <w:color w:val="auto"/>
        </w:rPr>
      </w:pPr>
    </w:p>
    <w:p>
      <w:pPr>
        <w:jc w:val="both"/>
        <w:ind w:right="460" w:firstLine="456"/>
        <w:spacing w:after="0" w:line="259" w:lineRule="auto"/>
        <w:rPr>
          <w:sz w:val="20"/>
          <w:szCs w:val="20"/>
          <w:color w:val="auto"/>
        </w:rPr>
      </w:pPr>
      <w:r>
        <w:rPr>
          <w:rFonts w:ascii="Arial" w:cs="Arial" w:eastAsia="Arial" w:hAnsi="Arial"/>
          <w:sz w:val="18"/>
          <w:szCs w:val="18"/>
          <w:color w:val="auto"/>
        </w:rPr>
        <w:t>On March 5, 2009, in response to the deteriorating economic environment we announced the implementation of a plan to lower our overall costs and expenses. As a result of this plan and combined with certain cost reduction measures taken in the fourth quarter of fiscal 2009, we plan to reduce our global workforce by approximately 15%, or approximately 850 employees.</w:t>
      </w:r>
    </w:p>
    <w:p>
      <w:pPr>
        <w:spacing w:after="0" w:line="14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years 2009 and 2007 were comprised of 52-week periods and fiscal year 2008 was comprised of a 53–week period.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requires management to make estimates, judgments and assumptions that affect the reported amounts of assets, liabilities, revenues and expenses and related disclosure of contingent assets and liabilities. On an on-going basis, we evaluate our estimates, including those related to performance based compensation, uncollectible receivables, inventory excess and obsolescence, the useful lives of long-lived assets including property and equipment, investment fair values, goodwill and other intangible assets, income taxes, litigation and other contingencies. In addition, we use assumptions when employing the Black-Scholes option valuation model to calculate the fair value of stock-based awards granted.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2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account for our revenues under the provisions of Staff Accounting Bulletin, or SAB, No. 104, “Revenue Recognition in</w:t>
      </w:r>
      <w:r>
        <w:rPr>
          <w:rFonts w:ascii="Arial" w:cs="Arial" w:eastAsia="Arial" w:hAnsi="Arial"/>
          <w:sz w:val="18"/>
          <w:szCs w:val="18"/>
          <w:i w:val="1"/>
          <w:iCs w:val="1"/>
          <w:color w:val="auto"/>
        </w:rPr>
        <w:t xml:space="preserve"> </w:t>
      </w:r>
      <w:r>
        <w:rPr>
          <w:rFonts w:ascii="Arial" w:cs="Arial" w:eastAsia="Arial" w:hAnsi="Arial"/>
          <w:sz w:val="18"/>
          <w:szCs w:val="18"/>
          <w:color w:val="auto"/>
        </w:rPr>
        <w:t>Financial Statements.” Under this provision, we recognize revenues when there is persuasive evidence of an arrangement, delivery has occurred, the fee is fixed or determinable, and collection is reasonably assured.</w:t>
      </w:r>
    </w:p>
    <w:p>
      <w:pPr>
        <w:spacing w:after="0" w:line="14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because the selling price is not fixed and determinable and we are not able to estimate future returns. Our sales to direct customers are made primarily pursuant to standard purchase orders for delivery of products. We generally allow customers to cancel or change purchase orders with limited notice prior to the scheduled shipment dates and from time to time we also may request a customer to accept a shipment of product before the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our normal payment terms is deferred and is recognized as revenue as the payments become due. Deferred revenue less the related cost of the inventories is reported as deferred income.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85"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We also enter into development agreements with some of our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4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For arrangements involving multiple deliverables, where the deliverables include software and non-software products and services, we apply the provisions of Emerging Issues Task Force, or EITF Issue, No. 00-21, “Revenue Arrangements with Multiple Deliverables,” to separate the deliverables and allocate the total arrangement consideration. Accordingly, we evaluate each deliverable to determine whether it represents a separate unit of accounting based on the following criteria: (a) whether the delivered item has value to the customer on a stand-alone basis; (b) whether there is objective and reliable evidence of the fair value of the undelivered items; and (c) if the contract includes a general right of return relative to the delivered item, delivery or performance of the undelivered items is considered probable and substantially in control of us. If objective and reliable evidence of fair value exists for all units of accounting in the arrangement, revenue is allocated to each unit of accounting based on relative fair values. In situations where there is objective and reliable evidence of fair value for all undelivered elements, but not for delivered elements, the residual method is used to allocate the arrangement’s consideration. We do not typically have vendor specific objective evidence of fair value for software products. Therefore, in a substantial majority of our arrangements, the residual method is used to allocate arrangement consideration. Under the residual method, the fair value of the undelivered elements is deferred and accounted for under the applicable revenue recognition guidance, and the remaining portion of the arrangement fee is allocated to the delivered elements and is recognized as revenue.</w:t>
      </w:r>
    </w:p>
    <w:p>
      <w:pPr>
        <w:spacing w:after="0" w:line="127"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In arrangements that include a combination of hardware and software products that are also sold separately, where software is more than incidental and essential to the functionality of the product being sold, we follow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1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4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We account for rebates in accordance with EITF Issue No. 01-9, “Accounting for Consideration Given by a Vendor to a Customer (Including a Reseller of the Vendor’s Products)</w:t>
      </w:r>
      <w:r>
        <w:rPr>
          <w:rFonts w:ascii="Arial" w:cs="Arial" w:eastAsia="Arial" w:hAnsi="Arial"/>
          <w:sz w:val="18"/>
          <w:szCs w:val="18"/>
          <w:i w:val="1"/>
          <w:iCs w:val="1"/>
          <w:color w:val="auto"/>
        </w:rPr>
        <w:t>,</w:t>
      </w:r>
      <w:r>
        <w:rPr>
          <w:rFonts w:ascii="Arial" w:cs="Arial" w:eastAsia="Arial" w:hAnsi="Arial"/>
          <w:sz w:val="18"/>
          <w:szCs w:val="18"/>
          <w:color w:val="auto"/>
        </w:rPr>
        <w:t>” and, accordingly, record reductions to revenue for rebates in the same period that the related revenue is recorded. The amount of these reductions is based upon the terms included in our various rebate agreements.</w:t>
      </w:r>
    </w:p>
    <w:p>
      <w:pPr>
        <w:spacing w:after="0" w:line="14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 xml:space="preserve">Stock-Based Compensation. </w:t>
      </w:r>
      <w:r>
        <w:rPr>
          <w:rFonts w:ascii="Arial" w:cs="Arial" w:eastAsia="Arial" w:hAnsi="Arial"/>
          <w:sz w:val="16"/>
          <w:szCs w:val="16"/>
          <w:color w:val="auto"/>
        </w:rPr>
        <w:t>SFAS 123R requires companies to estimate the fair value of share-based payment awards on the date of grant using an</w:t>
      </w:r>
      <w:r>
        <w:rPr>
          <w:rFonts w:ascii="Arial" w:cs="Arial" w:eastAsia="Arial" w:hAnsi="Arial"/>
          <w:sz w:val="16"/>
          <w:szCs w:val="16"/>
          <w:i w:val="1"/>
          <w:iCs w:val="1"/>
          <w:color w:val="auto"/>
        </w:rPr>
        <w:t xml:space="preserve"> </w:t>
      </w:r>
      <w:r>
        <w:rPr>
          <w:rFonts w:ascii="Arial" w:cs="Arial" w:eastAsia="Arial" w:hAnsi="Arial"/>
          <w:sz w:val="16"/>
          <w:szCs w:val="16"/>
          <w:color w:val="auto"/>
        </w:rPr>
        <w:t>option-pricing model. The value of the portion of the award that is ultimately expected to vest is recognized as expense over the requisite service periods. We have estimated the fair value of each award as of the date of grant using the Black-Scholes option pricing model, which was developed for use in estimating the value of traded options that have no vesting restrictions and that are freely transferable. Calculating the fair value of share-based awards at the date of grant requires us to make estimates that involve significant judgment. Option-pricing models require the input of highly subjective assumptions, including the expected term of options and the expected price volatility of the stock underlying such options. We established the expected term for employee options and awards based on the historical settlement experience and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after giving consideration to vesting schedules. Assumptions for option exercises and pre-vesting terminations of options were stratified by employee groups with sufficiently distinct behavior patterns.</w:t>
      </w:r>
    </w:p>
    <w:p>
      <w:pPr>
        <w:spacing w:after="0" w:line="132" w:lineRule="exact"/>
        <w:rPr>
          <w:sz w:val="20"/>
          <w:szCs w:val="20"/>
          <w:color w:val="auto"/>
        </w:rPr>
      </w:pPr>
    </w:p>
    <w:p>
      <w:pPr>
        <w:jc w:val="both"/>
        <w:ind w:right="60" w:firstLine="456"/>
        <w:spacing w:after="0" w:line="335" w:lineRule="auto"/>
        <w:rPr>
          <w:sz w:val="20"/>
          <w:szCs w:val="20"/>
          <w:color w:val="auto"/>
        </w:rPr>
      </w:pPr>
      <w:r>
        <w:rPr>
          <w:rFonts w:ascii="Arial" w:cs="Arial" w:eastAsia="Arial" w:hAnsi="Arial"/>
          <w:sz w:val="15"/>
          <w:szCs w:val="15"/>
          <w:color w:val="auto"/>
        </w:rPr>
        <w:t>Expected volatility under SFAS 123R was developed based on the average of our historical daily stock price volatility. Although the Black-Scholes model meets the requirements of SFAS 123R, the fair values generated by the model may not be indicative of the actual fair values of our awards as it does not consider other factors important to those share-based payment awards, such as continued employment, periodic vesting requirements, and limited transferability.</w:t>
      </w:r>
    </w:p>
    <w:p>
      <w:pPr>
        <w:spacing w:after="0" w:line="8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addition, SFAS 123R requires that we estimate the number of stock-based awards that will be forfeited due to employee turnover. Changes in the estimated forfeiture rate can have a significant effect on reported stock-based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will be affected by changes in the estimated forfeiture rate and may differ significantly from amounts recognized in the current period and/or our forecasts.</w:t>
      </w:r>
    </w:p>
    <w:p>
      <w:pPr>
        <w:spacing w:after="0" w:line="118"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Changes in the subjective assumptions required in the valuation models may significantly affect the estimated value of the stock-based awards, the related stock-based compensation expense and, consequently, our results of operations.</w:t>
      </w:r>
    </w:p>
    <w:p>
      <w:pPr>
        <w:spacing w:after="0" w:line="132" w:lineRule="exact"/>
        <w:rPr>
          <w:sz w:val="20"/>
          <w:szCs w:val="20"/>
          <w:color w:val="auto"/>
        </w:rPr>
      </w:pPr>
    </w:p>
    <w:p>
      <w:pPr>
        <w:ind w:right="180" w:firstLine="456"/>
        <w:spacing w:after="0" w:line="335" w:lineRule="auto"/>
        <w:rPr>
          <w:sz w:val="20"/>
          <w:szCs w:val="20"/>
          <w:color w:val="auto"/>
        </w:rPr>
      </w:pPr>
      <w:r>
        <w:rPr>
          <w:rFonts w:ascii="Arial" w:cs="Arial" w:eastAsia="Arial" w:hAnsi="Arial"/>
          <w:sz w:val="15"/>
          <w:szCs w:val="15"/>
          <w:i w:val="1"/>
          <w:iCs w:val="1"/>
          <w:color w:val="auto"/>
        </w:rPr>
        <w:t xml:space="preserve">Accounting for Income Taxes. </w:t>
      </w:r>
      <w:r>
        <w:rPr>
          <w:rFonts w:ascii="Arial" w:cs="Arial" w:eastAsia="Arial" w:hAnsi="Arial"/>
          <w:sz w:val="15"/>
          <w:szCs w:val="15"/>
          <w:color w:val="auto"/>
        </w:rPr>
        <w:t>To prepare our consolidated financial statements, we estimate our income taxes in each of the jurisdictions in which we</w:t>
      </w:r>
      <w:r>
        <w:rPr>
          <w:rFonts w:ascii="Arial" w:cs="Arial" w:eastAsia="Arial" w:hAnsi="Arial"/>
          <w:sz w:val="15"/>
          <w:szCs w:val="15"/>
          <w:i w:val="1"/>
          <w:iCs w:val="1"/>
          <w:color w:val="auto"/>
        </w:rPr>
        <w:t xml:space="preserve"> </w:t>
      </w:r>
      <w:r>
        <w:rPr>
          <w:rFonts w:ascii="Arial" w:cs="Arial" w:eastAsia="Arial" w:hAnsi="Arial"/>
          <w:sz w:val="15"/>
          <w:szCs w:val="15"/>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w:t>
      </w:r>
    </w:p>
    <w:p>
      <w:pPr>
        <w:spacing w:after="0" w:line="8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accordance with SFAS No. 109, “Accounting for Income Taxes,” or SFAS 109, 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113" w:lineRule="exact"/>
        <w:rPr>
          <w:sz w:val="20"/>
          <w:szCs w:val="20"/>
          <w:color w:val="auto"/>
        </w:rPr>
      </w:pPr>
    </w:p>
    <w:p>
      <w:pPr>
        <w:jc w:val="both"/>
        <w:ind w:right="20" w:firstLine="456"/>
        <w:spacing w:after="0" w:line="294" w:lineRule="auto"/>
        <w:rPr>
          <w:sz w:val="20"/>
          <w:szCs w:val="20"/>
          <w:color w:val="auto"/>
        </w:rPr>
      </w:pPr>
      <w:r>
        <w:rPr>
          <w:rFonts w:ascii="Arial" w:cs="Arial" w:eastAsia="Arial" w:hAnsi="Arial"/>
          <w:sz w:val="16"/>
          <w:szCs w:val="16"/>
          <w:color w:val="auto"/>
        </w:rPr>
        <w:t>SFAS 109 provides for recognition of deferred tax assets if the realization of such deferred tax assets is more likely than not to occur. With the exception of certain international jurisdictions, we have determined that at this time it is more likely than not that deferred tax assets attributable to the remaining jurisdictions will not be realized, primarily due to uncertainties related to our ability to utilize the net operating loss carryforwards before they expire based on its recent years history of losses. Accordingly, we have established a valuation allowance for such deferred tax assets. If there is a change in our ability to realize our deferred tax assets, then our tax provision may decrease in the period in which it determines that realization is more likely than not.</w:t>
      </w:r>
    </w:p>
    <w:p>
      <w:pPr>
        <w:spacing w:after="0" w:line="11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40" w:lineRule="exact"/>
        <w:rPr>
          <w:sz w:val="20"/>
          <w:szCs w:val="20"/>
          <w:color w:val="auto"/>
        </w:rPr>
      </w:pPr>
    </w:p>
    <w:p>
      <w:pPr>
        <w:ind w:right="120" w:firstLine="456"/>
        <w:spacing w:after="0" w:line="310" w:lineRule="auto"/>
        <w:rPr>
          <w:sz w:val="20"/>
          <w:szCs w:val="20"/>
          <w:color w:val="auto"/>
        </w:rPr>
      </w:pPr>
      <w:r>
        <w:rPr>
          <w:rFonts w:ascii="Arial" w:cs="Arial" w:eastAsia="Arial" w:hAnsi="Arial"/>
          <w:sz w:val="15"/>
          <w:szCs w:val="15"/>
          <w:color w:val="auto"/>
        </w:rPr>
        <w:t>On July 13, 2006, the Financial Accounting Standards Board, or FASB, issued Interpretation No. 48, “Accounting for Uncertainty in Income Taxes — An Interpretation of FASB Statement 109,” or FIN 48. We adopted FIN 48 on January 28, 2007. FIN 48 clarifies the accounting for uncertainty in income taxes recognized in an entity’s financial statements in accordance with SFAS 109 and prescribes a recognition threshold and measurement attributes for financial statement recognition and measurement of a tax position taken or expected to be taken in a tax return. Additionally, FIN 48 provides guidance on derecognition, classification, interest and penalties, accounting in interim periods and disclosure of tax positions. Under FIN 48, we may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should be measured based on the largest benefit that has a greater than fifty percent likelihood of being realized upon settlement. The adoption of FIN 48 did not impact our results of operations or net assets.</w:t>
      </w:r>
    </w:p>
    <w:p>
      <w:pPr>
        <w:spacing w:after="0" w:line="108"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The determination of tax liabilities in each of these jurisdictions requires the interpretation and application of complex and sometimes uncertain tax laws and regulations. We recognize liabilities for uncertain tax positions based on the provisions of FIN 48. If we ultimately determine that the payment of such a liability is not necessary, then we reverse the liability and recognize a tax benefit during the period in which the determination is made that the liability is no longer necessary. The material jurisdictions that are subject to potential examination by tax authorities for tax years after fiscal 2001 throughout the world, include such major jurisdictions as Singapore, Japan, Taiwan, China, India, Germany, Israel, Netherlands, Switzerland, the United Kingdom, Canada, Malaysia and the United States. We are subject to U.S. income tax examinations beginning with fiscal year 2004.</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15 years through 2014. Fiscal 2009 and 2008 tax savings associated with this tax holiday are approximately $7.9 million and $10.4 million, respectively, which if paid would impact our earnings per share result by $0.01 and $0.02 per share. In light of the current economic downturn, we are in discussion with the Economic Development Board of Singapore to amend part of the Pioneer Status conditions for the future years. We expect to come to an agreement which would preserve the 15 year tax exemption status and receive the final amendments from the Economic Development Board of Singapore.</w:t>
      </w:r>
    </w:p>
    <w:p>
      <w:pPr>
        <w:spacing w:after="0" w:line="12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Under Israeli law, including Amendment No. 60 to the law that as published in April 2005, by virtue of the “approved or benefited enterprise” status granted to certain of its enterprises, the Israeli subsidiaries are entitled to various tax benefits. During the period of benefits — 10 to 15 years — commencing in the first year in which the subsidiaries earned taxable income from the approved or benefited enterprises provided the maximum period to which it is restricted by law has not elapsed. Income from the approved or benefited enterprises is subject to reduced tax rates ranging between 0% and 10% or tax exemptions for fiscal years 2008 through 2020. For fiscal 2009 the benefit associated with these Approved Enterprise programs was $4.5 million, which provided an earnings per share benefit of less than $0.01. For fiscal 2008 the benefit associated with these Approved Enterprise programs was $15.0 million, which provided an earnings per share benefit of $0.03.</w:t>
      </w:r>
    </w:p>
    <w:p>
      <w:pPr>
        <w:spacing w:after="0" w:line="14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During fiscal 2007, the Swiss Federal Department of Economy and the Vaud Cantonal Tax Administration each granted Marvell Switzerland Sarl a total of a ten year tax holiday commencing with its fiscal year beginning January 29, 2006. The fiscal 2009 and 2008 tax savings associated with this tax holiday is approximately $5.1 million and $6.1 million, respectively, which provided an earnings per share benefit of $0.01 and $0.01, respectively.</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right="200" w:firstLine="456"/>
        <w:spacing w:after="0" w:line="254" w:lineRule="auto"/>
        <w:rPr>
          <w:sz w:val="20"/>
          <w:szCs w:val="20"/>
          <w:color w:val="auto"/>
        </w:rPr>
      </w:pPr>
      <w:r>
        <w:rPr>
          <w:rFonts w:ascii="Arial" w:cs="Arial" w:eastAsia="Arial" w:hAnsi="Arial"/>
          <w:sz w:val="18"/>
          <w:szCs w:val="18"/>
          <w:i w:val="1"/>
          <w:iCs w:val="1"/>
          <w:color w:val="auto"/>
        </w:rPr>
        <w:t xml:space="preserve">Investments. </w:t>
      </w:r>
      <w:r>
        <w:rPr>
          <w:rFonts w:ascii="Arial" w:cs="Arial" w:eastAsia="Arial" w:hAnsi="Arial"/>
          <w:sz w:val="18"/>
          <w:szCs w:val="18"/>
          <w:color w:val="auto"/>
        </w:rPr>
        <w:t>Investments designated as available-for-sale securities under SFAS No. 115, “Accounting for Investment in Certain Debt and Equity</w:t>
      </w:r>
      <w:r>
        <w:rPr>
          <w:rFonts w:ascii="Arial" w:cs="Arial" w:eastAsia="Arial" w:hAnsi="Arial"/>
          <w:sz w:val="18"/>
          <w:szCs w:val="18"/>
          <w:i w:val="1"/>
          <w:iCs w:val="1"/>
          <w:color w:val="auto"/>
        </w:rPr>
        <w:t xml:space="preserve"> </w:t>
      </w:r>
      <w:r>
        <w:rPr>
          <w:rFonts w:ascii="Arial" w:cs="Arial" w:eastAsia="Arial" w:hAnsi="Arial"/>
          <w:sz w:val="18"/>
          <w:szCs w:val="18"/>
          <w:color w:val="auto"/>
        </w:rPr>
        <w:t>Securities,” are carried at fair value based on quoted market prices or estimated based on quoted market prices for financial instruments with similar characteristics. Unrealized gains and losses of our available-for-sale securities are excluded from earnings and reported as a component of other comprehensive income (loss). Additionally, we assess whether an other-than-temporary impairment loss on our available-for-sale securities has occurred due to declines in fair value or other market conditions. Declines in fair value that are considered other than temporary are recorded as an impairment of investments in the Consolidated Statements of Operations.</w:t>
      </w:r>
    </w:p>
    <w:p>
      <w:pPr>
        <w:spacing w:after="0" w:line="144"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Due to the auction failures, the auction rate securities do not have a readily determinable market value. To estimate the fair value of the auction rate securities as of January 31, 2009, we used a discounted cash flow model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considering</w:t>
      </w:r>
    </w:p>
    <w:p>
      <w:pPr>
        <w:spacing w:after="0" w:line="2" w:lineRule="exact"/>
        <w:rPr>
          <w:sz w:val="20"/>
          <w:szCs w:val="20"/>
          <w:color w:val="auto"/>
        </w:rPr>
      </w:pPr>
    </w:p>
    <w:p>
      <w:pPr>
        <w:ind w:right="540"/>
        <w:spacing w:after="0" w:line="261" w:lineRule="auto"/>
        <w:rPr>
          <w:sz w:val="20"/>
          <w:szCs w:val="20"/>
          <w:color w:val="auto"/>
        </w:rPr>
      </w:pPr>
      <w:r>
        <w:rPr>
          <w:rFonts w:ascii="Arial" w:cs="Arial" w:eastAsia="Arial" w:hAnsi="Arial"/>
          <w:sz w:val="18"/>
          <w:szCs w:val="18"/>
          <w:color w:val="auto"/>
        </w:rPr>
        <w:t>the guarantees by the DOE of the underlying student loans, guarantees by other third parties, additional credit enhancements included in the securities, and the rate of return required by investors to own these securities in the current environment.</w:t>
      </w:r>
    </w:p>
    <w:p>
      <w:pPr>
        <w:spacing w:after="0" w:line="138"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also invest in auction rate securities that are typically over collateralized by pools of loans originated under the FFELP, and are guaranteed by the DOE, and insured. In addition, all auction rate securities held by us are rated by the major independent rating agencies as either AAA or Aaa at the time of purchase. Historically, all auction rate securities were classified as short-term investments because we have been able to liquidate these at our direction on seven to 35 day auction cycles. When auction rate securities fail to clear at auction, which has occurred since February 2008 with respect to all of our auction rate securities, and we are unable to estimate when the impacted auction rate securities will clear at the next auction, we classify these as long-term, consistent with the stated contractual maturities of the securities. We believe that we have the intent and ability to hold these securities for longer than a period of 12 months. The “stated” or “contractual” maturities for these securities generally are between 20 and 30 years. A failed auction results in a lack of liquidity in the securities but does not signify a default by the issuer.</w:t>
      </w:r>
    </w:p>
    <w:p>
      <w:pPr>
        <w:spacing w:after="0" w:line="118"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Accounts Receivable and Allowances. </w:t>
      </w:r>
      <w:r>
        <w:rPr>
          <w:rFonts w:ascii="Arial" w:cs="Arial" w:eastAsia="Arial" w:hAnsi="Arial"/>
          <w:sz w:val="16"/>
          <w:szCs w:val="16"/>
          <w:color w:val="auto"/>
        </w:rPr>
        <w:t>We perform ongoing credit evaluations of our customers and adjust credit limits based upon payment history and</w:t>
      </w:r>
      <w:r>
        <w:rPr>
          <w:rFonts w:ascii="Arial" w:cs="Arial" w:eastAsia="Arial" w:hAnsi="Arial"/>
          <w:sz w:val="16"/>
          <w:szCs w:val="16"/>
          <w:i w:val="1"/>
          <w:iCs w:val="1"/>
          <w:color w:val="auto"/>
        </w:rPr>
        <w:t xml:space="preserve"> </w:t>
      </w:r>
      <w:r>
        <w:rPr>
          <w:rFonts w:ascii="Arial" w:cs="Arial" w:eastAsia="Arial" w:hAnsi="Arial"/>
          <w:sz w:val="16"/>
          <w:szCs w:val="16"/>
          <w:color w:val="auto"/>
        </w:rPr>
        <w:t>the 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small number of customers, a significant change in the liquidity or financial condition of any one of these customers could have a material adverse impact on the realization of our accounts receivable and our results of operations. The accounts receivable allowance recorded in our consolidated financial statements as of January 31, 2009 is $3.2 million.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i w:val="1"/>
          <w:iCs w:val="1"/>
          <w:color w:val="auto"/>
        </w:rPr>
        <w:t xml:space="preserve">Inventory Valuation. </w:t>
      </w:r>
      <w:r>
        <w:rPr>
          <w:rFonts w:ascii="Arial" w:cs="Arial" w:eastAsia="Arial" w:hAnsi="Arial"/>
          <w:sz w:val="16"/>
          <w:szCs w:val="16"/>
          <w:color w:val="auto"/>
        </w:rPr>
        <w:t>We value our inventory at the lower of cost or market, cost being determined under the first-in, first-out method. Inventory acquired</w:t>
      </w:r>
      <w:r>
        <w:rPr>
          <w:rFonts w:ascii="Arial" w:cs="Arial" w:eastAsia="Arial" w:hAnsi="Arial"/>
          <w:sz w:val="16"/>
          <w:szCs w:val="16"/>
          <w:i w:val="1"/>
          <w:iCs w:val="1"/>
          <w:color w:val="auto"/>
        </w:rPr>
        <w:t xml:space="preserve"> </w:t>
      </w:r>
      <w:r>
        <w:rPr>
          <w:rFonts w:ascii="Arial" w:cs="Arial" w:eastAsia="Arial" w:hAnsi="Arial"/>
          <w:sz w:val="16"/>
          <w:szCs w:val="16"/>
          <w:color w:val="auto"/>
        </w:rPr>
        <w:t>under the supply agreement with Intel were at prices above what a market participant could obtain from independent foundries and assembly/test subcontractors, therefore, we wrote down inventory on hand to fair value. We regularly review inventory quantities on hand and record a provision for excess and obsolete inventory based primarily on our estimated forecast of product demand and production requirements. The valuation of inventory requires us to estimate obsolete or excess inventory which requires us to estimate the future demand for our products. The estimate of future demand is compared to work in process and finished goods inventory levels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128" w:lineRule="exact"/>
        <w:rPr>
          <w:sz w:val="20"/>
          <w:szCs w:val="20"/>
          <w:color w:val="auto"/>
        </w:rPr>
      </w:pPr>
    </w:p>
    <w:p>
      <w:pPr>
        <w:ind w:right="120" w:firstLine="456"/>
        <w:spacing w:after="0" w:line="287" w:lineRule="auto"/>
        <w:rPr>
          <w:sz w:val="20"/>
          <w:szCs w:val="20"/>
          <w:color w:val="auto"/>
        </w:rPr>
      </w:pPr>
      <w:r>
        <w:rPr>
          <w:rFonts w:ascii="Arial" w:cs="Arial" w:eastAsia="Arial" w:hAnsi="Arial"/>
          <w:sz w:val="16"/>
          <w:szCs w:val="16"/>
          <w:i w:val="1"/>
          <w:iCs w:val="1"/>
          <w:color w:val="auto"/>
        </w:rPr>
        <w:t xml:space="preserve">Valuation of Long-lived Assets and Intangible Assets. </w:t>
      </w:r>
      <w:r>
        <w:rPr>
          <w:rFonts w:ascii="Arial" w:cs="Arial" w:eastAsia="Arial" w:hAnsi="Arial"/>
          <w:sz w:val="16"/>
          <w:szCs w:val="16"/>
          <w:color w:val="auto"/>
        </w:rPr>
        <w:t>We assess the impairment of long-lived assets and intangible assets whenever events or changes in</w:t>
      </w:r>
      <w:r>
        <w:rPr>
          <w:rFonts w:ascii="Arial" w:cs="Arial" w:eastAsia="Arial" w:hAnsi="Arial"/>
          <w:sz w:val="16"/>
          <w:szCs w:val="16"/>
          <w:i w:val="1"/>
          <w:iCs w:val="1"/>
          <w:color w:val="auto"/>
        </w:rPr>
        <w:t xml:space="preserve"> </w:t>
      </w:r>
      <w:r>
        <w:rPr>
          <w:rFonts w:ascii="Arial" w:cs="Arial" w:eastAsia="Arial" w:hAnsi="Arial"/>
          <w:sz w:val="16"/>
          <w:szCs w:val="16"/>
          <w:color w:val="auto"/>
        </w:rPr>
        <w:t>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Whenever events or changes in circumstances suggest that the carrying amount of long-lived assets may not be recoverable, we estimate the future cash flows expected to be generated by the asset from its use or eventual disposition. If the sum of the expected future cash flows, which includes revenue,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23"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i w:val="1"/>
          <w:iCs w:val="1"/>
          <w:color w:val="auto"/>
        </w:rPr>
        <w:t xml:space="preserve">Valuation of Goodwill. </w:t>
      </w:r>
      <w:r>
        <w:rPr>
          <w:rFonts w:ascii="Arial" w:cs="Arial" w:eastAsia="Arial" w:hAnsi="Arial"/>
          <w:sz w:val="16"/>
          <w:szCs w:val="16"/>
          <w:color w:val="auto"/>
        </w:rPr>
        <w:t>Under SFAS 142, “Goodwill and Other Intangible Assets,” or SFAS 142, we are required to perform an annual assessment of</w:t>
      </w:r>
      <w:r>
        <w:rPr>
          <w:rFonts w:ascii="Arial" w:cs="Arial" w:eastAsia="Arial" w:hAnsi="Arial"/>
          <w:sz w:val="16"/>
          <w:szCs w:val="16"/>
          <w:i w:val="1"/>
          <w:iCs w:val="1"/>
          <w:color w:val="auto"/>
        </w:rPr>
        <w:t xml:space="preserve"> </w:t>
      </w:r>
      <w:r>
        <w:rPr>
          <w:rFonts w:ascii="Arial" w:cs="Arial" w:eastAsia="Arial" w:hAnsi="Arial"/>
          <w:sz w:val="16"/>
          <w:szCs w:val="16"/>
          <w:color w:val="auto"/>
        </w:rPr>
        <w:t>goodwill. We perform this assessment at the beginning of our fiscal fourth quarter, and we also assess the impairment of goodwill on an interim basis whenever events or changes in circumstances indicate that the carrying value of such assets may not be recoverable. Factors we consider important which could trigger a goodwill impairment review include (i) significant underperformance relative to historical or projected future operating results, (ii) significant changes 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When performing our assessment, we include a control premium, in addition to our fair value to reflect the full value and amount that a buyer would be willing to pay for the company. The annual impairment test required under SFAS 142 was completed in the fourth quarter and did not identify any impairment of goodwill.</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i w:val="1"/>
          <w:iCs w:val="1"/>
          <w:color w:val="auto"/>
        </w:rPr>
        <w:t xml:space="preserve">Litigation Costs. </w:t>
      </w:r>
      <w:r>
        <w:rPr>
          <w:rFonts w:ascii="Arial" w:cs="Arial" w:eastAsia="Arial" w:hAnsi="Arial"/>
          <w:sz w:val="18"/>
          <w:szCs w:val="18"/>
          <w:color w:val="auto"/>
        </w:rPr>
        <w:t>From time to time, we are involved in legal actions arising in the ordinary course of business. There can be no assurance these actions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third party assertions will be resolved without costly litigation, in a manner that is not adverse to our financial position, results of operations or cash flows or without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98" w:lineRule="auto"/>
        <w:rPr>
          <w:sz w:val="20"/>
          <w:szCs w:val="20"/>
          <w:color w:val="auto"/>
        </w:rPr>
      </w:pPr>
      <w:r>
        <w:rPr>
          <w:rFonts w:ascii="Arial" w:cs="Arial" w:eastAsia="Arial" w:hAnsi="Arial"/>
          <w:sz w:val="16"/>
          <w:szCs w:val="16"/>
          <w:color w:val="auto"/>
        </w:rPr>
        <w:t>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probable loss or probable range of loss associated with these contingencies, then we would record the minimum estimated liability, which could materially impact our results of operations, financial position and cash flows.</w:t>
      </w:r>
    </w:p>
    <w:p>
      <w:pPr>
        <w:spacing w:after="0" w:line="113"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i w:val="1"/>
          <w:iCs w:val="1"/>
          <w:color w:val="auto"/>
        </w:rPr>
        <w:t xml:space="preserve">Valuation of Equity Investments in Privately Held Companies. </w:t>
      </w:r>
      <w:r>
        <w:rPr>
          <w:rFonts w:ascii="Arial" w:cs="Arial" w:eastAsia="Arial" w:hAnsi="Arial"/>
          <w:sz w:val="16"/>
          <w:szCs w:val="16"/>
          <w:color w:val="auto"/>
        </w:rPr>
        <w:t>We invest in equity instruments of privately-held companies, which we account for using</w:t>
      </w:r>
      <w:r>
        <w:rPr>
          <w:rFonts w:ascii="Arial" w:cs="Arial" w:eastAsia="Arial" w:hAnsi="Arial"/>
          <w:sz w:val="16"/>
          <w:szCs w:val="16"/>
          <w:i w:val="1"/>
          <w:iCs w:val="1"/>
          <w:color w:val="auto"/>
        </w:rPr>
        <w:t xml:space="preserve"> </w:t>
      </w:r>
      <w:r>
        <w:rPr>
          <w:rFonts w:ascii="Arial" w:cs="Arial" w:eastAsia="Arial" w:hAnsi="Arial"/>
          <w:sz w:val="16"/>
          <w:szCs w:val="16"/>
          <w:color w:val="auto"/>
        </w:rPr>
        <w:t>the cost method, for business and strategic purposes. We record an investment impairment charge when we believe an investment has experienced a decline in value that is other than temporary. Future adverse changes in market conditions or poor operating results of underlying investments could result in losses or an inability to recover the carrying value of the investments, thereby possibly requiring an impairment charge in the future. The recorded value of our equity investments in privately held companies in our consolidated balance sheet as of January 31, 2009 is $7.1 million.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520" w:type="dxa"/>
            <w:vAlign w:val="bottom"/>
            <w:tcBorders>
              <w:bottom w:val="single" w:sz="8" w:color="auto"/>
            </w:tcBorders>
            <w:gridSpan w:val="6"/>
          </w:tcPr>
          <w:p>
            <w:pPr>
              <w:ind w:left="700"/>
              <w:spacing w:after="0"/>
              <w:rPr>
                <w:sz w:val="20"/>
                <w:szCs w:val="20"/>
                <w:color w:val="auto"/>
              </w:rPr>
            </w:pPr>
            <w:r>
              <w:rPr>
                <w:rFonts w:ascii="Arial" w:cs="Arial" w:eastAsia="Arial" w:hAnsi="Arial"/>
                <w:sz w:val="14"/>
                <w:szCs w:val="14"/>
                <w:b w:val="1"/>
                <w:bCs w:val="1"/>
                <w:color w:val="auto"/>
              </w:rPr>
              <w:t>Fiscal Years Ended</w:t>
            </w: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22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1560" w:type="dxa"/>
            <w:vAlign w:val="bottom"/>
            <w:gridSpan w:val="3"/>
          </w:tcPr>
          <w:p>
            <w:pPr>
              <w:jc w:val="center"/>
              <w:ind w:right="88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640" w:type="dxa"/>
            <w:vAlign w:val="bottom"/>
            <w:gridSpan w:val="4"/>
          </w:tcPr>
          <w:p>
            <w:pPr>
              <w:jc w:val="center"/>
              <w:ind w:right="960"/>
              <w:spacing w:after="0" w:line="129" w:lineRule="exact"/>
              <w:rPr>
                <w:sz w:val="20"/>
                <w:szCs w:val="20"/>
                <w:color w:val="auto"/>
              </w:rPr>
            </w:pPr>
            <w:r>
              <w:rPr>
                <w:rFonts w:ascii="Arial" w:cs="Arial" w:eastAsia="Arial" w:hAnsi="Arial"/>
                <w:sz w:val="14"/>
                <w:szCs w:val="14"/>
                <w:b w:val="1"/>
                <w:bCs w:val="1"/>
                <w:color w:val="auto"/>
                <w:w w:val="90"/>
              </w:rPr>
              <w:t>February 2,</w:t>
            </w:r>
          </w:p>
        </w:tc>
        <w:tc>
          <w:tcPr>
            <w:tcW w:w="6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January 27,</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6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122"/>
              <w:spacing w:after="0"/>
              <w:rPr>
                <w:sz w:val="20"/>
                <w:szCs w:val="20"/>
                <w:color w:val="auto"/>
              </w:rPr>
            </w:pPr>
            <w:r>
              <w:rPr>
                <w:rFonts w:ascii="Arial" w:cs="Arial" w:eastAsia="Arial" w:hAnsi="Arial"/>
                <w:sz w:val="14"/>
                <w:szCs w:val="14"/>
                <w:b w:val="1"/>
                <w:bCs w:val="1"/>
                <w:color w:val="auto"/>
              </w:rPr>
              <w:t>2008</w:t>
            </w:r>
          </w:p>
        </w:tc>
        <w:tc>
          <w:tcPr>
            <w:tcW w:w="5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126"/>
              <w:spacing w:after="0"/>
              <w:rPr>
                <w:sz w:val="20"/>
                <w:szCs w:val="20"/>
                <w:color w:val="auto"/>
              </w:rPr>
            </w:pPr>
            <w:r>
              <w:rPr>
                <w:rFonts w:ascii="Arial" w:cs="Arial" w:eastAsia="Arial" w:hAnsi="Arial"/>
                <w:sz w:val="14"/>
                <w:szCs w:val="14"/>
                <w:b w:val="1"/>
                <w:bCs w:val="1"/>
                <w:color w:val="auto"/>
              </w:rPr>
              <w:t>2007</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500" w:type="dxa"/>
            <w:vAlign w:val="bottom"/>
            <w:gridSpan w:val="3"/>
            <w:shd w:val="clear" w:color="auto" w:fill="CCEEFF"/>
          </w:tcPr>
          <w:p>
            <w:pPr>
              <w:jc w:val="right"/>
              <w:ind w:right="532"/>
              <w:spacing w:after="0"/>
              <w:rPr>
                <w:sz w:val="20"/>
                <w:szCs w:val="20"/>
                <w:color w:val="auto"/>
              </w:rPr>
            </w:pPr>
            <w:r>
              <w:rPr>
                <w:rFonts w:ascii="Arial" w:cs="Arial" w:eastAsia="Arial" w:hAnsi="Arial"/>
                <w:sz w:val="18"/>
                <w:szCs w:val="18"/>
                <w:color w:val="auto"/>
              </w:rPr>
              <w:t>100.0%</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100.0%</w:t>
            </w:r>
          </w:p>
        </w:tc>
        <w:tc>
          <w:tcPr>
            <w:tcW w:w="42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3500" w:type="dxa"/>
            <w:vAlign w:val="bottom"/>
            <w:gridSpan w:val="3"/>
            <w:shd w:val="clear" w:color="auto" w:fill="CCEEFF"/>
          </w:tcPr>
          <w:p>
            <w:pPr>
              <w:jc w:val="right"/>
              <w:ind w:right="672"/>
              <w:spacing w:after="0"/>
              <w:rPr>
                <w:sz w:val="20"/>
                <w:szCs w:val="20"/>
                <w:color w:val="auto"/>
              </w:rPr>
            </w:pPr>
            <w:r>
              <w:rPr>
                <w:rFonts w:ascii="Arial" w:cs="Arial" w:eastAsia="Arial" w:hAnsi="Arial"/>
                <w:sz w:val="18"/>
                <w:szCs w:val="18"/>
                <w:color w:val="auto"/>
              </w:rPr>
              <w:t>48.4</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51.7</w:t>
            </w:r>
          </w:p>
        </w:tc>
        <w:tc>
          <w:tcPr>
            <w:tcW w:w="4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49.2</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3500" w:type="dxa"/>
            <w:vAlign w:val="bottom"/>
            <w:gridSpan w:val="3"/>
          </w:tcPr>
          <w:p>
            <w:pPr>
              <w:jc w:val="right"/>
              <w:ind w:right="672"/>
              <w:spacing w:after="0"/>
              <w:rPr>
                <w:sz w:val="20"/>
                <w:szCs w:val="20"/>
                <w:color w:val="auto"/>
              </w:rPr>
            </w:pPr>
            <w:r>
              <w:rPr>
                <w:rFonts w:ascii="Arial" w:cs="Arial" w:eastAsia="Arial" w:hAnsi="Arial"/>
                <w:sz w:val="18"/>
                <w:szCs w:val="18"/>
                <w:color w:val="auto"/>
              </w:rPr>
              <w:t>31.5</w:t>
            </w:r>
          </w:p>
        </w:tc>
        <w:tc>
          <w:tcPr>
            <w:tcW w:w="140" w:type="dxa"/>
            <w:vAlign w:val="bottom"/>
          </w:tcPr>
          <w:p>
            <w:pPr>
              <w:spacing w:after="0"/>
              <w:rPr>
                <w:sz w:val="18"/>
                <w:szCs w:val="18"/>
                <w:color w:val="auto"/>
              </w:rPr>
            </w:pPr>
          </w:p>
        </w:tc>
        <w:tc>
          <w:tcPr>
            <w:tcW w:w="1220" w:type="dxa"/>
            <w:vAlign w:val="bottom"/>
            <w:gridSpan w:val="3"/>
          </w:tcPr>
          <w:p>
            <w:pPr>
              <w:jc w:val="right"/>
              <w:ind w:right="540"/>
              <w:spacing w:after="0"/>
              <w:rPr>
                <w:sz w:val="20"/>
                <w:szCs w:val="20"/>
                <w:color w:val="auto"/>
              </w:rPr>
            </w:pPr>
            <w:r>
              <w:rPr>
                <w:rFonts w:ascii="Arial" w:cs="Arial" w:eastAsia="Arial" w:hAnsi="Arial"/>
                <w:sz w:val="18"/>
                <w:szCs w:val="18"/>
                <w:color w:val="auto"/>
              </w:rPr>
              <w:t>34.2</w:t>
            </w:r>
          </w:p>
        </w:tc>
        <w:tc>
          <w:tcPr>
            <w:tcW w:w="42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29.4</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3500" w:type="dxa"/>
            <w:vAlign w:val="bottom"/>
            <w:gridSpan w:val="3"/>
            <w:shd w:val="clear" w:color="auto" w:fill="CCEEFF"/>
          </w:tcPr>
          <w:p>
            <w:pPr>
              <w:jc w:val="right"/>
              <w:ind w:right="672"/>
              <w:spacing w:after="0"/>
              <w:rPr>
                <w:sz w:val="20"/>
                <w:szCs w:val="20"/>
                <w:color w:val="auto"/>
              </w:rPr>
            </w:pPr>
            <w:r>
              <w:rPr>
                <w:rFonts w:ascii="Arial" w:cs="Arial" w:eastAsia="Arial" w:hAnsi="Arial"/>
                <w:sz w:val="18"/>
                <w:szCs w:val="18"/>
                <w:color w:val="auto"/>
              </w:rPr>
              <w:t>5.5</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7.3</w:t>
            </w:r>
          </w:p>
        </w:tc>
        <w:tc>
          <w:tcPr>
            <w:tcW w:w="4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3500" w:type="dxa"/>
            <w:vAlign w:val="bottom"/>
            <w:gridSpan w:val="3"/>
          </w:tcPr>
          <w:p>
            <w:pPr>
              <w:jc w:val="right"/>
              <w:ind w:right="672"/>
              <w:spacing w:after="0"/>
              <w:rPr>
                <w:sz w:val="20"/>
                <w:szCs w:val="20"/>
                <w:color w:val="auto"/>
              </w:rPr>
            </w:pPr>
            <w:r>
              <w:rPr>
                <w:rFonts w:ascii="Arial" w:cs="Arial" w:eastAsia="Arial" w:hAnsi="Arial"/>
                <w:sz w:val="18"/>
                <w:szCs w:val="18"/>
                <w:color w:val="auto"/>
              </w:rPr>
              <w:t>3.5</w:t>
            </w:r>
          </w:p>
        </w:tc>
        <w:tc>
          <w:tcPr>
            <w:tcW w:w="140" w:type="dxa"/>
            <w:vAlign w:val="bottom"/>
          </w:tcPr>
          <w:p>
            <w:pPr>
              <w:spacing w:after="0"/>
              <w:rPr>
                <w:sz w:val="18"/>
                <w:szCs w:val="18"/>
                <w:color w:val="auto"/>
              </w:rPr>
            </w:pPr>
          </w:p>
        </w:tc>
        <w:tc>
          <w:tcPr>
            <w:tcW w:w="1220" w:type="dxa"/>
            <w:vAlign w:val="bottom"/>
            <w:gridSpan w:val="3"/>
          </w:tcPr>
          <w:p>
            <w:pPr>
              <w:jc w:val="right"/>
              <w:ind w:right="540"/>
              <w:spacing w:after="0"/>
              <w:rPr>
                <w:sz w:val="20"/>
                <w:szCs w:val="20"/>
                <w:color w:val="auto"/>
              </w:rPr>
            </w:pPr>
            <w:r>
              <w:rPr>
                <w:rFonts w:ascii="Arial" w:cs="Arial" w:eastAsia="Arial" w:hAnsi="Arial"/>
                <w:sz w:val="18"/>
                <w:szCs w:val="18"/>
                <w:color w:val="auto"/>
              </w:rPr>
              <w:t>4.8</w:t>
            </w:r>
          </w:p>
        </w:tc>
        <w:tc>
          <w:tcPr>
            <w:tcW w:w="42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3500" w:type="dxa"/>
            <w:vAlign w:val="bottom"/>
            <w:gridSpan w:val="3"/>
            <w:shd w:val="clear" w:color="auto" w:fill="CCEEFF"/>
          </w:tcPr>
          <w:p>
            <w:pPr>
              <w:jc w:val="right"/>
              <w:ind w:right="672"/>
              <w:spacing w:after="0"/>
              <w:rPr>
                <w:sz w:val="20"/>
                <w:szCs w:val="20"/>
                <w:color w:val="auto"/>
              </w:rPr>
            </w:pPr>
            <w:r>
              <w:rPr>
                <w:rFonts w:ascii="Arial" w:cs="Arial" w:eastAsia="Arial" w:hAnsi="Arial"/>
                <w:sz w:val="18"/>
                <w:szCs w:val="18"/>
                <w:color w:val="auto"/>
              </w:rPr>
              <w:t>5.2</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5.3</w:t>
            </w:r>
          </w:p>
        </w:tc>
        <w:tc>
          <w:tcPr>
            <w:tcW w:w="4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420"/>
              <w:spacing w:after="0"/>
              <w:rPr>
                <w:sz w:val="20"/>
                <w:szCs w:val="20"/>
                <w:color w:val="auto"/>
              </w:rPr>
            </w:pPr>
            <w:r>
              <w:rPr>
                <w:rFonts w:ascii="Arial" w:cs="Arial" w:eastAsia="Arial" w:hAnsi="Arial"/>
                <w:sz w:val="18"/>
                <w:szCs w:val="18"/>
                <w:color w:val="auto"/>
              </w:rPr>
              <w:t>Acquired in-process research and development</w:t>
            </w:r>
          </w:p>
        </w:tc>
        <w:tc>
          <w:tcPr>
            <w:tcW w:w="2080" w:type="dxa"/>
            <w:vAlign w:val="bottom"/>
          </w:tcPr>
          <w:p>
            <w:pPr>
              <w:spacing w:after="0"/>
              <w:rPr>
                <w:sz w:val="18"/>
                <w:szCs w:val="18"/>
                <w:color w:val="auto"/>
              </w:rPr>
            </w:pPr>
          </w:p>
        </w:tc>
        <w:tc>
          <w:tcPr>
            <w:tcW w:w="1560" w:type="dxa"/>
            <w:vAlign w:val="bottom"/>
            <w:gridSpan w:val="3"/>
          </w:tcPr>
          <w:p>
            <w:pPr>
              <w:ind w:left="4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20" w:type="dxa"/>
            <w:vAlign w:val="bottom"/>
            <w:gridSpan w:val="3"/>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3.5</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208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0.3</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0.3</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2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2080" w:type="dxa"/>
            <w:vAlign w:val="bottom"/>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vMerge w:val="continue"/>
          </w:tcPr>
          <w:p>
            <w:pPr>
              <w:spacing w:after="0"/>
              <w:rPr>
                <w:sz w:val="19"/>
                <w:szCs w:val="19"/>
                <w:color w:val="auto"/>
              </w:rPr>
            </w:pPr>
          </w:p>
        </w:tc>
        <w:tc>
          <w:tcPr>
            <w:tcW w:w="2080" w:type="dxa"/>
            <w:vAlign w:val="bottom"/>
          </w:tcPr>
          <w:p>
            <w:pPr>
              <w:spacing w:after="0"/>
              <w:rPr>
                <w:sz w:val="19"/>
                <w:szCs w:val="19"/>
                <w:color w:val="auto"/>
              </w:rPr>
            </w:pPr>
          </w:p>
        </w:tc>
        <w:tc>
          <w:tcPr>
            <w:tcW w:w="1420" w:type="dxa"/>
            <w:vAlign w:val="bottom"/>
            <w:gridSpan w:val="2"/>
          </w:tcPr>
          <w:p>
            <w:pPr>
              <w:jc w:val="right"/>
              <w:ind w:right="672"/>
              <w:spacing w:after="0"/>
              <w:rPr>
                <w:sz w:val="20"/>
                <w:szCs w:val="20"/>
                <w:color w:val="auto"/>
              </w:rPr>
            </w:pPr>
            <w:r>
              <w:rPr>
                <w:rFonts w:ascii="Arial" w:cs="Arial" w:eastAsia="Arial" w:hAnsi="Arial"/>
                <w:sz w:val="18"/>
                <w:szCs w:val="18"/>
                <w:color w:val="auto"/>
              </w:rPr>
              <w:t>94.4</w:t>
            </w:r>
          </w:p>
        </w:tc>
        <w:tc>
          <w:tcPr>
            <w:tcW w:w="140" w:type="dxa"/>
            <w:vAlign w:val="bottom"/>
          </w:tcPr>
          <w:p>
            <w:pPr>
              <w:spacing w:after="0"/>
              <w:rPr>
                <w:sz w:val="19"/>
                <w:szCs w:val="19"/>
                <w:color w:val="auto"/>
              </w:rPr>
            </w:pPr>
          </w:p>
        </w:tc>
        <w:tc>
          <w:tcPr>
            <w:tcW w:w="1220" w:type="dxa"/>
            <w:vAlign w:val="bottom"/>
            <w:gridSpan w:val="3"/>
          </w:tcPr>
          <w:p>
            <w:pPr>
              <w:jc w:val="right"/>
              <w:ind w:right="540"/>
              <w:spacing w:after="0"/>
              <w:rPr>
                <w:sz w:val="20"/>
                <w:szCs w:val="20"/>
                <w:color w:val="auto"/>
              </w:rPr>
            </w:pPr>
            <w:r>
              <w:rPr>
                <w:rFonts w:ascii="Arial" w:cs="Arial" w:eastAsia="Arial" w:hAnsi="Arial"/>
                <w:sz w:val="18"/>
                <w:szCs w:val="18"/>
                <w:color w:val="auto"/>
              </w:rPr>
              <w:t>103.6</w:t>
            </w:r>
          </w:p>
        </w:tc>
        <w:tc>
          <w:tcPr>
            <w:tcW w:w="420" w:type="dxa"/>
            <w:vAlign w:val="bottom"/>
          </w:tcPr>
          <w:p>
            <w:pPr>
              <w:spacing w:after="0"/>
              <w:rPr>
                <w:sz w:val="19"/>
                <w:szCs w:val="19"/>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100.0</w:t>
            </w: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220" w:type="dxa"/>
            <w:vAlign w:val="bottom"/>
          </w:tcPr>
          <w:p>
            <w:pPr>
              <w:spacing w:after="0"/>
              <w:rPr>
                <w:sz w:val="2"/>
                <w:szCs w:val="2"/>
                <w:color w:val="auto"/>
              </w:rPr>
            </w:pPr>
          </w:p>
        </w:tc>
        <w:tc>
          <w:tcPr>
            <w:tcW w:w="2080" w:type="dxa"/>
            <w:vAlign w:val="bottom"/>
          </w:tcPr>
          <w:p>
            <w:pPr>
              <w:spacing w:after="0"/>
              <w:rPr>
                <w:sz w:val="2"/>
                <w:szCs w:val="2"/>
                <w:color w:val="auto"/>
              </w:rPr>
            </w:pPr>
          </w:p>
        </w:tc>
        <w:tc>
          <w:tcPr>
            <w:tcW w:w="680" w:type="dxa"/>
            <w:vAlign w:val="bottom"/>
            <w:tcBorders>
              <w:right w:val="single" w:sz="8" w:color="auto"/>
            </w:tcBorders>
            <w:shd w:val="clear" w:color="auto" w:fill="000000"/>
          </w:tcPr>
          <w:p>
            <w:pPr>
              <w:spacing w:after="0"/>
              <w:rPr>
                <w:sz w:val="2"/>
                <w:szCs w:val="2"/>
                <w:color w:val="auto"/>
              </w:rPr>
            </w:pPr>
          </w:p>
        </w:tc>
        <w:tc>
          <w:tcPr>
            <w:tcW w:w="740" w:type="dxa"/>
            <w:vAlign w:val="bottom"/>
          </w:tcPr>
          <w:p>
            <w:pPr>
              <w:spacing w:after="0"/>
              <w:rPr>
                <w:sz w:val="2"/>
                <w:szCs w:val="2"/>
                <w:color w:val="auto"/>
              </w:rPr>
            </w:pPr>
          </w:p>
        </w:tc>
        <w:tc>
          <w:tcPr>
            <w:tcW w:w="14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08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5.6</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(3.6)</w:t>
            </w:r>
          </w:p>
        </w:tc>
        <w:tc>
          <w:tcPr>
            <w:tcW w:w="4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3500" w:type="dxa"/>
            <w:vAlign w:val="bottom"/>
            <w:gridSpan w:val="3"/>
          </w:tcPr>
          <w:p>
            <w:pPr>
              <w:jc w:val="right"/>
              <w:ind w:right="672"/>
              <w:spacing w:after="0"/>
              <w:rPr>
                <w:sz w:val="20"/>
                <w:szCs w:val="20"/>
                <w:color w:val="auto"/>
              </w:rPr>
            </w:pPr>
            <w:r>
              <w:rPr>
                <w:rFonts w:ascii="Arial" w:cs="Arial" w:eastAsia="Arial" w:hAnsi="Arial"/>
                <w:sz w:val="18"/>
                <w:szCs w:val="18"/>
                <w:color w:val="auto"/>
              </w:rPr>
              <w:t>0.8</w:t>
            </w:r>
          </w:p>
        </w:tc>
        <w:tc>
          <w:tcPr>
            <w:tcW w:w="140" w:type="dxa"/>
            <w:vAlign w:val="bottom"/>
          </w:tcPr>
          <w:p>
            <w:pPr>
              <w:spacing w:after="0"/>
              <w:rPr>
                <w:sz w:val="18"/>
                <w:szCs w:val="18"/>
                <w:color w:val="auto"/>
              </w:rPr>
            </w:pPr>
          </w:p>
        </w:tc>
        <w:tc>
          <w:tcPr>
            <w:tcW w:w="1220" w:type="dxa"/>
            <w:vAlign w:val="bottom"/>
            <w:gridSpan w:val="3"/>
          </w:tcPr>
          <w:p>
            <w:pPr>
              <w:jc w:val="right"/>
              <w:ind w:right="540"/>
              <w:spacing w:after="0"/>
              <w:rPr>
                <w:sz w:val="20"/>
                <w:szCs w:val="20"/>
                <w:color w:val="auto"/>
              </w:rPr>
            </w:pPr>
            <w:r>
              <w:rPr>
                <w:rFonts w:ascii="Arial" w:cs="Arial" w:eastAsia="Arial" w:hAnsi="Arial"/>
                <w:sz w:val="18"/>
                <w:szCs w:val="18"/>
                <w:color w:val="auto"/>
              </w:rPr>
              <w:t>1.0</w:t>
            </w:r>
          </w:p>
        </w:tc>
        <w:tc>
          <w:tcPr>
            <w:tcW w:w="42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0.8</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08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612"/>
              <w:spacing w:after="0"/>
              <w:rPr>
                <w:sz w:val="20"/>
                <w:szCs w:val="20"/>
                <w:color w:val="auto"/>
              </w:rPr>
            </w:pPr>
            <w:r>
              <w:rPr>
                <w:rFonts w:ascii="Arial" w:cs="Arial" w:eastAsia="Arial" w:hAnsi="Arial"/>
                <w:sz w:val="18"/>
                <w:szCs w:val="18"/>
                <w:color w:val="auto"/>
              </w:rPr>
              <w:t>(0.6)</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(1.4)</w:t>
            </w:r>
          </w:p>
        </w:tc>
        <w:tc>
          <w:tcPr>
            <w:tcW w:w="42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(0.4)</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4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2080" w:type="dxa"/>
            <w:vAlign w:val="bottom"/>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240" w:type="dxa"/>
            <w:vAlign w:val="bottom"/>
            <w:gridSpan w:val="2"/>
            <w:vMerge w:val="continue"/>
          </w:tcPr>
          <w:p>
            <w:pPr>
              <w:spacing w:after="0"/>
              <w:rPr>
                <w:sz w:val="19"/>
                <w:szCs w:val="19"/>
                <w:color w:val="auto"/>
              </w:rPr>
            </w:pPr>
          </w:p>
        </w:tc>
        <w:tc>
          <w:tcPr>
            <w:tcW w:w="2080" w:type="dxa"/>
            <w:vAlign w:val="bottom"/>
          </w:tcPr>
          <w:p>
            <w:pPr>
              <w:spacing w:after="0"/>
              <w:rPr>
                <w:sz w:val="19"/>
                <w:szCs w:val="19"/>
                <w:color w:val="auto"/>
              </w:rPr>
            </w:pPr>
          </w:p>
        </w:tc>
        <w:tc>
          <w:tcPr>
            <w:tcW w:w="1420" w:type="dxa"/>
            <w:vAlign w:val="bottom"/>
            <w:gridSpan w:val="2"/>
          </w:tcPr>
          <w:p>
            <w:pPr>
              <w:jc w:val="right"/>
              <w:ind w:right="672"/>
              <w:spacing w:after="0"/>
              <w:rPr>
                <w:sz w:val="20"/>
                <w:szCs w:val="20"/>
                <w:color w:val="auto"/>
              </w:rPr>
            </w:pPr>
            <w:r>
              <w:rPr>
                <w:rFonts w:ascii="Arial" w:cs="Arial" w:eastAsia="Arial" w:hAnsi="Arial"/>
                <w:sz w:val="18"/>
                <w:szCs w:val="18"/>
                <w:color w:val="auto"/>
              </w:rPr>
              <w:t>5.8</w:t>
            </w:r>
          </w:p>
        </w:tc>
        <w:tc>
          <w:tcPr>
            <w:tcW w:w="140" w:type="dxa"/>
            <w:vAlign w:val="bottom"/>
          </w:tcPr>
          <w:p>
            <w:pPr>
              <w:spacing w:after="0"/>
              <w:rPr>
                <w:sz w:val="19"/>
                <w:szCs w:val="19"/>
                <w:color w:val="auto"/>
              </w:rPr>
            </w:pPr>
          </w:p>
        </w:tc>
        <w:tc>
          <w:tcPr>
            <w:tcW w:w="1220" w:type="dxa"/>
            <w:vAlign w:val="bottom"/>
            <w:gridSpan w:val="3"/>
          </w:tcPr>
          <w:p>
            <w:pPr>
              <w:jc w:val="right"/>
              <w:ind w:right="480"/>
              <w:spacing w:after="0"/>
              <w:rPr>
                <w:sz w:val="20"/>
                <w:szCs w:val="20"/>
                <w:color w:val="auto"/>
              </w:rPr>
            </w:pPr>
            <w:r>
              <w:rPr>
                <w:rFonts w:ascii="Arial" w:cs="Arial" w:eastAsia="Arial" w:hAnsi="Arial"/>
                <w:sz w:val="18"/>
                <w:szCs w:val="18"/>
                <w:color w:val="auto"/>
              </w:rPr>
              <w:t>(4.0)</w:t>
            </w:r>
          </w:p>
        </w:tc>
        <w:tc>
          <w:tcPr>
            <w:tcW w:w="420" w:type="dxa"/>
            <w:vAlign w:val="bottom"/>
          </w:tcPr>
          <w:p>
            <w:pPr>
              <w:spacing w:after="0"/>
              <w:rPr>
                <w:sz w:val="19"/>
                <w:szCs w:val="19"/>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0.4</w:t>
            </w: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500" w:type="dxa"/>
            <w:vAlign w:val="bottom"/>
            <w:gridSpan w:val="3"/>
            <w:shd w:val="clear" w:color="auto" w:fill="CCEEFF"/>
          </w:tcPr>
          <w:p>
            <w:pPr>
              <w:jc w:val="right"/>
              <w:ind w:right="672"/>
              <w:spacing w:after="0"/>
              <w:rPr>
                <w:sz w:val="20"/>
                <w:szCs w:val="20"/>
                <w:color w:val="auto"/>
              </w:rPr>
            </w:pPr>
            <w:r>
              <w:rPr>
                <w:rFonts w:ascii="Arial" w:cs="Arial" w:eastAsia="Arial" w:hAnsi="Arial"/>
                <w:sz w:val="18"/>
                <w:szCs w:val="18"/>
                <w:color w:val="auto"/>
              </w:rPr>
              <w:t>0.8</w:t>
            </w:r>
          </w:p>
        </w:tc>
        <w:tc>
          <w:tcPr>
            <w:tcW w:w="1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(0.1)</w:t>
            </w:r>
          </w:p>
        </w:tc>
        <w:tc>
          <w:tcPr>
            <w:tcW w:w="4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Income (loss) before change in accounting principle</w:t>
            </w:r>
          </w:p>
        </w:tc>
        <w:tc>
          <w:tcPr>
            <w:tcW w:w="3500" w:type="dxa"/>
            <w:vAlign w:val="bottom"/>
            <w:gridSpan w:val="3"/>
          </w:tcPr>
          <w:p>
            <w:pPr>
              <w:jc w:val="right"/>
              <w:ind w:right="672"/>
              <w:spacing w:after="0"/>
              <w:rPr>
                <w:sz w:val="20"/>
                <w:szCs w:val="20"/>
                <w:color w:val="auto"/>
              </w:rPr>
            </w:pPr>
            <w:r>
              <w:rPr>
                <w:rFonts w:ascii="Arial" w:cs="Arial" w:eastAsia="Arial" w:hAnsi="Arial"/>
                <w:sz w:val="18"/>
                <w:szCs w:val="18"/>
                <w:color w:val="auto"/>
              </w:rPr>
              <w:t>5.0</w:t>
            </w:r>
          </w:p>
        </w:tc>
        <w:tc>
          <w:tcPr>
            <w:tcW w:w="140" w:type="dxa"/>
            <w:vAlign w:val="bottom"/>
          </w:tcPr>
          <w:p>
            <w:pPr>
              <w:spacing w:after="0"/>
              <w:rPr>
                <w:sz w:val="18"/>
                <w:szCs w:val="18"/>
                <w:color w:val="auto"/>
              </w:rPr>
            </w:pPr>
          </w:p>
        </w:tc>
        <w:tc>
          <w:tcPr>
            <w:tcW w:w="1220" w:type="dxa"/>
            <w:vAlign w:val="bottom"/>
            <w:gridSpan w:val="3"/>
          </w:tcPr>
          <w:p>
            <w:pPr>
              <w:jc w:val="right"/>
              <w:ind w:right="480"/>
              <w:spacing w:after="0"/>
              <w:rPr>
                <w:sz w:val="20"/>
                <w:szCs w:val="20"/>
                <w:color w:val="auto"/>
              </w:rPr>
            </w:pPr>
            <w:r>
              <w:rPr>
                <w:rFonts w:ascii="Arial" w:cs="Arial" w:eastAsia="Arial" w:hAnsi="Arial"/>
                <w:sz w:val="18"/>
                <w:szCs w:val="18"/>
                <w:color w:val="auto"/>
              </w:rPr>
              <w:t>(3.9)</w:t>
            </w:r>
          </w:p>
        </w:tc>
        <w:tc>
          <w:tcPr>
            <w:tcW w:w="420" w:type="dxa"/>
            <w:vAlign w:val="bottom"/>
          </w:tcPr>
          <w:p>
            <w:pPr>
              <w:spacing w:after="0"/>
              <w:rPr>
                <w:sz w:val="18"/>
                <w:szCs w:val="18"/>
                <w:color w:val="auto"/>
              </w:rPr>
            </w:pPr>
          </w:p>
        </w:tc>
        <w:tc>
          <w:tcPr>
            <w:tcW w:w="760" w:type="dxa"/>
            <w:vAlign w:val="bottom"/>
            <w:gridSpan w:val="3"/>
          </w:tcPr>
          <w:p>
            <w:pPr>
              <w:jc w:val="right"/>
              <w:ind w:right="20"/>
              <w:spacing w:after="0"/>
              <w:rPr>
                <w:sz w:val="20"/>
                <w:szCs w:val="20"/>
                <w:color w:val="auto"/>
              </w:rPr>
            </w:pPr>
            <w:r>
              <w:rPr>
                <w:rFonts w:ascii="Arial" w:cs="Arial" w:eastAsia="Arial" w:hAnsi="Arial"/>
                <w:sz w:val="18"/>
                <w:szCs w:val="18"/>
                <w:color w:val="auto"/>
              </w:rPr>
              <w:t>(0.9)</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w w:val="96"/>
              </w:rPr>
              <w:t>Cumulative effect of change in accounting principle, net of tax effect</w:t>
            </w:r>
          </w:p>
        </w:tc>
        <w:tc>
          <w:tcPr>
            <w:tcW w:w="2080" w:type="dxa"/>
            <w:vAlign w:val="bottom"/>
            <w:shd w:val="clear" w:color="auto" w:fill="CCEEFF"/>
          </w:tcPr>
          <w:p>
            <w:pPr>
              <w:spacing w:after="0"/>
              <w:rPr>
                <w:sz w:val="18"/>
                <w:szCs w:val="18"/>
                <w:color w:val="auto"/>
              </w:rPr>
            </w:pPr>
          </w:p>
        </w:tc>
        <w:tc>
          <w:tcPr>
            <w:tcW w:w="680" w:type="dxa"/>
            <w:vAlign w:val="bottom"/>
            <w:tcBorders>
              <w:bottom w:val="single" w:sz="8" w:color="auto"/>
              <w:right w:val="single" w:sz="8" w:color="CCEEFF"/>
            </w:tcBorders>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24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3500" w:type="dxa"/>
            <w:vAlign w:val="bottom"/>
            <w:gridSpan w:val="3"/>
          </w:tcPr>
          <w:p>
            <w:pPr>
              <w:jc w:val="right"/>
              <w:ind w:right="532"/>
              <w:spacing w:after="0"/>
              <w:rPr>
                <w:sz w:val="20"/>
                <w:szCs w:val="20"/>
                <w:color w:val="auto"/>
              </w:rPr>
            </w:pPr>
            <w:r>
              <w:rPr>
                <w:rFonts w:ascii="Arial" w:cs="Arial" w:eastAsia="Arial" w:hAnsi="Arial"/>
                <w:sz w:val="18"/>
                <w:szCs w:val="18"/>
                <w:color w:val="auto"/>
              </w:rPr>
              <w:t>5.0%</w:t>
            </w:r>
          </w:p>
        </w:tc>
        <w:tc>
          <w:tcPr>
            <w:tcW w:w="140" w:type="dxa"/>
            <w:vAlign w:val="bottom"/>
          </w:tcPr>
          <w:p>
            <w:pPr>
              <w:spacing w:after="0"/>
              <w:rPr>
                <w:sz w:val="19"/>
                <w:szCs w:val="19"/>
                <w:color w:val="auto"/>
              </w:rPr>
            </w:pPr>
          </w:p>
        </w:tc>
        <w:tc>
          <w:tcPr>
            <w:tcW w:w="1220" w:type="dxa"/>
            <w:vAlign w:val="bottom"/>
            <w:gridSpan w:val="3"/>
          </w:tcPr>
          <w:p>
            <w:pPr>
              <w:jc w:val="right"/>
              <w:ind w:right="320"/>
              <w:spacing w:after="0"/>
              <w:rPr>
                <w:sz w:val="20"/>
                <w:szCs w:val="20"/>
                <w:color w:val="auto"/>
              </w:rPr>
            </w:pPr>
            <w:r>
              <w:rPr>
                <w:rFonts w:ascii="Arial" w:cs="Arial" w:eastAsia="Arial" w:hAnsi="Arial"/>
                <w:sz w:val="18"/>
                <w:szCs w:val="18"/>
                <w:color w:val="auto"/>
              </w:rPr>
              <w:t>(3.9)%</w:t>
            </w:r>
          </w:p>
        </w:tc>
        <w:tc>
          <w:tcPr>
            <w:tcW w:w="420" w:type="dxa"/>
            <w:vAlign w:val="bottom"/>
          </w:tcPr>
          <w:p>
            <w:pPr>
              <w:spacing w:after="0"/>
              <w:rPr>
                <w:sz w:val="19"/>
                <w:szCs w:val="19"/>
                <w:color w:val="auto"/>
              </w:rPr>
            </w:pPr>
          </w:p>
        </w:tc>
        <w:tc>
          <w:tcPr>
            <w:tcW w:w="900" w:type="dxa"/>
            <w:vAlign w:val="bottom"/>
            <w:gridSpan w:val="4"/>
          </w:tcPr>
          <w:p>
            <w:pPr>
              <w:jc w:val="right"/>
              <w:ind w:right="2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2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January 31, 2009 and February 2, 2008</w:t>
            </w:r>
          </w:p>
        </w:tc>
        <w:tc>
          <w:tcPr>
            <w:tcW w:w="20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20" w:type="dxa"/>
            <w:vAlign w:val="bottom"/>
          </w:tcPr>
          <w:p>
            <w:pPr>
              <w:spacing w:after="0"/>
              <w:rPr>
                <w:sz w:val="24"/>
                <w:szCs w:val="24"/>
                <w:color w:val="auto"/>
              </w:rPr>
            </w:pPr>
          </w:p>
        </w:tc>
        <w:tc>
          <w:tcPr>
            <w:tcW w:w="5220" w:type="dxa"/>
            <w:vAlign w:val="bottom"/>
            <w:vMerge w:val="continue"/>
          </w:tcPr>
          <w:p>
            <w:pPr>
              <w:spacing w:after="0"/>
              <w:rPr>
                <w:sz w:val="24"/>
                <w:szCs w:val="24"/>
                <w:color w:val="auto"/>
              </w:rPr>
            </w:pPr>
          </w:p>
        </w:tc>
        <w:tc>
          <w:tcPr>
            <w:tcW w:w="20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522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20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522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520" w:type="dxa"/>
            <w:vAlign w:val="bottom"/>
            <w:gridSpan w:val="6"/>
          </w:tcPr>
          <w:p>
            <w:pPr>
              <w:ind w:left="480"/>
              <w:spacing w:after="0"/>
              <w:rPr>
                <w:sz w:val="20"/>
                <w:szCs w:val="20"/>
                <w:color w:val="auto"/>
              </w:rPr>
            </w:pPr>
            <w:r>
              <w:rPr>
                <w:rFonts w:ascii="Arial" w:cs="Arial" w:eastAsia="Arial" w:hAnsi="Arial"/>
                <w:sz w:val="14"/>
                <w:szCs w:val="14"/>
                <w:b w:val="1"/>
                <w:bCs w:val="1"/>
                <w:color w:val="auto"/>
              </w:rPr>
              <w:t>Fiscal Years Ended</w:t>
            </w:r>
          </w:p>
        </w:tc>
        <w:tc>
          <w:tcPr>
            <w:tcW w:w="140" w:type="dxa"/>
            <w:vAlign w:val="bottom"/>
          </w:tcPr>
          <w:p>
            <w:pPr>
              <w:spacing w:after="0"/>
              <w:rPr>
                <w:sz w:val="24"/>
                <w:szCs w:val="24"/>
                <w:color w:val="auto"/>
              </w:rPr>
            </w:pPr>
          </w:p>
        </w:tc>
        <w:tc>
          <w:tcPr>
            <w:tcW w:w="760" w:type="dxa"/>
            <w:vAlign w:val="bottom"/>
            <w:gridSpan w:val="3"/>
            <w:vMerge w:val="restart"/>
          </w:tcPr>
          <w:p>
            <w:pPr>
              <w:jc w:val="right"/>
              <w:ind w:right="160"/>
              <w:spacing w:after="0"/>
              <w:rPr>
                <w:sz w:val="20"/>
                <w:szCs w:val="20"/>
                <w:color w:val="auto"/>
              </w:rPr>
            </w:pPr>
            <w:r>
              <w:rPr>
                <w:rFonts w:ascii="Arial" w:cs="Arial" w:eastAsia="Arial" w:hAnsi="Arial"/>
                <w:sz w:val="14"/>
                <w:szCs w:val="14"/>
                <w:b w:val="1"/>
                <w:bCs w:val="1"/>
                <w:color w:val="auto"/>
                <w:w w:val="85"/>
              </w:rPr>
              <w:t>% Change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22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4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ind w:right="60"/>
              <w:spacing w:after="0" w:line="129" w:lineRule="exact"/>
              <w:rPr>
                <w:sz w:val="20"/>
                <w:szCs w:val="20"/>
                <w:color w:val="auto"/>
              </w:rPr>
            </w:pPr>
            <w:r>
              <w:rPr>
                <w:rFonts w:ascii="Arial" w:cs="Arial" w:eastAsia="Arial" w:hAnsi="Arial"/>
                <w:sz w:val="14"/>
                <w:szCs w:val="14"/>
                <w:b w:val="1"/>
                <w:bCs w:val="1"/>
                <w:color w:val="auto"/>
                <w:w w:val="95"/>
              </w:rPr>
              <w:t>February 2,</w:t>
            </w:r>
          </w:p>
        </w:tc>
        <w:tc>
          <w:tcPr>
            <w:tcW w:w="4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2760" w:type="dxa"/>
            <w:vAlign w:val="bottom"/>
            <w:gridSpan w:val="2"/>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2009</w:t>
            </w: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00" w:type="dxa"/>
            <w:vAlign w:val="bottom"/>
            <w:tcBorders>
              <w:bottom w:val="single" w:sz="8" w:color="auto"/>
            </w:tcBorders>
            <w:gridSpan w:val="2"/>
          </w:tcPr>
          <w:p>
            <w:pPr>
              <w:jc w:val="right"/>
              <w:ind w:right="260"/>
              <w:spacing w:after="0"/>
              <w:rPr>
                <w:sz w:val="20"/>
                <w:szCs w:val="20"/>
                <w:color w:val="auto"/>
              </w:rPr>
            </w:pPr>
            <w:r>
              <w:rPr>
                <w:rFonts w:ascii="Arial" w:cs="Arial" w:eastAsia="Arial" w:hAnsi="Arial"/>
                <w:sz w:val="14"/>
                <w:szCs w:val="14"/>
                <w:b w:val="1"/>
                <w:bCs w:val="1"/>
                <w:color w:val="auto"/>
              </w:rPr>
              <w:t>2008</w:t>
            </w: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Borders>
              <w:bottom w:val="single" w:sz="8" w:color="auto"/>
            </w:tcBorders>
            <w:gridSpan w:val="2"/>
          </w:tcPr>
          <w:p>
            <w:pPr>
              <w:jc w:val="right"/>
              <w:ind w:right="120"/>
              <w:spacing w:after="0"/>
              <w:rPr>
                <w:sz w:val="20"/>
                <w:szCs w:val="20"/>
                <w:color w:val="auto"/>
              </w:rPr>
            </w:pPr>
            <w:r>
              <w:rPr>
                <w:rFonts w:ascii="Arial" w:cs="Arial" w:eastAsia="Arial" w:hAnsi="Arial"/>
                <w:sz w:val="14"/>
                <w:szCs w:val="14"/>
                <w:b w:val="1"/>
                <w:bCs w:val="1"/>
                <w:color w:val="auto"/>
              </w:rPr>
              <w:t>in 2009</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22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420" w:type="dxa"/>
            <w:vAlign w:val="bottom"/>
            <w:gridSpan w:val="10"/>
          </w:tcPr>
          <w:p>
            <w:pPr>
              <w:jc w:val="right"/>
              <w:ind w:right="8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640" w:type="dxa"/>
            <w:vAlign w:val="bottom"/>
            <w:gridSpan w:val="4"/>
            <w:shd w:val="clear" w:color="auto" w:fill="CCEEFF"/>
          </w:tcPr>
          <w:p>
            <w:pPr>
              <w:jc w:val="right"/>
              <w:ind w:right="140"/>
              <w:spacing w:after="0"/>
              <w:rPr>
                <w:sz w:val="20"/>
                <w:szCs w:val="20"/>
                <w:color w:val="auto"/>
              </w:rPr>
            </w:pPr>
            <w:r>
              <w:rPr>
                <w:rFonts w:ascii="Arial" w:cs="Arial" w:eastAsia="Arial" w:hAnsi="Arial"/>
                <w:sz w:val="18"/>
                <w:szCs w:val="18"/>
                <w:color w:val="auto"/>
              </w:rPr>
              <w:t>$2,950,563</w:t>
            </w:r>
          </w:p>
        </w:tc>
        <w:tc>
          <w:tcPr>
            <w:tcW w:w="1220" w:type="dxa"/>
            <w:vAlign w:val="bottom"/>
            <w:gridSpan w:val="3"/>
            <w:shd w:val="clear" w:color="auto" w:fill="CCEEFF"/>
          </w:tcPr>
          <w:p>
            <w:pPr>
              <w:ind w:left="420"/>
              <w:spacing w:after="0"/>
              <w:rPr>
                <w:sz w:val="20"/>
                <w:szCs w:val="20"/>
                <w:color w:val="auto"/>
              </w:rPr>
            </w:pPr>
            <w:r>
              <w:rPr>
                <w:rFonts w:ascii="Arial" w:cs="Arial" w:eastAsia="Arial" w:hAnsi="Arial"/>
                <w:sz w:val="18"/>
                <w:szCs w:val="18"/>
                <w:color w:val="auto"/>
                <w:w w:val="86"/>
              </w:rPr>
              <w:t>$2,894,693</w:t>
            </w:r>
          </w:p>
        </w:tc>
        <w:tc>
          <w:tcPr>
            <w:tcW w:w="42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220" w:type="dxa"/>
            <w:vAlign w:val="bottom"/>
          </w:tcPr>
          <w:p>
            <w:pPr>
              <w:spacing w:after="0"/>
              <w:rPr>
                <w:sz w:val="24"/>
                <w:szCs w:val="24"/>
                <w:color w:val="auto"/>
              </w:rPr>
            </w:pPr>
          </w:p>
        </w:tc>
        <w:tc>
          <w:tcPr>
            <w:tcW w:w="2080" w:type="dxa"/>
            <w:vAlign w:val="bottom"/>
          </w:tcPr>
          <w:p>
            <w:pPr>
              <w:jc w:val="right"/>
              <w:ind w:right="1432"/>
              <w:spacing w:after="0"/>
              <w:rPr>
                <w:sz w:val="20"/>
                <w:szCs w:val="20"/>
                <w:color w:val="auto"/>
              </w:rPr>
            </w:pPr>
            <w:r>
              <w:rPr>
                <w:rFonts w:ascii="Arial" w:cs="Arial" w:eastAsia="Arial" w:hAnsi="Arial"/>
                <w:sz w:val="18"/>
                <w:szCs w:val="18"/>
                <w:color w:val="auto"/>
              </w:rPr>
              <w:t>49</w:t>
            </w:r>
          </w:p>
        </w:tc>
        <w:tc>
          <w:tcPr>
            <w:tcW w:w="6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2" w:lineRule="auto"/>
        <w:rPr>
          <w:sz w:val="20"/>
          <w:szCs w:val="20"/>
          <w:color w:val="auto"/>
        </w:rPr>
      </w:pPr>
      <w:r>
        <w:rPr>
          <w:rFonts w:ascii="Arial" w:cs="Arial" w:eastAsia="Arial" w:hAnsi="Arial"/>
          <w:sz w:val="18"/>
          <w:szCs w:val="18"/>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and rebates. The increase in net revenue of $55.9 million in fiscal 2009 compared to fiscal 2008 reflects a significant increase in volume shipments during the first half of fiscal 2009 of our storage SoCs as the overall hard disk drive demand for notebook PC two and a half inch drives and consumer products markets improved. In addition, we experienced increased demand for our wireless products for consumer applications. Offsetting the increases were lower demand for our cellular and handheld products and printer semiconductor solution products which were negatively impacted by the economic downturn. Net revenue derived from development contracts increased in fiscal 2009 in both absolute dollars and as a percentage of net revenue compared to fiscal 2008, and represented less than 10% of net revenue for each year. We currently expect that revenue in fiscal 2010 will decline from the level in fiscal 2009 due to the effects of the global economic slowdown.</w:t>
      </w:r>
    </w:p>
    <w:p>
      <w:pPr>
        <w:spacing w:after="0" w:line="23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60" w:type="dxa"/>
            <w:vAlign w:val="bottom"/>
          </w:tcPr>
          <w:p>
            <w:pPr>
              <w:spacing w:after="0"/>
              <w:rPr>
                <w:sz w:val="14"/>
                <w:szCs w:val="14"/>
                <w:color w:val="auto"/>
              </w:rPr>
            </w:pPr>
          </w:p>
        </w:tc>
        <w:tc>
          <w:tcPr>
            <w:tcW w:w="2920" w:type="dxa"/>
            <w:vAlign w:val="bottom"/>
            <w:gridSpan w:val="5"/>
          </w:tcPr>
          <w:p>
            <w:pPr>
              <w:jc w:val="center"/>
              <w:ind w:right="660"/>
              <w:spacing w:after="0"/>
              <w:rPr>
                <w:sz w:val="20"/>
                <w:szCs w:val="20"/>
                <w:color w:val="auto"/>
              </w:rPr>
            </w:pPr>
            <w:r>
              <w:rPr>
                <w:rFonts w:ascii="Arial" w:cs="Arial" w:eastAsia="Arial" w:hAnsi="Arial"/>
                <w:sz w:val="14"/>
                <w:szCs w:val="14"/>
                <w:b w:val="1"/>
                <w:bCs w:val="1"/>
                <w:color w:val="auto"/>
                <w:w w:val="85"/>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60" w:type="dxa"/>
            <w:vAlign w:val="bottom"/>
          </w:tcPr>
          <w:p>
            <w:pPr>
              <w:spacing w:after="0"/>
              <w:rPr>
                <w:sz w:val="11"/>
                <w:szCs w:val="11"/>
                <w:color w:val="auto"/>
              </w:rPr>
            </w:pPr>
          </w:p>
        </w:tc>
        <w:tc>
          <w:tcPr>
            <w:tcW w:w="1200" w:type="dxa"/>
            <w:vAlign w:val="bottom"/>
            <w:tcBorders>
              <w:top w:val="single" w:sz="8" w:color="auto"/>
            </w:tcBorders>
            <w:gridSpan w:val="2"/>
          </w:tcPr>
          <w:p>
            <w:pPr>
              <w:jc w:val="center"/>
              <w:ind w:right="338"/>
              <w:spacing w:after="0" w:line="129" w:lineRule="exact"/>
              <w:rPr>
                <w:sz w:val="20"/>
                <w:szCs w:val="20"/>
                <w:color w:val="auto"/>
              </w:rPr>
            </w:pPr>
            <w:r>
              <w:rPr>
                <w:rFonts w:ascii="Arial" w:cs="Arial" w:eastAsia="Arial" w:hAnsi="Arial"/>
                <w:sz w:val="14"/>
                <w:szCs w:val="14"/>
                <w:b w:val="1"/>
                <w:bCs w:val="1"/>
                <w:color w:val="auto"/>
                <w:w w:val="88"/>
              </w:rPr>
              <w:t>January 31,</w:t>
            </w:r>
          </w:p>
        </w:tc>
        <w:tc>
          <w:tcPr>
            <w:tcW w:w="2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66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60" w:type="dxa"/>
            <w:vAlign w:val="bottom"/>
          </w:tcPr>
          <w:p>
            <w:pPr>
              <w:spacing w:after="0"/>
              <w:rPr>
                <w:sz w:val="14"/>
                <w:szCs w:val="14"/>
                <w:color w:val="auto"/>
              </w:rPr>
            </w:pPr>
          </w:p>
        </w:tc>
        <w:tc>
          <w:tcPr>
            <w:tcW w:w="80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2008</w:t>
            </w:r>
          </w:p>
        </w:tc>
        <w:tc>
          <w:tcPr>
            <w:tcW w:w="66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2009</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6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60" w:type="dxa"/>
            <w:vAlign w:val="bottom"/>
            <w:gridSpan w:val="2"/>
          </w:tcPr>
          <w:p>
            <w:pPr>
              <w:jc w:val="center"/>
              <w:spacing w:after="0"/>
              <w:rPr>
                <w:sz w:val="20"/>
                <w:szCs w:val="20"/>
                <w:color w:val="auto"/>
              </w:rPr>
            </w:pPr>
            <w:r>
              <w:rPr>
                <w:rFonts w:ascii="Arial" w:cs="Arial" w:eastAsia="Arial" w:hAnsi="Arial"/>
                <w:sz w:val="12"/>
                <w:szCs w:val="12"/>
                <w:b w:val="1"/>
                <w:bCs w:val="1"/>
                <w:color w:val="auto"/>
                <w:w w:val="80"/>
              </w:rPr>
              <w:t>(in thousands,</w:t>
            </w:r>
          </w:p>
        </w:tc>
        <w:tc>
          <w:tcPr>
            <w:tcW w:w="1460" w:type="dxa"/>
            <w:vAlign w:val="bottom"/>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94"/>
              </w:rPr>
              <w:t>except percentages)</w:t>
            </w: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200" w:type="dxa"/>
            <w:vAlign w:val="bottom"/>
            <w:gridSpan w:val="2"/>
            <w:shd w:val="clear" w:color="auto" w:fill="CCEEFF"/>
          </w:tcPr>
          <w:p>
            <w:pPr>
              <w:jc w:val="right"/>
              <w:ind w:right="338"/>
              <w:spacing w:after="0"/>
              <w:rPr>
                <w:sz w:val="20"/>
                <w:szCs w:val="20"/>
                <w:color w:val="auto"/>
              </w:rPr>
            </w:pPr>
            <w:r>
              <w:rPr>
                <w:rFonts w:ascii="Arial" w:cs="Arial" w:eastAsia="Arial" w:hAnsi="Arial"/>
                <w:sz w:val="18"/>
                <w:szCs w:val="18"/>
                <w:color w:val="auto"/>
                <w:w w:val="86"/>
              </w:rPr>
              <w:t>$1,426,624</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$1,497,796</w:t>
            </w:r>
          </w:p>
        </w:tc>
        <w:tc>
          <w:tcPr>
            <w:tcW w:w="6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22"/>
        </w:trPr>
        <w:tc>
          <w:tcPr>
            <w:tcW w:w="7660" w:type="dxa"/>
            <w:vAlign w:val="bottom"/>
          </w:tcPr>
          <w:p>
            <w:pPr>
              <w:spacing w:after="0"/>
              <w:rPr>
                <w:sz w:val="20"/>
                <w:szCs w:val="20"/>
                <w:color w:val="auto"/>
              </w:rPr>
            </w:pPr>
            <w:r>
              <w:rPr>
                <w:rFonts w:ascii="Arial" w:cs="Arial" w:eastAsia="Arial" w:hAnsi="Arial"/>
                <w:sz w:val="18"/>
                <w:szCs w:val="18"/>
                <w:color w:val="auto"/>
              </w:rPr>
              <w:t>% of net revenue</w:t>
            </w:r>
          </w:p>
        </w:tc>
        <w:tc>
          <w:tcPr>
            <w:tcW w:w="1200" w:type="dxa"/>
            <w:vAlign w:val="bottom"/>
            <w:gridSpan w:val="2"/>
          </w:tcPr>
          <w:p>
            <w:pPr>
              <w:jc w:val="right"/>
              <w:ind w:right="198"/>
              <w:spacing w:after="0"/>
              <w:rPr>
                <w:sz w:val="20"/>
                <w:szCs w:val="20"/>
                <w:color w:val="auto"/>
              </w:rPr>
            </w:pPr>
            <w:r>
              <w:rPr>
                <w:rFonts w:ascii="Arial" w:cs="Arial" w:eastAsia="Arial" w:hAnsi="Arial"/>
                <w:sz w:val="18"/>
                <w:szCs w:val="18"/>
                <w:color w:val="auto"/>
              </w:rPr>
              <w:t>48.4%</w:t>
            </w:r>
          </w:p>
        </w:tc>
        <w:tc>
          <w:tcPr>
            <w:tcW w:w="1720" w:type="dxa"/>
            <w:vAlign w:val="bottom"/>
            <w:gridSpan w:val="3"/>
          </w:tcPr>
          <w:p>
            <w:pPr>
              <w:jc w:val="right"/>
              <w:ind w:right="520"/>
              <w:spacing w:after="0"/>
              <w:rPr>
                <w:sz w:val="20"/>
                <w:szCs w:val="20"/>
                <w:color w:val="auto"/>
              </w:rPr>
            </w:pPr>
            <w:r>
              <w:rPr>
                <w:rFonts w:ascii="Arial" w:cs="Arial" w:eastAsia="Arial" w:hAnsi="Arial"/>
                <w:sz w:val="18"/>
                <w:szCs w:val="18"/>
                <w:color w:val="auto"/>
              </w:rPr>
              <w:t>51.7%</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Cost of goods sold consists primarily of the costs of manufacturing, assembly and testing of integrated circuit devices and related overhead costs, product warranty costs, royalties and compensation and associated costs relating to manufacturing support, logistics and quality assurance personnel, excess and obsolescence provisions and purchase accounting adjustments. The increase in gross margin in fiscal 2009 compared to fiscal 2008 was primarily due to reduced costs for cellular and handset product resulting from the transition of manufacturing from Intel to our fabrication partners. In addition, cost of goods sold improved as we experienced lower material and manufacturing costs due to volume efficiencies and yield improvements. Gross margin also improved due to the mix of higher gross margin products sold in fiscal 2009 compared to fiscal 2008. Finally, lower excess and obsolescence provisions and higher sales of product previously written down in fiscal 2009 as compared to fiscal 2008 improved gross margin. Our gross margins may also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the levels of sales of product previously written down, changes in the costs charged by our manufacturing and test subcontractors, the introduction of new products with lower margins, product warranty costs and changes in the amount of development revenue recognized. We expect that cost of goods sold as a percentage of revenue in fiscal 2010 will decline moderately from the level in fiscal 2009 due to the benefits of our cost reduction programs.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2860" w:type="dxa"/>
            <w:vAlign w:val="bottom"/>
            <w:gridSpan w:val="5"/>
          </w:tcPr>
          <w:p>
            <w:pPr>
              <w:jc w:val="right"/>
              <w:ind w:right="1178"/>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2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39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2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98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9"/>
              </w:rPr>
              <w:t>2008</w:t>
            </w:r>
          </w:p>
        </w:tc>
        <w:tc>
          <w:tcPr>
            <w:tcW w:w="74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7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40" w:type="dxa"/>
            <w:vAlign w:val="bottom"/>
          </w:tcPr>
          <w:p>
            <w:pPr>
              <w:jc w:val="right"/>
              <w:ind w:right="7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4"/>
              </w:rPr>
              <w:t>$ 929,990</w:t>
            </w:r>
          </w:p>
        </w:tc>
        <w:tc>
          <w:tcPr>
            <w:tcW w:w="4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$ 988,996</w:t>
            </w:r>
          </w:p>
        </w:tc>
        <w:tc>
          <w:tcPr>
            <w:tcW w:w="7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22"/>
        </w:trPr>
        <w:tc>
          <w:tcPr>
            <w:tcW w:w="7720" w:type="dxa"/>
            <w:vAlign w:val="bottom"/>
          </w:tcPr>
          <w:p>
            <w:pPr>
              <w:spacing w:after="0"/>
              <w:rPr>
                <w:sz w:val="20"/>
                <w:szCs w:val="20"/>
                <w:color w:val="auto"/>
              </w:rPr>
            </w:pPr>
            <w:r>
              <w:rPr>
                <w:rFonts w:ascii="Arial" w:cs="Arial" w:eastAsia="Arial" w:hAnsi="Arial"/>
                <w:sz w:val="18"/>
                <w:szCs w:val="18"/>
                <w:color w:val="auto"/>
              </w:rPr>
              <w:t>% of net revenue</w:t>
            </w:r>
          </w:p>
        </w:tc>
        <w:tc>
          <w:tcPr>
            <w:tcW w:w="1140" w:type="dxa"/>
            <w:vAlign w:val="bottom"/>
            <w:gridSpan w:val="2"/>
          </w:tcPr>
          <w:p>
            <w:pPr>
              <w:jc w:val="right"/>
              <w:ind w:right="238"/>
              <w:spacing w:after="0"/>
              <w:rPr>
                <w:sz w:val="20"/>
                <w:szCs w:val="20"/>
                <w:color w:val="auto"/>
              </w:rPr>
            </w:pPr>
            <w:r>
              <w:rPr>
                <w:rFonts w:ascii="Arial" w:cs="Arial" w:eastAsia="Arial" w:hAnsi="Arial"/>
                <w:sz w:val="18"/>
                <w:szCs w:val="18"/>
                <w:color w:val="auto"/>
              </w:rPr>
              <w:t>31.5%</w:t>
            </w:r>
          </w:p>
        </w:tc>
        <w:tc>
          <w:tcPr>
            <w:tcW w:w="1720" w:type="dxa"/>
            <w:vAlign w:val="bottom"/>
            <w:gridSpan w:val="3"/>
          </w:tcPr>
          <w:p>
            <w:pPr>
              <w:jc w:val="right"/>
              <w:ind w:right="538"/>
              <w:spacing w:after="0"/>
              <w:rPr>
                <w:sz w:val="20"/>
                <w:szCs w:val="20"/>
                <w:color w:val="auto"/>
              </w:rPr>
            </w:pPr>
            <w:r>
              <w:rPr>
                <w:rFonts w:ascii="Arial" w:cs="Arial" w:eastAsia="Arial" w:hAnsi="Arial"/>
                <w:sz w:val="18"/>
                <w:szCs w:val="18"/>
                <w:color w:val="auto"/>
              </w:rPr>
              <w:t>34.2%</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prototype costs, depreciation and amortization expense, patent investigation and filing fees, costs associated with contract development work and allocated occupancy costs for these operations. Research and development expense decreased by $59.0 million in fiscal 2009 as compared to fiscal 2008</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primarily due to a decrease in stock-based compensation of $25.4 million as recent awards have a lower valuation due to the depressed stock price along with the reversal of expenses for performance related grants due to the unlikely nature of the achievement of the specific performance targets due to the poor economic conditions. In addition, salary and related costs decreased $10.7 million due primarily to lower bonus expenses due to the cancellation of the fiscal 2009 bonus plan in response to the challenging economic times along with the benefits of our calendar year end shutdown, partially offset by selective headcount additions. Non-recurring engineering, pre-production and development wafer costs decreased $10.6 million as a result of tight cost controls partially offset by higher photomask spending earlier in the year for key new products. We also received a $5.0 million benefit from the reversal of remaining payroll tax liabilities due to the completion of our 409A reimbursement program. Other decreases in research and development expenses included a $3.6 million decrease in evaluation boards and engineering supplies, a $3.6 million decrease in travel related costs, a $3.3 million decrease in temporary help and consulting costs, $2.4 million decrease in patent legal fees and a $3.3 million decrease in other research and development primarily driven by cost control efforts. Partially offsetting the decreases in research and development expenses was $1.5 million of lower allocations of research and development spending to manufacturing activities. We expect that research and development costs in fiscal 2010 will moderately decline from the level of expense reported in fiscal 2009 due to continued focus on cost controls and the impacts of our restructuring plans.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00" w:type="dxa"/>
            <w:vAlign w:val="bottom"/>
          </w:tcPr>
          <w:p>
            <w:pPr>
              <w:spacing w:after="0"/>
              <w:rPr>
                <w:sz w:val="14"/>
                <w:szCs w:val="14"/>
                <w:color w:val="auto"/>
              </w:rPr>
            </w:pPr>
          </w:p>
        </w:tc>
        <w:tc>
          <w:tcPr>
            <w:tcW w:w="2880" w:type="dxa"/>
            <w:vAlign w:val="bottom"/>
            <w:gridSpan w:val="4"/>
          </w:tcPr>
          <w:p>
            <w:pPr>
              <w:jc w:val="right"/>
              <w:ind w:right="1198"/>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00" w:type="dxa"/>
            <w:vAlign w:val="bottom"/>
          </w:tcPr>
          <w:p>
            <w:pPr>
              <w:spacing w:after="0"/>
              <w:rPr>
                <w:sz w:val="11"/>
                <w:szCs w:val="11"/>
                <w:color w:val="auto"/>
              </w:rPr>
            </w:pPr>
          </w:p>
        </w:tc>
        <w:tc>
          <w:tcPr>
            <w:tcW w:w="1440" w:type="dxa"/>
            <w:vAlign w:val="bottom"/>
            <w:tcBorders>
              <w:top w:val="single" w:sz="8" w:color="auto"/>
            </w:tcBorders>
            <w:gridSpan w:val="2"/>
          </w:tcPr>
          <w:p>
            <w:pPr>
              <w:jc w:val="right"/>
              <w:ind w:right="692"/>
              <w:spacing w:after="0" w:line="129" w:lineRule="exact"/>
              <w:rPr>
                <w:sz w:val="20"/>
                <w:szCs w:val="20"/>
                <w:color w:val="auto"/>
              </w:rPr>
            </w:pPr>
            <w:r>
              <w:rPr>
                <w:rFonts w:ascii="Arial" w:cs="Arial" w:eastAsia="Arial" w:hAnsi="Arial"/>
                <w:sz w:val="14"/>
                <w:szCs w:val="14"/>
                <w:b w:val="1"/>
                <w:bCs w:val="1"/>
                <w:color w:val="auto"/>
                <w:w w:val="85"/>
              </w:rPr>
              <w:t>January 31,</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6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0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76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2008</w:t>
            </w:r>
          </w:p>
        </w:tc>
        <w:tc>
          <w:tcPr>
            <w:tcW w:w="76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7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7"/>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760" w:type="dxa"/>
            <w:vAlign w:val="bottom"/>
          </w:tcPr>
          <w:p>
            <w:pPr>
              <w:jc w:val="right"/>
              <w:ind w:right="7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$ 160,973</w:t>
            </w:r>
          </w:p>
        </w:tc>
        <w:tc>
          <w:tcPr>
            <w:tcW w:w="76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698"/>
              <w:spacing w:after="0"/>
              <w:rPr>
                <w:sz w:val="20"/>
                <w:szCs w:val="20"/>
                <w:color w:val="auto"/>
              </w:rPr>
            </w:pPr>
            <w:r>
              <w:rPr>
                <w:rFonts w:ascii="Arial" w:cs="Arial" w:eastAsia="Arial" w:hAnsi="Arial"/>
                <w:sz w:val="18"/>
                <w:szCs w:val="18"/>
                <w:color w:val="auto"/>
                <w:w w:val="82"/>
              </w:rPr>
              <w:t>$ 211,261</w:t>
            </w: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(23.8)%</w:t>
            </w:r>
          </w:p>
        </w:tc>
        <w:tc>
          <w:tcPr>
            <w:tcW w:w="0" w:type="dxa"/>
            <w:vAlign w:val="bottom"/>
          </w:tcPr>
          <w:p>
            <w:pPr>
              <w:spacing w:after="0"/>
              <w:rPr>
                <w:sz w:val="1"/>
                <w:szCs w:val="1"/>
                <w:color w:val="auto"/>
              </w:rPr>
            </w:pPr>
          </w:p>
        </w:tc>
      </w:tr>
      <w:tr>
        <w:trPr>
          <w:trHeight w:val="222"/>
        </w:trPr>
        <w:tc>
          <w:tcPr>
            <w:tcW w:w="7700" w:type="dxa"/>
            <w:vAlign w:val="bottom"/>
          </w:tcPr>
          <w:p>
            <w:pPr>
              <w:spacing w:after="0"/>
              <w:rPr>
                <w:sz w:val="20"/>
                <w:szCs w:val="20"/>
                <w:color w:val="auto"/>
              </w:rPr>
            </w:pPr>
            <w:r>
              <w:rPr>
                <w:rFonts w:ascii="Arial" w:cs="Arial" w:eastAsia="Arial" w:hAnsi="Arial"/>
                <w:sz w:val="18"/>
                <w:szCs w:val="18"/>
                <w:color w:val="auto"/>
              </w:rPr>
              <w:t>% of net revenue</w:t>
            </w:r>
          </w:p>
        </w:tc>
        <w:tc>
          <w:tcPr>
            <w:tcW w:w="1440" w:type="dxa"/>
            <w:vAlign w:val="bottom"/>
            <w:gridSpan w:val="2"/>
          </w:tcPr>
          <w:p>
            <w:pPr>
              <w:jc w:val="right"/>
              <w:ind w:right="552"/>
              <w:spacing w:after="0"/>
              <w:rPr>
                <w:sz w:val="20"/>
                <w:szCs w:val="20"/>
                <w:color w:val="auto"/>
              </w:rPr>
            </w:pPr>
            <w:r>
              <w:rPr>
                <w:rFonts w:ascii="Arial" w:cs="Arial" w:eastAsia="Arial" w:hAnsi="Arial"/>
                <w:sz w:val="18"/>
                <w:szCs w:val="18"/>
                <w:color w:val="auto"/>
              </w:rPr>
              <w:t>5.5%</w:t>
            </w:r>
          </w:p>
        </w:tc>
        <w:tc>
          <w:tcPr>
            <w:tcW w:w="1440" w:type="dxa"/>
            <w:vAlign w:val="bottom"/>
            <w:gridSpan w:val="2"/>
          </w:tcPr>
          <w:p>
            <w:pPr>
              <w:jc w:val="right"/>
              <w:ind w:right="538"/>
              <w:spacing w:after="0"/>
              <w:rPr>
                <w:sz w:val="20"/>
                <w:szCs w:val="20"/>
                <w:color w:val="auto"/>
              </w:rPr>
            </w:pPr>
            <w:r>
              <w:rPr>
                <w:rFonts w:ascii="Arial" w:cs="Arial" w:eastAsia="Arial" w:hAnsi="Arial"/>
                <w:sz w:val="18"/>
                <w:szCs w:val="18"/>
                <w:color w:val="auto"/>
              </w:rPr>
              <w:t>7.3%</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90"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sales commissions, promotional and other marketing expenses, and allocated occupancy costs for these operations. Selling and marketing expense decreased $50.3 million in fiscal 2009 compared to fiscal 2008 primarily due to lower salary and related costs of $16.6 million as a result of lower headcount, lower bonuses due to the cancellation of the fiscal 2009 bonus program along with the benefits of our calendar year-end shutdown. Additionally, stock-based compensation decreased by $13.9 million, primarily to lower valuation of recent grants. Finally, travel related, tradeshow and various other costs declined significantly as we focused on controlling discretionary spending. Facility and related allocated costs decreased $3.7 million. We expect that selling and marketing costs in fiscal 2010 will moderately decline from the level of expense reported in fiscal 2009.</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2860" w:type="dxa"/>
            <w:vAlign w:val="bottom"/>
            <w:gridSpan w:val="5"/>
          </w:tcPr>
          <w:p>
            <w:pPr>
              <w:jc w:val="right"/>
              <w:ind w:right="1178"/>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2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39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2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98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9"/>
              </w:rPr>
              <w:t>2008</w:t>
            </w:r>
          </w:p>
        </w:tc>
        <w:tc>
          <w:tcPr>
            <w:tcW w:w="74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7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40" w:type="dxa"/>
            <w:vAlign w:val="bottom"/>
          </w:tcPr>
          <w:p>
            <w:pPr>
              <w:jc w:val="right"/>
              <w:ind w:right="7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4"/>
              </w:rPr>
              <w:t>$ 104,788</w:t>
            </w:r>
          </w:p>
        </w:tc>
        <w:tc>
          <w:tcPr>
            <w:tcW w:w="4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$ 138,640</w:t>
            </w:r>
          </w:p>
        </w:tc>
        <w:tc>
          <w:tcPr>
            <w:tcW w:w="7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(24.4)%</w:t>
            </w:r>
          </w:p>
        </w:tc>
        <w:tc>
          <w:tcPr>
            <w:tcW w:w="0" w:type="dxa"/>
            <w:vAlign w:val="bottom"/>
          </w:tcPr>
          <w:p>
            <w:pPr>
              <w:spacing w:after="0"/>
              <w:rPr>
                <w:sz w:val="1"/>
                <w:szCs w:val="1"/>
                <w:color w:val="auto"/>
              </w:rPr>
            </w:pPr>
          </w:p>
        </w:tc>
      </w:tr>
      <w:tr>
        <w:trPr>
          <w:trHeight w:val="222"/>
        </w:trPr>
        <w:tc>
          <w:tcPr>
            <w:tcW w:w="7720" w:type="dxa"/>
            <w:vAlign w:val="bottom"/>
          </w:tcPr>
          <w:p>
            <w:pPr>
              <w:spacing w:after="0"/>
              <w:rPr>
                <w:sz w:val="20"/>
                <w:szCs w:val="20"/>
                <w:color w:val="auto"/>
              </w:rPr>
            </w:pPr>
            <w:r>
              <w:rPr>
                <w:rFonts w:ascii="Arial" w:cs="Arial" w:eastAsia="Arial" w:hAnsi="Arial"/>
                <w:sz w:val="18"/>
                <w:szCs w:val="18"/>
                <w:color w:val="auto"/>
              </w:rPr>
              <w:t>% of net revenue</w:t>
            </w:r>
          </w:p>
        </w:tc>
        <w:tc>
          <w:tcPr>
            <w:tcW w:w="1140" w:type="dxa"/>
            <w:vAlign w:val="bottom"/>
            <w:gridSpan w:val="2"/>
          </w:tcPr>
          <w:p>
            <w:pPr>
              <w:jc w:val="right"/>
              <w:ind w:right="238"/>
              <w:spacing w:after="0"/>
              <w:rPr>
                <w:sz w:val="20"/>
                <w:szCs w:val="20"/>
                <w:color w:val="auto"/>
              </w:rPr>
            </w:pPr>
            <w:r>
              <w:rPr>
                <w:rFonts w:ascii="Arial" w:cs="Arial" w:eastAsia="Arial" w:hAnsi="Arial"/>
                <w:sz w:val="18"/>
                <w:szCs w:val="18"/>
                <w:color w:val="auto"/>
              </w:rPr>
              <w:t>3.5%</w:t>
            </w:r>
          </w:p>
        </w:tc>
        <w:tc>
          <w:tcPr>
            <w:tcW w:w="1720" w:type="dxa"/>
            <w:vAlign w:val="bottom"/>
            <w:gridSpan w:val="3"/>
          </w:tcPr>
          <w:p>
            <w:pPr>
              <w:jc w:val="right"/>
              <w:ind w:right="538"/>
              <w:spacing w:after="0"/>
              <w:rPr>
                <w:sz w:val="20"/>
                <w:szCs w:val="20"/>
                <w:color w:val="auto"/>
              </w:rPr>
            </w:pPr>
            <w:r>
              <w:rPr>
                <w:rFonts w:ascii="Arial" w:cs="Arial" w:eastAsia="Arial" w:hAnsi="Arial"/>
                <w:sz w:val="18"/>
                <w:szCs w:val="18"/>
                <w:color w:val="auto"/>
              </w:rPr>
              <w:t>4.8%</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General and administrative expense consists primarily of compensation and associated costs relating to general and administrative personnel, fees for professional services and allocated occupancy costs for these operations. General and administrative expense decreased $33.9 million in fiscal 2009 compared to fiscal 2008 primarily due to lower legal and professional fees of $34.8 million. Legal and professional fees decreased due to a reduction in legal fees associated with our internal review of historical stock option granting practices and related accounting matters as well as $24.5 million of insurance recoveries for shareholder derivative, class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action and related lawsuits received in the first quarter of fiscal 2009. Partially offsetting the decrease in legal and professional fees was a $10.0 million settlement with the SEC investigation regarding our historic stock option granting practices and related accounting matters in the first quarter of fiscal 2009. Additionally, stock-based compensation decreased $10.7 million primarily due to the cancellation of grants to a former and current executive in the second quarter of fiscal 2008 that was not accompanied by a concurrent replacement grant or other valuable consideration. Partially offsetting the decreases in general and administrative expense was an increase in salary and related costs of $5.6 million due to the net hiring of additional administrative personnel and a $5.1 million gain on the sale of an asset under construction recorded during the third quarter of fiscal 2008. We expect that general and administrative costs in fiscal 2010 will moderately decline from the level of expense reported in fiscal 2009 due to continued focus on cost controls.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2860" w:type="dxa"/>
            <w:vAlign w:val="bottom"/>
            <w:gridSpan w:val="5"/>
          </w:tcPr>
          <w:p>
            <w:pPr>
              <w:jc w:val="right"/>
              <w:ind w:right="1178"/>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2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39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2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98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9"/>
              </w:rPr>
              <w:t>2008</w:t>
            </w:r>
          </w:p>
        </w:tc>
        <w:tc>
          <w:tcPr>
            <w:tcW w:w="74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7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40" w:type="dxa"/>
            <w:vAlign w:val="bottom"/>
          </w:tcPr>
          <w:p>
            <w:pPr>
              <w:jc w:val="right"/>
              <w:ind w:right="7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4"/>
              </w:rPr>
              <w:t>$ 153,323</w:t>
            </w:r>
          </w:p>
        </w:tc>
        <w:tc>
          <w:tcPr>
            <w:tcW w:w="4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$ 155,734</w:t>
            </w:r>
          </w:p>
        </w:tc>
        <w:tc>
          <w:tcPr>
            <w:tcW w:w="7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22"/>
        </w:trPr>
        <w:tc>
          <w:tcPr>
            <w:tcW w:w="7720" w:type="dxa"/>
            <w:vAlign w:val="bottom"/>
          </w:tcPr>
          <w:p>
            <w:pPr>
              <w:spacing w:after="0"/>
              <w:rPr>
                <w:sz w:val="20"/>
                <w:szCs w:val="20"/>
                <w:color w:val="auto"/>
              </w:rPr>
            </w:pPr>
            <w:r>
              <w:rPr>
                <w:rFonts w:ascii="Arial" w:cs="Arial" w:eastAsia="Arial" w:hAnsi="Arial"/>
                <w:sz w:val="18"/>
                <w:szCs w:val="18"/>
                <w:color w:val="auto"/>
              </w:rPr>
              <w:t>% of net revenue</w:t>
            </w:r>
          </w:p>
        </w:tc>
        <w:tc>
          <w:tcPr>
            <w:tcW w:w="1140" w:type="dxa"/>
            <w:vAlign w:val="bottom"/>
            <w:gridSpan w:val="2"/>
          </w:tcPr>
          <w:p>
            <w:pPr>
              <w:jc w:val="right"/>
              <w:ind w:right="238"/>
              <w:spacing w:after="0"/>
              <w:rPr>
                <w:sz w:val="20"/>
                <w:szCs w:val="20"/>
                <w:color w:val="auto"/>
              </w:rPr>
            </w:pPr>
            <w:r>
              <w:rPr>
                <w:rFonts w:ascii="Arial" w:cs="Arial" w:eastAsia="Arial" w:hAnsi="Arial"/>
                <w:sz w:val="18"/>
                <w:szCs w:val="18"/>
                <w:color w:val="auto"/>
              </w:rPr>
              <w:t>5.2%</w:t>
            </w:r>
          </w:p>
        </w:tc>
        <w:tc>
          <w:tcPr>
            <w:tcW w:w="1720" w:type="dxa"/>
            <w:vAlign w:val="bottom"/>
            <w:gridSpan w:val="3"/>
          </w:tcPr>
          <w:p>
            <w:pPr>
              <w:jc w:val="right"/>
              <w:ind w:right="538"/>
              <w:spacing w:after="0"/>
              <w:rPr>
                <w:sz w:val="20"/>
                <w:szCs w:val="20"/>
                <w:color w:val="auto"/>
              </w:rPr>
            </w:pPr>
            <w:r>
              <w:rPr>
                <w:rFonts w:ascii="Arial" w:cs="Arial" w:eastAsia="Arial" w:hAnsi="Arial"/>
                <w:sz w:val="18"/>
                <w:szCs w:val="18"/>
                <w:color w:val="auto"/>
              </w:rPr>
              <w:t>5.3%</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fiscal 2009, we made one acquisition in which we acquired intangible assets that are being amortized over their estimated economic lives of two to six years. In fiscal 2008, we made two acquisitions in which we acquired intangible assets which are being amortized over their estimated economic lives of one to seven years. The decrease in amortization and write-off of acquired intangible assets of $2.4 million in fiscal 2009 compared to fiscal 2008 is due to certain acquired intangible assets from previous acquisitions being fully amortized, offset by the write-off of certain intangible assets from previous acquisitions. We determined that certain acquisition-related intangibles associated with the acquisition of the UTStarcom business, the PicoMobile business and the ICAP Business were impaired. The primary reason for the write-off of the remaining UTStarcom purchased intangibles and certain intangibles from the ICAP Business was due to declining revenue from products incorporating such purchased intangibles. The purchased intangibles from the PicoMobile acquisition were written-off due to a delay in the deployment of the technology within the industry. We measured the amount of impairment by calculating the amount by which the value of the assets exceeded their estimated fair values, which were based on projected discounted future net cash flows. The amount of the purchased intangibles written-off in the fourth quarter of fiscal 2009 due to impairment was $15.6 million. In the fourth quarter of fiscal 2008, we determined that certain of the acquisition-related intangibles associated with our acquisition of the UTStarcom business and the ICAP Business were impaired primarily due to the revised lower revenue forecasts associated with products incorporating such purchased intangibles. The amount of the purchased intangibles written-off in the fourth quarter of fiscal 2008 due to impairment was $7.2 million.</w:t>
      </w:r>
    </w:p>
    <w:p>
      <w:pPr>
        <w:spacing w:after="0" w:line="20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3040" w:type="dxa"/>
            <w:vAlign w:val="bottom"/>
            <w:gridSpan w:val="5"/>
          </w:tcPr>
          <w:p>
            <w:pPr>
              <w:jc w:val="right"/>
              <w:ind w:right="1318"/>
              <w:spacing w:after="0"/>
              <w:rPr>
                <w:sz w:val="20"/>
                <w:szCs w:val="20"/>
                <w:color w:val="auto"/>
              </w:rPr>
            </w:pPr>
            <w:r>
              <w:rPr>
                <w:rFonts w:ascii="Arial" w:cs="Arial" w:eastAsia="Arial" w:hAnsi="Arial"/>
                <w:sz w:val="14"/>
                <w:szCs w:val="14"/>
                <w:b w:val="1"/>
                <w:bCs w:val="1"/>
                <w:color w:val="auto"/>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140"/>
              <w:spacing w:after="0" w:line="129" w:lineRule="exact"/>
              <w:rPr>
                <w:sz w:val="20"/>
                <w:szCs w:val="20"/>
                <w:color w:val="auto"/>
              </w:rPr>
            </w:pPr>
            <w:r>
              <w:rPr>
                <w:rFonts w:ascii="Arial" w:cs="Arial" w:eastAsia="Arial" w:hAnsi="Arial"/>
                <w:sz w:val="14"/>
                <w:szCs w:val="14"/>
                <w:b w:val="1"/>
                <w:bCs w:val="1"/>
                <w:color w:val="auto"/>
                <w:w w:val="88"/>
              </w:rPr>
              <w:t>January 31,</w:t>
            </w:r>
          </w:p>
        </w:tc>
        <w:tc>
          <w:tcPr>
            <w:tcW w:w="6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84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2009</w:t>
            </w:r>
          </w:p>
        </w:tc>
        <w:tc>
          <w:tcPr>
            <w:tcW w:w="140" w:type="dxa"/>
            <w:vAlign w:val="bottom"/>
          </w:tcPr>
          <w:p>
            <w:pPr>
              <w:spacing w:after="0"/>
              <w:rPr>
                <w:sz w:val="14"/>
                <w:szCs w:val="14"/>
                <w:color w:val="auto"/>
              </w:rPr>
            </w:pPr>
          </w:p>
        </w:tc>
        <w:tc>
          <w:tcPr>
            <w:tcW w:w="1360" w:type="dxa"/>
            <w:vAlign w:val="bottom"/>
            <w:gridSpan w:val="2"/>
          </w:tcPr>
          <w:p>
            <w:pPr>
              <w:jc w:val="center"/>
              <w:ind w:left="604"/>
              <w:spacing w:after="0"/>
              <w:rPr>
                <w:sz w:val="20"/>
                <w:szCs w:val="20"/>
                <w:color w:val="auto"/>
              </w:rPr>
            </w:pPr>
            <w:r>
              <w:rPr>
                <w:rFonts w:ascii="Arial" w:cs="Arial" w:eastAsia="Arial" w:hAnsi="Arial"/>
                <w:sz w:val="14"/>
                <w:szCs w:val="14"/>
                <w:b w:val="1"/>
                <w:bCs w:val="1"/>
                <w:color w:val="auto"/>
                <w:w w:val="89"/>
              </w:rPr>
              <w:t>2008</w:t>
            </w:r>
          </w:p>
        </w:tc>
        <w:tc>
          <w:tcPr>
            <w:tcW w:w="840" w:type="dxa"/>
            <w:vAlign w:val="bottom"/>
          </w:tcPr>
          <w:p>
            <w:pPr>
              <w:spacing w:after="0"/>
              <w:rPr>
                <w:sz w:val="14"/>
                <w:szCs w:val="14"/>
                <w:color w:val="auto"/>
              </w:rPr>
            </w:pPr>
          </w:p>
        </w:tc>
        <w:tc>
          <w:tcPr>
            <w:tcW w:w="7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2009</w:t>
            </w:r>
          </w:p>
        </w:tc>
        <w:tc>
          <w:tcPr>
            <w:tcW w:w="0" w:type="dxa"/>
            <w:vAlign w:val="bottom"/>
          </w:tcPr>
          <w:p>
            <w:pPr>
              <w:spacing w:after="0"/>
              <w:rPr>
                <w:sz w:val="1"/>
                <w:szCs w:val="1"/>
                <w:color w:val="auto"/>
              </w:rPr>
            </w:pPr>
          </w:p>
        </w:tc>
      </w:tr>
      <w:tr>
        <w:trPr>
          <w:trHeight w:val="142"/>
        </w:trPr>
        <w:tc>
          <w:tcPr>
            <w:tcW w:w="762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40" w:type="dxa"/>
            <w:vAlign w:val="bottom"/>
          </w:tcPr>
          <w:p>
            <w:pPr>
              <w:jc w:val="right"/>
              <w:ind w:right="15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  9,689</w:t>
            </w:r>
          </w:p>
        </w:tc>
        <w:tc>
          <w:tcPr>
            <w:tcW w:w="2200" w:type="dxa"/>
            <w:vAlign w:val="bottom"/>
            <w:gridSpan w:val="3"/>
            <w:shd w:val="clear" w:color="auto" w:fill="CCEEFF"/>
          </w:tcPr>
          <w:p>
            <w:pPr>
              <w:jc w:val="right"/>
              <w:ind w:right="778"/>
              <w:spacing w:after="0"/>
              <w:rPr>
                <w:sz w:val="20"/>
                <w:szCs w:val="20"/>
                <w:color w:val="auto"/>
              </w:rPr>
            </w:pPr>
            <w:r>
              <w:rPr>
                <w:rFonts w:ascii="Arial" w:cs="Arial" w:eastAsia="Arial" w:hAnsi="Arial"/>
                <w:sz w:val="18"/>
                <w:szCs w:val="18"/>
                <w:color w:val="auto"/>
              </w:rPr>
              <w:t>$  7,856</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23.3%</w:t>
            </w:r>
          </w:p>
        </w:tc>
        <w:tc>
          <w:tcPr>
            <w:tcW w:w="0" w:type="dxa"/>
            <w:vAlign w:val="bottom"/>
          </w:tcPr>
          <w:p>
            <w:pPr>
              <w:spacing w:after="0"/>
              <w:rPr>
                <w:sz w:val="1"/>
                <w:szCs w:val="1"/>
                <w:color w:val="auto"/>
              </w:rPr>
            </w:pPr>
          </w:p>
        </w:tc>
      </w:tr>
      <w:tr>
        <w:trPr>
          <w:trHeight w:val="222"/>
        </w:trPr>
        <w:tc>
          <w:tcPr>
            <w:tcW w:w="7620" w:type="dxa"/>
            <w:vAlign w:val="bottom"/>
          </w:tcPr>
          <w:p>
            <w:pPr>
              <w:spacing w:after="0"/>
              <w:rPr>
                <w:sz w:val="20"/>
                <w:szCs w:val="20"/>
                <w:color w:val="auto"/>
              </w:rPr>
            </w:pPr>
            <w:r>
              <w:rPr>
                <w:rFonts w:ascii="Arial" w:cs="Arial" w:eastAsia="Arial" w:hAnsi="Arial"/>
                <w:sz w:val="18"/>
                <w:szCs w:val="18"/>
                <w:color w:val="auto"/>
              </w:rPr>
              <w:t>% of net revenue</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2200" w:type="dxa"/>
            <w:vAlign w:val="bottom"/>
            <w:gridSpan w:val="3"/>
          </w:tcPr>
          <w:p>
            <w:pPr>
              <w:jc w:val="right"/>
              <w:ind w:right="618"/>
              <w:spacing w:after="0"/>
              <w:rPr>
                <w:sz w:val="20"/>
                <w:szCs w:val="20"/>
                <w:color w:val="auto"/>
              </w:rPr>
            </w:pPr>
            <w:r>
              <w:rPr>
                <w:rFonts w:ascii="Arial" w:cs="Arial" w:eastAsia="Arial" w:hAnsi="Arial"/>
                <w:sz w:val="18"/>
                <w:szCs w:val="18"/>
                <w:color w:val="auto"/>
              </w:rPr>
              <w:t>0.3%</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Restructuring charges increased $1.8 million in fiscal 2009 compared to fiscal 2008. During the fourth quarter of fiscal 2009, we implemented certain cost reduction measures that included reductions in workforce in all functions of the organization worldwide, impacting approximately 200 employees, in order to reduce our cost structure. As a result, a restructuring charge of $9.7 million was recorded that consisted of severance and related</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employee benefits to the terminated employees, approximately $2.7 million of charges related to the impairment of abandoned facilities and $0.4 million of other equipment charges. The lease abandonment charges included $1.8 million resulting from the closing of the Canada office and another $0.9 million related to a change in the estimated sublease income for the duration of the remaining lease term on another facility. The lease abandonment charge includes the remaining lease commitment of the facilities reduced by the estimated sublease income through the duration of the lease term. During the fourth quarter of fiscal 2008, we implemented cost- cutting measures that included reductions in workforce in all functions of the organization worldwide in order to reduce our cost structure. A restructuring charge of $7.8 million was recorded relating to severance and benefits to 438 terminated employees in the fourth quarter of fiscal 2008. All expenses associated with our cost-cutting measures are included in “Restructuring” in the Consolidated Statements of Operations. For further discussion on our restructuring plan, please refer to Note 7 — Restructuring of our notes to the Consolidated Financial Statements set forth in Part II, Item 8 of this Annual Report on Form 10-K.</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2860" w:type="dxa"/>
            <w:vAlign w:val="bottom"/>
            <w:gridSpan w:val="5"/>
          </w:tcPr>
          <w:p>
            <w:pPr>
              <w:jc w:val="right"/>
              <w:ind w:right="1178"/>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2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39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2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98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9"/>
              </w:rPr>
              <w:t>2008</w:t>
            </w:r>
          </w:p>
        </w:tc>
        <w:tc>
          <w:tcPr>
            <w:tcW w:w="74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7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40" w:type="dxa"/>
            <w:vAlign w:val="bottom"/>
          </w:tcPr>
          <w:p>
            <w:pPr>
              <w:jc w:val="right"/>
              <w:ind w:right="7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  23,651</w:t>
            </w:r>
          </w:p>
        </w:tc>
        <w:tc>
          <w:tcPr>
            <w:tcW w:w="4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28,100</w:t>
            </w:r>
          </w:p>
        </w:tc>
        <w:tc>
          <w:tcPr>
            <w:tcW w:w="7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(15.8)%</w:t>
            </w:r>
          </w:p>
        </w:tc>
        <w:tc>
          <w:tcPr>
            <w:tcW w:w="0" w:type="dxa"/>
            <w:vAlign w:val="bottom"/>
          </w:tcPr>
          <w:p>
            <w:pPr>
              <w:spacing w:after="0"/>
              <w:rPr>
                <w:sz w:val="1"/>
                <w:szCs w:val="1"/>
                <w:color w:val="auto"/>
              </w:rPr>
            </w:pPr>
          </w:p>
        </w:tc>
      </w:tr>
      <w:tr>
        <w:trPr>
          <w:trHeight w:val="222"/>
        </w:trPr>
        <w:tc>
          <w:tcPr>
            <w:tcW w:w="7720" w:type="dxa"/>
            <w:vAlign w:val="bottom"/>
          </w:tcPr>
          <w:p>
            <w:pPr>
              <w:spacing w:after="0"/>
              <w:rPr>
                <w:sz w:val="20"/>
                <w:szCs w:val="20"/>
                <w:color w:val="auto"/>
              </w:rPr>
            </w:pPr>
            <w:r>
              <w:rPr>
                <w:rFonts w:ascii="Arial" w:cs="Arial" w:eastAsia="Arial" w:hAnsi="Arial"/>
                <w:sz w:val="18"/>
                <w:szCs w:val="18"/>
                <w:color w:val="auto"/>
              </w:rPr>
              <w:t>% of net revenue</w:t>
            </w:r>
          </w:p>
        </w:tc>
        <w:tc>
          <w:tcPr>
            <w:tcW w:w="1140" w:type="dxa"/>
            <w:vAlign w:val="bottom"/>
            <w:gridSpan w:val="2"/>
          </w:tcPr>
          <w:p>
            <w:pPr>
              <w:jc w:val="right"/>
              <w:ind w:right="238"/>
              <w:spacing w:after="0"/>
              <w:rPr>
                <w:sz w:val="20"/>
                <w:szCs w:val="20"/>
                <w:color w:val="auto"/>
              </w:rPr>
            </w:pPr>
            <w:r>
              <w:rPr>
                <w:rFonts w:ascii="Arial" w:cs="Arial" w:eastAsia="Arial" w:hAnsi="Arial"/>
                <w:sz w:val="18"/>
                <w:szCs w:val="18"/>
                <w:color w:val="auto"/>
              </w:rPr>
              <w:t>0.8%</w:t>
            </w:r>
          </w:p>
        </w:tc>
        <w:tc>
          <w:tcPr>
            <w:tcW w:w="1720" w:type="dxa"/>
            <w:vAlign w:val="bottom"/>
            <w:gridSpan w:val="3"/>
          </w:tcPr>
          <w:p>
            <w:pPr>
              <w:jc w:val="right"/>
              <w:ind w:right="538"/>
              <w:spacing w:after="0"/>
              <w:rPr>
                <w:sz w:val="20"/>
                <w:szCs w:val="20"/>
                <w:color w:val="auto"/>
              </w:rPr>
            </w:pPr>
            <w:r>
              <w:rPr>
                <w:rFonts w:ascii="Arial" w:cs="Arial" w:eastAsia="Arial" w:hAnsi="Arial"/>
                <w:sz w:val="18"/>
                <w:szCs w:val="18"/>
                <w:color w:val="auto"/>
              </w:rPr>
              <w:t>1.0%</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Interest and other income consists primarily of interest earned on cash, cash equivalents and short-term investment balances, gains and losses on the sale of marketable securities, foreign currency impact and various other gains and losses. The decrease in interest and other income of $4.4 million is due primarily to a one-time benefit of $22.1 million credited to other income in fiscal 2008 to reflect the release of unused credits arising from differences in the original estimate used in purchase accounting and actual product mix and yields from the supply agreement with Intel. Partially offsetting the one-time benefit in fiscal 2008 was a cumulative foreign exchange loss of $9.7 million. In fiscal 2009, there was a cumulative foreign exchange gain related to foreign tax reserves of $13.8 million primarily as a result of the strengthening of the U.S. dollar. In addition, interest and other income decreased due to lower interest income as a result of a decrease in market interest rates. The results for each of the periods reflect the effect of the reclassification of foreign exchange gains and losses related to uncertain tax positions from provision (benefit) for income taxes to interest and other income.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2860" w:type="dxa"/>
            <w:vAlign w:val="bottom"/>
            <w:gridSpan w:val="5"/>
          </w:tcPr>
          <w:p>
            <w:pPr>
              <w:jc w:val="right"/>
              <w:ind w:right="1178"/>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2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398"/>
              <w:spacing w:after="0" w:line="129" w:lineRule="exact"/>
              <w:rPr>
                <w:sz w:val="20"/>
                <w:szCs w:val="20"/>
                <w:color w:val="auto"/>
              </w:rPr>
            </w:pPr>
            <w:r>
              <w:rPr>
                <w:rFonts w:ascii="Arial" w:cs="Arial" w:eastAsia="Arial" w:hAnsi="Arial"/>
                <w:sz w:val="14"/>
                <w:szCs w:val="14"/>
                <w:b w:val="1"/>
                <w:bCs w:val="1"/>
                <w:color w:val="auto"/>
                <w:w w:val="88"/>
              </w:rPr>
              <w:t>January 31,</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2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98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9"/>
              </w:rPr>
              <w:t>2008</w:t>
            </w:r>
          </w:p>
        </w:tc>
        <w:tc>
          <w:tcPr>
            <w:tcW w:w="74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2009</w:t>
            </w:r>
          </w:p>
        </w:tc>
        <w:tc>
          <w:tcPr>
            <w:tcW w:w="0" w:type="dxa"/>
            <w:vAlign w:val="bottom"/>
          </w:tcPr>
          <w:p>
            <w:pPr>
              <w:spacing w:after="0"/>
              <w:rPr>
                <w:sz w:val="1"/>
                <w:szCs w:val="1"/>
                <w:color w:val="auto"/>
              </w:rPr>
            </w:pPr>
          </w:p>
        </w:tc>
      </w:tr>
      <w:tr>
        <w:trPr>
          <w:trHeight w:val="142"/>
        </w:trPr>
        <w:tc>
          <w:tcPr>
            <w:tcW w:w="77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40" w:type="dxa"/>
            <w:vAlign w:val="bottom"/>
          </w:tcPr>
          <w:p>
            <w:pPr>
              <w:jc w:val="right"/>
              <w:ind w:right="7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  17,994</w:t>
            </w:r>
          </w:p>
        </w:tc>
        <w:tc>
          <w:tcPr>
            <w:tcW w:w="4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40,498</w:t>
            </w:r>
          </w:p>
        </w:tc>
        <w:tc>
          <w:tcPr>
            <w:tcW w:w="7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(55.6)%</w:t>
            </w:r>
          </w:p>
        </w:tc>
        <w:tc>
          <w:tcPr>
            <w:tcW w:w="0" w:type="dxa"/>
            <w:vAlign w:val="bottom"/>
          </w:tcPr>
          <w:p>
            <w:pPr>
              <w:spacing w:after="0"/>
              <w:rPr>
                <w:sz w:val="1"/>
                <w:szCs w:val="1"/>
                <w:color w:val="auto"/>
              </w:rPr>
            </w:pPr>
          </w:p>
        </w:tc>
      </w:tr>
      <w:tr>
        <w:trPr>
          <w:trHeight w:val="222"/>
        </w:trPr>
        <w:tc>
          <w:tcPr>
            <w:tcW w:w="7720" w:type="dxa"/>
            <w:vAlign w:val="bottom"/>
          </w:tcPr>
          <w:p>
            <w:pPr>
              <w:spacing w:after="0"/>
              <w:rPr>
                <w:sz w:val="20"/>
                <w:szCs w:val="20"/>
                <w:color w:val="auto"/>
              </w:rPr>
            </w:pPr>
            <w:r>
              <w:rPr>
                <w:rFonts w:ascii="Arial" w:cs="Arial" w:eastAsia="Arial" w:hAnsi="Arial"/>
                <w:sz w:val="18"/>
                <w:szCs w:val="18"/>
                <w:color w:val="auto"/>
              </w:rPr>
              <w:t>% of net revenue</w:t>
            </w:r>
          </w:p>
        </w:tc>
        <w:tc>
          <w:tcPr>
            <w:tcW w:w="1140" w:type="dxa"/>
            <w:vAlign w:val="bottom"/>
            <w:gridSpan w:val="2"/>
          </w:tcPr>
          <w:p>
            <w:pPr>
              <w:jc w:val="right"/>
              <w:ind w:right="238"/>
              <w:spacing w:after="0"/>
              <w:rPr>
                <w:sz w:val="20"/>
                <w:szCs w:val="20"/>
                <w:color w:val="auto"/>
              </w:rPr>
            </w:pPr>
            <w:r>
              <w:rPr>
                <w:rFonts w:ascii="Arial" w:cs="Arial" w:eastAsia="Arial" w:hAnsi="Arial"/>
                <w:sz w:val="18"/>
                <w:szCs w:val="18"/>
                <w:color w:val="auto"/>
              </w:rPr>
              <w:t>0.6%</w:t>
            </w:r>
          </w:p>
        </w:tc>
        <w:tc>
          <w:tcPr>
            <w:tcW w:w="1720" w:type="dxa"/>
            <w:vAlign w:val="bottom"/>
            <w:gridSpan w:val="3"/>
          </w:tcPr>
          <w:p>
            <w:pPr>
              <w:jc w:val="right"/>
              <w:ind w:right="538"/>
              <w:spacing w:after="0"/>
              <w:rPr>
                <w:sz w:val="20"/>
                <w:szCs w:val="20"/>
                <w:color w:val="auto"/>
              </w:rPr>
            </w:pPr>
            <w:r>
              <w:rPr>
                <w:rFonts w:ascii="Arial" w:cs="Arial" w:eastAsia="Arial" w:hAnsi="Arial"/>
                <w:sz w:val="18"/>
                <w:szCs w:val="18"/>
                <w:color w:val="auto"/>
              </w:rPr>
              <w:t>1.4%</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Interest expense consists primarily of interest paid on debt and capital lease obligations. The decrease in interest expense of $22.5 million in fiscal 2009 compared to fiscal 2008 was primarily due to repayment of principal on the outstanding term loan obligation, lower interest rates, lower interest expense from a supply agreement with Intel and lower capital lease interest expense. Please refer to Note 8 — Term Loans for a further discussion on the term loan obligation and Note 2 — Business Combinations for more information on the supply agreement with Intel of our notes to the Consolidated Financial Statements set forth in Part II, Item 8 of this Annual Report on Form 10-K.</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2900" w:type="dxa"/>
            <w:vAlign w:val="bottom"/>
            <w:gridSpan w:val="5"/>
          </w:tcPr>
          <w:p>
            <w:pPr>
              <w:jc w:val="right"/>
              <w:ind w:right="1232"/>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51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120" w:type="dxa"/>
            <w:vAlign w:val="bottom"/>
            <w:tcBorders>
              <w:top w:val="single" w:sz="8" w:color="auto"/>
            </w:tcBorders>
            <w:gridSpan w:val="2"/>
          </w:tcPr>
          <w:p>
            <w:pPr>
              <w:jc w:val="center"/>
              <w:ind w:right="372"/>
              <w:spacing w:after="0" w:line="129" w:lineRule="exact"/>
              <w:rPr>
                <w:sz w:val="20"/>
                <w:szCs w:val="20"/>
                <w:color w:val="auto"/>
              </w:rPr>
            </w:pPr>
            <w:r>
              <w:rPr>
                <w:rFonts w:ascii="Arial" w:cs="Arial" w:eastAsia="Arial" w:hAnsi="Arial"/>
                <w:sz w:val="14"/>
                <w:szCs w:val="14"/>
                <w:b w:val="1"/>
                <w:bCs w:val="1"/>
                <w:color w:val="auto"/>
                <w:w w:val="88"/>
              </w:rPr>
              <w:t>January 31,</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7"/>
              </w:rPr>
              <w:t>February 2,</w:t>
            </w:r>
          </w:p>
        </w:tc>
        <w:tc>
          <w:tcPr>
            <w:tcW w:w="80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12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2008</w:t>
            </w:r>
          </w:p>
        </w:tc>
        <w:tc>
          <w:tcPr>
            <w:tcW w:w="80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2009</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12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20" w:type="dxa"/>
            <w:vAlign w:val="bottom"/>
            <w:gridSpan w:val="3"/>
          </w:tcPr>
          <w:p>
            <w:pPr>
              <w:jc w:val="right"/>
              <w:ind w:right="52"/>
              <w:spacing w:after="0" w:line="142" w:lineRule="exact"/>
              <w:rPr>
                <w:sz w:val="20"/>
                <w:szCs w:val="20"/>
                <w:color w:val="auto"/>
              </w:rPr>
            </w:pPr>
            <w:r>
              <w:rPr>
                <w:rFonts w:ascii="Arial" w:cs="Arial" w:eastAsia="Arial" w:hAnsi="Arial"/>
                <w:sz w:val="14"/>
                <w:szCs w:val="14"/>
                <w:b w:val="1"/>
                <w:bCs w:val="1"/>
                <w:color w:val="auto"/>
                <w:w w:val="88"/>
              </w:rPr>
              <w:t>(in thousands, except</w:t>
            </w:r>
          </w:p>
        </w:tc>
        <w:tc>
          <w:tcPr>
            <w:tcW w:w="80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w w:val="71"/>
              </w:rPr>
              <w:t>percentages)</w:t>
            </w: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680" w:type="dxa"/>
            <w:vAlign w:val="bottom"/>
            <w:gridSpan w:val="3"/>
            <w:shd w:val="clear" w:color="auto" w:fill="CCEEFF"/>
          </w:tcPr>
          <w:p>
            <w:pPr>
              <w:jc w:val="right"/>
              <w:ind w:right="372"/>
              <w:spacing w:after="0"/>
              <w:rPr>
                <w:sz w:val="20"/>
                <w:szCs w:val="20"/>
                <w:color w:val="auto"/>
              </w:rPr>
            </w:pPr>
            <w:r>
              <w:rPr>
                <w:rFonts w:ascii="Arial" w:cs="Arial" w:eastAsia="Arial" w:hAnsi="Arial"/>
                <w:sz w:val="18"/>
                <w:szCs w:val="18"/>
                <w:color w:val="auto"/>
              </w:rPr>
              <w:t>$  23,591</w:t>
            </w:r>
          </w:p>
        </w:tc>
        <w:tc>
          <w:tcPr>
            <w:tcW w:w="1780" w:type="dxa"/>
            <w:vAlign w:val="bottom"/>
            <w:gridSpan w:val="3"/>
            <w:shd w:val="clear" w:color="auto" w:fill="CCEEFF"/>
          </w:tcPr>
          <w:p>
            <w:pPr>
              <w:jc w:val="right"/>
              <w:ind w:right="672"/>
              <w:spacing w:after="0"/>
              <w:rPr>
                <w:sz w:val="20"/>
                <w:szCs w:val="20"/>
                <w:color w:val="auto"/>
              </w:rPr>
            </w:pPr>
            <w:r>
              <w:rPr>
                <w:rFonts w:ascii="Arial" w:cs="Arial" w:eastAsia="Arial" w:hAnsi="Arial"/>
                <w:sz w:val="18"/>
                <w:szCs w:val="18"/>
                <w:color w:val="auto"/>
              </w:rPr>
              <w:t>$  (3,561)</w:t>
            </w: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(762.5)%</w:t>
            </w:r>
          </w:p>
        </w:tc>
        <w:tc>
          <w:tcPr>
            <w:tcW w:w="0" w:type="dxa"/>
            <w:vAlign w:val="bottom"/>
          </w:tcPr>
          <w:p>
            <w:pPr>
              <w:spacing w:after="0"/>
              <w:rPr>
                <w:sz w:val="1"/>
                <w:szCs w:val="1"/>
                <w:color w:val="auto"/>
              </w:rPr>
            </w:pPr>
          </w:p>
        </w:tc>
      </w:tr>
      <w:tr>
        <w:trPr>
          <w:trHeight w:val="222"/>
        </w:trPr>
        <w:tc>
          <w:tcPr>
            <w:tcW w:w="5120" w:type="dxa"/>
            <w:vAlign w:val="bottom"/>
          </w:tcPr>
          <w:p>
            <w:pPr>
              <w:spacing w:after="0"/>
              <w:rPr>
                <w:sz w:val="20"/>
                <w:szCs w:val="20"/>
                <w:color w:val="auto"/>
              </w:rPr>
            </w:pPr>
            <w:r>
              <w:rPr>
                <w:rFonts w:ascii="Arial" w:cs="Arial" w:eastAsia="Arial" w:hAnsi="Arial"/>
                <w:sz w:val="18"/>
                <w:szCs w:val="18"/>
                <w:color w:val="auto"/>
              </w:rPr>
              <w:t>% of net revenue</w:t>
            </w:r>
          </w:p>
        </w:tc>
        <w:tc>
          <w:tcPr>
            <w:tcW w:w="3680" w:type="dxa"/>
            <w:vAlign w:val="bottom"/>
            <w:gridSpan w:val="3"/>
          </w:tcPr>
          <w:p>
            <w:pPr>
              <w:jc w:val="right"/>
              <w:ind w:right="212"/>
              <w:spacing w:after="0"/>
              <w:rPr>
                <w:sz w:val="20"/>
                <w:szCs w:val="20"/>
                <w:color w:val="auto"/>
              </w:rPr>
            </w:pPr>
            <w:r>
              <w:rPr>
                <w:rFonts w:ascii="Arial" w:cs="Arial" w:eastAsia="Arial" w:hAnsi="Arial"/>
                <w:sz w:val="18"/>
                <w:szCs w:val="18"/>
                <w:color w:val="auto"/>
              </w:rPr>
              <w:t>0.8%</w:t>
            </w:r>
          </w:p>
        </w:tc>
        <w:tc>
          <w:tcPr>
            <w:tcW w:w="1780" w:type="dxa"/>
            <w:vAlign w:val="bottom"/>
            <w:gridSpan w:val="3"/>
          </w:tcPr>
          <w:p>
            <w:pPr>
              <w:jc w:val="right"/>
              <w:ind w:right="512"/>
              <w:spacing w:after="0"/>
              <w:rPr>
                <w:sz w:val="20"/>
                <w:szCs w:val="20"/>
                <w:color w:val="auto"/>
              </w:rPr>
            </w:pPr>
            <w:r>
              <w:rPr>
                <w:rFonts w:ascii="Arial" w:cs="Arial" w:eastAsia="Arial" w:hAnsi="Arial"/>
                <w:sz w:val="18"/>
                <w:szCs w:val="18"/>
                <w:color w:val="auto"/>
              </w:rPr>
              <w:t>(0.1)%</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effective tax rate was 13.8% for fiscal 2009 compared to (3.0)% for fiscal 2008. The increase in the fiscal 2009 effective tax rate compared to fiscal 2008 was primarily due to increases to FIN 48 reserves despite significant foreign subsidiary net operating losses, which arose due to the restructure of certain foreign entities as well as a fiscal 2008 reduction in the unrecognized tax benefits due to closure of foreign audits and lapsing of statutes of limitations. We continued to incur significant non-tax deductible expenses such as stock-based compensation expenses and intangible amortization resulting in lower profit before tax in jurisdictions where we are not able to utilize the tax benefits. In addition, the tax benefits associated with our tax holidays vary from year to year based on the relative profitability in Israel, Singapore and Switzerland.</w:t>
      </w:r>
    </w:p>
    <w:p>
      <w:pPr>
        <w:spacing w:after="0" w:line="12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During fiscal 2008, the U.S. entities completed corporate income tax audits for fiscal years 2004 through 2006. The Internal Revenue Service, or IRS, completed its field work of the U.S. subsidiaries with no income tax adjustments. The U.S. tax authorities are reviewing employment taxes with regard to the re-measured stock options. The payroll tax portion of the U.S. audit remains open with regard to stock-based compensation and related items. Also, notice for a state audit arrived in the fourth quarter of fiscal 2009. The field work for the state audit will re-commence in April 2009.</w:t>
      </w:r>
    </w:p>
    <w:p>
      <w:pPr>
        <w:spacing w:after="0" w:line="113"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Starting March 2009, a foreign subsidiary is scheduled to begin audit field work for fiscal years 2003 through 2008. We believe we have adequately reserved for any uncertain tax positions related to foreign subsidiaries.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February 2, 2008 and January 27, 2007</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60" w:type="dxa"/>
            <w:vAlign w:val="bottom"/>
          </w:tcPr>
          <w:p>
            <w:pPr>
              <w:spacing w:after="0"/>
              <w:rPr>
                <w:sz w:val="14"/>
                <w:szCs w:val="14"/>
                <w:color w:val="auto"/>
              </w:rPr>
            </w:pPr>
          </w:p>
        </w:tc>
        <w:tc>
          <w:tcPr>
            <w:tcW w:w="2040" w:type="dxa"/>
            <w:vAlign w:val="bottom"/>
            <w:tcBorders>
              <w:bottom w:val="single" w:sz="8" w:color="auto"/>
            </w:tcBorders>
            <w:gridSpan w:val="3"/>
          </w:tcPr>
          <w:p>
            <w:pPr>
              <w:ind w:left="480"/>
              <w:spacing w:after="0"/>
              <w:rPr>
                <w:sz w:val="20"/>
                <w:szCs w:val="20"/>
                <w:color w:val="auto"/>
              </w:rPr>
            </w:pPr>
            <w:r>
              <w:rPr>
                <w:rFonts w:ascii="Arial" w:cs="Arial" w:eastAsia="Arial" w:hAnsi="Arial"/>
                <w:sz w:val="14"/>
                <w:szCs w:val="14"/>
                <w:b w:val="1"/>
                <w:bCs w:val="1"/>
                <w:color w:val="auto"/>
              </w:rPr>
              <w:t>Fiscal Years Ended</w:t>
            </w:r>
          </w:p>
        </w:tc>
        <w:tc>
          <w:tcPr>
            <w:tcW w:w="460" w:type="dxa"/>
            <w:vAlign w:val="bottom"/>
          </w:tcPr>
          <w:p>
            <w:pPr>
              <w:spacing w:after="0"/>
              <w:rPr>
                <w:sz w:val="14"/>
                <w:szCs w:val="14"/>
                <w:color w:val="auto"/>
              </w:rPr>
            </w:pP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8160" w:type="dxa"/>
            <w:vAlign w:val="bottom"/>
          </w:tcPr>
          <w:p>
            <w:pPr>
              <w:spacing w:after="0"/>
              <w:rPr>
                <w:sz w:val="11"/>
                <w:szCs w:val="11"/>
                <w:color w:val="auto"/>
              </w:rPr>
            </w:pPr>
          </w:p>
        </w:tc>
        <w:tc>
          <w:tcPr>
            <w:tcW w:w="800" w:type="dxa"/>
            <w:vAlign w:val="bottom"/>
          </w:tcPr>
          <w:p>
            <w:pPr>
              <w:ind w:left="60"/>
              <w:spacing w:after="0" w:line="129" w:lineRule="exact"/>
              <w:rPr>
                <w:sz w:val="20"/>
                <w:szCs w:val="20"/>
                <w:color w:val="auto"/>
              </w:rPr>
            </w:pPr>
            <w:r>
              <w:rPr>
                <w:rFonts w:ascii="Arial" w:cs="Arial" w:eastAsia="Arial" w:hAnsi="Arial"/>
                <w:sz w:val="14"/>
                <w:szCs w:val="14"/>
                <w:b w:val="1"/>
                <w:bCs w:val="1"/>
                <w:color w:val="auto"/>
                <w:w w:val="95"/>
              </w:rPr>
              <w:t>February 2,</w:t>
            </w:r>
          </w:p>
        </w:tc>
        <w:tc>
          <w:tcPr>
            <w:tcW w:w="440" w:type="dxa"/>
            <w:vAlign w:val="bottom"/>
          </w:tcPr>
          <w:p>
            <w:pPr>
              <w:spacing w:after="0"/>
              <w:rPr>
                <w:sz w:val="11"/>
                <w:szCs w:val="11"/>
                <w:color w:val="auto"/>
              </w:rPr>
            </w:pPr>
          </w:p>
        </w:tc>
        <w:tc>
          <w:tcPr>
            <w:tcW w:w="8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27,</w:t>
            </w:r>
          </w:p>
        </w:tc>
        <w:tc>
          <w:tcPr>
            <w:tcW w:w="46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160" w:type="dxa"/>
            <w:vAlign w:val="bottom"/>
          </w:tcPr>
          <w:p>
            <w:pPr>
              <w:spacing w:after="0"/>
              <w:rPr>
                <w:sz w:val="14"/>
                <w:szCs w:val="14"/>
                <w:color w:val="auto"/>
              </w:rPr>
            </w:pPr>
          </w:p>
        </w:tc>
        <w:tc>
          <w:tcPr>
            <w:tcW w:w="800" w:type="dxa"/>
            <w:vAlign w:val="bottom"/>
            <w:tcBorders>
              <w:bottom w:val="single" w:sz="8" w:color="auto"/>
            </w:tcBorders>
          </w:tcPr>
          <w:p>
            <w:pPr>
              <w:jc w:val="right"/>
              <w:ind w:right="188"/>
              <w:spacing w:after="0"/>
              <w:rPr>
                <w:sz w:val="20"/>
                <w:szCs w:val="20"/>
                <w:color w:val="auto"/>
              </w:rPr>
            </w:pPr>
            <w:r>
              <w:rPr>
                <w:rFonts w:ascii="Arial" w:cs="Arial" w:eastAsia="Arial" w:hAnsi="Arial"/>
                <w:sz w:val="14"/>
                <w:szCs w:val="14"/>
                <w:b w:val="1"/>
                <w:bCs w:val="1"/>
                <w:color w:val="auto"/>
              </w:rPr>
              <w:t>2008</w:t>
            </w:r>
          </w:p>
        </w:tc>
        <w:tc>
          <w:tcPr>
            <w:tcW w:w="440" w:type="dxa"/>
            <w:vAlign w:val="bottom"/>
          </w:tcPr>
          <w:p>
            <w:pPr>
              <w:spacing w:after="0"/>
              <w:rPr>
                <w:sz w:val="14"/>
                <w:szCs w:val="14"/>
                <w:color w:val="auto"/>
              </w:rPr>
            </w:pPr>
          </w:p>
        </w:tc>
        <w:tc>
          <w:tcPr>
            <w:tcW w:w="8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2007</w:t>
            </w:r>
          </w:p>
        </w:tc>
        <w:tc>
          <w:tcPr>
            <w:tcW w:w="46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in 2008</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8160" w:type="dxa"/>
            <w:vAlign w:val="bottom"/>
          </w:tcPr>
          <w:p>
            <w:pPr>
              <w:spacing w:after="0"/>
              <w:rPr>
                <w:sz w:val="12"/>
                <w:szCs w:val="12"/>
                <w:color w:val="auto"/>
              </w:rPr>
            </w:pPr>
          </w:p>
        </w:tc>
        <w:tc>
          <w:tcPr>
            <w:tcW w:w="800" w:type="dxa"/>
            <w:vAlign w:val="bottom"/>
          </w:tcPr>
          <w:p>
            <w:pPr>
              <w:ind w:left="600"/>
              <w:spacing w:after="0" w:line="142" w:lineRule="exact"/>
              <w:rPr>
                <w:sz w:val="20"/>
                <w:szCs w:val="20"/>
                <w:color w:val="auto"/>
              </w:rPr>
            </w:pPr>
            <w:r>
              <w:rPr>
                <w:rFonts w:ascii="Arial" w:cs="Arial" w:eastAsia="Arial" w:hAnsi="Arial"/>
                <w:sz w:val="14"/>
                <w:szCs w:val="14"/>
                <w:b w:val="1"/>
                <w:bCs w:val="1"/>
                <w:color w:val="auto"/>
              </w:rPr>
              <w:t>(in</w:t>
            </w:r>
          </w:p>
        </w:tc>
        <w:tc>
          <w:tcPr>
            <w:tcW w:w="1700" w:type="dxa"/>
            <w:vAlign w:val="bottom"/>
            <w:gridSpan w:val="3"/>
          </w:tcPr>
          <w:p>
            <w:pPr>
              <w:jc w:val="center"/>
              <w:spacing w:after="0" w:line="142" w:lineRule="exact"/>
              <w:rPr>
                <w:sz w:val="20"/>
                <w:szCs w:val="20"/>
                <w:color w:val="auto"/>
              </w:rPr>
            </w:pPr>
            <w:r>
              <w:rPr>
                <w:rFonts w:ascii="Arial" w:cs="Arial" w:eastAsia="Arial" w:hAnsi="Arial"/>
                <w:sz w:val="14"/>
                <w:szCs w:val="14"/>
                <w:b w:val="1"/>
                <w:bCs w:val="1"/>
                <w:color w:val="auto"/>
                <w:w w:val="82"/>
              </w:rPr>
              <w:t>thousands, except percentage)</w:t>
            </w: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1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$2,894,693</w:t>
            </w:r>
          </w:p>
        </w:tc>
        <w:tc>
          <w:tcPr>
            <w:tcW w:w="1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$2,237,553</w:t>
            </w:r>
          </w:p>
        </w:tc>
        <w:tc>
          <w:tcPr>
            <w:tcW w:w="12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29.4%</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and rebates. The increase in net revenue of $657.1 million in fiscal 2008 compared to fiscal 2007 reflects a significant increase in volume shipments of our cellular and handset products, storage SoCs, wireless products and printer semiconductor solution products. The increase in net revenue for cellular and handset products was due to a full year of revenue from the acquisition of the ICAP Business in November 2006. Additionally, the increases in net revenue were primarily due to increased acceptance of our storage SoC products by hard disk drive manufacturers and market share gains in the PC desktop and consumer product markets with our storage SoC products and volume shipments of our wireless products from new design wins in consumer applications. The net revenue increase in printer semiconductor solution products was also due to a full year of revenue from initial product shipments from our acquisition of the printer semiconductor business from Avago in May 2006. Net revenue derived from development contracts decreased in fiscal 2008 in both absolute dollars and as a percentage of net revenue compared to fiscal 2007, and represented less than 10% of net revenue for each year.</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20" w:type="dxa"/>
            <w:vAlign w:val="bottom"/>
          </w:tcPr>
          <w:p>
            <w:pPr>
              <w:spacing w:after="0"/>
              <w:rPr>
                <w:sz w:val="14"/>
                <w:szCs w:val="14"/>
                <w:color w:val="auto"/>
              </w:rPr>
            </w:pPr>
          </w:p>
        </w:tc>
        <w:tc>
          <w:tcPr>
            <w:tcW w:w="3180" w:type="dxa"/>
            <w:vAlign w:val="bottom"/>
          </w:tcPr>
          <w:p>
            <w:pPr>
              <w:spacing w:after="0"/>
              <w:rPr>
                <w:sz w:val="14"/>
                <w:szCs w:val="14"/>
                <w:color w:val="auto"/>
              </w:rPr>
            </w:pPr>
          </w:p>
        </w:tc>
        <w:tc>
          <w:tcPr>
            <w:tcW w:w="2960" w:type="dxa"/>
            <w:vAlign w:val="bottom"/>
            <w:gridSpan w:val="5"/>
          </w:tcPr>
          <w:p>
            <w:pPr>
              <w:jc w:val="center"/>
              <w:ind w:right="680"/>
              <w:spacing w:after="0"/>
              <w:rPr>
                <w:sz w:val="20"/>
                <w:szCs w:val="20"/>
                <w:color w:val="auto"/>
              </w:rPr>
            </w:pPr>
            <w:r>
              <w:rPr>
                <w:rFonts w:ascii="Arial" w:cs="Arial" w:eastAsia="Arial" w:hAnsi="Arial"/>
                <w:sz w:val="14"/>
                <w:szCs w:val="14"/>
                <w:b w:val="1"/>
                <w:bCs w:val="1"/>
                <w:color w:val="auto"/>
                <w:w w:val="87"/>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4520" w:type="dxa"/>
            <w:vAlign w:val="bottom"/>
          </w:tcPr>
          <w:p>
            <w:pPr>
              <w:spacing w:after="0"/>
              <w:rPr>
                <w:sz w:val="11"/>
                <w:szCs w:val="11"/>
                <w:color w:val="auto"/>
              </w:rPr>
            </w:pPr>
          </w:p>
        </w:tc>
        <w:tc>
          <w:tcPr>
            <w:tcW w:w="3180" w:type="dxa"/>
            <w:vAlign w:val="bottom"/>
          </w:tcPr>
          <w:p>
            <w:pPr>
              <w:spacing w:after="0"/>
              <w:rPr>
                <w:sz w:val="11"/>
                <w:szCs w:val="11"/>
                <w:color w:val="auto"/>
              </w:rPr>
            </w:pPr>
          </w:p>
        </w:tc>
        <w:tc>
          <w:tcPr>
            <w:tcW w:w="1220" w:type="dxa"/>
            <w:vAlign w:val="bottom"/>
            <w:tcBorders>
              <w:top w:val="single" w:sz="8" w:color="auto"/>
            </w:tcBorders>
            <w:gridSpan w:val="2"/>
          </w:tcPr>
          <w:p>
            <w:pPr>
              <w:jc w:val="right"/>
              <w:ind w:right="412"/>
              <w:spacing w:after="0" w:line="129" w:lineRule="exact"/>
              <w:rPr>
                <w:sz w:val="20"/>
                <w:szCs w:val="20"/>
                <w:color w:val="auto"/>
              </w:rPr>
            </w:pPr>
            <w:r>
              <w:rPr>
                <w:rFonts w:ascii="Arial" w:cs="Arial" w:eastAsia="Arial" w:hAnsi="Arial"/>
                <w:sz w:val="14"/>
                <w:szCs w:val="14"/>
                <w:b w:val="1"/>
                <w:bCs w:val="1"/>
                <w:color w:val="auto"/>
                <w:w w:val="95"/>
              </w:rPr>
              <w:t>February 2,</w:t>
            </w:r>
          </w:p>
        </w:tc>
        <w:tc>
          <w:tcPr>
            <w:tcW w:w="2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January 27,</w:t>
            </w:r>
          </w:p>
        </w:tc>
        <w:tc>
          <w:tcPr>
            <w:tcW w:w="68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520" w:type="dxa"/>
            <w:vAlign w:val="bottom"/>
          </w:tcPr>
          <w:p>
            <w:pPr>
              <w:spacing w:after="0"/>
              <w:rPr>
                <w:sz w:val="14"/>
                <w:szCs w:val="14"/>
                <w:color w:val="auto"/>
              </w:rPr>
            </w:pPr>
          </w:p>
        </w:tc>
        <w:tc>
          <w:tcPr>
            <w:tcW w:w="3180" w:type="dxa"/>
            <w:vAlign w:val="bottom"/>
          </w:tcPr>
          <w:p>
            <w:pPr>
              <w:spacing w:after="0"/>
              <w:rPr>
                <w:sz w:val="14"/>
                <w:szCs w:val="14"/>
                <w:color w:val="auto"/>
              </w:rPr>
            </w:pPr>
          </w:p>
        </w:tc>
        <w:tc>
          <w:tcPr>
            <w:tcW w:w="8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2008</w:t>
            </w:r>
          </w:p>
        </w:tc>
        <w:tc>
          <w:tcPr>
            <w:tcW w:w="4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2007</w:t>
            </w:r>
          </w:p>
        </w:tc>
        <w:tc>
          <w:tcPr>
            <w:tcW w:w="68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in 2008</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520" w:type="dxa"/>
            <w:vAlign w:val="bottom"/>
          </w:tcPr>
          <w:p>
            <w:pPr>
              <w:spacing w:after="0"/>
              <w:rPr>
                <w:sz w:val="12"/>
                <w:szCs w:val="12"/>
                <w:color w:val="auto"/>
              </w:rPr>
            </w:pPr>
          </w:p>
        </w:tc>
        <w:tc>
          <w:tcPr>
            <w:tcW w:w="3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8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71"/>
              </w:rPr>
              <w:t>(in thousands,</w:t>
            </w:r>
          </w:p>
        </w:tc>
        <w:tc>
          <w:tcPr>
            <w:tcW w:w="1480" w:type="dxa"/>
            <w:vAlign w:val="bottom"/>
            <w:gridSpan w:val="2"/>
          </w:tcPr>
          <w:p>
            <w:pPr>
              <w:jc w:val="right"/>
              <w:ind w:right="180"/>
              <w:spacing w:after="0" w:line="142" w:lineRule="exact"/>
              <w:rPr>
                <w:sz w:val="20"/>
                <w:szCs w:val="20"/>
                <w:color w:val="auto"/>
              </w:rPr>
            </w:pPr>
            <w:r>
              <w:rPr>
                <w:rFonts w:ascii="Arial" w:cs="Arial" w:eastAsia="Arial" w:hAnsi="Arial"/>
                <w:sz w:val="14"/>
                <w:szCs w:val="14"/>
                <w:b w:val="1"/>
                <w:bCs w:val="1"/>
                <w:color w:val="auto"/>
                <w:w w:val="94"/>
              </w:rPr>
              <w:t>except percentages)</w:t>
            </w: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$1,497,796</w:t>
            </w:r>
          </w:p>
        </w:tc>
        <w:tc>
          <w:tcPr>
            <w:tcW w:w="4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$1,100,241</w:t>
            </w:r>
          </w:p>
        </w:tc>
        <w:tc>
          <w:tcPr>
            <w:tcW w:w="6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36.1%</w:t>
            </w:r>
          </w:p>
        </w:tc>
        <w:tc>
          <w:tcPr>
            <w:tcW w:w="0" w:type="dxa"/>
            <w:vAlign w:val="bottom"/>
          </w:tcPr>
          <w:p>
            <w:pPr>
              <w:spacing w:after="0"/>
              <w:rPr>
                <w:sz w:val="1"/>
                <w:szCs w:val="1"/>
                <w:color w:val="auto"/>
              </w:rPr>
            </w:pPr>
          </w:p>
        </w:tc>
      </w:tr>
      <w:tr>
        <w:trPr>
          <w:trHeight w:val="222"/>
        </w:trPr>
        <w:tc>
          <w:tcPr>
            <w:tcW w:w="4520" w:type="dxa"/>
            <w:vAlign w:val="bottom"/>
          </w:tcPr>
          <w:p>
            <w:pPr>
              <w:spacing w:after="0"/>
              <w:rPr>
                <w:sz w:val="20"/>
                <w:szCs w:val="20"/>
                <w:color w:val="auto"/>
              </w:rPr>
            </w:pPr>
            <w:r>
              <w:rPr>
                <w:rFonts w:ascii="Arial" w:cs="Arial" w:eastAsia="Arial" w:hAnsi="Arial"/>
                <w:sz w:val="18"/>
                <w:szCs w:val="18"/>
                <w:color w:val="auto"/>
              </w:rPr>
              <w:t>% of net revenue</w:t>
            </w:r>
          </w:p>
        </w:tc>
        <w:tc>
          <w:tcPr>
            <w:tcW w:w="4400" w:type="dxa"/>
            <w:vAlign w:val="bottom"/>
            <w:gridSpan w:val="3"/>
          </w:tcPr>
          <w:p>
            <w:pPr>
              <w:jc w:val="right"/>
              <w:ind w:right="212"/>
              <w:spacing w:after="0"/>
              <w:rPr>
                <w:sz w:val="20"/>
                <w:szCs w:val="20"/>
                <w:color w:val="auto"/>
              </w:rPr>
            </w:pPr>
            <w:r>
              <w:rPr>
                <w:rFonts w:ascii="Arial" w:cs="Arial" w:eastAsia="Arial" w:hAnsi="Arial"/>
                <w:sz w:val="18"/>
                <w:szCs w:val="18"/>
                <w:color w:val="auto"/>
              </w:rPr>
              <w:t>51.7%</w:t>
            </w:r>
          </w:p>
        </w:tc>
        <w:tc>
          <w:tcPr>
            <w:tcW w:w="1740" w:type="dxa"/>
            <w:vAlign w:val="bottom"/>
            <w:gridSpan w:val="3"/>
          </w:tcPr>
          <w:p>
            <w:pPr>
              <w:jc w:val="right"/>
              <w:ind w:right="540"/>
              <w:spacing w:after="0"/>
              <w:rPr>
                <w:sz w:val="20"/>
                <w:szCs w:val="20"/>
                <w:color w:val="auto"/>
              </w:rPr>
            </w:pPr>
            <w:r>
              <w:rPr>
                <w:rFonts w:ascii="Arial" w:cs="Arial" w:eastAsia="Arial" w:hAnsi="Arial"/>
                <w:sz w:val="18"/>
                <w:szCs w:val="18"/>
                <w:color w:val="auto"/>
              </w:rPr>
              <w:t>49.2%</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302" w:lineRule="auto"/>
        <w:rPr>
          <w:sz w:val="20"/>
          <w:szCs w:val="20"/>
          <w:color w:val="auto"/>
        </w:rPr>
      </w:pPr>
      <w:r>
        <w:rPr>
          <w:rFonts w:ascii="Arial" w:cs="Arial" w:eastAsia="Arial" w:hAnsi="Arial"/>
          <w:sz w:val="15"/>
          <w:szCs w:val="15"/>
          <w:color w:val="auto"/>
        </w:rPr>
        <w:t>Cost of goods sold consists primarily of the costs of manufacturing, assembly and testing of integrated circuit devices and related overhead costs, product warranty costs, royalties and compensation and associated costs relating to manufacturing support, logistics and quality assurance personnel, including stock-based compensation and excess and obsolescence provisions and purchase accounting adjustments. The decrease in gross margin in fiscal 2008 compared to fiscal 2007 was primarily due to lower gross margin from the cellular and handset products which commenced shipment in November 2006 as a result of the acquisition of the ICAP Business, and due to higher inventory excess and obsolescence provisions. The inventory excess and obsolescence provision increased by</w:t>
      </w:r>
    </w:p>
    <w:p>
      <w:pPr>
        <w:spacing w:after="0" w:line="2" w:lineRule="exact"/>
        <w:rPr>
          <w:sz w:val="20"/>
          <w:szCs w:val="20"/>
          <w:color w:val="auto"/>
        </w:rPr>
      </w:pPr>
    </w:p>
    <w:p>
      <w:pPr>
        <w:ind w:right="100"/>
        <w:spacing w:after="0" w:line="285" w:lineRule="auto"/>
        <w:rPr>
          <w:sz w:val="20"/>
          <w:szCs w:val="20"/>
          <w:color w:val="auto"/>
        </w:rPr>
      </w:pPr>
      <w:r>
        <w:rPr>
          <w:rFonts w:ascii="Arial" w:cs="Arial" w:eastAsia="Arial" w:hAnsi="Arial"/>
          <w:sz w:val="16"/>
          <w:szCs w:val="16"/>
          <w:color w:val="auto"/>
        </w:rPr>
        <w:t>$27.4 million in fiscal 2008 compared to fiscal 2007 from $34.7 million in fiscal 2007 to $62.1 million in fiscal 2008, respectively. The increase in excess and obsolescence was due to the mix and quantities on hand compared to forecasted demand for such products on hand including communications and applications processor products and wireless products. The cellular and handset inventory that we were contractually obligated to purchase under a supply agreement with Intel were recorded at estimated fair value as required under purchase accounting. Although we have met the contractual obligations under the original supply agreement and transitioned certain products to our fabrication partners, we anticipate that we will continue to source certain legacy application processor cellular and handset inventory from Intel pursuant to the terms of an amendment to the supply agreement. We recorded such inventory at what we believe to be above-market cost, which will adversely impact our gross margin relative to periods where we primarily purchased inventory at the minimum committed level. The supply agreement with Intel required us to purchase inventory earlier than anticipated product shipments to our customers resulting in higher levels of inventory and associated carrying costs. As a result, the higher levels of inventory increase our risk of holding excess and obsolete inventory. Our gross margin may also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 and product warranty costs and changes in the amount of development revenue recognized.</w:t>
      </w:r>
    </w:p>
    <w:p>
      <w:pPr>
        <w:spacing w:after="0" w:line="20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2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2900" w:type="dxa"/>
            <w:vAlign w:val="bottom"/>
            <w:gridSpan w:val="4"/>
          </w:tcPr>
          <w:p>
            <w:pPr>
              <w:jc w:val="right"/>
              <w:ind w:right="1218"/>
              <w:spacing w:after="0"/>
              <w:rPr>
                <w:sz w:val="20"/>
                <w:szCs w:val="20"/>
                <w:color w:val="auto"/>
              </w:rPr>
            </w:pPr>
            <w:r>
              <w:rPr>
                <w:rFonts w:ascii="Arial" w:cs="Arial" w:eastAsia="Arial" w:hAnsi="Arial"/>
                <w:sz w:val="14"/>
                <w:szCs w:val="14"/>
                <w:b w:val="1"/>
                <w:bCs w:val="1"/>
                <w:color w:val="auto"/>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482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440" w:type="dxa"/>
            <w:vAlign w:val="bottom"/>
            <w:tcBorders>
              <w:top w:val="single" w:sz="8" w:color="auto"/>
            </w:tcBorders>
            <w:gridSpan w:val="2"/>
          </w:tcPr>
          <w:p>
            <w:pPr>
              <w:jc w:val="center"/>
              <w:ind w:right="692"/>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January 27,</w:t>
            </w:r>
          </w:p>
        </w:tc>
        <w:tc>
          <w:tcPr>
            <w:tcW w:w="76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20" w:type="dxa"/>
            <w:vAlign w:val="bottom"/>
          </w:tcPr>
          <w:p>
            <w:pPr>
              <w:spacing w:after="0"/>
              <w:rPr>
                <w:sz w:val="14"/>
                <w:szCs w:val="14"/>
                <w:color w:val="auto"/>
              </w:rPr>
            </w:pPr>
          </w:p>
        </w:tc>
        <w:tc>
          <w:tcPr>
            <w:tcW w:w="3620" w:type="dxa"/>
            <w:vAlign w:val="bottom"/>
            <w:gridSpan w:val="2"/>
          </w:tcPr>
          <w:p>
            <w:pPr>
              <w:jc w:val="center"/>
              <w:ind w:left="2859"/>
              <w:spacing w:after="0"/>
              <w:rPr>
                <w:sz w:val="20"/>
                <w:szCs w:val="20"/>
                <w:color w:val="auto"/>
              </w:rPr>
            </w:pPr>
            <w:r>
              <w:rPr>
                <w:rFonts w:ascii="Arial" w:cs="Arial" w:eastAsia="Arial" w:hAnsi="Arial"/>
                <w:sz w:val="14"/>
                <w:szCs w:val="14"/>
                <w:b w:val="1"/>
                <w:bCs w:val="1"/>
                <w:color w:val="auto"/>
                <w:w w:val="89"/>
              </w:rPr>
              <w:t>2008</w:t>
            </w:r>
          </w:p>
        </w:tc>
        <w:tc>
          <w:tcPr>
            <w:tcW w:w="76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2007</w:t>
            </w:r>
          </w:p>
        </w:tc>
        <w:tc>
          <w:tcPr>
            <w:tcW w:w="760" w:type="dxa"/>
            <w:vAlign w:val="bottom"/>
          </w:tcPr>
          <w:p>
            <w:pPr>
              <w:spacing w:after="0"/>
              <w:rPr>
                <w:sz w:val="14"/>
                <w:szCs w:val="14"/>
                <w:color w:val="auto"/>
              </w:rPr>
            </w:pPr>
          </w:p>
        </w:tc>
        <w:tc>
          <w:tcPr>
            <w:tcW w:w="7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42"/>
        </w:trPr>
        <w:tc>
          <w:tcPr>
            <w:tcW w:w="482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7"/>
              </w:rPr>
              <w:t>(in thousands,</w:t>
            </w:r>
          </w:p>
        </w:tc>
        <w:tc>
          <w:tcPr>
            <w:tcW w:w="7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60" w:type="dxa"/>
            <w:vAlign w:val="bottom"/>
          </w:tcPr>
          <w:p>
            <w:pPr>
              <w:jc w:val="right"/>
              <w:ind w:right="9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620" w:type="dxa"/>
            <w:vAlign w:val="bottom"/>
            <w:gridSpan w:val="2"/>
            <w:shd w:val="clear" w:color="auto" w:fill="CCEEFF"/>
          </w:tcPr>
          <w:p>
            <w:pPr>
              <w:jc w:val="center"/>
              <w:ind w:left="2859"/>
              <w:spacing w:after="0"/>
              <w:rPr>
                <w:sz w:val="20"/>
                <w:szCs w:val="20"/>
                <w:color w:val="auto"/>
              </w:rPr>
            </w:pPr>
            <w:r>
              <w:rPr>
                <w:rFonts w:ascii="Arial" w:cs="Arial" w:eastAsia="Arial" w:hAnsi="Arial"/>
                <w:sz w:val="18"/>
                <w:szCs w:val="18"/>
                <w:color w:val="auto"/>
                <w:w w:val="84"/>
              </w:rPr>
              <w:t>$ 988,996</w:t>
            </w:r>
          </w:p>
        </w:tc>
        <w:tc>
          <w:tcPr>
            <w:tcW w:w="7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$ 658,211</w:t>
            </w:r>
          </w:p>
        </w:tc>
        <w:tc>
          <w:tcPr>
            <w:tcW w:w="7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50.3%</w:t>
            </w:r>
          </w:p>
        </w:tc>
        <w:tc>
          <w:tcPr>
            <w:tcW w:w="0" w:type="dxa"/>
            <w:vAlign w:val="bottom"/>
          </w:tcPr>
          <w:p>
            <w:pPr>
              <w:spacing w:after="0"/>
              <w:rPr>
                <w:sz w:val="1"/>
                <w:szCs w:val="1"/>
                <w:color w:val="auto"/>
              </w:rPr>
            </w:pPr>
          </w:p>
        </w:tc>
      </w:tr>
      <w:tr>
        <w:trPr>
          <w:trHeight w:val="222"/>
        </w:trPr>
        <w:tc>
          <w:tcPr>
            <w:tcW w:w="4820" w:type="dxa"/>
            <w:vAlign w:val="bottom"/>
          </w:tcPr>
          <w:p>
            <w:pPr>
              <w:spacing w:after="0"/>
              <w:rPr>
                <w:sz w:val="20"/>
                <w:szCs w:val="20"/>
                <w:color w:val="auto"/>
              </w:rPr>
            </w:pPr>
            <w:r>
              <w:rPr>
                <w:rFonts w:ascii="Arial" w:cs="Arial" w:eastAsia="Arial" w:hAnsi="Arial"/>
                <w:sz w:val="18"/>
                <w:szCs w:val="18"/>
                <w:color w:val="auto"/>
              </w:rPr>
              <w:t>% of net revenue</w:t>
            </w:r>
          </w:p>
        </w:tc>
        <w:tc>
          <w:tcPr>
            <w:tcW w:w="4380" w:type="dxa"/>
            <w:vAlign w:val="bottom"/>
            <w:gridSpan w:val="3"/>
          </w:tcPr>
          <w:p>
            <w:pPr>
              <w:jc w:val="right"/>
              <w:ind w:right="532"/>
              <w:spacing w:after="0"/>
              <w:rPr>
                <w:sz w:val="20"/>
                <w:szCs w:val="20"/>
                <w:color w:val="auto"/>
              </w:rPr>
            </w:pPr>
            <w:r>
              <w:rPr>
                <w:rFonts w:ascii="Arial" w:cs="Arial" w:eastAsia="Arial" w:hAnsi="Arial"/>
                <w:sz w:val="18"/>
                <w:szCs w:val="18"/>
                <w:color w:val="auto"/>
              </w:rPr>
              <w:t>34.2%</w:t>
            </w:r>
          </w:p>
        </w:tc>
        <w:tc>
          <w:tcPr>
            <w:tcW w:w="1460" w:type="dxa"/>
            <w:vAlign w:val="bottom"/>
            <w:gridSpan w:val="2"/>
          </w:tcPr>
          <w:p>
            <w:pPr>
              <w:jc w:val="right"/>
              <w:ind w:right="558"/>
              <w:spacing w:after="0"/>
              <w:rPr>
                <w:sz w:val="20"/>
                <w:szCs w:val="20"/>
                <w:color w:val="auto"/>
              </w:rPr>
            </w:pPr>
            <w:r>
              <w:rPr>
                <w:rFonts w:ascii="Arial" w:cs="Arial" w:eastAsia="Arial" w:hAnsi="Arial"/>
                <w:sz w:val="18"/>
                <w:szCs w:val="18"/>
                <w:color w:val="auto"/>
              </w:rPr>
              <w:t>29.4%</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stock-based compensation expenses, prototype costs, depreciation and amortization expense, patent investigation and filing fees, costs associated with contract development work and allocated occupancy costs for these operations. The increase in research and development expense in absolute dollars of $330.8 million in fiscal 2008 compared to fiscal 2007 was primarily due to additional development personnel to support the growth of our business as well as additional personnel related to our acquisitions of the ICAP Business in November 2006 and the printer semiconductor business acquired from Avago in May 2006 which together resulted in an increase in salary and related costs of $161.4 million. In addition, research and</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development costs increased due to additional stock-based compensation expenses of $30.8 million. Additionally, we incurred increased depreciation and amortization expense of $48.1 million arising from purchases of property, equipment and technology licenses, increased costs of $19.2 million for prototype and related product tape-out costs for new product initiatives, increased costs of $7.0 million for tooling and engineering equipment expenses, increased costs of $5.4 million for patent filing fees to protect newly developed intellectual property and other allocated expenses of $29.8 million related to our expanding operations.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2900" w:type="dxa"/>
            <w:vAlign w:val="bottom"/>
            <w:gridSpan w:val="4"/>
          </w:tcPr>
          <w:p>
            <w:pPr>
              <w:jc w:val="right"/>
              <w:ind w:right="1218"/>
              <w:spacing w:after="0"/>
              <w:rPr>
                <w:sz w:val="20"/>
                <w:szCs w:val="20"/>
                <w:color w:val="auto"/>
              </w:rPr>
            </w:pPr>
            <w:r>
              <w:rPr>
                <w:rFonts w:ascii="Arial" w:cs="Arial" w:eastAsia="Arial" w:hAnsi="Arial"/>
                <w:sz w:val="14"/>
                <w:szCs w:val="14"/>
                <w:b w:val="1"/>
                <w:bCs w:val="1"/>
                <w:color w:val="auto"/>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4660" w:type="dxa"/>
            <w:vAlign w:val="bottom"/>
          </w:tcPr>
          <w:p>
            <w:pPr>
              <w:spacing w:after="0"/>
              <w:rPr>
                <w:sz w:val="11"/>
                <w:szCs w:val="11"/>
                <w:color w:val="auto"/>
              </w:rPr>
            </w:pPr>
          </w:p>
        </w:tc>
        <w:tc>
          <w:tcPr>
            <w:tcW w:w="3100" w:type="dxa"/>
            <w:vAlign w:val="bottom"/>
          </w:tcPr>
          <w:p>
            <w:pPr>
              <w:spacing w:after="0"/>
              <w:rPr>
                <w:sz w:val="11"/>
                <w:szCs w:val="11"/>
                <w:color w:val="auto"/>
              </w:rPr>
            </w:pPr>
          </w:p>
        </w:tc>
        <w:tc>
          <w:tcPr>
            <w:tcW w:w="1440" w:type="dxa"/>
            <w:vAlign w:val="bottom"/>
            <w:tcBorders>
              <w:top w:val="single" w:sz="8" w:color="auto"/>
            </w:tcBorders>
            <w:gridSpan w:val="2"/>
          </w:tcPr>
          <w:p>
            <w:pPr>
              <w:jc w:val="center"/>
              <w:ind w:right="692"/>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January 27,</w:t>
            </w:r>
          </w:p>
        </w:tc>
        <w:tc>
          <w:tcPr>
            <w:tcW w:w="76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60" w:type="dxa"/>
            <w:vAlign w:val="bottom"/>
          </w:tcPr>
          <w:p>
            <w:pPr>
              <w:spacing w:after="0"/>
              <w:rPr>
                <w:sz w:val="14"/>
                <w:szCs w:val="14"/>
                <w:color w:val="auto"/>
              </w:rPr>
            </w:pPr>
          </w:p>
        </w:tc>
        <w:tc>
          <w:tcPr>
            <w:tcW w:w="3780" w:type="dxa"/>
            <w:vAlign w:val="bottom"/>
            <w:gridSpan w:val="2"/>
          </w:tcPr>
          <w:p>
            <w:pPr>
              <w:jc w:val="center"/>
              <w:ind w:left="3019"/>
              <w:spacing w:after="0"/>
              <w:rPr>
                <w:sz w:val="20"/>
                <w:szCs w:val="20"/>
                <w:color w:val="auto"/>
              </w:rPr>
            </w:pPr>
            <w:r>
              <w:rPr>
                <w:rFonts w:ascii="Arial" w:cs="Arial" w:eastAsia="Arial" w:hAnsi="Arial"/>
                <w:sz w:val="14"/>
                <w:szCs w:val="14"/>
                <w:b w:val="1"/>
                <w:bCs w:val="1"/>
                <w:color w:val="auto"/>
                <w:w w:val="89"/>
              </w:rPr>
              <w:t>2008</w:t>
            </w:r>
          </w:p>
        </w:tc>
        <w:tc>
          <w:tcPr>
            <w:tcW w:w="76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2007</w:t>
            </w:r>
          </w:p>
        </w:tc>
        <w:tc>
          <w:tcPr>
            <w:tcW w:w="760" w:type="dxa"/>
            <w:vAlign w:val="bottom"/>
          </w:tcPr>
          <w:p>
            <w:pPr>
              <w:spacing w:after="0"/>
              <w:rPr>
                <w:sz w:val="14"/>
                <w:szCs w:val="14"/>
                <w:color w:val="auto"/>
              </w:rPr>
            </w:pPr>
          </w:p>
        </w:tc>
        <w:tc>
          <w:tcPr>
            <w:tcW w:w="7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42"/>
        </w:trPr>
        <w:tc>
          <w:tcPr>
            <w:tcW w:w="466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7"/>
              </w:rPr>
              <w:t>(in thousands,</w:t>
            </w:r>
          </w:p>
        </w:tc>
        <w:tc>
          <w:tcPr>
            <w:tcW w:w="7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60" w:type="dxa"/>
            <w:vAlign w:val="bottom"/>
          </w:tcPr>
          <w:p>
            <w:pPr>
              <w:jc w:val="right"/>
              <w:ind w:right="9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780" w:type="dxa"/>
            <w:vAlign w:val="bottom"/>
            <w:gridSpan w:val="2"/>
            <w:shd w:val="clear" w:color="auto" w:fill="CCEEFF"/>
          </w:tcPr>
          <w:p>
            <w:pPr>
              <w:jc w:val="center"/>
              <w:ind w:left="3019"/>
              <w:spacing w:after="0"/>
              <w:rPr>
                <w:sz w:val="20"/>
                <w:szCs w:val="20"/>
                <w:color w:val="auto"/>
              </w:rPr>
            </w:pPr>
            <w:r>
              <w:rPr>
                <w:rFonts w:ascii="Arial" w:cs="Arial" w:eastAsia="Arial" w:hAnsi="Arial"/>
                <w:sz w:val="18"/>
                <w:szCs w:val="18"/>
                <w:color w:val="auto"/>
                <w:w w:val="84"/>
              </w:rPr>
              <w:t>$ 211,261</w:t>
            </w:r>
          </w:p>
        </w:tc>
        <w:tc>
          <w:tcPr>
            <w:tcW w:w="7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$ 176,103</w:t>
            </w:r>
          </w:p>
        </w:tc>
        <w:tc>
          <w:tcPr>
            <w:tcW w:w="7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22"/>
        </w:trPr>
        <w:tc>
          <w:tcPr>
            <w:tcW w:w="4660" w:type="dxa"/>
            <w:vAlign w:val="bottom"/>
          </w:tcPr>
          <w:p>
            <w:pPr>
              <w:spacing w:after="0"/>
              <w:rPr>
                <w:sz w:val="20"/>
                <w:szCs w:val="20"/>
                <w:color w:val="auto"/>
              </w:rPr>
            </w:pPr>
            <w:r>
              <w:rPr>
                <w:rFonts w:ascii="Arial" w:cs="Arial" w:eastAsia="Arial" w:hAnsi="Arial"/>
                <w:sz w:val="18"/>
                <w:szCs w:val="18"/>
                <w:color w:val="auto"/>
              </w:rPr>
              <w:t>% of net revenue</w:t>
            </w:r>
          </w:p>
        </w:tc>
        <w:tc>
          <w:tcPr>
            <w:tcW w:w="4540" w:type="dxa"/>
            <w:vAlign w:val="bottom"/>
            <w:gridSpan w:val="3"/>
          </w:tcPr>
          <w:p>
            <w:pPr>
              <w:jc w:val="right"/>
              <w:ind w:right="532"/>
              <w:spacing w:after="0"/>
              <w:rPr>
                <w:sz w:val="20"/>
                <w:szCs w:val="20"/>
                <w:color w:val="auto"/>
              </w:rPr>
            </w:pPr>
            <w:r>
              <w:rPr>
                <w:rFonts w:ascii="Arial" w:cs="Arial" w:eastAsia="Arial" w:hAnsi="Arial"/>
                <w:sz w:val="18"/>
                <w:szCs w:val="18"/>
                <w:color w:val="auto"/>
              </w:rPr>
              <w:t>7.3%</w:t>
            </w:r>
          </w:p>
        </w:tc>
        <w:tc>
          <w:tcPr>
            <w:tcW w:w="1460" w:type="dxa"/>
            <w:vAlign w:val="bottom"/>
            <w:gridSpan w:val="2"/>
          </w:tcPr>
          <w:p>
            <w:pPr>
              <w:jc w:val="right"/>
              <w:ind w:right="558"/>
              <w:spacing w:after="0"/>
              <w:rPr>
                <w:sz w:val="20"/>
                <w:szCs w:val="20"/>
                <w:color w:val="auto"/>
              </w:rPr>
            </w:pPr>
            <w:r>
              <w:rPr>
                <w:rFonts w:ascii="Arial" w:cs="Arial" w:eastAsia="Arial" w:hAnsi="Arial"/>
                <w:sz w:val="18"/>
                <w:szCs w:val="18"/>
                <w:color w:val="auto"/>
              </w:rPr>
              <w:t>7.9%</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of $35.2 million in fiscal 2008 compared to fiscal 2007 was primarily due to the net hiring of additional sales and marketing personnel, which resulted in an increase in salary and related costs of $14.0 million. In addition, selling and marketing expense increased due to increased stock-based compensation expenses of $7.2 million. We also incurred higher commission costs of $2.1 million due primarily to the increase in sales and increased facility and other allocated expenses of $7.6 million related to our expanding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920" w:type="dxa"/>
            <w:vAlign w:val="bottom"/>
          </w:tcPr>
          <w:p>
            <w:pPr>
              <w:spacing w:after="0"/>
              <w:rPr>
                <w:sz w:val="14"/>
                <w:szCs w:val="14"/>
                <w:color w:val="auto"/>
              </w:rPr>
            </w:pPr>
          </w:p>
        </w:tc>
        <w:tc>
          <w:tcPr>
            <w:tcW w:w="2900" w:type="dxa"/>
            <w:vAlign w:val="bottom"/>
            <w:gridSpan w:val="4"/>
          </w:tcPr>
          <w:p>
            <w:pPr>
              <w:jc w:val="right"/>
              <w:ind w:right="1218"/>
              <w:spacing w:after="0"/>
              <w:rPr>
                <w:sz w:val="20"/>
                <w:szCs w:val="20"/>
                <w:color w:val="auto"/>
              </w:rPr>
            </w:pPr>
            <w:r>
              <w:rPr>
                <w:rFonts w:ascii="Arial" w:cs="Arial" w:eastAsia="Arial" w:hAnsi="Arial"/>
                <w:sz w:val="14"/>
                <w:szCs w:val="14"/>
                <w:b w:val="1"/>
                <w:bCs w:val="1"/>
                <w:color w:val="auto"/>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2920" w:type="dxa"/>
            <w:vAlign w:val="bottom"/>
          </w:tcPr>
          <w:p>
            <w:pPr>
              <w:spacing w:after="0"/>
              <w:rPr>
                <w:sz w:val="11"/>
                <w:szCs w:val="11"/>
                <w:color w:val="auto"/>
              </w:rPr>
            </w:pPr>
          </w:p>
        </w:tc>
        <w:tc>
          <w:tcPr>
            <w:tcW w:w="1440" w:type="dxa"/>
            <w:vAlign w:val="bottom"/>
            <w:tcBorders>
              <w:top w:val="single" w:sz="8" w:color="auto"/>
            </w:tcBorders>
            <w:gridSpan w:val="2"/>
          </w:tcPr>
          <w:p>
            <w:pPr>
              <w:jc w:val="center"/>
              <w:ind w:right="692"/>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January 27,</w:t>
            </w:r>
          </w:p>
        </w:tc>
        <w:tc>
          <w:tcPr>
            <w:tcW w:w="76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3600" w:type="dxa"/>
            <w:vAlign w:val="bottom"/>
            <w:gridSpan w:val="2"/>
          </w:tcPr>
          <w:p>
            <w:pPr>
              <w:jc w:val="center"/>
              <w:ind w:left="2839"/>
              <w:spacing w:after="0"/>
              <w:rPr>
                <w:sz w:val="20"/>
                <w:szCs w:val="20"/>
                <w:color w:val="auto"/>
              </w:rPr>
            </w:pPr>
            <w:r>
              <w:rPr>
                <w:rFonts w:ascii="Arial" w:cs="Arial" w:eastAsia="Arial" w:hAnsi="Arial"/>
                <w:sz w:val="14"/>
                <w:szCs w:val="14"/>
                <w:b w:val="1"/>
                <w:bCs w:val="1"/>
                <w:color w:val="auto"/>
                <w:w w:val="89"/>
              </w:rPr>
              <w:t>2008</w:t>
            </w:r>
          </w:p>
        </w:tc>
        <w:tc>
          <w:tcPr>
            <w:tcW w:w="76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2007</w:t>
            </w:r>
          </w:p>
        </w:tc>
        <w:tc>
          <w:tcPr>
            <w:tcW w:w="760" w:type="dxa"/>
            <w:vAlign w:val="bottom"/>
          </w:tcPr>
          <w:p>
            <w:pPr>
              <w:spacing w:after="0"/>
              <w:rPr>
                <w:sz w:val="14"/>
                <w:szCs w:val="14"/>
                <w:color w:val="auto"/>
              </w:rPr>
            </w:pPr>
          </w:p>
        </w:tc>
        <w:tc>
          <w:tcPr>
            <w:tcW w:w="7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7"/>
              </w:rPr>
              <w:t>(in thousands,</w:t>
            </w:r>
          </w:p>
        </w:tc>
        <w:tc>
          <w:tcPr>
            <w:tcW w:w="7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60" w:type="dxa"/>
            <w:vAlign w:val="bottom"/>
          </w:tcPr>
          <w:p>
            <w:pPr>
              <w:jc w:val="right"/>
              <w:ind w:right="9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3600" w:type="dxa"/>
            <w:vAlign w:val="bottom"/>
            <w:gridSpan w:val="2"/>
            <w:shd w:val="clear" w:color="auto" w:fill="CCEEFF"/>
          </w:tcPr>
          <w:p>
            <w:pPr>
              <w:jc w:val="center"/>
              <w:ind w:left="2839"/>
              <w:spacing w:after="0"/>
              <w:rPr>
                <w:sz w:val="20"/>
                <w:szCs w:val="20"/>
                <w:color w:val="auto"/>
              </w:rPr>
            </w:pPr>
            <w:r>
              <w:rPr>
                <w:rFonts w:ascii="Arial" w:cs="Arial" w:eastAsia="Arial" w:hAnsi="Arial"/>
                <w:sz w:val="18"/>
                <w:szCs w:val="18"/>
                <w:color w:val="auto"/>
                <w:w w:val="84"/>
              </w:rPr>
              <w:t>$ 138,640</w:t>
            </w:r>
          </w:p>
        </w:tc>
        <w:tc>
          <w:tcPr>
            <w:tcW w:w="7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$ 114,154</w:t>
            </w:r>
          </w:p>
        </w:tc>
        <w:tc>
          <w:tcPr>
            <w:tcW w:w="7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21.4%</w:t>
            </w:r>
          </w:p>
        </w:tc>
        <w:tc>
          <w:tcPr>
            <w:tcW w:w="0" w:type="dxa"/>
            <w:vAlign w:val="bottom"/>
          </w:tcPr>
          <w:p>
            <w:pPr>
              <w:spacing w:after="0"/>
              <w:rPr>
                <w:sz w:val="1"/>
                <w:szCs w:val="1"/>
                <w:color w:val="auto"/>
              </w:rPr>
            </w:pPr>
          </w:p>
        </w:tc>
      </w:tr>
      <w:tr>
        <w:trPr>
          <w:trHeight w:val="222"/>
        </w:trPr>
        <w:tc>
          <w:tcPr>
            <w:tcW w:w="4840" w:type="dxa"/>
            <w:vAlign w:val="bottom"/>
          </w:tcPr>
          <w:p>
            <w:pPr>
              <w:spacing w:after="0"/>
              <w:rPr>
                <w:sz w:val="20"/>
                <w:szCs w:val="20"/>
                <w:color w:val="auto"/>
              </w:rPr>
            </w:pPr>
            <w:r>
              <w:rPr>
                <w:rFonts w:ascii="Arial" w:cs="Arial" w:eastAsia="Arial" w:hAnsi="Arial"/>
                <w:sz w:val="18"/>
                <w:szCs w:val="18"/>
                <w:color w:val="auto"/>
              </w:rPr>
              <w:t>% of net revenue</w:t>
            </w:r>
          </w:p>
        </w:tc>
        <w:tc>
          <w:tcPr>
            <w:tcW w:w="4360" w:type="dxa"/>
            <w:vAlign w:val="bottom"/>
            <w:gridSpan w:val="3"/>
          </w:tcPr>
          <w:p>
            <w:pPr>
              <w:jc w:val="right"/>
              <w:ind w:right="532"/>
              <w:spacing w:after="0"/>
              <w:rPr>
                <w:sz w:val="20"/>
                <w:szCs w:val="20"/>
                <w:color w:val="auto"/>
              </w:rPr>
            </w:pPr>
            <w:r>
              <w:rPr>
                <w:rFonts w:ascii="Arial" w:cs="Arial" w:eastAsia="Arial" w:hAnsi="Arial"/>
                <w:sz w:val="18"/>
                <w:szCs w:val="18"/>
                <w:color w:val="auto"/>
              </w:rPr>
              <w:t>4.8%</w:t>
            </w:r>
          </w:p>
        </w:tc>
        <w:tc>
          <w:tcPr>
            <w:tcW w:w="1460" w:type="dxa"/>
            <w:vAlign w:val="bottom"/>
            <w:gridSpan w:val="2"/>
          </w:tcPr>
          <w:p>
            <w:pPr>
              <w:jc w:val="right"/>
              <w:ind w:right="558"/>
              <w:spacing w:after="0"/>
              <w:rPr>
                <w:sz w:val="20"/>
                <w:szCs w:val="20"/>
                <w:color w:val="auto"/>
              </w:rPr>
            </w:pPr>
            <w:r>
              <w:rPr>
                <w:rFonts w:ascii="Arial" w:cs="Arial" w:eastAsia="Arial" w:hAnsi="Arial"/>
                <w:sz w:val="18"/>
                <w:szCs w:val="18"/>
                <w:color w:val="auto"/>
              </w:rPr>
              <w:t>5.1%</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stock-based</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compensation expenses, fees for professional services and allocated occupancy costs for these operations. The increase in general and administrative expense in</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absolute dollars of $24.5 million in fiscal 2008 compared to fiscal 2007 was primarily due to higher attorney and professional fees of $11.1 million associated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with the internal review by our Board of Directors’ Special Committee Regarding Derivative Litigation related to our historical stock option granting practices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related accounting matters. General and administrative expense in fiscal 2008 also included $16.0 million accrued in the fourth quarter of fiscal 2008 related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to anticipated payments pursuant to a tentative settlement in connection with derivative lawsuits related to historical stock option practices. In addition, general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administrative expense increased due to the net hiring of additional administrative personnel, which resulted in an increase in salary and related costs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$7.5 million. Partially offsetting the increase in general and administrative expense was a decrease in stock-based compensation expenses of $4.7 million and a</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$5.1 million gain from the sale of an asset under construction.</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6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2900" w:type="dxa"/>
            <w:vAlign w:val="bottom"/>
            <w:gridSpan w:val="4"/>
          </w:tcPr>
          <w:p>
            <w:pPr>
              <w:jc w:val="right"/>
              <w:ind w:right="1218"/>
              <w:spacing w:after="0"/>
              <w:rPr>
                <w:sz w:val="20"/>
                <w:szCs w:val="20"/>
                <w:color w:val="auto"/>
              </w:rPr>
            </w:pPr>
            <w:r>
              <w:rPr>
                <w:rFonts w:ascii="Arial" w:cs="Arial" w:eastAsia="Arial" w:hAnsi="Arial"/>
                <w:sz w:val="14"/>
                <w:szCs w:val="14"/>
                <w:b w:val="1"/>
                <w:bCs w:val="1"/>
                <w:color w:val="auto"/>
              </w:rPr>
              <w:t>Fiscal Years Ended</w:t>
            </w: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r>
      <w:tr>
        <w:trPr>
          <w:trHeight w:val="129"/>
        </w:trPr>
        <w:tc>
          <w:tcPr>
            <w:tcW w:w="586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440" w:type="dxa"/>
            <w:vAlign w:val="bottom"/>
            <w:tcBorders>
              <w:top w:val="single" w:sz="8" w:color="auto"/>
            </w:tcBorders>
            <w:gridSpan w:val="2"/>
          </w:tcPr>
          <w:p>
            <w:pPr>
              <w:jc w:val="center"/>
              <w:ind w:right="692"/>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January 27,</w:t>
            </w:r>
          </w:p>
        </w:tc>
        <w:tc>
          <w:tcPr>
            <w:tcW w:w="760" w:type="dxa"/>
            <w:vAlign w:val="bottom"/>
          </w:tcPr>
          <w:p>
            <w:pPr>
              <w:spacing w:after="0"/>
              <w:rPr>
                <w:sz w:val="11"/>
                <w:szCs w:val="11"/>
                <w:color w:val="auto"/>
              </w:rPr>
            </w:pPr>
          </w:p>
        </w:tc>
        <w:tc>
          <w:tcPr>
            <w:tcW w:w="6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 Change</w:t>
            </w:r>
          </w:p>
        </w:tc>
        <w:tc>
          <w:tcPr>
            <w:tcW w:w="140" w:type="dxa"/>
            <w:vAlign w:val="bottom"/>
          </w:tcPr>
          <w:p>
            <w:pPr>
              <w:spacing w:after="0"/>
              <w:rPr>
                <w:sz w:val="11"/>
                <w:szCs w:val="11"/>
                <w:color w:val="auto"/>
              </w:rPr>
            </w:pPr>
          </w:p>
        </w:tc>
      </w:tr>
      <w:tr>
        <w:trPr>
          <w:trHeight w:val="161"/>
        </w:trPr>
        <w:tc>
          <w:tcPr>
            <w:tcW w:w="5860" w:type="dxa"/>
            <w:vAlign w:val="bottom"/>
          </w:tcPr>
          <w:p>
            <w:pPr>
              <w:spacing w:after="0"/>
              <w:rPr>
                <w:sz w:val="14"/>
                <w:szCs w:val="14"/>
                <w:color w:val="auto"/>
              </w:rPr>
            </w:pPr>
          </w:p>
        </w:tc>
        <w:tc>
          <w:tcPr>
            <w:tcW w:w="2580" w:type="dxa"/>
            <w:vAlign w:val="bottom"/>
            <w:gridSpan w:val="2"/>
          </w:tcPr>
          <w:p>
            <w:pPr>
              <w:jc w:val="center"/>
              <w:ind w:left="1819"/>
              <w:spacing w:after="0"/>
              <w:rPr>
                <w:sz w:val="20"/>
                <w:szCs w:val="20"/>
                <w:color w:val="auto"/>
              </w:rPr>
            </w:pPr>
            <w:r>
              <w:rPr>
                <w:rFonts w:ascii="Arial" w:cs="Arial" w:eastAsia="Arial" w:hAnsi="Arial"/>
                <w:sz w:val="14"/>
                <w:szCs w:val="14"/>
                <w:b w:val="1"/>
                <w:bCs w:val="1"/>
                <w:color w:val="auto"/>
                <w:w w:val="89"/>
              </w:rPr>
              <w:t>2008</w:t>
            </w:r>
          </w:p>
        </w:tc>
        <w:tc>
          <w:tcPr>
            <w:tcW w:w="76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2007</w:t>
            </w:r>
          </w:p>
        </w:tc>
        <w:tc>
          <w:tcPr>
            <w:tcW w:w="760" w:type="dxa"/>
            <w:vAlign w:val="bottom"/>
          </w:tcPr>
          <w:p>
            <w:pPr>
              <w:spacing w:after="0"/>
              <w:rPr>
                <w:sz w:val="14"/>
                <w:szCs w:val="14"/>
                <w:color w:val="auto"/>
              </w:rPr>
            </w:pPr>
          </w:p>
        </w:tc>
        <w:tc>
          <w:tcPr>
            <w:tcW w:w="7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2008</w:t>
            </w:r>
          </w:p>
        </w:tc>
      </w:tr>
      <w:tr>
        <w:trPr>
          <w:trHeight w:val="142"/>
        </w:trPr>
        <w:tc>
          <w:tcPr>
            <w:tcW w:w="586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7"/>
              </w:rPr>
              <w:t>(in thousands,</w:t>
            </w:r>
          </w:p>
        </w:tc>
        <w:tc>
          <w:tcPr>
            <w:tcW w:w="7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60" w:type="dxa"/>
            <w:vAlign w:val="bottom"/>
          </w:tcPr>
          <w:p>
            <w:pPr>
              <w:jc w:val="right"/>
              <w:ind w:right="9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2580" w:type="dxa"/>
            <w:vAlign w:val="bottom"/>
            <w:gridSpan w:val="2"/>
            <w:shd w:val="clear" w:color="auto" w:fill="CCEEFF"/>
          </w:tcPr>
          <w:p>
            <w:pPr>
              <w:jc w:val="center"/>
              <w:ind w:left="1819"/>
              <w:spacing w:after="0"/>
              <w:rPr>
                <w:sz w:val="20"/>
                <w:szCs w:val="20"/>
                <w:color w:val="auto"/>
              </w:rPr>
            </w:pPr>
            <w:r>
              <w:rPr>
                <w:rFonts w:ascii="Arial" w:cs="Arial" w:eastAsia="Arial" w:hAnsi="Arial"/>
                <w:sz w:val="18"/>
                <w:szCs w:val="18"/>
                <w:color w:val="auto"/>
                <w:w w:val="84"/>
              </w:rPr>
              <w:t>$ 155,734</w:t>
            </w:r>
          </w:p>
        </w:tc>
        <w:tc>
          <w:tcPr>
            <w:tcW w:w="7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$ 109,987</w:t>
            </w:r>
          </w:p>
        </w:tc>
        <w:tc>
          <w:tcPr>
            <w:tcW w:w="7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41.6%</w:t>
            </w:r>
          </w:p>
        </w:tc>
      </w:tr>
      <w:tr>
        <w:trPr>
          <w:trHeight w:val="222"/>
        </w:trPr>
        <w:tc>
          <w:tcPr>
            <w:tcW w:w="5860" w:type="dxa"/>
            <w:vAlign w:val="bottom"/>
          </w:tcPr>
          <w:p>
            <w:pPr>
              <w:spacing w:after="0"/>
              <w:rPr>
                <w:sz w:val="20"/>
                <w:szCs w:val="20"/>
                <w:color w:val="auto"/>
              </w:rPr>
            </w:pPr>
            <w:r>
              <w:rPr>
                <w:rFonts w:ascii="Arial" w:cs="Arial" w:eastAsia="Arial" w:hAnsi="Arial"/>
                <w:sz w:val="18"/>
                <w:szCs w:val="18"/>
                <w:color w:val="auto"/>
              </w:rPr>
              <w:t>% of net revenue</w:t>
            </w:r>
          </w:p>
        </w:tc>
        <w:tc>
          <w:tcPr>
            <w:tcW w:w="3340" w:type="dxa"/>
            <w:vAlign w:val="bottom"/>
            <w:gridSpan w:val="3"/>
          </w:tcPr>
          <w:p>
            <w:pPr>
              <w:jc w:val="right"/>
              <w:ind w:right="532"/>
              <w:spacing w:after="0"/>
              <w:rPr>
                <w:sz w:val="20"/>
                <w:szCs w:val="20"/>
                <w:color w:val="auto"/>
              </w:rPr>
            </w:pPr>
            <w:r>
              <w:rPr>
                <w:rFonts w:ascii="Arial" w:cs="Arial" w:eastAsia="Arial" w:hAnsi="Arial"/>
                <w:sz w:val="18"/>
                <w:szCs w:val="18"/>
                <w:color w:val="auto"/>
              </w:rPr>
              <w:t>5.3%</w:t>
            </w:r>
          </w:p>
        </w:tc>
        <w:tc>
          <w:tcPr>
            <w:tcW w:w="1460" w:type="dxa"/>
            <w:vAlign w:val="bottom"/>
            <w:gridSpan w:val="2"/>
          </w:tcPr>
          <w:p>
            <w:pPr>
              <w:jc w:val="right"/>
              <w:ind w:right="558"/>
              <w:spacing w:after="0"/>
              <w:rPr>
                <w:sz w:val="20"/>
                <w:szCs w:val="20"/>
                <w:color w:val="auto"/>
              </w:rPr>
            </w:pPr>
            <w:r>
              <w:rPr>
                <w:rFonts w:ascii="Arial" w:cs="Arial" w:eastAsia="Arial" w:hAnsi="Arial"/>
                <w:sz w:val="18"/>
                <w:szCs w:val="18"/>
                <w:color w:val="auto"/>
              </w:rPr>
              <w:t>4.9%</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r>
    </w:tbl>
    <w:p>
      <w:pPr>
        <w:spacing w:after="0" w:line="147"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In fiscal 2008, we made two acquisitions in which we acquired intangible assets which are being amortized over their estimated economic lives of one to seven years. In fiscal 2007, we made five acquisitions in which we acquired intangible assets which are being amortized over their estimated economic lives of one to eight years. The increase in amortization of acquired intangible assets of $45.7 million in fiscal 2008 compared to fiscal 2007 is due to the effects of a full year of amortization from the acquisitions made in fiscal 2007 as well as amortization of intangible assets from fiscal 2008 acquisitions. Also, in the fourth quarter of fiscal 2008, we performed the annual impairment analysis of purchased intangibles. Accordingly, we also assessed the recoverability of the acquisition-related intangible assets by determining whether the unamortized balances could be recovered through their respective estimated undiscounted future net cash flows. We determined that certain of the acquisition-related intangibles associated with our acquisition of the UTStarcom business and ICAP Business were impaired primarily due to the revised lower revenue forecasts associated with products incorporating such purchased intangibles. We measured the amount of impairment by calculating the amount by which the value of the assets exceeded their estimated fair values, which were based on projected discounted future net cash flows. The amount of the purchased intangibles written-off in the fourth quarter of fiscal 2008 due to impairment was $7.2 million.</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Acquired In-Process 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60" w:type="dxa"/>
            <w:vAlign w:val="bottom"/>
          </w:tcPr>
          <w:p>
            <w:pPr>
              <w:spacing w:after="0"/>
              <w:rPr>
                <w:sz w:val="14"/>
                <w:szCs w:val="14"/>
                <w:color w:val="auto"/>
              </w:rPr>
            </w:pPr>
          </w:p>
        </w:tc>
        <w:tc>
          <w:tcPr>
            <w:tcW w:w="2720" w:type="dxa"/>
            <w:vAlign w:val="bottom"/>
            <w:gridSpan w:val="4"/>
          </w:tcPr>
          <w:p>
            <w:pPr>
              <w:ind w:left="440"/>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860" w:type="dxa"/>
            <w:vAlign w:val="bottom"/>
          </w:tcPr>
          <w:p>
            <w:pPr>
              <w:spacing w:after="0"/>
              <w:rPr>
                <w:sz w:val="11"/>
                <w:szCs w:val="11"/>
                <w:color w:val="auto"/>
              </w:rPr>
            </w:pPr>
          </w:p>
        </w:tc>
        <w:tc>
          <w:tcPr>
            <w:tcW w:w="7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6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27,</w:t>
            </w:r>
          </w:p>
        </w:tc>
        <w:tc>
          <w:tcPr>
            <w:tcW w:w="7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860" w:type="dxa"/>
            <w:vAlign w:val="bottom"/>
          </w:tcPr>
          <w:p>
            <w:pPr>
              <w:spacing w:after="0"/>
              <w:rPr>
                <w:sz w:val="14"/>
                <w:szCs w:val="14"/>
                <w:color w:val="auto"/>
              </w:rPr>
            </w:pPr>
          </w:p>
        </w:tc>
        <w:tc>
          <w:tcPr>
            <w:tcW w:w="700" w:type="dxa"/>
            <w:vAlign w:val="bottom"/>
            <w:tcBorders>
              <w:bottom w:val="single" w:sz="8" w:color="auto"/>
            </w:tcBorders>
          </w:tcPr>
          <w:p>
            <w:pPr>
              <w:jc w:val="right"/>
              <w:ind w:right="144"/>
              <w:spacing w:after="0"/>
              <w:rPr>
                <w:sz w:val="20"/>
                <w:szCs w:val="20"/>
                <w:color w:val="auto"/>
              </w:rPr>
            </w:pPr>
            <w:r>
              <w:rPr>
                <w:rFonts w:ascii="Arial" w:cs="Arial" w:eastAsia="Arial" w:hAnsi="Arial"/>
                <w:sz w:val="14"/>
                <w:szCs w:val="14"/>
                <w:b w:val="1"/>
                <w:bCs w:val="1"/>
                <w:color w:val="auto"/>
              </w:rPr>
              <w:t>2008</w:t>
            </w:r>
          </w:p>
        </w:tc>
        <w:tc>
          <w:tcPr>
            <w:tcW w:w="60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2007</w:t>
            </w:r>
          </w:p>
        </w:tc>
        <w:tc>
          <w:tcPr>
            <w:tcW w:w="74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2008</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8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80" w:type="dxa"/>
            <w:vAlign w:val="bottom"/>
            <w:gridSpan w:val="2"/>
          </w:tcPr>
          <w:p>
            <w:pPr>
              <w:jc w:val="right"/>
              <w:ind w:right="12"/>
              <w:spacing w:after="0" w:line="142" w:lineRule="exact"/>
              <w:rPr>
                <w:sz w:val="20"/>
                <w:szCs w:val="20"/>
                <w:color w:val="auto"/>
              </w:rPr>
            </w:pPr>
            <w:r>
              <w:rPr>
                <w:rFonts w:ascii="Arial" w:cs="Arial" w:eastAsia="Arial" w:hAnsi="Arial"/>
                <w:sz w:val="14"/>
                <w:szCs w:val="14"/>
                <w:b w:val="1"/>
                <w:bCs w:val="1"/>
                <w:color w:val="auto"/>
                <w:w w:val="81"/>
              </w:rPr>
              <w:t>(in thousands, except</w:t>
            </w:r>
          </w:p>
        </w:tc>
        <w:tc>
          <w:tcPr>
            <w:tcW w:w="74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5"/>
              </w:rPr>
              <w:t>percentages)</w:t>
            </w: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Acquired in-process research and development</w:t>
            </w:r>
          </w:p>
        </w:tc>
        <w:tc>
          <w:tcPr>
            <w:tcW w:w="7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77,800</w:t>
            </w:r>
          </w:p>
        </w:tc>
        <w:tc>
          <w:tcPr>
            <w:tcW w:w="7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7860" w:type="dxa"/>
            <w:vAlign w:val="bottom"/>
          </w:tcPr>
          <w:p>
            <w:pPr>
              <w:spacing w:after="0"/>
              <w:rPr>
                <w:sz w:val="20"/>
                <w:szCs w:val="20"/>
                <w:color w:val="auto"/>
              </w:rPr>
            </w:pPr>
            <w:r>
              <w:rPr>
                <w:rFonts w:ascii="Arial" w:cs="Arial" w:eastAsia="Arial" w:hAnsi="Arial"/>
                <w:sz w:val="18"/>
                <w:szCs w:val="18"/>
                <w:color w:val="auto"/>
              </w:rPr>
              <w:t>% of net revenue</w:t>
            </w:r>
          </w:p>
        </w:tc>
        <w:tc>
          <w:tcPr>
            <w:tcW w:w="700" w:type="dxa"/>
            <w:vAlign w:val="bottom"/>
          </w:tcPr>
          <w:p>
            <w:pPr>
              <w:ind w:left="440"/>
              <w:spacing w:after="0"/>
              <w:rPr>
                <w:sz w:val="20"/>
                <w:szCs w:val="20"/>
                <w:color w:val="auto"/>
              </w:rPr>
            </w:pPr>
            <w:r>
              <w:rPr>
                <w:rFonts w:ascii="Arial" w:cs="Arial" w:eastAsia="Arial" w:hAnsi="Arial"/>
                <w:sz w:val="18"/>
                <w:szCs w:val="18"/>
                <w:color w:val="auto"/>
              </w:rPr>
              <w:t>—</w:t>
            </w:r>
          </w:p>
        </w:tc>
        <w:tc>
          <w:tcPr>
            <w:tcW w:w="2020" w:type="dxa"/>
            <w:vAlign w:val="bottom"/>
            <w:gridSpan w:val="3"/>
          </w:tcPr>
          <w:p>
            <w:pPr>
              <w:jc w:val="right"/>
              <w:ind w:right="532"/>
              <w:spacing w:after="0"/>
              <w:rPr>
                <w:sz w:val="20"/>
                <w:szCs w:val="20"/>
                <w:color w:val="auto"/>
              </w:rPr>
            </w:pPr>
            <w:r>
              <w:rPr>
                <w:rFonts w:ascii="Arial" w:cs="Arial" w:eastAsia="Arial" w:hAnsi="Arial"/>
                <w:sz w:val="18"/>
                <w:szCs w:val="18"/>
                <w:color w:val="auto"/>
              </w:rPr>
              <w:t>3.5%</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connection with the acquisition of the ICAP Business on November 8, 2006, we purchased IPRD of approximately $77.8 million. The amounts allocated to IPRD were determined based on our estimates of the fair values of assets acquired using valuation techniques used in the high technology industry and were charged to expense in the fourth quarter of fiscal 2007. The projects that qualify for IPRD had not reached technical feasibility and no future use existed. In accordance with SFAS No. 2, “Accounting for Research and Development Costs,” as clarified by FASB Interpretation No. 4, “Applicability of FASB Statement No. 2 to Business Combinations Accounted for by the Purchase Method — an Interpretation of FASB Statement No. 2,” amounts assigned to IPRD meeting the above stated criteria were charged to expense as part of the allocation of the purchase price.</w:t>
      </w:r>
    </w:p>
    <w:p>
      <w:pPr>
        <w:spacing w:after="0" w:line="120"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The value assigned to IPRD was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of 24.0% to 27.0% were used for valuing the IPRD.</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At the time of the acquisition, there were three significant projects in-process that were approximately 56.0% complete with estimated aggregate costs to complete of $31.0 million. The projects were completed during fiscal 2008.</w:t>
      </w:r>
    </w:p>
    <w:p>
      <w:pPr>
        <w:spacing w:after="0" w:line="132"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estimates used in valuing IPRD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2940" w:type="dxa"/>
            <w:vAlign w:val="bottom"/>
            <w:gridSpan w:val="4"/>
          </w:tcPr>
          <w:p>
            <w:pPr>
              <w:ind w:left="560"/>
              <w:spacing w:after="0"/>
              <w:rPr>
                <w:sz w:val="20"/>
                <w:szCs w:val="20"/>
                <w:color w:val="auto"/>
              </w:rPr>
            </w:pPr>
            <w:r>
              <w:rPr>
                <w:rFonts w:ascii="Arial" w:cs="Arial" w:eastAsia="Arial" w:hAnsi="Arial"/>
                <w:sz w:val="14"/>
                <w:szCs w:val="14"/>
                <w:b w:val="1"/>
                <w:bCs w:val="1"/>
                <w:color w:val="auto"/>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7720" w:type="dxa"/>
            <w:vAlign w:val="bottom"/>
          </w:tcPr>
          <w:p>
            <w:pPr>
              <w:spacing w:after="0"/>
              <w:rPr>
                <w:sz w:val="11"/>
                <w:szCs w:val="11"/>
                <w:color w:val="auto"/>
              </w:rPr>
            </w:pPr>
          </w:p>
        </w:tc>
        <w:tc>
          <w:tcPr>
            <w:tcW w:w="1540" w:type="dxa"/>
            <w:vAlign w:val="bottom"/>
            <w:tcBorders>
              <w:top w:val="single" w:sz="8" w:color="auto"/>
            </w:tcBorders>
            <w:gridSpan w:val="2"/>
          </w:tcPr>
          <w:p>
            <w:pPr>
              <w:jc w:val="center"/>
              <w:ind w:right="792"/>
              <w:spacing w:after="0" w:line="129" w:lineRule="exact"/>
              <w:rPr>
                <w:sz w:val="20"/>
                <w:szCs w:val="20"/>
                <w:color w:val="auto"/>
              </w:rPr>
            </w:pPr>
            <w:r>
              <w:rPr>
                <w:rFonts w:ascii="Arial" w:cs="Arial" w:eastAsia="Arial" w:hAnsi="Arial"/>
                <w:sz w:val="14"/>
                <w:szCs w:val="14"/>
                <w:b w:val="1"/>
                <w:bCs w:val="1"/>
                <w:color w:val="auto"/>
                <w:w w:val="90"/>
              </w:rPr>
              <w:t>February 2,</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27,</w:t>
            </w:r>
          </w:p>
        </w:tc>
        <w:tc>
          <w:tcPr>
            <w:tcW w:w="72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2008</w:t>
            </w:r>
          </w:p>
        </w:tc>
        <w:tc>
          <w:tcPr>
            <w:tcW w:w="860" w:type="dxa"/>
            <w:vAlign w:val="bottom"/>
          </w:tcPr>
          <w:p>
            <w:pPr>
              <w:spacing w:after="0"/>
              <w:rPr>
                <w:sz w:val="14"/>
                <w:szCs w:val="14"/>
                <w:color w:val="auto"/>
              </w:rPr>
            </w:pPr>
          </w:p>
        </w:tc>
        <w:tc>
          <w:tcPr>
            <w:tcW w:w="680" w:type="dxa"/>
            <w:vAlign w:val="bottom"/>
            <w:tcBorders>
              <w:bottom w:val="single" w:sz="8" w:color="auto"/>
            </w:tcBorders>
          </w:tcPr>
          <w:p>
            <w:pPr>
              <w:jc w:val="right"/>
              <w:ind w:right="124"/>
              <w:spacing w:after="0"/>
              <w:rPr>
                <w:sz w:val="20"/>
                <w:szCs w:val="20"/>
                <w:color w:val="auto"/>
              </w:rPr>
            </w:pPr>
            <w:r>
              <w:rPr>
                <w:rFonts w:ascii="Arial" w:cs="Arial" w:eastAsia="Arial" w:hAnsi="Arial"/>
                <w:sz w:val="14"/>
                <w:szCs w:val="14"/>
                <w:b w:val="1"/>
                <w:bCs w:val="1"/>
                <w:color w:val="auto"/>
              </w:rPr>
              <w:t>2007</w:t>
            </w:r>
          </w:p>
        </w:tc>
        <w:tc>
          <w:tcPr>
            <w:tcW w:w="7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in 2008</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7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1400" w:type="dxa"/>
            <w:vAlign w:val="bottom"/>
            <w:gridSpan w:val="2"/>
          </w:tcPr>
          <w:p>
            <w:pPr>
              <w:ind w:left="100"/>
              <w:spacing w:after="0" w:line="142" w:lineRule="exact"/>
              <w:rPr>
                <w:sz w:val="20"/>
                <w:szCs w:val="20"/>
                <w:color w:val="auto"/>
              </w:rPr>
            </w:pPr>
            <w:r>
              <w:rPr>
                <w:rFonts w:ascii="Arial" w:cs="Arial" w:eastAsia="Arial" w:hAnsi="Arial"/>
                <w:sz w:val="14"/>
                <w:szCs w:val="14"/>
                <w:b w:val="1"/>
                <w:bCs w:val="1"/>
                <w:color w:val="auto"/>
                <w:w w:val="94"/>
              </w:rPr>
              <w:t>except percentages)</w:t>
            </w: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  7,856</w:t>
            </w:r>
          </w:p>
        </w:tc>
        <w:tc>
          <w:tcPr>
            <w:tcW w:w="8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7720" w:type="dxa"/>
            <w:vAlign w:val="bottom"/>
          </w:tcPr>
          <w:p>
            <w:pPr>
              <w:spacing w:after="0"/>
              <w:rPr>
                <w:sz w:val="20"/>
                <w:szCs w:val="20"/>
                <w:color w:val="auto"/>
              </w:rPr>
            </w:pPr>
            <w:r>
              <w:rPr>
                <w:rFonts w:ascii="Arial" w:cs="Arial" w:eastAsia="Arial" w:hAnsi="Arial"/>
                <w:sz w:val="18"/>
                <w:szCs w:val="18"/>
                <w:color w:val="auto"/>
              </w:rPr>
              <w:t>% of net revenue</w:t>
            </w:r>
          </w:p>
        </w:tc>
        <w:tc>
          <w:tcPr>
            <w:tcW w:w="1540" w:type="dxa"/>
            <w:vAlign w:val="bottom"/>
            <w:gridSpan w:val="2"/>
          </w:tcPr>
          <w:p>
            <w:pPr>
              <w:jc w:val="right"/>
              <w:ind w:right="632"/>
              <w:spacing w:after="0"/>
              <w:rPr>
                <w:sz w:val="20"/>
                <w:szCs w:val="20"/>
                <w:color w:val="auto"/>
              </w:rPr>
            </w:pPr>
            <w:r>
              <w:rPr>
                <w:rFonts w:ascii="Arial" w:cs="Arial" w:eastAsia="Arial" w:hAnsi="Arial"/>
                <w:sz w:val="18"/>
                <w:szCs w:val="18"/>
                <w:color w:val="auto"/>
              </w:rPr>
              <w:t>0.3%</w:t>
            </w:r>
          </w:p>
        </w:tc>
        <w:tc>
          <w:tcPr>
            <w:tcW w:w="140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During the fourth quarter of fiscal 2008, we implemented cost-cutting measures that included reductions in workforce in all functions of the organization worldwide in order to reduce our cost structure. A restructuring charge of $7.9 million was recorded relating to severance and benefits to 438 terminated employees. All expenses associated with our cost-cutting measures are included in “Restructuring” in the Consolidated Statements of Operations.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00" w:type="dxa"/>
            <w:vAlign w:val="bottom"/>
          </w:tcPr>
          <w:p>
            <w:pPr>
              <w:spacing w:after="0"/>
              <w:rPr>
                <w:sz w:val="14"/>
                <w:szCs w:val="14"/>
                <w:color w:val="auto"/>
              </w:rPr>
            </w:pPr>
          </w:p>
        </w:tc>
        <w:tc>
          <w:tcPr>
            <w:tcW w:w="2980" w:type="dxa"/>
            <w:vAlign w:val="bottom"/>
          </w:tcPr>
          <w:p>
            <w:pPr>
              <w:spacing w:after="0"/>
              <w:rPr>
                <w:sz w:val="14"/>
                <w:szCs w:val="14"/>
                <w:color w:val="auto"/>
              </w:rPr>
            </w:pPr>
          </w:p>
        </w:tc>
        <w:tc>
          <w:tcPr>
            <w:tcW w:w="2880" w:type="dxa"/>
            <w:vAlign w:val="bottom"/>
            <w:gridSpan w:val="5"/>
          </w:tcPr>
          <w:p>
            <w:pPr>
              <w:jc w:val="right"/>
              <w:ind w:right="1198"/>
              <w:spacing w:after="0"/>
              <w:rPr>
                <w:sz w:val="20"/>
                <w:szCs w:val="20"/>
                <w:color w:val="auto"/>
              </w:rPr>
            </w:pPr>
            <w:r>
              <w:rPr>
                <w:rFonts w:ascii="Arial" w:cs="Arial" w:eastAsia="Arial" w:hAnsi="Arial"/>
                <w:sz w:val="14"/>
                <w:szCs w:val="14"/>
                <w:b w:val="1"/>
                <w:bCs w:val="1"/>
                <w:color w:val="auto"/>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4800" w:type="dxa"/>
            <w:vAlign w:val="bottom"/>
          </w:tcPr>
          <w:p>
            <w:pPr>
              <w:spacing w:after="0"/>
              <w:rPr>
                <w:sz w:val="11"/>
                <w:szCs w:val="11"/>
                <w:color w:val="auto"/>
              </w:rPr>
            </w:pPr>
          </w:p>
        </w:tc>
        <w:tc>
          <w:tcPr>
            <w:tcW w:w="2980" w:type="dxa"/>
            <w:vAlign w:val="bottom"/>
          </w:tcPr>
          <w:p>
            <w:pPr>
              <w:spacing w:after="0"/>
              <w:rPr>
                <w:sz w:val="11"/>
                <w:szCs w:val="11"/>
                <w:color w:val="auto"/>
              </w:rPr>
            </w:pPr>
          </w:p>
        </w:tc>
        <w:tc>
          <w:tcPr>
            <w:tcW w:w="1140" w:type="dxa"/>
            <w:vAlign w:val="bottom"/>
            <w:tcBorders>
              <w:top w:val="single" w:sz="8" w:color="auto"/>
            </w:tcBorders>
            <w:gridSpan w:val="2"/>
          </w:tcPr>
          <w:p>
            <w:pPr>
              <w:jc w:val="right"/>
              <w:ind w:right="378"/>
              <w:spacing w:after="0" w:line="129" w:lineRule="exact"/>
              <w:rPr>
                <w:sz w:val="20"/>
                <w:szCs w:val="20"/>
                <w:color w:val="auto"/>
              </w:rPr>
            </w:pPr>
            <w:r>
              <w:rPr>
                <w:rFonts w:ascii="Arial" w:cs="Arial" w:eastAsia="Arial" w:hAnsi="Arial"/>
                <w:sz w:val="14"/>
                <w:szCs w:val="14"/>
                <w:b w:val="1"/>
                <w:bCs w:val="1"/>
                <w:color w:val="auto"/>
                <w:w w:val="90"/>
              </w:rPr>
              <w:t>February 2,</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27,</w:t>
            </w:r>
          </w:p>
        </w:tc>
        <w:tc>
          <w:tcPr>
            <w:tcW w:w="76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00" w:type="dxa"/>
            <w:vAlign w:val="bottom"/>
          </w:tcPr>
          <w:p>
            <w:pPr>
              <w:spacing w:after="0"/>
              <w:rPr>
                <w:sz w:val="14"/>
                <w:szCs w:val="14"/>
                <w:color w:val="auto"/>
              </w:rPr>
            </w:pPr>
          </w:p>
        </w:tc>
        <w:tc>
          <w:tcPr>
            <w:tcW w:w="368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2008</w:t>
            </w:r>
          </w:p>
        </w:tc>
        <w:tc>
          <w:tcPr>
            <w:tcW w:w="440" w:type="dxa"/>
            <w:vAlign w:val="bottom"/>
          </w:tcPr>
          <w:p>
            <w:pPr>
              <w:spacing w:after="0"/>
              <w:rPr>
                <w:sz w:val="14"/>
                <w:szCs w:val="14"/>
                <w:color w:val="auto"/>
              </w:rPr>
            </w:pPr>
          </w:p>
        </w:tc>
        <w:tc>
          <w:tcPr>
            <w:tcW w:w="98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9"/>
              </w:rPr>
              <w:t>2007</w:t>
            </w:r>
          </w:p>
        </w:tc>
        <w:tc>
          <w:tcPr>
            <w:tcW w:w="760" w:type="dxa"/>
            <w:vAlign w:val="bottom"/>
          </w:tcPr>
          <w:p>
            <w:pPr>
              <w:spacing w:after="0"/>
              <w:rPr>
                <w:sz w:val="14"/>
                <w:szCs w:val="14"/>
                <w:color w:val="auto"/>
              </w:rPr>
            </w:pPr>
          </w:p>
        </w:tc>
        <w:tc>
          <w:tcPr>
            <w:tcW w:w="7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42"/>
        </w:trPr>
        <w:tc>
          <w:tcPr>
            <w:tcW w:w="4800" w:type="dxa"/>
            <w:vAlign w:val="bottom"/>
          </w:tcPr>
          <w:p>
            <w:pPr>
              <w:spacing w:after="0"/>
              <w:rPr>
                <w:sz w:val="12"/>
                <w:szCs w:val="12"/>
                <w:color w:val="auto"/>
              </w:rPr>
            </w:pPr>
          </w:p>
        </w:tc>
        <w:tc>
          <w:tcPr>
            <w:tcW w:w="298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760" w:type="dxa"/>
            <w:vAlign w:val="bottom"/>
          </w:tcPr>
          <w:p>
            <w:pPr>
              <w:jc w:val="right"/>
              <w:ind w:right="7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3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28,100</w:t>
            </w:r>
          </w:p>
        </w:tc>
        <w:tc>
          <w:tcPr>
            <w:tcW w:w="440" w:type="dxa"/>
            <w:vAlign w:val="bottom"/>
            <w:shd w:val="clear" w:color="auto" w:fill="CCEEFF"/>
          </w:tcPr>
          <w:p>
            <w:pPr>
              <w:spacing w:after="0"/>
              <w:rPr>
                <w:sz w:val="18"/>
                <w:szCs w:val="18"/>
                <w:color w:val="auto"/>
              </w:rPr>
            </w:pPr>
          </w:p>
        </w:tc>
        <w:tc>
          <w:tcPr>
            <w:tcW w:w="1740" w:type="dxa"/>
            <w:vAlign w:val="bottom"/>
            <w:gridSpan w:val="3"/>
            <w:shd w:val="clear" w:color="auto" w:fill="CCEEFF"/>
          </w:tcPr>
          <w:p>
            <w:pPr>
              <w:jc w:val="right"/>
              <w:ind w:right="698"/>
              <w:spacing w:after="0"/>
              <w:rPr>
                <w:sz w:val="20"/>
                <w:szCs w:val="20"/>
                <w:color w:val="auto"/>
              </w:rPr>
            </w:pPr>
            <w:r>
              <w:rPr>
                <w:rFonts w:ascii="Arial" w:cs="Arial" w:eastAsia="Arial" w:hAnsi="Arial"/>
                <w:sz w:val="18"/>
                <w:szCs w:val="18"/>
                <w:color w:val="auto"/>
              </w:rPr>
              <w:t>$  17,818</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57.7%</w:t>
            </w:r>
          </w:p>
        </w:tc>
        <w:tc>
          <w:tcPr>
            <w:tcW w:w="0" w:type="dxa"/>
            <w:vAlign w:val="bottom"/>
          </w:tcPr>
          <w:p>
            <w:pPr>
              <w:spacing w:after="0"/>
              <w:rPr>
                <w:sz w:val="1"/>
                <w:szCs w:val="1"/>
                <w:color w:val="auto"/>
              </w:rPr>
            </w:pPr>
          </w:p>
        </w:tc>
      </w:tr>
      <w:tr>
        <w:trPr>
          <w:trHeight w:val="222"/>
        </w:trPr>
        <w:tc>
          <w:tcPr>
            <w:tcW w:w="4800" w:type="dxa"/>
            <w:vAlign w:val="bottom"/>
          </w:tcPr>
          <w:p>
            <w:pPr>
              <w:spacing w:after="0"/>
              <w:rPr>
                <w:sz w:val="20"/>
                <w:szCs w:val="20"/>
                <w:color w:val="auto"/>
              </w:rPr>
            </w:pPr>
            <w:r>
              <w:rPr>
                <w:rFonts w:ascii="Arial" w:cs="Arial" w:eastAsia="Arial" w:hAnsi="Arial"/>
                <w:sz w:val="18"/>
                <w:szCs w:val="18"/>
                <w:color w:val="auto"/>
              </w:rPr>
              <w:t>% of net revenue</w:t>
            </w:r>
          </w:p>
        </w:tc>
        <w:tc>
          <w:tcPr>
            <w:tcW w:w="4120" w:type="dxa"/>
            <w:vAlign w:val="bottom"/>
            <w:gridSpan w:val="3"/>
          </w:tcPr>
          <w:p>
            <w:pPr>
              <w:jc w:val="right"/>
              <w:ind w:right="238"/>
              <w:spacing w:after="0"/>
              <w:rPr>
                <w:sz w:val="20"/>
                <w:szCs w:val="20"/>
                <w:color w:val="auto"/>
              </w:rPr>
            </w:pPr>
            <w:r>
              <w:rPr>
                <w:rFonts w:ascii="Arial" w:cs="Arial" w:eastAsia="Arial" w:hAnsi="Arial"/>
                <w:sz w:val="18"/>
                <w:szCs w:val="18"/>
                <w:color w:val="auto"/>
              </w:rPr>
              <w:t>1.0%</w:t>
            </w:r>
          </w:p>
        </w:tc>
        <w:tc>
          <w:tcPr>
            <w:tcW w:w="1740" w:type="dxa"/>
            <w:vAlign w:val="bottom"/>
            <w:gridSpan w:val="3"/>
          </w:tcPr>
          <w:p>
            <w:pPr>
              <w:jc w:val="right"/>
              <w:ind w:right="538"/>
              <w:spacing w:after="0"/>
              <w:rPr>
                <w:sz w:val="20"/>
                <w:szCs w:val="20"/>
                <w:color w:val="auto"/>
              </w:rPr>
            </w:pPr>
            <w:r>
              <w:rPr>
                <w:rFonts w:ascii="Arial" w:cs="Arial" w:eastAsia="Arial" w:hAnsi="Arial"/>
                <w:sz w:val="18"/>
                <w:szCs w:val="18"/>
                <w:color w:val="auto"/>
              </w:rPr>
              <w:t>0.8%</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3" w:lineRule="auto"/>
        <w:rPr>
          <w:sz w:val="20"/>
          <w:szCs w:val="20"/>
          <w:color w:val="auto"/>
        </w:rPr>
      </w:pPr>
      <w:r>
        <w:rPr>
          <w:rFonts w:ascii="Arial" w:cs="Arial" w:eastAsia="Arial" w:hAnsi="Arial"/>
          <w:sz w:val="18"/>
          <w:szCs w:val="18"/>
          <w:color w:val="auto"/>
        </w:rPr>
        <w:t>Interest and other income consists primarily of interest earned on cash, cash equivalents and short-term investment balances, and gains and losses on the sale of marketable securities. The increase in interest and other income of $10.3 million is due primarily to a one-time benefit of $22.1 million credited to other income to the reflect the release of unused credits arising from differences in the original estimate used in purchase accounting and actual product mix and yields from the supply agreement with Intel. Partially offsetting the increase in interest and other income in fiscal 2008 compared to fiscal 2007 was lower interest income as a result of lower average cash balances for comparable periods as well as a decrease in interest rates. The results for each of the periods reflect the effect of the reclassification of foreign exchange gains and losses related to uncertain tax positions from provision (benefit) for income taxes to interest and other income.</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80" w:type="dxa"/>
            <w:vAlign w:val="bottom"/>
          </w:tcPr>
          <w:p>
            <w:pPr>
              <w:spacing w:after="0"/>
              <w:rPr>
                <w:sz w:val="14"/>
                <w:szCs w:val="14"/>
                <w:color w:val="auto"/>
              </w:rPr>
            </w:pPr>
          </w:p>
        </w:tc>
        <w:tc>
          <w:tcPr>
            <w:tcW w:w="3280" w:type="dxa"/>
            <w:vAlign w:val="bottom"/>
          </w:tcPr>
          <w:p>
            <w:pPr>
              <w:spacing w:after="0"/>
              <w:rPr>
                <w:sz w:val="14"/>
                <w:szCs w:val="14"/>
                <w:color w:val="auto"/>
              </w:rPr>
            </w:pPr>
          </w:p>
        </w:tc>
        <w:tc>
          <w:tcPr>
            <w:tcW w:w="2900" w:type="dxa"/>
            <w:vAlign w:val="bottom"/>
            <w:gridSpan w:val="4"/>
          </w:tcPr>
          <w:p>
            <w:pPr>
              <w:jc w:val="right"/>
              <w:ind w:right="1218"/>
              <w:spacing w:after="0"/>
              <w:rPr>
                <w:sz w:val="20"/>
                <w:szCs w:val="20"/>
                <w:color w:val="auto"/>
              </w:rPr>
            </w:pPr>
            <w:r>
              <w:rPr>
                <w:rFonts w:ascii="Arial" w:cs="Arial" w:eastAsia="Arial" w:hAnsi="Arial"/>
                <w:sz w:val="14"/>
                <w:szCs w:val="14"/>
                <w:b w:val="1"/>
                <w:bCs w:val="1"/>
                <w:color w:val="auto"/>
              </w:rPr>
              <w:t>Fiscal Years Ended</w:t>
            </w:r>
          </w:p>
        </w:tc>
        <w:tc>
          <w:tcPr>
            <w:tcW w:w="7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4480" w:type="dxa"/>
            <w:vAlign w:val="bottom"/>
          </w:tcPr>
          <w:p>
            <w:pPr>
              <w:spacing w:after="0"/>
              <w:rPr>
                <w:sz w:val="11"/>
                <w:szCs w:val="11"/>
                <w:color w:val="auto"/>
              </w:rPr>
            </w:pPr>
          </w:p>
        </w:tc>
        <w:tc>
          <w:tcPr>
            <w:tcW w:w="3280" w:type="dxa"/>
            <w:vAlign w:val="bottom"/>
          </w:tcPr>
          <w:p>
            <w:pPr>
              <w:spacing w:after="0"/>
              <w:rPr>
                <w:sz w:val="11"/>
                <w:szCs w:val="11"/>
                <w:color w:val="auto"/>
              </w:rPr>
            </w:pPr>
          </w:p>
        </w:tc>
        <w:tc>
          <w:tcPr>
            <w:tcW w:w="1440" w:type="dxa"/>
            <w:vAlign w:val="bottom"/>
            <w:tcBorders>
              <w:top w:val="single" w:sz="8" w:color="auto"/>
            </w:tcBorders>
            <w:gridSpan w:val="2"/>
          </w:tcPr>
          <w:p>
            <w:pPr>
              <w:jc w:val="center"/>
              <w:ind w:right="692"/>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January 27,</w:t>
            </w:r>
          </w:p>
        </w:tc>
        <w:tc>
          <w:tcPr>
            <w:tcW w:w="76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80" w:type="dxa"/>
            <w:vAlign w:val="bottom"/>
          </w:tcPr>
          <w:p>
            <w:pPr>
              <w:spacing w:after="0"/>
              <w:rPr>
                <w:sz w:val="14"/>
                <w:szCs w:val="14"/>
                <w:color w:val="auto"/>
              </w:rPr>
            </w:pPr>
          </w:p>
        </w:tc>
        <w:tc>
          <w:tcPr>
            <w:tcW w:w="3960" w:type="dxa"/>
            <w:vAlign w:val="bottom"/>
            <w:gridSpan w:val="2"/>
          </w:tcPr>
          <w:p>
            <w:pPr>
              <w:jc w:val="center"/>
              <w:ind w:left="3199"/>
              <w:spacing w:after="0"/>
              <w:rPr>
                <w:sz w:val="20"/>
                <w:szCs w:val="20"/>
                <w:color w:val="auto"/>
              </w:rPr>
            </w:pPr>
            <w:r>
              <w:rPr>
                <w:rFonts w:ascii="Arial" w:cs="Arial" w:eastAsia="Arial" w:hAnsi="Arial"/>
                <w:sz w:val="14"/>
                <w:szCs w:val="14"/>
                <w:b w:val="1"/>
                <w:bCs w:val="1"/>
                <w:color w:val="auto"/>
                <w:w w:val="89"/>
              </w:rPr>
              <w:t>2008</w:t>
            </w:r>
          </w:p>
        </w:tc>
        <w:tc>
          <w:tcPr>
            <w:tcW w:w="76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2007</w:t>
            </w:r>
          </w:p>
        </w:tc>
        <w:tc>
          <w:tcPr>
            <w:tcW w:w="760" w:type="dxa"/>
            <w:vAlign w:val="bottom"/>
          </w:tcPr>
          <w:p>
            <w:pPr>
              <w:spacing w:after="0"/>
              <w:rPr>
                <w:sz w:val="14"/>
                <w:szCs w:val="14"/>
                <w:color w:val="auto"/>
              </w:rPr>
            </w:pPr>
          </w:p>
        </w:tc>
        <w:tc>
          <w:tcPr>
            <w:tcW w:w="7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42"/>
        </w:trPr>
        <w:tc>
          <w:tcPr>
            <w:tcW w:w="4480" w:type="dxa"/>
            <w:vAlign w:val="bottom"/>
          </w:tcPr>
          <w:p>
            <w:pPr>
              <w:spacing w:after="0"/>
              <w:rPr>
                <w:sz w:val="12"/>
                <w:szCs w:val="12"/>
                <w:color w:val="auto"/>
              </w:rPr>
            </w:pPr>
          </w:p>
        </w:tc>
        <w:tc>
          <w:tcPr>
            <w:tcW w:w="32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7"/>
              </w:rPr>
              <w:t>(in thousands,</w:t>
            </w:r>
          </w:p>
        </w:tc>
        <w:tc>
          <w:tcPr>
            <w:tcW w:w="7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60" w:type="dxa"/>
            <w:vAlign w:val="bottom"/>
          </w:tcPr>
          <w:p>
            <w:pPr>
              <w:jc w:val="right"/>
              <w:ind w:right="9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3960" w:type="dxa"/>
            <w:vAlign w:val="bottom"/>
            <w:gridSpan w:val="2"/>
            <w:shd w:val="clear" w:color="auto" w:fill="CCEEFF"/>
          </w:tcPr>
          <w:p>
            <w:pPr>
              <w:jc w:val="center"/>
              <w:ind w:left="3199"/>
              <w:spacing w:after="0"/>
              <w:rPr>
                <w:sz w:val="20"/>
                <w:szCs w:val="20"/>
                <w:color w:val="auto"/>
              </w:rPr>
            </w:pPr>
            <w:r>
              <w:rPr>
                <w:rFonts w:ascii="Arial" w:cs="Arial" w:eastAsia="Arial" w:hAnsi="Arial"/>
                <w:sz w:val="18"/>
                <w:szCs w:val="18"/>
                <w:color w:val="auto"/>
                <w:w w:val="90"/>
              </w:rPr>
              <w:t>$  40,498</w:t>
            </w:r>
          </w:p>
        </w:tc>
        <w:tc>
          <w:tcPr>
            <w:tcW w:w="7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10,207</w:t>
            </w:r>
          </w:p>
        </w:tc>
        <w:tc>
          <w:tcPr>
            <w:tcW w:w="7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296.8%</w:t>
            </w:r>
          </w:p>
        </w:tc>
        <w:tc>
          <w:tcPr>
            <w:tcW w:w="0" w:type="dxa"/>
            <w:vAlign w:val="bottom"/>
          </w:tcPr>
          <w:p>
            <w:pPr>
              <w:spacing w:after="0"/>
              <w:rPr>
                <w:sz w:val="1"/>
                <w:szCs w:val="1"/>
                <w:color w:val="auto"/>
              </w:rPr>
            </w:pPr>
          </w:p>
        </w:tc>
      </w:tr>
      <w:tr>
        <w:trPr>
          <w:trHeight w:val="222"/>
        </w:trPr>
        <w:tc>
          <w:tcPr>
            <w:tcW w:w="4480" w:type="dxa"/>
            <w:vAlign w:val="bottom"/>
          </w:tcPr>
          <w:p>
            <w:pPr>
              <w:spacing w:after="0"/>
              <w:rPr>
                <w:sz w:val="20"/>
                <w:szCs w:val="20"/>
                <w:color w:val="auto"/>
              </w:rPr>
            </w:pPr>
            <w:r>
              <w:rPr>
                <w:rFonts w:ascii="Arial" w:cs="Arial" w:eastAsia="Arial" w:hAnsi="Arial"/>
                <w:sz w:val="18"/>
                <w:szCs w:val="18"/>
                <w:color w:val="auto"/>
              </w:rPr>
              <w:t>% of net revenue</w:t>
            </w:r>
          </w:p>
        </w:tc>
        <w:tc>
          <w:tcPr>
            <w:tcW w:w="4720" w:type="dxa"/>
            <w:vAlign w:val="bottom"/>
            <w:gridSpan w:val="3"/>
          </w:tcPr>
          <w:p>
            <w:pPr>
              <w:jc w:val="right"/>
              <w:ind w:right="532"/>
              <w:spacing w:after="0"/>
              <w:rPr>
                <w:sz w:val="20"/>
                <w:szCs w:val="20"/>
                <w:color w:val="auto"/>
              </w:rPr>
            </w:pPr>
            <w:r>
              <w:rPr>
                <w:rFonts w:ascii="Arial" w:cs="Arial" w:eastAsia="Arial" w:hAnsi="Arial"/>
                <w:sz w:val="18"/>
                <w:szCs w:val="18"/>
                <w:color w:val="auto"/>
              </w:rPr>
              <w:t>1.4%</w:t>
            </w:r>
          </w:p>
        </w:tc>
        <w:tc>
          <w:tcPr>
            <w:tcW w:w="1460" w:type="dxa"/>
            <w:vAlign w:val="bottom"/>
            <w:gridSpan w:val="2"/>
          </w:tcPr>
          <w:p>
            <w:pPr>
              <w:jc w:val="right"/>
              <w:ind w:right="558"/>
              <w:spacing w:after="0"/>
              <w:rPr>
                <w:sz w:val="20"/>
                <w:szCs w:val="20"/>
                <w:color w:val="auto"/>
              </w:rPr>
            </w:pPr>
            <w:r>
              <w:rPr>
                <w:rFonts w:ascii="Arial" w:cs="Arial" w:eastAsia="Arial" w:hAnsi="Arial"/>
                <w:sz w:val="18"/>
                <w:szCs w:val="18"/>
                <w:color w:val="auto"/>
              </w:rPr>
              <w:t>0.4%</w:t>
            </w:r>
          </w:p>
        </w:tc>
        <w:tc>
          <w:tcPr>
            <w:tcW w:w="6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Interest expense consists primarily of interest paid on debt and capital lease obligations. The increase in interest expense of $30.3 million in fiscal 2008 compared to fiscal 2007 was primarily due to the effects of a full</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332" w:lineRule="auto"/>
        <w:rPr>
          <w:sz w:val="20"/>
          <w:szCs w:val="20"/>
          <w:color w:val="auto"/>
        </w:rPr>
      </w:pPr>
      <w:r>
        <w:rPr>
          <w:rFonts w:ascii="Arial" w:cs="Arial" w:eastAsia="Arial" w:hAnsi="Arial"/>
          <w:sz w:val="16"/>
          <w:szCs w:val="16"/>
          <w:color w:val="auto"/>
        </w:rPr>
        <w:t>year of interest expense on a term loan obligation and supply agreement incurred in November 2006. See Note 8 — Term Loans for a further discussion on the term loan obligation and Note 2 — Business Combinations for more information on the supply agreement with Intel.</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2860" w:type="dxa"/>
            <w:vAlign w:val="bottom"/>
            <w:gridSpan w:val="5"/>
          </w:tcPr>
          <w:p>
            <w:pPr>
              <w:jc w:val="right"/>
              <w:ind w:right="1178"/>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2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398"/>
              <w:spacing w:after="0" w:line="129" w:lineRule="exact"/>
              <w:rPr>
                <w:sz w:val="20"/>
                <w:szCs w:val="20"/>
                <w:color w:val="auto"/>
              </w:rPr>
            </w:pPr>
            <w:r>
              <w:rPr>
                <w:rFonts w:ascii="Arial" w:cs="Arial" w:eastAsia="Arial" w:hAnsi="Arial"/>
                <w:sz w:val="14"/>
                <w:szCs w:val="14"/>
                <w:b w:val="1"/>
                <w:bCs w:val="1"/>
                <w:color w:val="auto"/>
                <w:w w:val="90"/>
              </w:rPr>
              <w:t>February 2,</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27,</w:t>
            </w:r>
          </w:p>
        </w:tc>
        <w:tc>
          <w:tcPr>
            <w:tcW w:w="74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2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2008</w:t>
            </w:r>
          </w:p>
        </w:tc>
        <w:tc>
          <w:tcPr>
            <w:tcW w:w="460" w:type="dxa"/>
            <w:vAlign w:val="bottom"/>
          </w:tcPr>
          <w:p>
            <w:pPr>
              <w:spacing w:after="0"/>
              <w:rPr>
                <w:sz w:val="14"/>
                <w:szCs w:val="14"/>
                <w:color w:val="auto"/>
              </w:rPr>
            </w:pPr>
          </w:p>
        </w:tc>
        <w:tc>
          <w:tcPr>
            <w:tcW w:w="980" w:type="dxa"/>
            <w:vAlign w:val="bottom"/>
            <w:gridSpan w:val="2"/>
          </w:tcPr>
          <w:p>
            <w:pPr>
              <w:jc w:val="center"/>
              <w:ind w:left="219"/>
              <w:spacing w:after="0"/>
              <w:rPr>
                <w:sz w:val="20"/>
                <w:szCs w:val="20"/>
                <w:color w:val="auto"/>
              </w:rPr>
            </w:pPr>
            <w:r>
              <w:rPr>
                <w:rFonts w:ascii="Arial" w:cs="Arial" w:eastAsia="Arial" w:hAnsi="Arial"/>
                <w:sz w:val="14"/>
                <w:szCs w:val="14"/>
                <w:b w:val="1"/>
                <w:bCs w:val="1"/>
                <w:color w:val="auto"/>
                <w:w w:val="89"/>
              </w:rPr>
              <w:t>2007</w:t>
            </w:r>
          </w:p>
        </w:tc>
        <w:tc>
          <w:tcPr>
            <w:tcW w:w="740" w:type="dxa"/>
            <w:vAlign w:val="bottom"/>
          </w:tcPr>
          <w:p>
            <w:pPr>
              <w:spacing w:after="0"/>
              <w:rPr>
                <w:sz w:val="14"/>
                <w:szCs w:val="14"/>
                <w:color w:val="auto"/>
              </w:rPr>
            </w:pPr>
          </w:p>
        </w:tc>
        <w:tc>
          <w:tcPr>
            <w:tcW w:w="8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2008</w:t>
            </w:r>
          </w:p>
        </w:tc>
        <w:tc>
          <w:tcPr>
            <w:tcW w:w="0" w:type="dxa"/>
            <w:vAlign w:val="bottom"/>
          </w:tcPr>
          <w:p>
            <w:pPr>
              <w:spacing w:after="0"/>
              <w:rPr>
                <w:sz w:val="1"/>
                <w:szCs w:val="1"/>
                <w:color w:val="auto"/>
              </w:rPr>
            </w:pPr>
          </w:p>
        </w:tc>
      </w:tr>
      <w:tr>
        <w:trPr>
          <w:trHeight w:val="142"/>
        </w:trPr>
        <w:tc>
          <w:tcPr>
            <w:tcW w:w="77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740" w:type="dxa"/>
            <w:vAlign w:val="bottom"/>
          </w:tcPr>
          <w:p>
            <w:pPr>
              <w:jc w:val="right"/>
              <w:ind w:right="7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140" w:type="dxa"/>
            <w:vAlign w:val="bottom"/>
            <w:gridSpan w:val="2"/>
            <w:shd w:val="clear" w:color="auto" w:fill="CCEEFF"/>
          </w:tcPr>
          <w:p>
            <w:pPr>
              <w:jc w:val="right"/>
              <w:ind w:right="338"/>
              <w:spacing w:after="0"/>
              <w:rPr>
                <w:sz w:val="20"/>
                <w:szCs w:val="20"/>
                <w:color w:val="auto"/>
              </w:rPr>
            </w:pPr>
            <w:r>
              <w:rPr>
                <w:rFonts w:ascii="Arial" w:cs="Arial" w:eastAsia="Arial" w:hAnsi="Arial"/>
                <w:sz w:val="18"/>
                <w:szCs w:val="18"/>
                <w:color w:val="auto"/>
                <w:w w:val="93"/>
              </w:rPr>
              <w:t>$  (3,561)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29,609</w:t>
            </w:r>
          </w:p>
        </w:tc>
        <w:tc>
          <w:tcPr>
            <w:tcW w:w="7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(112.0)%</w:t>
            </w:r>
          </w:p>
        </w:tc>
        <w:tc>
          <w:tcPr>
            <w:tcW w:w="0" w:type="dxa"/>
            <w:vAlign w:val="bottom"/>
          </w:tcPr>
          <w:p>
            <w:pPr>
              <w:spacing w:after="0"/>
              <w:rPr>
                <w:sz w:val="1"/>
                <w:szCs w:val="1"/>
                <w:color w:val="auto"/>
              </w:rPr>
            </w:pPr>
          </w:p>
        </w:tc>
      </w:tr>
      <w:tr>
        <w:trPr>
          <w:trHeight w:val="222"/>
        </w:trPr>
        <w:tc>
          <w:tcPr>
            <w:tcW w:w="7720" w:type="dxa"/>
            <w:vAlign w:val="bottom"/>
          </w:tcPr>
          <w:p>
            <w:pPr>
              <w:spacing w:after="0"/>
              <w:rPr>
                <w:sz w:val="20"/>
                <w:szCs w:val="20"/>
                <w:color w:val="auto"/>
              </w:rPr>
            </w:pPr>
            <w:r>
              <w:rPr>
                <w:rFonts w:ascii="Arial" w:cs="Arial" w:eastAsia="Arial" w:hAnsi="Arial"/>
                <w:sz w:val="18"/>
                <w:szCs w:val="18"/>
                <w:color w:val="auto"/>
              </w:rPr>
              <w:t>% of net revenue</w:t>
            </w:r>
          </w:p>
        </w:tc>
        <w:tc>
          <w:tcPr>
            <w:tcW w:w="1140" w:type="dxa"/>
            <w:vAlign w:val="bottom"/>
            <w:gridSpan w:val="2"/>
          </w:tcPr>
          <w:p>
            <w:pPr>
              <w:jc w:val="right"/>
              <w:ind w:right="238"/>
              <w:spacing w:after="0"/>
              <w:rPr>
                <w:sz w:val="20"/>
                <w:szCs w:val="20"/>
                <w:color w:val="auto"/>
              </w:rPr>
            </w:pPr>
            <w:r>
              <w:rPr>
                <w:rFonts w:ascii="Arial" w:cs="Arial" w:eastAsia="Arial" w:hAnsi="Arial"/>
                <w:sz w:val="18"/>
                <w:szCs w:val="18"/>
                <w:color w:val="auto"/>
              </w:rPr>
              <w:t>0.1%</w:t>
            </w:r>
          </w:p>
        </w:tc>
        <w:tc>
          <w:tcPr>
            <w:tcW w:w="1720" w:type="dxa"/>
            <w:vAlign w:val="bottom"/>
            <w:gridSpan w:val="3"/>
          </w:tcPr>
          <w:p>
            <w:pPr>
              <w:jc w:val="right"/>
              <w:ind w:right="538"/>
              <w:spacing w:after="0"/>
              <w:rPr>
                <w:sz w:val="20"/>
                <w:szCs w:val="20"/>
                <w:color w:val="auto"/>
              </w:rPr>
            </w:pPr>
            <w:r>
              <w:rPr>
                <w:rFonts w:ascii="Arial" w:cs="Arial" w:eastAsia="Arial" w:hAnsi="Arial"/>
                <w:sz w:val="18"/>
                <w:szCs w:val="18"/>
                <w:color w:val="auto"/>
              </w:rPr>
              <w:t>1.3%</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Our effective tax rate was (3.0)% for fiscal 2008 compared to 341.6% for fiscal 2007. The decrease in the fiscal 2008 effective tax rate compared to fiscal 2007 was primarily due to foreign subsidiary net operating losses which were made available by restructuring of certain foreign entities as well as a reduction in the unrecognized tax benefits due to closure of foreign audits and lapsing of statutes of limitations. We continued to incur significant non-tax deductible expenses such as stock-based compensation, acquisition related expenses and intangible amortization resulting in lower profit before tax in jurisdictions where we are not able to utilize the tax benefits. In addition, the tax benefits associated with our tax holidays vary year to year based on the relative profitability in Israel, Singapore and Switzerland.</w:t>
      </w:r>
    </w:p>
    <w:p>
      <w:pPr>
        <w:spacing w:after="0" w:line="144"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During fiscal 2008, our U.S. and one of our foreign subsidiaries underwent and completed corporate income tax audits of fiscal years 2004 through 2006 and fiscal years 2005 through 2007, respectively. The foreign audit closed with no material adverse impact on our financial statements, and the IRS completed its field work of the U.S. subsidiaries with no income tax adjustments. The report is under review by the IRS national office and we expect to receive a final determination within the next year. However, the payroll tax portion of the U.S. audit remains open with regard to stock-based compensation and related items.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Cumulative Effect of Change in Accounting Principle, net of Tax Effect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00" w:type="dxa"/>
            <w:vAlign w:val="bottom"/>
          </w:tcPr>
          <w:p>
            <w:pPr>
              <w:spacing w:after="0"/>
              <w:rPr>
                <w:sz w:val="14"/>
                <w:szCs w:val="14"/>
                <w:color w:val="auto"/>
              </w:rPr>
            </w:pPr>
          </w:p>
        </w:tc>
        <w:tc>
          <w:tcPr>
            <w:tcW w:w="2880" w:type="dxa"/>
            <w:vAlign w:val="bottom"/>
            <w:gridSpan w:val="4"/>
          </w:tcPr>
          <w:p>
            <w:pPr>
              <w:ind w:left="480"/>
              <w:spacing w:after="0"/>
              <w:rPr>
                <w:sz w:val="20"/>
                <w:szCs w:val="20"/>
                <w:color w:val="auto"/>
              </w:rPr>
            </w:pPr>
            <w:r>
              <w:rPr>
                <w:rFonts w:ascii="Arial" w:cs="Arial" w:eastAsia="Arial" w:hAnsi="Arial"/>
                <w:sz w:val="14"/>
                <w:szCs w:val="14"/>
                <w:b w:val="1"/>
                <w:bCs w:val="1"/>
                <w:color w:val="auto"/>
              </w:rPr>
              <w:t>Fiscal Years Ended</w:t>
            </w:r>
          </w:p>
        </w:tc>
        <w:tc>
          <w:tcPr>
            <w:tcW w:w="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70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27,</w:t>
            </w:r>
          </w:p>
        </w:tc>
        <w:tc>
          <w:tcPr>
            <w:tcW w:w="8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00" w:type="dxa"/>
            <w:vAlign w:val="bottom"/>
          </w:tcPr>
          <w:p>
            <w:pPr>
              <w:spacing w:after="0"/>
              <w:rPr>
                <w:sz w:val="14"/>
                <w:szCs w:val="14"/>
                <w:color w:val="auto"/>
              </w:rPr>
            </w:pPr>
          </w:p>
        </w:tc>
        <w:tc>
          <w:tcPr>
            <w:tcW w:w="680" w:type="dxa"/>
            <w:vAlign w:val="bottom"/>
            <w:tcBorders>
              <w:bottom w:val="single" w:sz="8" w:color="auto"/>
            </w:tcBorders>
          </w:tcPr>
          <w:p>
            <w:pPr>
              <w:jc w:val="right"/>
              <w:ind w:right="124"/>
              <w:spacing w:after="0"/>
              <w:rPr>
                <w:sz w:val="20"/>
                <w:szCs w:val="20"/>
                <w:color w:val="auto"/>
              </w:rPr>
            </w:pPr>
            <w:r>
              <w:rPr>
                <w:rFonts w:ascii="Arial" w:cs="Arial" w:eastAsia="Arial" w:hAnsi="Arial"/>
                <w:sz w:val="14"/>
                <w:szCs w:val="14"/>
                <w:b w:val="1"/>
                <w:bCs w:val="1"/>
                <w:color w:val="auto"/>
              </w:rPr>
              <w:t>2008</w:t>
            </w:r>
          </w:p>
        </w:tc>
        <w:tc>
          <w:tcPr>
            <w:tcW w:w="700" w:type="dxa"/>
            <w:vAlign w:val="bottom"/>
          </w:tcPr>
          <w:p>
            <w:pPr>
              <w:spacing w:after="0"/>
              <w:rPr>
                <w:sz w:val="14"/>
                <w:szCs w:val="14"/>
                <w:color w:val="auto"/>
              </w:rPr>
            </w:pPr>
          </w:p>
        </w:tc>
        <w:tc>
          <w:tcPr>
            <w:tcW w:w="68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2007</w:t>
            </w:r>
          </w:p>
        </w:tc>
        <w:tc>
          <w:tcPr>
            <w:tcW w:w="8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2008</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380" w:type="dxa"/>
            <w:vAlign w:val="bottom"/>
            <w:gridSpan w:val="2"/>
          </w:tcPr>
          <w:p>
            <w:pPr>
              <w:jc w:val="right"/>
              <w:ind w:right="12"/>
              <w:spacing w:after="0" w:line="142" w:lineRule="exact"/>
              <w:rPr>
                <w:sz w:val="20"/>
                <w:szCs w:val="20"/>
                <w:color w:val="auto"/>
              </w:rPr>
            </w:pPr>
            <w:r>
              <w:rPr>
                <w:rFonts w:ascii="Arial" w:cs="Arial" w:eastAsia="Arial" w:hAnsi="Arial"/>
                <w:sz w:val="14"/>
                <w:szCs w:val="14"/>
                <w:b w:val="1"/>
                <w:bCs w:val="1"/>
                <w:color w:val="auto"/>
                <w:w w:val="88"/>
              </w:rPr>
              <w:t>(in thousands, except</w:t>
            </w:r>
          </w:p>
        </w:tc>
        <w:tc>
          <w:tcPr>
            <w:tcW w:w="82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w w:val="75"/>
              </w:rPr>
              <w:t>percentages)</w:t>
            </w: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700" w:type="dxa"/>
            <w:vAlign w:val="bottom"/>
            <w:shd w:val="clear" w:color="auto" w:fill="CCEEFF"/>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8,846</w:t>
            </w:r>
          </w:p>
        </w:tc>
        <w:tc>
          <w:tcPr>
            <w:tcW w:w="8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22"/>
        </w:trPr>
        <w:tc>
          <w:tcPr>
            <w:tcW w:w="7700" w:type="dxa"/>
            <w:vAlign w:val="bottom"/>
          </w:tcPr>
          <w:p>
            <w:pPr>
              <w:spacing w:after="0"/>
              <w:rPr>
                <w:sz w:val="20"/>
                <w:szCs w:val="20"/>
                <w:color w:val="auto"/>
              </w:rPr>
            </w:pPr>
            <w:r>
              <w:rPr>
                <w:rFonts w:ascii="Arial" w:cs="Arial" w:eastAsia="Arial" w:hAnsi="Arial"/>
                <w:sz w:val="18"/>
                <w:szCs w:val="18"/>
                <w:color w:val="auto"/>
              </w:rPr>
              <w:t>% of net income</w:t>
            </w:r>
          </w:p>
        </w:tc>
        <w:tc>
          <w:tcPr>
            <w:tcW w:w="680" w:type="dxa"/>
            <w:vAlign w:val="bottom"/>
          </w:tcPr>
          <w:p>
            <w:pPr>
              <w:ind w:left="420"/>
              <w:spacing w:after="0"/>
              <w:rPr>
                <w:sz w:val="20"/>
                <w:szCs w:val="20"/>
                <w:color w:val="auto"/>
              </w:rPr>
            </w:pPr>
            <w:r>
              <w:rPr>
                <w:rFonts w:ascii="Arial" w:cs="Arial" w:eastAsia="Arial" w:hAnsi="Arial"/>
                <w:sz w:val="18"/>
                <w:szCs w:val="18"/>
                <w:color w:val="auto"/>
              </w:rPr>
              <w:t>—</w:t>
            </w:r>
          </w:p>
        </w:tc>
        <w:tc>
          <w:tcPr>
            <w:tcW w:w="2200" w:type="dxa"/>
            <w:vAlign w:val="bottom"/>
            <w:gridSpan w:val="3"/>
          </w:tcPr>
          <w:p>
            <w:pPr>
              <w:jc w:val="right"/>
              <w:ind w:right="612"/>
              <w:spacing w:after="0"/>
              <w:rPr>
                <w:sz w:val="20"/>
                <w:szCs w:val="20"/>
                <w:color w:val="auto"/>
              </w:rPr>
            </w:pPr>
            <w:r>
              <w:rPr>
                <w:rFonts w:ascii="Arial" w:cs="Arial" w:eastAsia="Arial" w:hAnsi="Arial"/>
                <w:sz w:val="18"/>
                <w:szCs w:val="18"/>
                <w:color w:val="auto"/>
              </w:rPr>
              <w:t>0.4%</w:t>
            </w: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SFAS 123R.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Our principal source of liquidity as of January 31, 2009 consisted of $951.9 million of cash, cash equivalents, and restricted cash. Since our inception, we have financed our operations through a combination of sales of equity securities, debt financing and cash generated by operations.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Net cash provided by operating activities was $680.7 million for fiscal 2009 compared to $177.4 million for fiscal 2008 and $337.3 million for fiscal 2007. The cash inflows from operations in fiscal 2009 were primarily due to net income of $147.2 million adjusted for non-cash items and changes in working capital. Non-cash</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459" w:right="2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charges in fiscal 2009 included $153.3 million related to amortization and write-off of purchased intangibles, $112.8 million of depreciation and amortization and $177.1 million of stock-based compensation.</w:t>
      </w:r>
    </w:p>
    <w:p>
      <w:pPr>
        <w:spacing w:after="0" w:line="132"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Significant working capital changes contributing to positive cash flows in fiscal 2009 included a decrease in inventories of $126.9 million primarily due to the completion of contractual obligations under the original supply agreement with Intel in connection with our acquisition of the ICAP Business as well as concentrated efforts to reduce inventory levels. The number of days in inventory increased at the end of fiscal 2009 to 112 days from 94 days at the end of fiscal 2008 due to the lower revenue levels at the end of the respective fiscal years. Also contributing to positive cash flow was a decrease in accounts receivable of $109.9 million due primarily to lower revenue recorded toward the end of the quarter as well as the timing of payments received from customers. Days sales outstanding, or DSO, increased to 39 days at the end of fiscal 2009 compared to 36 days at the end of fiscal 2008. Many of our larger customers have regularly scheduled payment dates that fall immediately before or after our fiscal quarter ends. As a result, our DSO may fluctuate depending on the timing of large payments made by our customers. Significant working capital changes offsetting positive cash flow in fiscal 2009 included a decrease in accounts payable of $88.8 million due to lower manufacturing volumes and overall activity at year end as we tried to control inventory levels due to lower revenue levels. Also contributing to the use of cash in operating activities was a decrease in accrued liabilities and other of $36.7 million. The decrease in other accrued liabilities and other was primarily attributable to the payment of accrued contingent consideration as certain milestones were met related to various acquisitions. Accrued employee compensation also decreased by $27.0 million due to lower bonus accruals for comparable periods.</w:t>
      </w:r>
    </w:p>
    <w:p>
      <w:pPr>
        <w:spacing w:after="0" w:line="12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Net cash provided by operating activities was $177.4 million for fiscal 2008 compared to $337.3 million for fiscal 2007 and $402.3 million for fiscal 2006. The cash inflows from operations in fiscal 2008 were primarily due to net loss adjusted for non-cash items and changes in working capital. Non-cash charges in fiscal 2007 included $155.7 million related to amortization of acquired intangible assets and other, $105.8 million of depreciation and amortization expense and $231.0 million of stock-based compensation. Offsetting positive non-cash charges was $109.3 million of fair market value adjustments to Intel inventory sold.</w:t>
      </w:r>
    </w:p>
    <w:p>
      <w:pPr>
        <w:spacing w:after="0" w:line="11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Significant working capital changes contributing to positive cash flows in fiscal 2008 included a decrease in prepaid expenses and other assets primarily due to the utilization of prepaid foundry capacity and prepaid wafers. Also contributing to positive cash flow was an increase in deferred income due to the increased levels of inventory at distributors due to the increase in revenue. Significant working capital changes offsetting positive cash flows in fiscal 2008 included an increase inventories of $202.3 million to support increased revenue levels and from purchases of inventory under the supply agreement for which we plan to sell over periods in excess of one year. The number of days in inventory increased at the end of fiscal 2008 to 94 days from 69 days at the end of fiscal 2007 due to the higher comparable inventory balance at the end of each respective fiscal year.</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During fiscal 2007, net cash provided by operating activities was $337.3 million for fiscal 2007 compared to $402.3 million for fiscal 2006 and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$221.5 million for fiscal 2005. The cash inflows from operations in fiscal 2007 were primarily the result of our generation of income during the period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changes in working capital. Non-cash charges in fiscal 2007 included $110.0 million related to amortization of acquired intangible assets and other, $77.2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depreciation and amortization expense, $192.1 million of stock-based compensation, and $77.8 million of acquired IPRD. Significant working capital changes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contributing to positive cash flows in fiscal 2007 included an increase of $43.9 million in accounts payable resulting primarily from amounts due to our suppliers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relating to increased inventory purchases during fiscal 2007 as well as higher overall spending activity related to our expanding operations, an increase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$33.5 million in accrued employee compensation resulting from the increase in number of employees and related benefit accruals, an increase of $30.2 million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income tax payable resulting from taxable income for fiscal 2007 and an increase of $16.7 million in deferred income resulting from an increase in the number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distributors as well as increased shipments of product to our distributors.</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60"/>
          </w:cols>
          <w:pgMar w:left="240" w:top="459" w:right="29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Significant working capital changes offsetting positive cash flows in fiscal 2007 included an increase in prepaid and other assets of $113.2 million due primarily to $68.2 million in payments in connection with a capacity reservation agreement with a foundry and a $19.3 million receivable from a foundry for reimbursements under a capacity reservation agreement. Also contributing to working capital changes offsetting positive cash flow in the fiscal 2007 was an increase in accounts receivable of $83.1 million primarily due to higher net revenue in fiscal 2007 as compared to fiscal 2006. Accounts receivable increased and the days sales outstanding, or DSO, metric, which is calculated on a quarterly basis, increased to 48 days at the end of fiscal 2007 as compared to 45 days at the end of fiscal 2006. Many of our larger customers have regularly scheduled payment dates with some of the dates falling immediately before or after our fiscal year-end. As a result, our accounts receivable balance and DSO may fluctuate depending on the timing of large payments by our customers. Accrued liabilities and other also increased by $22.8 million in fiscal 2007 due to higher accruals for legal fees, royalties, interest expense and an accrual for contingent acquisition payment.</w:t>
      </w:r>
    </w:p>
    <w:p>
      <w:pPr>
        <w:spacing w:after="0" w:line="120" w:lineRule="exact"/>
        <w:rPr>
          <w:sz w:val="20"/>
          <w:szCs w:val="20"/>
          <w:color w:val="auto"/>
        </w:rPr>
      </w:pPr>
    </w:p>
    <w:p>
      <w:pPr>
        <w:ind w:right="220" w:firstLine="456"/>
        <w:spacing w:after="0" w:line="289"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These considerations are balanced against risk of obsolescence or potentially excess inventory levels.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Net cash used in investing activities was $64.7 million for fiscal 2009 compared to net cash used in investing activities of $185.1 million for fiscal 2008</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and net cash used in investing activities of $544.7 million for fiscal 2007. The net cash used in investing activities in fiscal 2009 was primarily due to purchases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property and equipment of $73.2 million, purchases of short-term investments of $10.2 million, purchases of technology licenses of $5.2 million and cash paid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an acquisition of $5.3 million partially offset by sales and maturities of investments of $29.2 million. The net cash used in investing activities in fiscal 2008</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was primarily due to purchases of investments of $262.9 million and purchases of property and equipment of $113.5 million partially offset by sales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maturities of investments of $230.9 million. The net cash used in investing activities in fiscal 2007 was primarily due to cash paid for various acquisitions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$892.9 million, purchases of short-term investments of $266.9 million and purchases of property and equipment of $180.7 million, partially offset by the proceeds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from the sales and maturities of short-term investments of $812.8 million.</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Provided by Financing Activities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Net cash used in financing activities was $304.2 million for fiscal 2009 compared to net cash provided by financing activities of $55.4 million for fiscal 2008 and $427.0 million for fiscal 2007. In fiscal 2009, net cash used in financing activities was attributable to repayment of term loan obligations and capital leases of $397.2 million, which was partially offset by proceeds from the issuance of common shares under our stock option plans of $92.6 million. In fiscal 2008, net cash provided by financing activities was attributable to proceeds from the issuance of common shares under our stock option and employee stock purchase plans of $65.9 million partially offset by principal payments on term loan and capital lease obligations of $10.7 million. In fiscal 2007, net cash provided by financing activities was attributable to proceeds from a term loan of $400.0 million, proceeds from the issuance of common shares under our stock option and employee stock purchase plans of $45.6 million, partially offset by principal payments on capital lease obligations of $19.5 million.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20" w:firstLine="456"/>
        <w:spacing w:after="0" w:line="335" w:lineRule="auto"/>
        <w:rPr>
          <w:sz w:val="20"/>
          <w:szCs w:val="20"/>
          <w:color w:val="auto"/>
        </w:rPr>
      </w:pPr>
      <w:r>
        <w:rPr>
          <w:rFonts w:ascii="Arial" w:cs="Arial" w:eastAsia="Arial" w:hAnsi="Arial"/>
          <w:sz w:val="15"/>
          <w:szCs w:val="15"/>
          <w:color w:val="auto"/>
        </w:rPr>
        <w:t>In connection with the acquisition of the ICAP Business, we entered into a product supply agreement with Intel. We have met the contractual obligations under the original supply agreement. Although we have transitioned certain products to our fabrication partners, we continued to source certain legacy application processor cellular and handset inventory from Intel. As of January 31, 2009, we had no non-cancellable purchase orders outstanding under this arrangement.</w:t>
      </w:r>
    </w:p>
    <w:p>
      <w:pPr>
        <w:spacing w:after="0" w:line="8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Under our manufacturing relationships with all other foundries, cancellation of all outstanding purchase orders are allowed but require repayment of all expenses incurred through the date of cancellation. As of January 31, 2009, these foundries had incurred approximately $40.8 million of manufacturing expenses on our outstanding purchase orders.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February 2005 and as amended in March 2005, we entered into an agreement with a foundry to reserve and secure foundry fabrication capacity for a</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fixed number of wafers at agreed upon prices for a period of five and a half years beginning on October 1, 2005. In return, we agreed to pay the foundry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$174.2 million over a period of 18 months. The amendment extended the term of the agreement and the agreed upon pricing terms until December 31, 2015.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January 31, 2009, all payments (included in prepaid expenses and other current assets and other noncurrent assets) had been made and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$151.4 million of the prepayment had been utilized. At January 31, 2009, there were no outstanding commitments under the agreement.</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January 31, 2009, we had approximately $21.8 million of other outstanding non-cancelable purchase orders for capital purchase obligations.</w:t>
      </w:r>
    </w:p>
    <w:p>
      <w:pPr>
        <w:spacing w:after="0" w:line="194"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As a result of our facility move in February 2002, we subleased one of our facilities that had a non-cancellable lease. At the beginning of the term, actual sublease income approximated the estimated sublease income, but was less than our actual lease commitment, resulting in future negative cash flow over the remaining term of the sublease of approximately $2.0 million as of January 31, 2009. In the fourth quarter of fiscal 2009, we recorded an additional $0.9 million facility consolidation charge based on a change in the estimated sublease income that we expect to receive over the remaining term of the lease. As of January 31, 2009, cash payments of $12.5 million, net of sublease income, had been made in connection with this charge. Approximately $2.0 million was accrued for this facility consolidation charge as of January 31, 2009 of which $1.0 million is current and $1.0 million is long-term, payable through 2010.</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31, 2009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4"/>
          </w:tcPr>
          <w:p>
            <w:pPr>
              <w:ind w:left="40"/>
              <w:spacing w:after="0"/>
              <w:rPr>
                <w:sz w:val="20"/>
                <w:szCs w:val="20"/>
                <w:color w:val="auto"/>
              </w:rPr>
            </w:pPr>
            <w:r>
              <w:rPr>
                <w:rFonts w:ascii="Arial" w:cs="Arial" w:eastAsia="Arial" w:hAnsi="Arial"/>
                <w:sz w:val="14"/>
                <w:szCs w:val="14"/>
                <w:b w:val="1"/>
                <w:bCs w:val="1"/>
                <w:color w:val="auto"/>
                <w:w w:val="87"/>
              </w:rPr>
              <w:t>Payments Due by</w:t>
            </w: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r>
      <w:tr>
        <w:trPr>
          <w:trHeight w:val="142"/>
        </w:trPr>
        <w:tc>
          <w:tcPr>
            <w:tcW w:w="5000" w:type="dxa"/>
            <w:vAlign w:val="bottom"/>
          </w:tcPr>
          <w:p>
            <w:pPr>
              <w:spacing w:after="0"/>
              <w:rPr>
                <w:sz w:val="12"/>
                <w:szCs w:val="12"/>
                <w:color w:val="auto"/>
              </w:rPr>
            </w:pPr>
          </w:p>
        </w:tc>
        <w:tc>
          <w:tcPr>
            <w:tcW w:w="74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90"/>
              </w:rPr>
              <w:t>Fiscal 2010</w:t>
            </w:r>
          </w:p>
        </w:tc>
        <w:tc>
          <w:tcPr>
            <w:tcW w:w="220" w:type="dxa"/>
            <w:vAlign w:val="bottom"/>
          </w:tcPr>
          <w:p>
            <w:pPr>
              <w:spacing w:after="0"/>
              <w:rPr>
                <w:sz w:val="12"/>
                <w:szCs w:val="12"/>
                <w:color w:val="auto"/>
              </w:rPr>
            </w:pPr>
          </w:p>
        </w:tc>
        <w:tc>
          <w:tcPr>
            <w:tcW w:w="820" w:type="dxa"/>
            <w:vAlign w:val="bottom"/>
            <w:gridSpan w:val="3"/>
          </w:tcPr>
          <w:p>
            <w:pPr>
              <w:jc w:val="right"/>
              <w:ind w:right="140"/>
              <w:spacing w:after="0" w:line="142" w:lineRule="exact"/>
              <w:rPr>
                <w:sz w:val="20"/>
                <w:szCs w:val="20"/>
                <w:color w:val="auto"/>
              </w:rPr>
            </w:pPr>
            <w:r>
              <w:rPr>
                <w:rFonts w:ascii="Arial" w:cs="Arial" w:eastAsia="Arial" w:hAnsi="Arial"/>
                <w:sz w:val="14"/>
                <w:szCs w:val="14"/>
                <w:b w:val="1"/>
                <w:bCs w:val="1"/>
                <w:color w:val="auto"/>
                <w:w w:val="88"/>
              </w:rPr>
              <w:t>Fiscal 2011</w:t>
            </w:r>
          </w:p>
        </w:tc>
        <w:tc>
          <w:tcPr>
            <w:tcW w:w="100" w:type="dxa"/>
            <w:vAlign w:val="bottom"/>
          </w:tcPr>
          <w:p>
            <w:pPr>
              <w:spacing w:after="0"/>
              <w:rPr>
                <w:sz w:val="12"/>
                <w:szCs w:val="12"/>
                <w:color w:val="auto"/>
              </w:rPr>
            </w:pPr>
          </w:p>
        </w:tc>
        <w:tc>
          <w:tcPr>
            <w:tcW w:w="780" w:type="dxa"/>
            <w:vAlign w:val="bottom"/>
            <w:gridSpan w:val="3"/>
          </w:tcPr>
          <w:p>
            <w:pPr>
              <w:ind w:left="40"/>
              <w:spacing w:after="0" w:line="142" w:lineRule="exact"/>
              <w:rPr>
                <w:sz w:val="20"/>
                <w:szCs w:val="20"/>
                <w:color w:val="auto"/>
              </w:rPr>
            </w:pPr>
            <w:r>
              <w:rPr>
                <w:rFonts w:ascii="Arial" w:cs="Arial" w:eastAsia="Arial" w:hAnsi="Arial"/>
                <w:sz w:val="14"/>
                <w:szCs w:val="14"/>
                <w:b w:val="1"/>
                <w:bCs w:val="1"/>
                <w:color w:val="auto"/>
                <w:w w:val="96"/>
              </w:rPr>
              <w:t>Fiscal 2012</w:t>
            </w:r>
          </w:p>
        </w:tc>
        <w:tc>
          <w:tcPr>
            <w:tcW w:w="160" w:type="dxa"/>
            <w:vAlign w:val="bottom"/>
          </w:tcPr>
          <w:p>
            <w:pPr>
              <w:spacing w:after="0"/>
              <w:rPr>
                <w:sz w:val="12"/>
                <w:szCs w:val="12"/>
                <w:color w:val="auto"/>
              </w:rPr>
            </w:pPr>
          </w:p>
        </w:tc>
        <w:tc>
          <w:tcPr>
            <w:tcW w:w="920" w:type="dxa"/>
            <w:vAlign w:val="bottom"/>
            <w:gridSpan w:val="3"/>
          </w:tcPr>
          <w:p>
            <w:pPr>
              <w:ind w:left="40"/>
              <w:spacing w:after="0" w:line="142" w:lineRule="exact"/>
              <w:rPr>
                <w:sz w:val="20"/>
                <w:szCs w:val="20"/>
                <w:color w:val="auto"/>
              </w:rPr>
            </w:pPr>
            <w:r>
              <w:rPr>
                <w:rFonts w:ascii="Arial" w:cs="Arial" w:eastAsia="Arial" w:hAnsi="Arial"/>
                <w:sz w:val="14"/>
                <w:szCs w:val="14"/>
                <w:b w:val="1"/>
                <w:bCs w:val="1"/>
                <w:color w:val="auto"/>
              </w:rPr>
              <w:t>Fiscal 2013</w:t>
            </w:r>
          </w:p>
        </w:tc>
        <w:tc>
          <w:tcPr>
            <w:tcW w:w="960" w:type="dxa"/>
            <w:vAlign w:val="bottom"/>
            <w:gridSpan w:val="3"/>
          </w:tcPr>
          <w:p>
            <w:pPr>
              <w:jc w:val="right"/>
              <w:ind w:right="260"/>
              <w:spacing w:after="0" w:line="142" w:lineRule="exact"/>
              <w:rPr>
                <w:sz w:val="20"/>
                <w:szCs w:val="20"/>
                <w:color w:val="auto"/>
              </w:rPr>
            </w:pPr>
            <w:r>
              <w:rPr>
                <w:rFonts w:ascii="Arial" w:cs="Arial" w:eastAsia="Arial" w:hAnsi="Arial"/>
                <w:sz w:val="14"/>
                <w:szCs w:val="14"/>
                <w:b w:val="1"/>
                <w:bCs w:val="1"/>
                <w:color w:val="auto"/>
                <w:w w:val="90"/>
              </w:rPr>
              <w:t>Fiscal 2014</w:t>
            </w:r>
          </w:p>
        </w:tc>
        <w:tc>
          <w:tcPr>
            <w:tcW w:w="820" w:type="dxa"/>
            <w:vAlign w:val="bottom"/>
            <w:gridSpan w:val="3"/>
          </w:tcPr>
          <w:p>
            <w:pPr>
              <w:jc w:val="right"/>
              <w:ind w:right="140"/>
              <w:spacing w:after="0" w:line="142" w:lineRule="exact"/>
              <w:rPr>
                <w:sz w:val="20"/>
                <w:szCs w:val="20"/>
                <w:color w:val="auto"/>
              </w:rPr>
            </w:pPr>
            <w:r>
              <w:rPr>
                <w:rFonts w:ascii="Arial" w:cs="Arial" w:eastAsia="Arial" w:hAnsi="Arial"/>
                <w:sz w:val="14"/>
                <w:szCs w:val="14"/>
                <w:b w:val="1"/>
                <w:bCs w:val="1"/>
                <w:color w:val="auto"/>
                <w:w w:val="96"/>
              </w:rPr>
              <w:t>Thereafter</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jc w:val="right"/>
              <w:ind w:right="156"/>
              <w:spacing w:after="0" w:line="142" w:lineRule="exact"/>
              <w:rPr>
                <w:sz w:val="20"/>
                <w:szCs w:val="20"/>
                <w:color w:val="auto"/>
              </w:rPr>
            </w:pPr>
            <w:r>
              <w:rPr>
                <w:rFonts w:ascii="Arial" w:cs="Arial" w:eastAsia="Arial" w:hAnsi="Arial"/>
                <w:sz w:val="14"/>
                <w:szCs w:val="14"/>
                <w:b w:val="1"/>
                <w:bCs w:val="1"/>
                <w:color w:val="auto"/>
              </w:rPr>
              <w:t>Total</w:t>
            </w:r>
          </w:p>
        </w:tc>
        <w:tc>
          <w:tcPr>
            <w:tcW w:w="20" w:type="dxa"/>
            <w:vAlign w:val="bottom"/>
          </w:tcPr>
          <w:p>
            <w:pPr>
              <w:spacing w:after="0"/>
              <w:rPr>
                <w:sz w:val="12"/>
                <w:szCs w:val="12"/>
                <w:color w:val="auto"/>
              </w:rPr>
            </w:pPr>
          </w:p>
        </w:tc>
      </w:tr>
      <w:tr>
        <w:trPr>
          <w:trHeight w:val="210"/>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4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5000" w:type="dxa"/>
            <w:vAlign w:val="bottom"/>
          </w:tcPr>
          <w:p>
            <w:pPr>
              <w:ind w:left="440"/>
              <w:spacing w:after="0"/>
              <w:rPr>
                <w:sz w:val="20"/>
                <w:szCs w:val="20"/>
                <w:color w:val="auto"/>
              </w:rPr>
            </w:pPr>
            <w:r>
              <w:rPr>
                <w:rFonts w:ascii="Arial" w:cs="Arial" w:eastAsia="Arial" w:hAnsi="Arial"/>
                <w:sz w:val="18"/>
                <w:szCs w:val="18"/>
                <w:color w:val="auto"/>
              </w:rPr>
              <w:t>Operating leases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40,218</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30,825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19,671</w:t>
            </w:r>
          </w:p>
        </w:tc>
        <w:tc>
          <w:tcPr>
            <w:tcW w:w="32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13,007</w:t>
            </w:r>
          </w:p>
        </w:tc>
        <w:tc>
          <w:tcPr>
            <w:tcW w:w="220" w:type="dxa"/>
            <w:vAlign w:val="bottom"/>
          </w:tcPr>
          <w:p>
            <w:pPr>
              <w:spacing w:after="0"/>
              <w:rPr>
                <w:sz w:val="18"/>
                <w:szCs w:val="18"/>
                <w:color w:val="auto"/>
              </w:rPr>
            </w:pPr>
          </w:p>
        </w:tc>
        <w:tc>
          <w:tcPr>
            <w:tcW w:w="220" w:type="dxa"/>
            <w:vAlign w:val="bottom"/>
          </w:tcPr>
          <w:p>
            <w:pPr>
              <w:jc w:val="right"/>
              <w:ind w:right="39"/>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1,844</w:t>
            </w:r>
          </w:p>
        </w:tc>
        <w:tc>
          <w:tcPr>
            <w:tcW w:w="200" w:type="dxa"/>
            <w:vAlign w:val="bottom"/>
          </w:tcPr>
          <w:p>
            <w:pPr>
              <w:jc w:val="right"/>
              <w:ind w:right="19"/>
              <w:spacing w:after="0"/>
              <w:rPr>
                <w:sz w:val="20"/>
                <w:szCs w:val="20"/>
                <w:color w:val="auto"/>
              </w:rPr>
            </w:pPr>
            <w:r>
              <w:rPr>
                <w:rFonts w:ascii="Arial" w:cs="Arial" w:eastAsia="Arial" w:hAnsi="Arial"/>
                <w:sz w:val="18"/>
                <w:szCs w:val="18"/>
                <w:color w:val="auto"/>
                <w:w w:val="79"/>
              </w:rPr>
              <w:t>$</w:t>
            </w:r>
          </w:p>
        </w:tc>
        <w:tc>
          <w:tcPr>
            <w:tcW w:w="620" w:type="dxa"/>
            <w:vAlign w:val="bottom"/>
            <w:gridSpan w:val="2"/>
          </w:tcPr>
          <w:p>
            <w:pPr>
              <w:jc w:val="right"/>
              <w:ind w:right="100"/>
              <w:spacing w:after="0"/>
              <w:rPr>
                <w:sz w:val="20"/>
                <w:szCs w:val="20"/>
                <w:color w:val="auto"/>
              </w:rPr>
            </w:pPr>
            <w:r>
              <w:rPr>
                <w:rFonts w:ascii="Arial" w:cs="Arial" w:eastAsia="Arial" w:hAnsi="Arial"/>
                <w:sz w:val="18"/>
                <w:szCs w:val="18"/>
                <w:color w:val="auto"/>
              </w:rPr>
              <w:t>8,757</w:t>
            </w:r>
          </w:p>
        </w:tc>
        <w:tc>
          <w:tcPr>
            <w:tcW w:w="2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114,322</w:t>
            </w:r>
          </w:p>
        </w:tc>
        <w:tc>
          <w:tcPr>
            <w:tcW w:w="20" w:type="dxa"/>
            <w:vAlign w:val="bottom"/>
          </w:tcPr>
          <w:p>
            <w:pPr>
              <w:spacing w:after="0"/>
              <w:rPr>
                <w:sz w:val="18"/>
                <w:szCs w:val="18"/>
                <w:color w:val="auto"/>
              </w:rPr>
            </w:pPr>
          </w:p>
        </w:tc>
      </w:tr>
      <w:tr>
        <w:trPr>
          <w:trHeight w:val="216"/>
        </w:trPr>
        <w:tc>
          <w:tcPr>
            <w:tcW w:w="50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lease obligations</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2,084</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522</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4,690</w:t>
            </w:r>
          </w:p>
        </w:tc>
        <w:tc>
          <w:tcPr>
            <w:tcW w:w="20" w:type="dxa"/>
            <w:vAlign w:val="bottom"/>
          </w:tcPr>
          <w:p>
            <w:pPr>
              <w:spacing w:after="0"/>
              <w:rPr>
                <w:sz w:val="18"/>
                <w:szCs w:val="18"/>
                <w:color w:val="auto"/>
              </w:rPr>
            </w:pPr>
          </w:p>
        </w:tc>
      </w:tr>
      <w:tr>
        <w:trPr>
          <w:trHeight w:val="216"/>
        </w:trPr>
        <w:tc>
          <w:tcPr>
            <w:tcW w:w="5000" w:type="dxa"/>
            <w:vAlign w:val="bottom"/>
          </w:tcPr>
          <w:p>
            <w:pPr>
              <w:ind w:left="440"/>
              <w:spacing w:after="0"/>
              <w:rPr>
                <w:sz w:val="20"/>
                <w:szCs w:val="20"/>
                <w:color w:val="auto"/>
              </w:rPr>
            </w:pPr>
            <w:r>
              <w:rPr>
                <w:rFonts w:ascii="Arial" w:cs="Arial" w:eastAsia="Arial" w:hAnsi="Arial"/>
                <w:sz w:val="18"/>
                <w:szCs w:val="18"/>
                <w:color w:val="auto"/>
              </w:rPr>
              <w:t>Purchase commitments to foundries</w:t>
            </w: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40,786</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6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40,786</w:t>
            </w:r>
          </w:p>
        </w:tc>
        <w:tc>
          <w:tcPr>
            <w:tcW w:w="20" w:type="dxa"/>
            <w:vAlign w:val="bottom"/>
          </w:tcPr>
          <w:p>
            <w:pPr>
              <w:spacing w:after="0"/>
              <w:rPr>
                <w:sz w:val="18"/>
                <w:szCs w:val="18"/>
                <w:color w:val="auto"/>
              </w:rPr>
            </w:pPr>
          </w:p>
        </w:tc>
      </w:tr>
      <w:tr>
        <w:trPr>
          <w:trHeight w:val="216"/>
        </w:trPr>
        <w:tc>
          <w:tcPr>
            <w:tcW w:w="50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purchase obligations</w:t>
            </w:r>
          </w:p>
        </w:tc>
        <w:tc>
          <w:tcPr>
            <w:tcW w:w="14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21,828</w:t>
            </w:r>
          </w:p>
        </w:tc>
        <w:tc>
          <w:tcPr>
            <w:tcW w:w="2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21,828</w:t>
            </w:r>
          </w:p>
        </w:tc>
        <w:tc>
          <w:tcPr>
            <w:tcW w:w="20" w:type="dxa"/>
            <w:vAlign w:val="bottom"/>
          </w:tcPr>
          <w:p>
            <w:pPr>
              <w:spacing w:after="0"/>
              <w:rPr>
                <w:sz w:val="18"/>
                <w:szCs w:val="18"/>
                <w:color w:val="auto"/>
              </w:rPr>
            </w:pPr>
          </w:p>
        </w:tc>
      </w:tr>
      <w:tr>
        <w:trPr>
          <w:trHeight w:val="222"/>
        </w:trPr>
        <w:tc>
          <w:tcPr>
            <w:tcW w:w="500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104,916</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32,909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20,193</w:t>
            </w:r>
          </w:p>
        </w:tc>
        <w:tc>
          <w:tcPr>
            <w:tcW w:w="32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13,007</w:t>
            </w:r>
          </w:p>
        </w:tc>
        <w:tc>
          <w:tcPr>
            <w:tcW w:w="220" w:type="dxa"/>
            <w:vAlign w:val="bottom"/>
          </w:tcPr>
          <w:p>
            <w:pPr>
              <w:spacing w:after="0"/>
              <w:rPr>
                <w:sz w:val="19"/>
                <w:szCs w:val="19"/>
                <w:color w:val="auto"/>
              </w:rPr>
            </w:pPr>
          </w:p>
        </w:tc>
        <w:tc>
          <w:tcPr>
            <w:tcW w:w="220" w:type="dxa"/>
            <w:vAlign w:val="bottom"/>
          </w:tcPr>
          <w:p>
            <w:pPr>
              <w:jc w:val="right"/>
              <w:ind w:right="39"/>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1,844</w:t>
            </w:r>
          </w:p>
        </w:tc>
        <w:tc>
          <w:tcPr>
            <w:tcW w:w="200" w:type="dxa"/>
            <w:vAlign w:val="bottom"/>
          </w:tcPr>
          <w:p>
            <w:pPr>
              <w:jc w:val="right"/>
              <w:ind w:right="19"/>
              <w:spacing w:after="0"/>
              <w:rPr>
                <w:sz w:val="20"/>
                <w:szCs w:val="20"/>
                <w:color w:val="auto"/>
              </w:rPr>
            </w:pPr>
            <w:r>
              <w:rPr>
                <w:rFonts w:ascii="Arial" w:cs="Arial" w:eastAsia="Arial" w:hAnsi="Arial"/>
                <w:sz w:val="18"/>
                <w:szCs w:val="18"/>
                <w:color w:val="auto"/>
                <w:w w:val="79"/>
              </w:rPr>
              <w:t>$</w:t>
            </w:r>
          </w:p>
        </w:tc>
        <w:tc>
          <w:tcPr>
            <w:tcW w:w="620" w:type="dxa"/>
            <w:vAlign w:val="bottom"/>
            <w:gridSpan w:val="2"/>
          </w:tcPr>
          <w:p>
            <w:pPr>
              <w:jc w:val="right"/>
              <w:ind w:right="100"/>
              <w:spacing w:after="0"/>
              <w:rPr>
                <w:sz w:val="20"/>
                <w:szCs w:val="20"/>
                <w:color w:val="auto"/>
              </w:rPr>
            </w:pPr>
            <w:r>
              <w:rPr>
                <w:rFonts w:ascii="Arial" w:cs="Arial" w:eastAsia="Arial" w:hAnsi="Arial"/>
                <w:sz w:val="18"/>
                <w:szCs w:val="18"/>
                <w:color w:val="auto"/>
              </w:rPr>
              <w:t>8,757</w:t>
            </w:r>
          </w:p>
        </w:tc>
        <w:tc>
          <w:tcPr>
            <w:tcW w:w="2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w w:val="95"/>
              </w:rPr>
              <w:t>181,626</w:t>
            </w:r>
          </w:p>
        </w:tc>
      </w:tr>
      <w:tr>
        <w:trPr>
          <w:trHeight w:val="20"/>
        </w:trPr>
        <w:tc>
          <w:tcPr>
            <w:tcW w:w="50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operating lease commitments are lease payments for computer aided software license agreements and airplane lease commitments.</w:t>
      </w:r>
    </w:p>
    <w:p>
      <w:pPr>
        <w:spacing w:after="0" w:line="194"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In addition to the above commitments and contingencies, as of January 31, 2009, we had recorded $113.5 million of unrecognized tax benefits as liabilities in accordance with FIN 48. We also had recorded a</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spacing w:after="0" w:line="298" w:lineRule="auto"/>
        <w:rPr>
          <w:sz w:val="20"/>
          <w:szCs w:val="20"/>
          <w:color w:val="auto"/>
        </w:rPr>
      </w:pPr>
      <w:r>
        <w:rPr>
          <w:rFonts w:ascii="Arial" w:cs="Arial" w:eastAsia="Arial" w:hAnsi="Arial"/>
          <w:sz w:val="16"/>
          <w:szCs w:val="16"/>
          <w:color w:val="auto"/>
        </w:rPr>
        <w:t>liability for potential interest and penalties of $22.6 million and $10.8 million, respectively, as of January 31, 2009. During the next 12 months, we believe that audit resolutions and the expiration of statute of limitations could potentially reduce our unrecognized tax benefit by up to $34.8 million. However, this amount can change because we continue to have ongoing negotiations with various tax authorities throughout the year. At this time, we are unable to make a reasonably reliable estimate of the amount of payments in individual years beyond 12 months due to uncertainties in the timing of tax audit outcomes.</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or SPEs, which would have been established for the purpose of facilitating off-balance sheet arrangements or other contractually narrow or limited purposes. As of January 31, 2009, we were not involved in any unconsolidated SPE transactions.</w:t>
      </w:r>
    </w:p>
    <w:p>
      <w:pPr>
        <w:spacing w:after="0" w:line="143" w:lineRule="exact"/>
        <w:rPr>
          <w:sz w:val="20"/>
          <w:szCs w:val="20"/>
          <w:color w:val="auto"/>
        </w:rPr>
      </w:pPr>
    </w:p>
    <w:p>
      <w:pPr>
        <w:ind w:right="360" w:firstLine="456"/>
        <w:spacing w:after="0" w:line="314" w:lineRule="auto"/>
        <w:rPr>
          <w:sz w:val="20"/>
          <w:szCs w:val="20"/>
          <w:color w:val="auto"/>
        </w:rPr>
      </w:pPr>
      <w:r>
        <w:rPr>
          <w:rFonts w:ascii="Arial" w:cs="Arial" w:eastAsia="Arial" w:hAnsi="Arial"/>
          <w:sz w:val="15"/>
          <w:szCs w:val="15"/>
          <w:i w:val="1"/>
          <w:iCs w:val="1"/>
          <w:color w:val="auto"/>
        </w:rPr>
        <w:t xml:space="preserve">Prospective capital needs: </w:t>
      </w:r>
      <w:r>
        <w:rPr>
          <w:rFonts w:ascii="Arial" w:cs="Arial" w:eastAsia="Arial" w:hAnsi="Arial"/>
          <w:sz w:val="15"/>
          <w:szCs w:val="15"/>
          <w:color w:val="auto"/>
        </w:rPr>
        <w:t>We believe that our existing cash and cash equivalents, together with cash generated from operations and from exercise of</w:t>
      </w:r>
      <w:r>
        <w:rPr>
          <w:rFonts w:ascii="Arial" w:cs="Arial" w:eastAsia="Arial" w:hAnsi="Arial"/>
          <w:sz w:val="15"/>
          <w:szCs w:val="15"/>
          <w:i w:val="1"/>
          <w:iCs w:val="1"/>
          <w:color w:val="auto"/>
        </w:rPr>
        <w:t xml:space="preserve"> </w:t>
      </w:r>
      <w:r>
        <w:rPr>
          <w:rFonts w:ascii="Arial" w:cs="Arial" w:eastAsia="Arial" w:hAnsi="Arial"/>
          <w:sz w:val="15"/>
          <w:szCs w:val="15"/>
          <w:color w:val="auto"/>
        </w:rPr>
        <w:t>employee stock options and purchases under our employee stock purchase plan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w:t>
      </w:r>
    </w:p>
    <w:p>
      <w:pPr>
        <w:spacing w:after="0" w:line="105" w:lineRule="exact"/>
        <w:rPr>
          <w:sz w:val="20"/>
          <w:szCs w:val="20"/>
          <w:color w:val="auto"/>
        </w:rPr>
      </w:pPr>
    </w:p>
    <w:p>
      <w:pPr>
        <w:ind w:right="20" w:firstLine="456"/>
        <w:spacing w:after="0" w:line="314" w:lineRule="auto"/>
        <w:rPr>
          <w:sz w:val="20"/>
          <w:szCs w:val="20"/>
          <w:color w:val="auto"/>
        </w:rPr>
      </w:pPr>
      <w:r>
        <w:rPr>
          <w:rFonts w:ascii="Arial" w:cs="Arial" w:eastAsia="Arial" w:hAnsi="Arial"/>
          <w:sz w:val="15"/>
          <w:szCs w:val="15"/>
          <w:color w:val="auto"/>
        </w:rPr>
        <w:t>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December 2007, the FASB issued Statement of Financial Accounting Standards, or SFAS, No. 141 (revised 2007), “Business Combinations,” or SFAS 141R. The standard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IPRD, the accounting for acquisition-related restructuring cost accruals, the treatment of acquisition related transaction costs and the recognition of changes in the acquirer’s income tax valuation allowance. The adoption of SFAS 141R will change our accounting treatment for business combinations on a prospective basis beginning on February 1, 2009.</w:t>
      </w:r>
    </w:p>
    <w:p>
      <w:pPr>
        <w:spacing w:after="0" w:line="144"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In February 2008, the FASB issued FASB Staff Position, or FSP, No. FAS 157-2, “Effective Date of FASB Statement No. 157,” or FSP 157-2, to partially defer SFAS No. 157, “Fair Value Measurements,” or SFAS 157. FSP 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adoption of FSP 157-2 is effective for us beginning February 1, 2009. We are currently evaluating the impact of the adoption of FSP 157-2 and do not anticipate that FSP 157-2 will have a material impact on our financial position and results of operations.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March 2008, the FASB issued SFAS No. 161, “Disclosures about Derivative Instruments and Hedging Activities,” or SFAS 161. SFAS 161 amends and expands the disclosure requirements of SFAS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We will adopt SFAS 161 on February 1, 2009 and are currently evaluating the impact of adoption of SFAS 161 on our financial position and results of operations.</w:t>
      </w:r>
    </w:p>
    <w:p>
      <w:pPr>
        <w:spacing w:after="0" w:line="120"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In April 2008, the FASB issued FSP FAS 142-3, “Determination of Useful Life of Intangible Assets,” or FSP FAS 142-3. FSP FAS 142-3 amends the factors that should be considered in developing the renewal or extension assumptions used to determine the useful life of a recognized intangible asset under SFAS 142. FSP FAS 142-3 also requires expanded disclosure related to the determination of intangible asset useful lives. FSP FAS 142-3 is effective for fiscal years beginning after December 15, 2008. Earlier adoption is not permitted. We do not anticipate that FSP FAS 142-3 will have a significant impact on our financial position and results of operations.</w:t>
      </w:r>
    </w:p>
    <w:p>
      <w:pPr>
        <w:spacing w:after="0" w:line="14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May 2008, the FASB issued SFAS No. 162, “The Hierarchy of Generally Accepted Accounting Principles,” or SFAS 162. SFAS 162 identifies the sources of accounting principles and the framework for selecting the principles used in the preparation of financial statements of nongovernmental entities that are presented in conformity with generally accepted accounting principles. SFAS 162 became effective on November 13, 2008. The adoption of SFAS 162 during the fourth quarter of fiscal 2009 did not have an impact on our financial position and results of operations.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During fiscal 2009, 2008 and 2007, we incurred approximately none, $0.1 million and $1.0 million, respectively of expenses from an unrelated third party entity, ACM Aviation, Inc., or ACM Aviation, for charter aircraft services provided to MSI for Estopia Air LLC, or Estopia Air. The aircraft provided by ACM Aviation to us for such services was owned by Estopia Air. Our President and Chief Executive Officer, Dr. Sehat Sutardja, and our Vice President of Sales for Communications and Consumer Business of MSI, Weili Dai, through their control and ownership in Estopia Air, owned the aircraft provided by ACM Aviation. Dr. Sutardja and Weili Dai are husband and wife. Expenses were incurred for business travel use of the aircraft at a cost determined to be at fair market value. The charter aircraft was sold by Estopia Air in September 2007.</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On August 19, 2005, through our subsidiaries MSI and Marvell International Ltd., we entered into a License and Manufacturing Services Agreement with C2 Microsystems, Inc., or the C2Micro License Agreement. The C2Micro License Agreement has substantially similar terms as other license and manufacturing services agreements with other third parties for similar technology. We recognized $2.6 million of revenue under the C2Micro License Agreement during fiscal 2009. We recognized $1.3 million of revenue under the C2Micro License Agreement during fiscal 2008. We recognized $0.3 million and deferred $25,000 of revenue from the C2Micro License Agreement during fiscal 2007. As of January 31, 2009, we had a receivable of $1.4 million from C2 Microsystems, $0.7 million of which was reserved in the allowance for bad debts and doubtful accounts. Dr. Sehat Sutardja and Weili Dai, through their ownership and control of Estopia LLC, are indirect shareholders of C2 Microsystems. Kuo Wei (Herbert) Chang, a member of our Board of Directors, is a member of the board of directors of C2Micro and through his ownership, and control of C-Squared venture entities, is also an indirect shareholder of C2 Microsystems. Dr. Pantas Sutardja, our Vice President, Chief Technology Officer and Chief Research and Development Officer, is also a shareholder of C2 Microsystems.</w:t>
      </w:r>
    </w:p>
    <w:p>
      <w:pPr>
        <w:spacing w:after="0" w:line="120" w:lineRule="exact"/>
        <w:rPr>
          <w:sz w:val="20"/>
          <w:szCs w:val="20"/>
          <w:color w:val="auto"/>
        </w:rPr>
      </w:pPr>
    </w:p>
    <w:p>
      <w:pPr>
        <w:ind w:right="480" w:firstLine="456"/>
        <w:spacing w:after="0" w:line="332" w:lineRule="auto"/>
        <w:rPr>
          <w:sz w:val="20"/>
          <w:szCs w:val="20"/>
          <w:color w:val="auto"/>
        </w:rPr>
      </w:pPr>
      <w:r>
        <w:rPr>
          <w:rFonts w:ascii="Arial" w:cs="Arial" w:eastAsia="Arial" w:hAnsi="Arial"/>
          <w:sz w:val="16"/>
          <w:szCs w:val="16"/>
          <w:color w:val="auto"/>
        </w:rPr>
        <w:t>On January 8, 2007, through our subsidiary Marvell International Ltd., we entered into a Library/IP/Software Evaluation License Agreement, or the Evaluation License Agreement, with VeriSilicon Holdings Co., Ltd. The Evaluation License Agreement has no consideration. We incurred $0.2 million and</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8" w:lineRule="auto"/>
        <w:rPr>
          <w:sz w:val="20"/>
          <w:szCs w:val="20"/>
          <w:color w:val="auto"/>
        </w:rPr>
      </w:pPr>
      <w:r>
        <w:rPr>
          <w:rFonts w:ascii="Arial" w:cs="Arial" w:eastAsia="Arial" w:hAnsi="Arial"/>
          <w:sz w:val="16"/>
          <w:szCs w:val="16"/>
          <w:color w:val="auto"/>
        </w:rPr>
        <w:t>$0.3 million of royalty expense from VeriSilicon under a core license agreement assumed from our acquisition of the UTStarcom Business during fiscal 2009 and fiscal 2008, respectively. This core license agreement had been assumed by VeriSilicon after its acquisition of certain assets from LSI. In addition, we incurred none and $37,500 of maintenance expense from VeriSilicon during fiscal 2009 and fiscal 2008, respectively. Weili Dai’s brother (and Dr. Sehat Sutardja’s brother-in-law) is the Chairman, President and Chief Executive Officer of VeriSilicon. Ms. Dai is also a shareholder of VeriSilicon.</w:t>
      </w:r>
    </w:p>
    <w:p>
      <w:pPr>
        <w:spacing w:after="0" w:line="113"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On October 31, 2007, we entered into a License Agreement with Vivante Corporation, or the Vivante Agreement. The Vivante Agreement has substantially similar terms as other license agreements with other third parties for similar technology. We recorded $0.5 million of expense during fiscal 2008 in connection with the Vivante Agreement. On August 5, 2008, we entered into a Technology License Agreement with Vivante. This Technology License Agreement, as amended, also has substantially similar terms as we would expect to obtain for license agreements with other third parties for similar technology. On January 13, 2009, we entered into an agreement with Vivante to disclose certain cell libraries to Vivante at no additional cost. We recorded $2.0 million for the license fee and $0.2 million of maintenance during fiscal 2009 in connection with this Technology License Agreement.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2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September 28, 2007, through our subsidiary Marvell International Ltd., we entered into a Master Technology Agreement with Sonics, Inc., pursuant to which we have licensed technology from Sonics. The Master Technology Agreement has substantially similar terms as other license agreements with other third parties. We paid $0.1 million for maintenance during fiscal 2009 and $2.1 million under the Master Technology Agreement for the license and related maintenance during fiscal 2008. Kuo Wei (Herbert) Chang, member of our Board of Directors, and Mike Sophie, former member of our Board of Directors, both serve as members of the board of directors of Sonics and each has a direct and/or indirect ownership interest in the equity of Sonics.</w:t>
      </w:r>
    </w:p>
    <w:p>
      <w:pPr>
        <w:spacing w:after="0" w:line="2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w:t>
      </w:r>
      <w:r>
        <w:rPr>
          <w:rFonts w:ascii="Arial" w:cs="Arial" w:eastAsia="Arial" w:hAnsi="Arial"/>
          <w:sz w:val="16"/>
          <w:szCs w:val="16"/>
          <w:i w:val="1"/>
          <w:iCs w:val="1"/>
          <w:color w:val="auto"/>
        </w:rPr>
        <w:t xml:space="preserve"> </w:t>
      </w:r>
      <w:r>
        <w:rPr>
          <w:rFonts w:ascii="Arial" w:cs="Arial" w:eastAsia="Arial" w:hAnsi="Arial"/>
          <w:sz w:val="16"/>
          <w:szCs w:val="16"/>
          <w:color w:val="auto"/>
        </w:rPr>
        <w:t>from 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investments in a variety of fixed and variable rate securities including money market funds and securities guaranteed by the U.S. and sovereign governments. We also hold auction rate securities as long-term investments. In general, money market funds are not subject to market risk because the interest paid on such funds fluctuates with the prevailing interest rate. The following table presents the amounts of our cash equivalents and investments that are subject to market risk by range of expected maturity and weighted-average interest rates as of January 31, 2009 (in thousands). This table does not include money market funds because those funds are not subject to market risk.</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Expected Fiscal Year Maturity Date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8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380" w:type="dxa"/>
            <w:vAlign w:val="bottom"/>
          </w:tcPr>
          <w:p>
            <w:pPr>
              <w:jc w:val="right"/>
              <w:spacing w:after="0"/>
              <w:rPr>
                <w:sz w:val="20"/>
                <w:szCs w:val="20"/>
                <w:color w:val="auto"/>
              </w:rPr>
            </w:pPr>
            <w:r>
              <w:rPr>
                <w:rFonts w:ascii="Arial" w:cs="Arial" w:eastAsia="Arial" w:hAnsi="Arial"/>
                <w:sz w:val="14"/>
                <w:szCs w:val="14"/>
                <w:b w:val="1"/>
                <w:bCs w:val="1"/>
                <w:color w:val="auto"/>
                <w:w w:val="96"/>
              </w:rPr>
              <w:t>2010</w:t>
            </w:r>
          </w:p>
        </w:tc>
        <w:tc>
          <w:tcPr>
            <w:tcW w:w="200" w:type="dxa"/>
            <w:vAlign w:val="bottom"/>
          </w:tcPr>
          <w:p>
            <w:pPr>
              <w:spacing w:after="0"/>
              <w:rPr>
                <w:sz w:val="14"/>
                <w:szCs w:val="14"/>
                <w:color w:val="auto"/>
              </w:rPr>
            </w:pPr>
          </w:p>
        </w:tc>
        <w:tc>
          <w:tcPr>
            <w:tcW w:w="380" w:type="dxa"/>
            <w:vAlign w:val="bottom"/>
          </w:tcPr>
          <w:p>
            <w:pPr>
              <w:jc w:val="right"/>
              <w:spacing w:after="0"/>
              <w:rPr>
                <w:sz w:val="20"/>
                <w:szCs w:val="20"/>
                <w:color w:val="auto"/>
              </w:rPr>
            </w:pPr>
            <w:r>
              <w:rPr>
                <w:rFonts w:ascii="Arial" w:cs="Arial" w:eastAsia="Arial" w:hAnsi="Arial"/>
                <w:sz w:val="14"/>
                <w:szCs w:val="14"/>
                <w:b w:val="1"/>
                <w:bCs w:val="1"/>
                <w:color w:val="auto"/>
                <w:w w:val="96"/>
              </w:rPr>
              <w:t>2011</w:t>
            </w:r>
          </w:p>
        </w:tc>
        <w:tc>
          <w:tcPr>
            <w:tcW w:w="220" w:type="dxa"/>
            <w:vAlign w:val="bottom"/>
          </w:tcPr>
          <w:p>
            <w:pPr>
              <w:spacing w:after="0"/>
              <w:rPr>
                <w:sz w:val="14"/>
                <w:szCs w:val="14"/>
                <w:color w:val="auto"/>
              </w:rPr>
            </w:pPr>
          </w:p>
        </w:tc>
        <w:tc>
          <w:tcPr>
            <w:tcW w:w="980" w:type="dxa"/>
            <w:vAlign w:val="bottom"/>
            <w:gridSpan w:val="3"/>
          </w:tcPr>
          <w:p>
            <w:pPr>
              <w:jc w:val="right"/>
              <w:spacing w:after="0"/>
              <w:rPr>
                <w:sz w:val="20"/>
                <w:szCs w:val="20"/>
                <w:color w:val="auto"/>
              </w:rPr>
            </w:pPr>
            <w:r>
              <w:rPr>
                <w:rFonts w:ascii="Arial" w:cs="Arial" w:eastAsia="Arial" w:hAnsi="Arial"/>
                <w:sz w:val="14"/>
                <w:szCs w:val="14"/>
                <w:b w:val="1"/>
                <w:bCs w:val="1"/>
                <w:color w:val="auto"/>
                <w:w w:val="83"/>
              </w:rPr>
              <w:t>20122013</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93"/>
              </w:rPr>
              <w:t>Thereafter</w:t>
            </w:r>
          </w:p>
        </w:tc>
        <w:tc>
          <w:tcPr>
            <w:tcW w:w="120" w:type="dxa"/>
            <w:vAlign w:val="bottom"/>
          </w:tcPr>
          <w:p>
            <w:pPr>
              <w:spacing w:after="0"/>
              <w:rPr>
                <w:sz w:val="14"/>
                <w:szCs w:val="14"/>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Total</w:t>
            </w:r>
          </w:p>
        </w:tc>
        <w:tc>
          <w:tcPr>
            <w:tcW w:w="7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0"/>
        </w:trPr>
        <w:tc>
          <w:tcPr>
            <w:tcW w:w="358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Variable Rate</w:t>
            </w:r>
          </w:p>
        </w:tc>
        <w:tc>
          <w:tcPr>
            <w:tcW w:w="2120" w:type="dxa"/>
            <w:vAlign w:val="bottom"/>
            <w:shd w:val="clear" w:color="auto" w:fill="CCEEFF"/>
          </w:tcPr>
          <w:p>
            <w:pPr>
              <w:spacing w:after="0"/>
              <w:rPr>
                <w:sz w:val="18"/>
                <w:szCs w:val="18"/>
                <w:color w:val="auto"/>
              </w:rPr>
            </w:pPr>
          </w:p>
        </w:tc>
        <w:tc>
          <w:tcPr>
            <w:tcW w:w="3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w w:val="78"/>
              </w:rPr>
              <w:t>$ —</w:t>
            </w: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w:t>
            </w:r>
          </w:p>
        </w:tc>
        <w:tc>
          <w:tcPr>
            <w:tcW w:w="220" w:type="dxa"/>
            <w:vAlign w:val="bottom"/>
            <w:shd w:val="clear" w:color="auto" w:fill="CCEEFF"/>
          </w:tcPr>
          <w:p>
            <w:pPr>
              <w:spacing w:after="0"/>
              <w:rPr>
                <w:sz w:val="18"/>
                <w:szCs w:val="18"/>
                <w:color w:val="auto"/>
              </w:rPr>
            </w:pPr>
          </w:p>
        </w:tc>
        <w:tc>
          <w:tcPr>
            <w:tcW w:w="380" w:type="dxa"/>
            <w:vAlign w:val="bottom"/>
            <w:shd w:val="clear" w:color="auto" w:fill="CCEEFF"/>
          </w:tcPr>
          <w:p>
            <w:pPr>
              <w:jc w:val="right"/>
              <w:ind w:right="18"/>
              <w:spacing w:after="0"/>
              <w:rPr>
                <w:sz w:val="20"/>
                <w:szCs w:val="20"/>
                <w:color w:val="auto"/>
              </w:rPr>
            </w:pPr>
            <w:r>
              <w:rPr>
                <w:rFonts w:ascii="Arial" w:cs="Arial" w:eastAsia="Arial" w:hAnsi="Arial"/>
                <w:sz w:val="18"/>
                <w:szCs w:val="18"/>
                <w:color w:val="auto"/>
                <w:w w:val="84"/>
              </w:rPr>
              <w:t>$ —</w:t>
            </w:r>
          </w:p>
        </w:tc>
        <w:tc>
          <w:tcPr>
            <w:tcW w:w="60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 —</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11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$ 41,850</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$ 41,850</w:t>
            </w:r>
          </w:p>
        </w:tc>
        <w:tc>
          <w:tcPr>
            <w:tcW w:w="3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40,541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580" w:type="dxa"/>
            <w:vAlign w:val="bottom"/>
          </w:tcPr>
          <w:p>
            <w:pPr>
              <w:spacing w:after="0"/>
              <w:rPr>
                <w:sz w:val="20"/>
                <w:szCs w:val="20"/>
                <w:color w:val="auto"/>
              </w:rPr>
            </w:pPr>
            <w:r>
              <w:rPr>
                <w:rFonts w:ascii="Arial" w:cs="Arial" w:eastAsia="Arial" w:hAnsi="Arial"/>
                <w:sz w:val="18"/>
                <w:szCs w:val="18"/>
                <w:color w:val="auto"/>
              </w:rPr>
              <w:t>Average Interest Rate</w:t>
            </w:r>
          </w:p>
        </w:tc>
        <w:tc>
          <w:tcPr>
            <w:tcW w:w="2120" w:type="dxa"/>
            <w:vAlign w:val="bottom"/>
          </w:tcPr>
          <w:p>
            <w:pPr>
              <w:spacing w:after="0"/>
              <w:rPr>
                <w:sz w:val="19"/>
                <w:szCs w:val="19"/>
                <w:color w:val="auto"/>
              </w:rPr>
            </w:pPr>
          </w:p>
        </w:tc>
        <w:tc>
          <w:tcPr>
            <w:tcW w:w="38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80" w:type="dxa"/>
            <w:vAlign w:val="bottom"/>
          </w:tcPr>
          <w:p>
            <w:pPr>
              <w:jc w:val="right"/>
              <w:ind w:right="18"/>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120"/>
              <w:spacing w:after="0"/>
              <w:rPr>
                <w:sz w:val="20"/>
                <w:szCs w:val="20"/>
                <w:color w:val="auto"/>
              </w:rPr>
            </w:pPr>
            <w:r>
              <w:rPr>
                <w:rFonts w:ascii="Arial" w:cs="Arial" w:eastAsia="Arial" w:hAnsi="Arial"/>
                <w:sz w:val="18"/>
                <w:szCs w:val="18"/>
                <w:color w:val="auto"/>
              </w:rPr>
              <w:t>2.29%</w:t>
            </w: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2.29%</w:t>
            </w: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580" w:type="dxa"/>
            <w:vAlign w:val="bottom"/>
          </w:tcPr>
          <w:p>
            <w:pPr>
              <w:spacing w:after="0"/>
              <w:rPr>
                <w:sz w:val="24"/>
                <w:szCs w:val="24"/>
                <w:color w:val="auto"/>
              </w:rPr>
            </w:pPr>
          </w:p>
        </w:tc>
        <w:tc>
          <w:tcPr>
            <w:tcW w:w="2500" w:type="dxa"/>
            <w:vAlign w:val="bottom"/>
            <w:gridSpan w:val="2"/>
          </w:tcPr>
          <w:p>
            <w:pPr>
              <w:jc w:val="right"/>
              <w:ind w:right="199"/>
              <w:spacing w:after="0"/>
              <w:rPr>
                <w:sz w:val="20"/>
                <w:szCs w:val="20"/>
                <w:color w:val="auto"/>
              </w:rPr>
            </w:pPr>
            <w:r>
              <w:rPr>
                <w:rFonts w:ascii="Arial" w:cs="Arial" w:eastAsia="Arial" w:hAnsi="Arial"/>
                <w:sz w:val="18"/>
                <w:szCs w:val="18"/>
                <w:color w:val="auto"/>
              </w:rPr>
              <w:t>65</w:t>
            </w:r>
          </w:p>
        </w:tc>
        <w:tc>
          <w:tcPr>
            <w:tcW w:w="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86" w:lineRule="auto"/>
        <w:rPr>
          <w:sz w:val="20"/>
          <w:szCs w:val="20"/>
          <w:color w:val="auto"/>
        </w:rPr>
      </w:pPr>
      <w:r>
        <w:rPr>
          <w:rFonts w:ascii="Arial" w:cs="Arial" w:eastAsia="Arial" w:hAnsi="Arial"/>
          <w:sz w:val="16"/>
          <w:szCs w:val="16"/>
          <w:color w:val="auto"/>
        </w:rPr>
        <w:t>As of January 31, 2009, our investment portfolio included $41.9 million in par value of auction rate securities. Auction rate securities are usually found in the form of municipal bonds, preferred stock, pools of student loans or collateralized debt obligations with contractual maturities generally between 20 and</w:t>
      </w:r>
    </w:p>
    <w:p>
      <w:pPr>
        <w:spacing w:after="0" w:line="254" w:lineRule="auto"/>
        <w:rPr>
          <w:sz w:val="20"/>
          <w:szCs w:val="20"/>
          <w:color w:val="auto"/>
        </w:rPr>
      </w:pPr>
      <w:r>
        <w:rPr>
          <w:rFonts w:ascii="Arial" w:cs="Arial" w:eastAsia="Arial" w:hAnsi="Arial"/>
          <w:sz w:val="18"/>
          <w:szCs w:val="18"/>
          <w:color w:val="auto"/>
        </w:rPr>
        <w:t>30 years and whose interest rates are reset every seven to 35 days through an auction process. At the end of each reset period, investors can sell or continue to hold the securities at par. Our auction rate securities are all backed by student loans originated under the FFELP and are over-collateralized, insured and guaranteed by the DOE. All auction rate securities held by us are rated by the major independent rating agencies as either AAA or Aaa at the time of purchase and their current ratings are still within the guidelines of our investment policy.</w:t>
      </w:r>
    </w:p>
    <w:p>
      <w:pPr>
        <w:spacing w:after="0" w:line="144"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Due to the auction failures, the auction rate securities do not have a readily determinable market value. To estimate the fair value of the auction rate securities as of January 31, 2009, we used a discounted cash flow model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considering</w:t>
      </w:r>
    </w:p>
    <w:p>
      <w:pPr>
        <w:spacing w:after="0" w:line="2" w:lineRule="exact"/>
        <w:rPr>
          <w:sz w:val="20"/>
          <w:szCs w:val="20"/>
          <w:color w:val="auto"/>
        </w:rPr>
      </w:pPr>
    </w:p>
    <w:p>
      <w:pPr>
        <w:ind w:right="540"/>
        <w:spacing w:after="0" w:line="261" w:lineRule="auto"/>
        <w:rPr>
          <w:sz w:val="20"/>
          <w:szCs w:val="20"/>
          <w:color w:val="auto"/>
        </w:rPr>
      </w:pPr>
      <w:r>
        <w:rPr>
          <w:rFonts w:ascii="Arial" w:cs="Arial" w:eastAsia="Arial" w:hAnsi="Arial"/>
          <w:sz w:val="18"/>
          <w:szCs w:val="18"/>
          <w:color w:val="auto"/>
        </w:rPr>
        <w:t>the guarantees by the DOE of the underlying student loans, guarantees by other third parties, additional credit enhancements included in the securities, and the rate of return required by investors to own these securities in the current environment.</w:t>
      </w:r>
    </w:p>
    <w:p>
      <w:pPr>
        <w:spacing w:after="0" w:line="138"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 the fourth quarter of fiscal 2009, UBS, one of the brokers we purchased auction rate securities from, offered a settlement where UBS has the right to call and sell one of the auction securities we purchased from them at par value of $5 million at a future date. As a result of our participation in this settlement, we included the put option from the settlement in the long term investments and elected to apply SFAS 159 to measure the put option at fair value. We also elected to transfer this auction rate security to trading securities from available-for-securities pursuant to SFAS 115, as our intent is to exercise the put option at a future date.</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of January 31, 2009, the estimated fair values of the auction rate securities were $1.3 million less than their par value. Based primarily on our ability and intent to hold these securities until recovery and the extent of impairment, we concluded the decline in fair values was temporary and recorded the unrealized loss to accumulated other comprehensive income (loss), a component of shareholders’ equity as of January 31, 2009. We specifically noted that we had approximately 4.5% of our total cash invested in these auction rate securities, a balance of approximately $927.4 million in cash and cash equivalents other than auction rate securities and restricted cash and that we continue to generate positive cash flow on a quarterly basis.</w:t>
      </w:r>
    </w:p>
    <w:p>
      <w:pPr>
        <w:spacing w:after="0" w:line="1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January 31, 2009.</w:t>
      </w:r>
    </w:p>
    <w:p>
      <w:pPr>
        <w:spacing w:after="0" w:line="14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w:t>
      </w:r>
    </w:p>
    <w:p>
      <w:pPr>
        <w:spacing w:after="0" w:line="132"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 held companies for business and strategic purposes. These investments, which totaled</w:t>
      </w:r>
      <w:r>
        <w:rPr>
          <w:rFonts w:ascii="Arial" w:cs="Arial" w:eastAsia="Arial" w:hAnsi="Arial"/>
          <w:sz w:val="16"/>
          <w:szCs w:val="16"/>
          <w:i w:val="1"/>
          <w:iCs w:val="1"/>
          <w:color w:val="auto"/>
        </w:rPr>
        <w:t xml:space="preserve"> </w:t>
      </w:r>
      <w:r>
        <w:rPr>
          <w:rFonts w:ascii="Arial" w:cs="Arial" w:eastAsia="Arial" w:hAnsi="Arial"/>
          <w:sz w:val="16"/>
          <w:szCs w:val="16"/>
          <w:color w:val="auto"/>
        </w:rPr>
        <w:t>$7.1 million at January 31, 2009,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 than temporary.</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Foreign Currency Exchange Risk. </w:t>
      </w:r>
      <w:r>
        <w:rPr>
          <w:rFonts w:ascii="Arial" w:cs="Arial" w:eastAsia="Arial" w:hAnsi="Arial"/>
          <w:sz w:val="16"/>
          <w:szCs w:val="16"/>
          <w:color w:val="auto"/>
        </w:rPr>
        <w:t>Substantially all of our sales and the majority of our expenses to date have been denominated in United States dollars,</w:t>
      </w:r>
      <w:r>
        <w:rPr>
          <w:rFonts w:ascii="Arial" w:cs="Arial" w:eastAsia="Arial" w:hAnsi="Arial"/>
          <w:sz w:val="16"/>
          <w:szCs w:val="16"/>
          <w:i w:val="1"/>
          <w:iCs w:val="1"/>
          <w:color w:val="auto"/>
        </w:rPr>
        <w:t xml:space="preserve"> </w:t>
      </w:r>
      <w:r>
        <w:rPr>
          <w:rFonts w:ascii="Arial" w:cs="Arial" w:eastAsia="Arial" w:hAnsi="Arial"/>
          <w:sz w:val="16"/>
          <w:szCs w:val="16"/>
          <w:color w:val="auto"/>
        </w:rPr>
        <w:t>and, as a result, we have relatively limited exposure to foreign currency exchange risk. Since we operate in many countries throughout the world, we record potential tax liabilities and the related effects of foreign exchange fluctuations on those tax liabilities to other income and expense. Significant fluctuations in exchange rates in countries where we record tax liabilities or incur operating expenses in local currency could affect our business and operating results in the future.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0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300"/>
          </w:cols>
          <w:pgMar w:left="240" w:top="459" w:right="3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4160" w:type="dxa"/>
            <w:vAlign w:val="bottom"/>
            <w:gridSpan w:val="7"/>
          </w:tcPr>
          <w:p>
            <w:pPr>
              <w:ind w:left="260"/>
              <w:spacing w:after="0"/>
              <w:rPr>
                <w:sz w:val="20"/>
                <w:szCs w:val="20"/>
                <w:color w:val="auto"/>
              </w:rPr>
            </w:pPr>
            <w:r>
              <w:rPr>
                <w:rFonts w:ascii="Arial" w:cs="Arial" w:eastAsia="Arial" w:hAnsi="Arial"/>
                <w:sz w:val="18"/>
                <w:szCs w:val="18"/>
                <w:b w:val="1"/>
                <w:bCs w:val="1"/>
                <w:i w:val="1"/>
                <w:iCs w:val="1"/>
                <w:color w:val="auto"/>
                <w:w w:val="97"/>
              </w:rPr>
              <w:t>Financial Statements and Supplementary Data</w:t>
            </w:r>
          </w:p>
        </w:tc>
        <w:tc>
          <w:tcPr>
            <w:tcW w:w="6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500" w:type="dxa"/>
            <w:vAlign w:val="bottom"/>
            <w:gridSpan w:val="3"/>
          </w:tcPr>
          <w:p>
            <w:pPr>
              <w:jc w:val="center"/>
              <w:ind w:right="4940"/>
              <w:spacing w:after="0"/>
              <w:rPr>
                <w:sz w:val="20"/>
                <w:szCs w:val="20"/>
                <w:color w:val="auto"/>
              </w:rPr>
            </w:pPr>
            <w:r>
              <w:rPr>
                <w:rFonts w:ascii="Arial" w:cs="Arial" w:eastAsia="Arial" w:hAnsi="Arial"/>
                <w:sz w:val="18"/>
                <w:szCs w:val="18"/>
                <w:b w:val="1"/>
                <w:bCs w:val="1"/>
                <w:color w:val="auto"/>
              </w:rPr>
              <w:t>INDEX</w:t>
            </w:r>
          </w:p>
        </w:tc>
        <w:tc>
          <w:tcPr>
            <w:tcW w:w="0" w:type="dxa"/>
            <w:vAlign w:val="bottom"/>
          </w:tcPr>
          <w:p>
            <w:pPr>
              <w:spacing w:after="0"/>
              <w:rPr>
                <w:sz w:val="1"/>
                <w:szCs w:val="1"/>
                <w:color w:val="auto"/>
              </w:rPr>
            </w:pPr>
          </w:p>
        </w:tc>
      </w:tr>
      <w:tr>
        <w:trPr>
          <w:trHeight w:val="353"/>
        </w:trPr>
        <w:tc>
          <w:tcPr>
            <w:tcW w:w="4940" w:type="dxa"/>
            <w:vAlign w:val="bottom"/>
            <w:gridSpan w:val="8"/>
            <w:vMerge w:val="restart"/>
          </w:tcPr>
          <w:p>
            <w:pPr>
              <w:spacing w:after="0"/>
              <w:rPr>
                <w:rFonts w:ascii="Arial" w:cs="Arial" w:eastAsia="Arial" w:hAnsi="Arial"/>
                <w:sz w:val="18"/>
                <w:szCs w:val="18"/>
                <w:color w:val="0000EE"/>
              </w:rPr>
            </w:pPr>
            <w:hyperlink w:anchor="page70">
              <w:r>
                <w:rPr>
                  <w:rFonts w:ascii="Arial" w:cs="Arial" w:eastAsia="Arial" w:hAnsi="Arial"/>
                  <w:sz w:val="18"/>
                  <w:szCs w:val="18"/>
                  <w:color w:val="0000EE"/>
                </w:rPr>
                <w:t>Report of Independent Registered Public Accounting Firm</w:t>
              </w:r>
            </w:hyperlink>
          </w:p>
        </w:tc>
        <w:tc>
          <w:tcPr>
            <w:tcW w:w="6200" w:type="dxa"/>
            <w:vAlign w:val="bottom"/>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4940" w:type="dxa"/>
            <w:vAlign w:val="bottom"/>
            <w:gridSpan w:val="8"/>
            <w:vMerge w:val="continue"/>
          </w:tcPr>
          <w:p>
            <w:pPr>
              <w:spacing w:after="0"/>
              <w:rPr>
                <w:sz w:val="14"/>
                <w:szCs w:val="14"/>
                <w:color w:val="auto"/>
              </w:rPr>
            </w:pPr>
          </w:p>
        </w:tc>
        <w:tc>
          <w:tcPr>
            <w:tcW w:w="6200" w:type="dxa"/>
            <w:vAlign w:val="bottom"/>
          </w:tcPr>
          <w:p>
            <w:pPr>
              <w:spacing w:after="0"/>
              <w:rPr>
                <w:sz w:val="14"/>
                <w:szCs w:val="14"/>
                <w:color w:val="auto"/>
              </w:rPr>
            </w:pPr>
          </w:p>
        </w:tc>
        <w:tc>
          <w:tcPr>
            <w:tcW w:w="2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69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120" w:type="dxa"/>
            <w:vAlign w:val="bottom"/>
            <w:tcBorders>
              <w:top w:val="single" w:sz="8" w:color="0000EE"/>
            </w:tcBorders>
            <w:gridSpan w:val="7"/>
          </w:tcPr>
          <w:p>
            <w:pPr>
              <w:spacing w:after="0" w:line="196" w:lineRule="exact"/>
              <w:rPr>
                <w:rFonts w:ascii="Arial" w:cs="Arial" w:eastAsia="Arial" w:hAnsi="Arial"/>
                <w:sz w:val="18"/>
                <w:szCs w:val="18"/>
                <w:color w:val="0000EE"/>
              </w:rPr>
            </w:pPr>
            <w:hyperlink w:anchor="page71">
              <w:r>
                <w:rPr>
                  <w:rFonts w:ascii="Arial" w:cs="Arial" w:eastAsia="Arial" w:hAnsi="Arial"/>
                  <w:sz w:val="18"/>
                  <w:szCs w:val="18"/>
                  <w:color w:val="0000EE"/>
                </w:rPr>
                <w:t>Consolidated Balance Sheets</w:t>
              </w:r>
            </w:hyperlink>
          </w:p>
        </w:tc>
        <w:tc>
          <w:tcPr>
            <w:tcW w:w="820" w:type="dxa"/>
            <w:vAlign w:val="bottom"/>
          </w:tcPr>
          <w:p>
            <w:pPr>
              <w:spacing w:after="0"/>
              <w:rPr>
                <w:sz w:val="17"/>
                <w:szCs w:val="17"/>
                <w:color w:val="auto"/>
              </w:rPr>
            </w:pPr>
          </w:p>
        </w:tc>
        <w:tc>
          <w:tcPr>
            <w:tcW w:w="650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0"/>
        </w:trPr>
        <w:tc>
          <w:tcPr>
            <w:tcW w:w="2040" w:type="dxa"/>
            <w:vAlign w:val="bottom"/>
            <w:gridSpan w:val="2"/>
            <w:shd w:val="clear" w:color="auto" w:fill="0000EE"/>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65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760" w:type="dxa"/>
            <w:vAlign w:val="bottom"/>
            <w:tcBorders>
              <w:bottom w:val="single" w:sz="8" w:color="0000EE"/>
            </w:tcBorders>
            <w:gridSpan w:val="3"/>
          </w:tcPr>
          <w:p>
            <w:pPr>
              <w:spacing w:after="0" w:line="196" w:lineRule="exact"/>
              <w:rPr>
                <w:rFonts w:ascii="Arial" w:cs="Arial" w:eastAsia="Arial" w:hAnsi="Arial"/>
                <w:sz w:val="18"/>
                <w:szCs w:val="18"/>
                <w:color w:val="0000EE"/>
                <w:w w:val="87"/>
              </w:rPr>
            </w:pPr>
            <w:hyperlink w:anchor="page72">
              <w:r>
                <w:rPr>
                  <w:rFonts w:ascii="Arial" w:cs="Arial" w:eastAsia="Arial" w:hAnsi="Arial"/>
                  <w:sz w:val="18"/>
                  <w:szCs w:val="18"/>
                  <w:color w:val="0000EE"/>
                  <w:w w:val="87"/>
                </w:rPr>
                <w:t>Consolidated Statements of Operations</w:t>
              </w:r>
            </w:hyperlink>
          </w:p>
        </w:tc>
        <w:tc>
          <w:tcPr>
            <w:tcW w:w="2180" w:type="dxa"/>
            <w:vAlign w:val="bottom"/>
            <w:gridSpan w:val="5"/>
          </w:tcPr>
          <w:p>
            <w:pPr>
              <w:spacing w:after="0"/>
              <w:rPr>
                <w:sz w:val="17"/>
                <w:szCs w:val="17"/>
                <w:color w:val="auto"/>
              </w:rPr>
            </w:pPr>
          </w:p>
        </w:tc>
        <w:tc>
          <w:tcPr>
            <w:tcW w:w="650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196"/>
        </w:trPr>
        <w:tc>
          <w:tcPr>
            <w:tcW w:w="3480" w:type="dxa"/>
            <w:vAlign w:val="bottom"/>
            <w:tcBorders>
              <w:bottom w:val="single" w:sz="8" w:color="0000EE"/>
            </w:tcBorders>
            <w:gridSpan w:val="6"/>
          </w:tcPr>
          <w:p>
            <w:pPr>
              <w:spacing w:after="0" w:line="196" w:lineRule="exact"/>
              <w:rPr>
                <w:rFonts w:ascii="Arial" w:cs="Arial" w:eastAsia="Arial" w:hAnsi="Arial"/>
                <w:sz w:val="18"/>
                <w:szCs w:val="18"/>
                <w:color w:val="0000EE"/>
                <w:w w:val="88"/>
              </w:rPr>
            </w:pPr>
            <w:hyperlink w:anchor="page73">
              <w:r>
                <w:rPr>
                  <w:rFonts w:ascii="Arial" w:cs="Arial" w:eastAsia="Arial" w:hAnsi="Arial"/>
                  <w:sz w:val="18"/>
                  <w:szCs w:val="18"/>
                  <w:color w:val="0000EE"/>
                  <w:w w:val="88"/>
                </w:rPr>
                <w:t>Consolidated Statements of Shareholders’ Equity</w:t>
              </w:r>
            </w:hyperlink>
          </w:p>
        </w:tc>
        <w:tc>
          <w:tcPr>
            <w:tcW w:w="1460" w:type="dxa"/>
            <w:vAlign w:val="bottom"/>
            <w:gridSpan w:val="2"/>
          </w:tcPr>
          <w:p>
            <w:pPr>
              <w:spacing w:after="0"/>
              <w:rPr>
                <w:sz w:val="17"/>
                <w:szCs w:val="17"/>
                <w:color w:val="auto"/>
              </w:rPr>
            </w:pPr>
          </w:p>
        </w:tc>
        <w:tc>
          <w:tcPr>
            <w:tcW w:w="650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196"/>
        </w:trPr>
        <w:tc>
          <w:tcPr>
            <w:tcW w:w="4940" w:type="dxa"/>
            <w:vAlign w:val="bottom"/>
            <w:gridSpan w:val="8"/>
          </w:tcPr>
          <w:p>
            <w:pPr>
              <w:spacing w:after="0" w:line="196" w:lineRule="exact"/>
              <w:rPr>
                <w:rFonts w:ascii="Arial" w:cs="Arial" w:eastAsia="Arial" w:hAnsi="Arial"/>
                <w:sz w:val="18"/>
                <w:szCs w:val="18"/>
                <w:color w:val="0000EE"/>
              </w:rPr>
            </w:pPr>
            <w:hyperlink w:anchor="page74">
              <w:r>
                <w:rPr>
                  <w:rFonts w:ascii="Arial" w:cs="Arial" w:eastAsia="Arial" w:hAnsi="Arial"/>
                  <w:sz w:val="18"/>
                  <w:szCs w:val="18"/>
                  <w:color w:val="0000EE"/>
                </w:rPr>
                <w:t>Consolidated Statements of Cash Flows</w:t>
              </w:r>
            </w:hyperlink>
          </w:p>
        </w:tc>
        <w:tc>
          <w:tcPr>
            <w:tcW w:w="650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0"/>
        </w:trPr>
        <w:tc>
          <w:tcPr>
            <w:tcW w:w="2800" w:type="dxa"/>
            <w:vAlign w:val="bottom"/>
            <w:gridSpan w:val="4"/>
            <w:shd w:val="clear" w:color="auto" w:fill="0000EE"/>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60" w:type="dxa"/>
            <w:vAlign w:val="bottom"/>
            <w:gridSpan w:val="3"/>
          </w:tcPr>
          <w:p>
            <w:pPr>
              <w:spacing w:after="0" w:line="20" w:lineRule="exact"/>
              <w:rPr>
                <w:sz w:val="1"/>
                <w:szCs w:val="1"/>
                <w:color w:val="auto"/>
              </w:rPr>
            </w:pPr>
          </w:p>
        </w:tc>
        <w:tc>
          <w:tcPr>
            <w:tcW w:w="65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940" w:type="dxa"/>
            <w:vAlign w:val="bottom"/>
            <w:gridSpan w:val="8"/>
          </w:tcPr>
          <w:p>
            <w:pPr>
              <w:spacing w:after="0" w:line="196" w:lineRule="exact"/>
              <w:rPr>
                <w:rFonts w:ascii="Arial" w:cs="Arial" w:eastAsia="Arial" w:hAnsi="Arial"/>
                <w:sz w:val="18"/>
                <w:szCs w:val="18"/>
                <w:color w:val="0000EE"/>
              </w:rPr>
            </w:pPr>
            <w:hyperlink w:anchor="page75">
              <w:r>
                <w:rPr>
                  <w:rFonts w:ascii="Arial" w:cs="Arial" w:eastAsia="Arial" w:hAnsi="Arial"/>
                  <w:sz w:val="18"/>
                  <w:szCs w:val="18"/>
                  <w:color w:val="0000EE"/>
                </w:rPr>
                <w:t>Notes to Consolidated Financial Statements</w:t>
              </w:r>
            </w:hyperlink>
          </w:p>
        </w:tc>
        <w:tc>
          <w:tcPr>
            <w:tcW w:w="650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383"/>
        </w:trPr>
        <w:tc>
          <w:tcPr>
            <w:tcW w:w="780" w:type="dxa"/>
            <w:vAlign w:val="bottom"/>
            <w:tcBorders>
              <w:top w:val="single" w:sz="8" w:color="0000EE"/>
            </w:tcBorders>
          </w:tcPr>
          <w:p>
            <w:pPr>
              <w:spacing w:after="0"/>
              <w:rPr>
                <w:sz w:val="24"/>
                <w:szCs w:val="24"/>
                <w:color w:val="auto"/>
              </w:rPr>
            </w:pPr>
          </w:p>
        </w:tc>
        <w:tc>
          <w:tcPr>
            <w:tcW w:w="1260" w:type="dxa"/>
            <w:vAlign w:val="bottom"/>
            <w:tcBorders>
              <w:top w:val="single" w:sz="8" w:color="0000EE"/>
            </w:tcBorders>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200" w:type="dxa"/>
            <w:vAlign w:val="bottom"/>
          </w:tcPr>
          <w:p>
            <w:pPr>
              <w:jc w:val="right"/>
              <w:ind w:right="5252"/>
              <w:spacing w:after="0"/>
              <w:rPr>
                <w:sz w:val="20"/>
                <w:szCs w:val="20"/>
                <w:color w:val="auto"/>
              </w:rPr>
            </w:pPr>
            <w:r>
              <w:rPr>
                <w:rFonts w:ascii="Arial" w:cs="Arial" w:eastAsia="Arial" w:hAnsi="Arial"/>
                <w:sz w:val="18"/>
                <w:szCs w:val="18"/>
                <w:color w:val="auto"/>
              </w:rPr>
              <w:t>68</w:t>
            </w: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 xml:space="preserve">In our opinion, the accompanying consolidated balance sheets and the related consolidated statements of operations, of shareholders’ equity, and of cash flows, present fairly, in all material respects, the financial position of Marvell Technology Group Ltd. and its subsidiaries at January 31, 2009 and February 2, 2008, and the results of their operations and their cash flows for each of the three years in the period ended January 31, 2009 in conformity with accounting principles generally accepted in the United States of America. Also in our opinion, the Company maintained, in all material respects, effective internal control over financial reporting as of January 31, 2009,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Committee of Sponsoring Organizations of the Treadway Commission (COSO). The Company’s management is responsible for these financial statements, for maintaining effective internal control over financial reporting and for its assessment of the effectiveness of internal control over financial reporting, included in Management’s Report on Internal Control over Financial Reporting under Item 9A. Our responsibility is to express opinions on these financial statements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24"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As discussed in Note 9 to the consolidated financial statements, the Company changed the manner in which it accounts for share-based compensation in fiscal 2007.</w:t>
      </w:r>
    </w:p>
    <w:p>
      <w:pPr>
        <w:spacing w:after="0" w:line="132"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31, 2009</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00"/>
          </w:cols>
          <w:pgMar w:left="240" w:top="459" w:right="25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80" w:type="dxa"/>
            <w:vAlign w:val="bottom"/>
            <w:gridSpan w:val="3"/>
          </w:tcPr>
          <w:p>
            <w:pPr>
              <w:jc w:val="right"/>
              <w:ind w:right="252"/>
              <w:spacing w:after="0"/>
              <w:rPr>
                <w:sz w:val="20"/>
                <w:szCs w:val="20"/>
                <w:color w:val="auto"/>
              </w:rPr>
            </w:pPr>
            <w:r>
              <w:rPr>
                <w:rFonts w:ascii="Arial" w:cs="Arial" w:eastAsia="Arial" w:hAnsi="Arial"/>
                <w:sz w:val="14"/>
                <w:szCs w:val="14"/>
                <w:b w:val="1"/>
                <w:bCs w:val="1"/>
                <w:color w:val="auto"/>
                <w:w w:val="95"/>
              </w:rPr>
              <w:t>January 31,</w:t>
            </w:r>
          </w:p>
        </w:tc>
        <w:tc>
          <w:tcPr>
            <w:tcW w:w="160" w:type="dxa"/>
            <w:vAlign w:val="bottom"/>
          </w:tcPr>
          <w:p>
            <w:pPr>
              <w:spacing w:after="0"/>
              <w:rPr>
                <w:sz w:val="14"/>
                <w:szCs w:val="14"/>
                <w:color w:val="auto"/>
              </w:rPr>
            </w:pPr>
          </w:p>
        </w:tc>
        <w:tc>
          <w:tcPr>
            <w:tcW w:w="9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2008</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8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(In</w:t>
            </w:r>
          </w:p>
        </w:tc>
        <w:tc>
          <w:tcPr>
            <w:tcW w:w="1260" w:type="dxa"/>
            <w:vAlign w:val="bottom"/>
            <w:gridSpan w:val="4"/>
          </w:tcPr>
          <w:p>
            <w:pPr>
              <w:jc w:val="right"/>
              <w:ind w:right="553"/>
              <w:spacing w:after="0" w:line="129" w:lineRule="exact"/>
              <w:rPr>
                <w:sz w:val="20"/>
                <w:szCs w:val="20"/>
                <w:color w:val="auto"/>
              </w:rPr>
            </w:pPr>
            <w:r>
              <w:rPr>
                <w:rFonts w:ascii="Arial" w:cs="Arial" w:eastAsia="Arial" w:hAnsi="Arial"/>
                <w:sz w:val="14"/>
                <w:szCs w:val="14"/>
                <w:b w:val="1"/>
                <w:bCs w:val="1"/>
                <w:color w:val="auto"/>
                <w:w w:val="80"/>
              </w:rPr>
              <w:t>thousands,</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60" w:type="dxa"/>
            <w:vAlign w:val="bottom"/>
            <w:gridSpan w:val="6"/>
          </w:tcPr>
          <w:p>
            <w:pPr>
              <w:jc w:val="right"/>
              <w:ind w:right="640"/>
              <w:spacing w:after="0"/>
              <w:rPr>
                <w:sz w:val="20"/>
                <w:szCs w:val="20"/>
                <w:color w:val="auto"/>
              </w:rPr>
            </w:pPr>
            <w:r>
              <w:rPr>
                <w:rFonts w:ascii="Arial" w:cs="Arial" w:eastAsia="Arial" w:hAnsi="Arial"/>
                <w:sz w:val="14"/>
                <w:szCs w:val="14"/>
                <w:b w:val="1"/>
                <w:bCs w:val="1"/>
                <w:color w:val="auto"/>
              </w:rPr>
              <w:t>except par value)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700"/>
              <w:spacing w:after="0"/>
              <w:rPr>
                <w:sz w:val="20"/>
                <w:szCs w:val="20"/>
                <w:color w:val="auto"/>
              </w:rPr>
            </w:pPr>
            <w:r>
              <w:rPr>
                <w:rFonts w:ascii="Arial" w:cs="Arial" w:eastAsia="Arial" w:hAnsi="Arial"/>
                <w:sz w:val="18"/>
                <w:szCs w:val="18"/>
                <w:b w:val="1"/>
                <w:bCs w:val="1"/>
                <w:color w:val="auto"/>
              </w:rPr>
              <w:t>ASSETS</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spacing w:after="0"/>
              <w:rPr>
                <w:sz w:val="20"/>
                <w:szCs w:val="20"/>
                <w:color w:val="auto"/>
              </w:rPr>
            </w:pPr>
            <w:r>
              <w:rPr>
                <w:rFonts w:ascii="Arial" w:cs="Arial" w:eastAsia="Arial" w:hAnsi="Arial"/>
                <w:sz w:val="18"/>
                <w:szCs w:val="18"/>
                <w:color w:val="auto"/>
              </w:rPr>
              <w:t>Current assets: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and cash equivalents</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927,409</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615,648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Restricted cash</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24,500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Short-term investments</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15,254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Accounts receivable, net of allowances of $3,206 and $4,277</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222,101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332,020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310,654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419,494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61,268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105,809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taxes</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14,383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15,516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860" w:type="dxa"/>
            <w:vAlign w:val="bottom"/>
            <w:vMerge w:val="restart"/>
          </w:tcPr>
          <w:p>
            <w:pPr>
              <w:ind w:left="860"/>
              <w:spacing w:after="0"/>
              <w:rPr>
                <w:sz w:val="20"/>
                <w:szCs w:val="20"/>
                <w:color w:val="auto"/>
              </w:rPr>
            </w:pPr>
            <w:r>
              <w:rPr>
                <w:rFonts w:ascii="Arial" w:cs="Arial" w:eastAsia="Arial" w:hAnsi="Arial"/>
                <w:sz w:val="18"/>
                <w:szCs w:val="18"/>
                <w:color w:val="auto"/>
              </w:rPr>
              <w:t>Total current assets</w:t>
            </w:r>
          </w:p>
        </w:tc>
        <w:tc>
          <w:tcPr>
            <w:tcW w:w="3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8860" w:type="dxa"/>
            <w:vAlign w:val="bottom"/>
            <w:vMerge w:val="continue"/>
          </w:tcPr>
          <w:p>
            <w:pPr>
              <w:spacing w:after="0"/>
              <w:rPr>
                <w:sz w:val="19"/>
                <w:szCs w:val="19"/>
                <w:color w:val="auto"/>
              </w:rPr>
            </w:pPr>
          </w:p>
        </w:tc>
        <w:tc>
          <w:tcPr>
            <w:tcW w:w="3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w w:val="87"/>
              </w:rPr>
              <w:t>1,560,315</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w w:val="89"/>
              </w:rPr>
              <w:t>1,503,741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390,853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416,241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spacing w:after="0"/>
              <w:rPr>
                <w:sz w:val="20"/>
                <w:szCs w:val="20"/>
                <w:color w:val="auto"/>
              </w:rPr>
            </w:pPr>
            <w:r>
              <w:rPr>
                <w:rFonts w:ascii="Arial" w:cs="Arial" w:eastAsia="Arial" w:hAnsi="Arial"/>
                <w:sz w:val="18"/>
                <w:szCs w:val="18"/>
                <w:color w:val="auto"/>
              </w:rPr>
              <w:t>Long-term investments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40,541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45,628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w w:val="87"/>
              </w:rPr>
              <w:t>1,997,630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9"/>
              </w:rPr>
              <w:t>1,994,068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286,534</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433,809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138,327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157,107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860" w:type="dxa"/>
            <w:vAlign w:val="bottom"/>
            <w:vMerge w:val="restart"/>
          </w:tcPr>
          <w:p>
            <w:pPr>
              <w:ind w:left="860"/>
              <w:spacing w:after="0"/>
              <w:rPr>
                <w:sz w:val="20"/>
                <w:szCs w:val="20"/>
                <w:color w:val="auto"/>
              </w:rPr>
            </w:pPr>
            <w:r>
              <w:rPr>
                <w:rFonts w:ascii="Arial" w:cs="Arial" w:eastAsia="Arial" w:hAnsi="Arial"/>
                <w:sz w:val="18"/>
                <w:szCs w:val="18"/>
                <w:color w:val="auto"/>
              </w:rPr>
              <w:t>Total assets</w:t>
            </w:r>
          </w:p>
        </w:tc>
        <w:tc>
          <w:tcPr>
            <w:tcW w:w="3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8860" w:type="dxa"/>
            <w:vAlign w:val="bottom"/>
            <w:vMerge w:val="continue"/>
          </w:tcPr>
          <w:p>
            <w:pPr>
              <w:spacing w:after="0"/>
              <w:rPr>
                <w:sz w:val="19"/>
                <w:szCs w:val="19"/>
                <w:color w:val="auto"/>
              </w:rPr>
            </w:pPr>
          </w:p>
        </w:tc>
        <w:tc>
          <w:tcPr>
            <w:tcW w:w="36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w w:val="87"/>
              </w:rPr>
              <w:t>4,414,200</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w w:val="89"/>
              </w:rPr>
              <w:t>4,550,594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8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860" w:type="dxa"/>
            <w:vAlign w:val="bottom"/>
            <w:shd w:val="clear" w:color="auto" w:fill="CCEEFF"/>
          </w:tcPr>
          <w:p>
            <w:pPr>
              <w:ind w:left="2540"/>
              <w:spacing w:after="0"/>
              <w:rPr>
                <w:sz w:val="20"/>
                <w:szCs w:val="20"/>
                <w:color w:val="auto"/>
              </w:rPr>
            </w:pPr>
            <w:r>
              <w:rPr>
                <w:rFonts w:ascii="Arial" w:cs="Arial" w:eastAsia="Arial" w:hAnsi="Arial"/>
                <w:sz w:val="18"/>
                <w:szCs w:val="18"/>
                <w:b w:val="1"/>
                <w:bCs w:val="1"/>
                <w:color w:val="auto"/>
              </w:rPr>
              <w:t>LIABILITIES AND SHAREHOLDERS’ EQUITY</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spacing w:after="0"/>
              <w:rPr>
                <w:sz w:val="20"/>
                <w:szCs w:val="20"/>
                <w:color w:val="auto"/>
              </w:rPr>
            </w:pPr>
            <w:r>
              <w:rPr>
                <w:rFonts w:ascii="Arial" w:cs="Arial" w:eastAsia="Arial" w:hAnsi="Arial"/>
                <w:sz w:val="18"/>
                <w:szCs w:val="18"/>
                <w:color w:val="auto"/>
              </w:rPr>
              <w:t>Current liabilities: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139,028</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231,135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83,113</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122,961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Accrued employee compensation</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92,022</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118,101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Income taxes payable</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35,803</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39,132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57,895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69,420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1,787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2,463</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8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liabilities</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409,648</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583,212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Capital lease obligations, net of current portion</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2,451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4,238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Non-current income taxes payable</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123,379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108,543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Term loan obligations, long-term</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52"/>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390,750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long-term liabilities</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49,655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52,332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860" w:type="dxa"/>
            <w:vAlign w:val="bottom"/>
            <w:vMerge w:val="restart"/>
          </w:tcPr>
          <w:p>
            <w:pPr>
              <w:ind w:left="860"/>
              <w:spacing w:after="0"/>
              <w:rPr>
                <w:sz w:val="20"/>
                <w:szCs w:val="20"/>
                <w:color w:val="auto"/>
              </w:rPr>
            </w:pPr>
            <w:r>
              <w:rPr>
                <w:rFonts w:ascii="Arial" w:cs="Arial" w:eastAsia="Arial" w:hAnsi="Arial"/>
                <w:sz w:val="18"/>
                <w:szCs w:val="18"/>
                <w:color w:val="auto"/>
              </w:rPr>
              <w:t>Total liabilities</w:t>
            </w:r>
          </w:p>
        </w:tc>
        <w:tc>
          <w:tcPr>
            <w:tcW w:w="3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8860" w:type="dxa"/>
            <w:vAlign w:val="bottom"/>
            <w:vMerge w:val="continue"/>
          </w:tcPr>
          <w:p>
            <w:pPr>
              <w:spacing w:after="0"/>
              <w:rPr>
                <w:sz w:val="20"/>
                <w:szCs w:val="20"/>
                <w:color w:val="auto"/>
              </w:rPr>
            </w:pPr>
          </w:p>
        </w:tc>
        <w:tc>
          <w:tcPr>
            <w:tcW w:w="3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585,133</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w w:val="89"/>
              </w:rPr>
              <w:t>1,139,075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Commitments and contingencies (Note 12)</w:t>
            </w:r>
          </w:p>
        </w:tc>
        <w:tc>
          <w:tcPr>
            <w:tcW w:w="36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spacing w:after="0"/>
              <w:rPr>
                <w:sz w:val="20"/>
                <w:szCs w:val="20"/>
                <w:color w:val="auto"/>
              </w:rPr>
            </w:pPr>
            <w:r>
              <w:rPr>
                <w:rFonts w:ascii="Arial" w:cs="Arial" w:eastAsia="Arial" w:hAnsi="Arial"/>
                <w:sz w:val="18"/>
                <w:szCs w:val="18"/>
                <w:color w:val="auto"/>
              </w:rPr>
              <w:t>Shareholders’ equity:</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Preferred shares, $0.002 par value; 8,000 shares authorized; no shares issued and outstanding</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w w:val="90"/>
              </w:rPr>
              <w:t>Common shares, $0.002 par value; 992,000 shares authorized; 616,388 and 599,971 shares issued and outstanding,</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860" w:type="dxa"/>
            <w:vAlign w:val="bottom"/>
          </w:tcPr>
          <w:p>
            <w:pPr>
              <w:ind w:left="640"/>
              <w:spacing w:after="0"/>
              <w:rPr>
                <w:sz w:val="20"/>
                <w:szCs w:val="20"/>
                <w:color w:val="auto"/>
              </w:rPr>
            </w:pPr>
            <w:r>
              <w:rPr>
                <w:rFonts w:ascii="Arial" w:cs="Arial" w:eastAsia="Arial" w:hAnsi="Arial"/>
                <w:sz w:val="18"/>
                <w:szCs w:val="18"/>
                <w:color w:val="auto"/>
              </w:rPr>
              <w:t>respectively</w:t>
            </w:r>
          </w:p>
        </w:tc>
        <w:tc>
          <w:tcPr>
            <w:tcW w:w="3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rPr>
              <w:t>1,233</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1,200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w w:val="87"/>
              </w:rPr>
              <w:t>4,372,265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9"/>
              </w:rPr>
              <w:t>4,100,659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12"/>
              <w:spacing w:after="0"/>
              <w:rPr>
                <w:sz w:val="20"/>
                <w:szCs w:val="20"/>
                <w:color w:val="auto"/>
              </w:rPr>
            </w:pPr>
            <w:r>
              <w:rPr>
                <w:rFonts w:ascii="Arial" w:cs="Arial" w:eastAsia="Arial" w:hAnsi="Arial"/>
                <w:sz w:val="18"/>
                <w:szCs w:val="18"/>
                <w:color w:val="auto"/>
              </w:rPr>
              <w:t>(718)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615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Accumulated deficit</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98"/>
              </w:rPr>
              <w:t>(543,713)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(690,955)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860" w:type="dxa"/>
            <w:vAlign w:val="bottom"/>
            <w:vMerge w:val="restart"/>
          </w:tcPr>
          <w:p>
            <w:pPr>
              <w:ind w:left="860"/>
              <w:spacing w:after="0"/>
              <w:rPr>
                <w:sz w:val="20"/>
                <w:szCs w:val="20"/>
                <w:color w:val="auto"/>
              </w:rPr>
            </w:pPr>
            <w:r>
              <w:rPr>
                <w:rFonts w:ascii="Arial" w:cs="Arial" w:eastAsia="Arial" w:hAnsi="Arial"/>
                <w:sz w:val="18"/>
                <w:szCs w:val="18"/>
                <w:color w:val="auto"/>
              </w:rPr>
              <w:t>Total shareholders’ equity</w:t>
            </w:r>
          </w:p>
        </w:tc>
        <w:tc>
          <w:tcPr>
            <w:tcW w:w="3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8860" w:type="dxa"/>
            <w:vAlign w:val="bottom"/>
            <w:vMerge w:val="continue"/>
          </w:tcPr>
          <w:p>
            <w:pPr>
              <w:spacing w:after="0"/>
              <w:rPr>
                <w:sz w:val="19"/>
                <w:szCs w:val="19"/>
                <w:color w:val="auto"/>
              </w:rPr>
            </w:pPr>
          </w:p>
        </w:tc>
        <w:tc>
          <w:tcPr>
            <w:tcW w:w="3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60" w:type="dxa"/>
            <w:vAlign w:val="bottom"/>
            <w:gridSpan w:val="2"/>
          </w:tcPr>
          <w:p>
            <w:pPr>
              <w:jc w:val="right"/>
              <w:ind w:right="172"/>
              <w:spacing w:after="0"/>
              <w:rPr>
                <w:sz w:val="20"/>
                <w:szCs w:val="20"/>
                <w:color w:val="auto"/>
              </w:rPr>
            </w:pPr>
            <w:r>
              <w:rPr>
                <w:rFonts w:ascii="Arial" w:cs="Arial" w:eastAsia="Arial" w:hAnsi="Arial"/>
                <w:sz w:val="18"/>
                <w:szCs w:val="18"/>
                <w:color w:val="auto"/>
                <w:w w:val="87"/>
              </w:rPr>
              <w:t>3,829,067</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w w:val="89"/>
              </w:rPr>
              <w:t>3,411,519</w:t>
            </w: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88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8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w w:val="87"/>
              </w:rPr>
              <w:t>4,414,200</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9"/>
              </w:rPr>
              <w:t>4,550,594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8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180" w:type="dxa"/>
            <w:vAlign w:val="bottom"/>
          </w:tcPr>
          <w:p>
            <w:pPr>
              <w:spacing w:after="0"/>
              <w:rPr>
                <w:sz w:val="14"/>
                <w:szCs w:val="14"/>
                <w:color w:val="auto"/>
              </w:rPr>
            </w:pPr>
          </w:p>
        </w:tc>
        <w:tc>
          <w:tcPr>
            <w:tcW w:w="102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5"/>
              </w:rPr>
              <w:t>January 31,</w:t>
            </w:r>
          </w:p>
        </w:tc>
        <w:tc>
          <w:tcPr>
            <w:tcW w:w="100" w:type="dxa"/>
            <w:vAlign w:val="bottom"/>
          </w:tcPr>
          <w:p>
            <w:pPr>
              <w:spacing w:after="0"/>
              <w:rPr>
                <w:sz w:val="14"/>
                <w:szCs w:val="14"/>
                <w:color w:val="auto"/>
              </w:rPr>
            </w:pPr>
          </w:p>
        </w:tc>
        <w:tc>
          <w:tcPr>
            <w:tcW w:w="102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February 2,</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5"/>
              </w:rPr>
              <w:t>January 27,</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2007</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100" w:type="dxa"/>
            <w:vAlign w:val="bottom"/>
            <w:gridSpan w:val="10"/>
          </w:tcPr>
          <w:p>
            <w:pPr>
              <w:jc w:val="right"/>
              <w:ind w:right="460"/>
              <w:spacing w:after="0" w:line="142" w:lineRule="exact"/>
              <w:rPr>
                <w:sz w:val="20"/>
                <w:szCs w:val="20"/>
                <w:color w:val="auto"/>
              </w:rPr>
            </w:pPr>
            <w:r>
              <w:rPr>
                <w:rFonts w:ascii="Arial" w:cs="Arial" w:eastAsia="Arial" w:hAnsi="Arial"/>
                <w:sz w:val="14"/>
                <w:szCs w:val="14"/>
                <w:b w:val="1"/>
                <w:bCs w:val="1"/>
                <w:color w:val="auto"/>
                <w:w w:val="94"/>
              </w:rPr>
              <w:t>(In thousands, except per share amounts)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2,950,563</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2,894,693</w:t>
            </w:r>
          </w:p>
        </w:tc>
        <w:tc>
          <w:tcPr>
            <w:tcW w:w="16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4"/>
              </w:rPr>
              <w:t>2,237,553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1,426,624</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1,497,796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4"/>
              </w:rPr>
              <w:t>1,100,241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929,990</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988,996</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658,211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160,973</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211,261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176,103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104,788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138,640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114,154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153,323</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155,734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109,987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tcPr>
          <w:p>
            <w:pPr>
              <w:ind w:left="420"/>
              <w:spacing w:after="0"/>
              <w:rPr>
                <w:sz w:val="20"/>
                <w:szCs w:val="20"/>
                <w:color w:val="auto"/>
              </w:rPr>
            </w:pPr>
            <w:r>
              <w:rPr>
                <w:rFonts w:ascii="Arial" w:cs="Arial" w:eastAsia="Arial" w:hAnsi="Arial"/>
                <w:sz w:val="18"/>
                <w:szCs w:val="18"/>
                <w:color w:val="auto"/>
              </w:rPr>
              <w:t>Acquired in-process research and development</w:t>
            </w:r>
          </w:p>
        </w:tc>
        <w:tc>
          <w:tcPr>
            <w:tcW w:w="12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77,800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9,689</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818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2,785,387</w:t>
            </w: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89"/>
              </w:rPr>
              <w:t>3,000,283</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w w:val="94"/>
              </w:rPr>
              <w:t>2,236,496</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165,176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(105,590)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23,651</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28,100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17,818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(17,994)</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(40,498)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(10,207)</w:t>
            </w:r>
          </w:p>
        </w:tc>
        <w:tc>
          <w:tcPr>
            <w:tcW w:w="0" w:type="dxa"/>
            <w:vAlign w:val="bottom"/>
          </w:tcPr>
          <w:p>
            <w:pPr>
              <w:spacing w:after="0"/>
              <w:rPr>
                <w:sz w:val="1"/>
                <w:szCs w:val="1"/>
                <w:color w:val="auto"/>
              </w:rPr>
            </w:pPr>
          </w:p>
        </w:tc>
      </w:tr>
      <w:tr>
        <w:trPr>
          <w:trHeight w:val="20"/>
        </w:trPr>
        <w:tc>
          <w:tcPr>
            <w:tcW w:w="820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820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170,833</w:t>
            </w: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(117,988)</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8,668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23,591</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(3,561)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29,609</w:t>
            </w:r>
          </w:p>
        </w:tc>
        <w:tc>
          <w:tcPr>
            <w:tcW w:w="0" w:type="dxa"/>
            <w:vAlign w:val="bottom"/>
          </w:tcPr>
          <w:p>
            <w:pPr>
              <w:spacing w:after="0"/>
              <w:rPr>
                <w:sz w:val="1"/>
                <w:szCs w:val="1"/>
                <w:color w:val="auto"/>
              </w:rPr>
            </w:pPr>
          </w:p>
        </w:tc>
      </w:tr>
      <w:tr>
        <w:trPr>
          <w:trHeight w:val="20"/>
        </w:trPr>
        <w:tc>
          <w:tcPr>
            <w:tcW w:w="820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change in accounting principle</w:t>
            </w: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820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147,242</w:t>
            </w: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(114,427)</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(20,941)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20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147,242</w:t>
            </w:r>
          </w:p>
        </w:tc>
        <w:tc>
          <w:tcPr>
            <w:tcW w:w="18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(114,427)</w:t>
            </w:r>
          </w:p>
        </w:tc>
        <w:tc>
          <w:tcPr>
            <w:tcW w:w="2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(12,095)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tcPr>
          <w:p>
            <w:pPr>
              <w:ind w:left="420"/>
              <w:spacing w:after="0"/>
              <w:rPr>
                <w:sz w:val="20"/>
                <w:szCs w:val="20"/>
                <w:color w:val="auto"/>
              </w:rPr>
            </w:pPr>
            <w:r>
              <w:rPr>
                <w:rFonts w:ascii="Arial" w:cs="Arial" w:eastAsia="Arial" w:hAnsi="Arial"/>
                <w:sz w:val="18"/>
                <w:szCs w:val="18"/>
                <w:color w:val="auto"/>
              </w:rPr>
              <w:t>Income (loss) before change in accounting principle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0.24</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(0.19)</w:t>
            </w:r>
          </w:p>
        </w:tc>
        <w:tc>
          <w:tcPr>
            <w:tcW w:w="2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Cumulative effect of change in accounting principle</w:t>
            </w: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200" w:type="dxa"/>
            <w:vAlign w:val="bottom"/>
            <w:gridSpan w:val="2"/>
          </w:tcPr>
          <w:p>
            <w:pPr>
              <w:spacing w:after="0"/>
              <w:rPr>
                <w:sz w:val="20"/>
                <w:szCs w:val="20"/>
                <w:color w:val="auto"/>
              </w:rPr>
            </w:pPr>
            <w:r>
              <w:rPr>
                <w:rFonts w:ascii="Arial" w:cs="Arial" w:eastAsia="Arial" w:hAnsi="Arial"/>
                <w:sz w:val="18"/>
                <w:szCs w:val="18"/>
                <w:color w:val="auto"/>
              </w:rPr>
              <w:t>Basic net income (loss) per share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0.24</w:t>
            </w:r>
          </w:p>
        </w:tc>
        <w:tc>
          <w:tcPr>
            <w:tcW w:w="18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(0.19)</w:t>
            </w:r>
          </w:p>
        </w:tc>
        <w:tc>
          <w:tcPr>
            <w:tcW w:w="2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basic per share computation</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608,747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586,152</w:t>
            </w:r>
          </w:p>
        </w:tc>
        <w:tc>
          <w:tcPr>
            <w:tcW w:w="0" w:type="dxa"/>
            <w:vAlign w:val="bottom"/>
          </w:tcPr>
          <w:p>
            <w:pPr>
              <w:spacing w:after="0"/>
              <w:rPr>
                <w:sz w:val="1"/>
                <w:szCs w:val="1"/>
                <w:color w:val="auto"/>
              </w:rPr>
            </w:pPr>
          </w:p>
        </w:tc>
      </w:tr>
      <w:tr>
        <w:trPr>
          <w:trHeight w:val="20"/>
        </w:trPr>
        <w:tc>
          <w:tcPr>
            <w:tcW w:w="820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200" w:type="dxa"/>
            <w:vAlign w:val="bottom"/>
            <w:gridSpan w:val="2"/>
            <w:vMerge w:val="continue"/>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Income (loss) before change in accounting principle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(0.19)</w:t>
            </w:r>
          </w:p>
        </w:tc>
        <w:tc>
          <w:tcPr>
            <w:tcW w:w="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180" w:type="dxa"/>
            <w:vAlign w:val="bottom"/>
          </w:tcPr>
          <w:p>
            <w:pPr>
              <w:ind w:left="420"/>
              <w:spacing w:after="0"/>
              <w:rPr>
                <w:sz w:val="20"/>
                <w:szCs w:val="20"/>
                <w:color w:val="auto"/>
              </w:rPr>
            </w:pPr>
            <w:r>
              <w:rPr>
                <w:rFonts w:ascii="Arial" w:cs="Arial" w:eastAsia="Arial" w:hAnsi="Arial"/>
                <w:sz w:val="18"/>
                <w:szCs w:val="18"/>
                <w:color w:val="auto"/>
              </w:rPr>
              <w:t>Cumulative effect of change in accounting principle</w:t>
            </w: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(0.19)</w:t>
            </w:r>
          </w:p>
        </w:tc>
        <w:tc>
          <w:tcPr>
            <w:tcW w:w="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20"/>
        </w:trPr>
        <w:tc>
          <w:tcPr>
            <w:tcW w:w="8200" w:type="dxa"/>
            <w:vAlign w:val="bottom"/>
            <w:gridSpan w:val="2"/>
            <w:vMerge w:val="restart"/>
          </w:tcPr>
          <w:p>
            <w:pPr>
              <w:spacing w:after="0"/>
              <w:rPr>
                <w:sz w:val="20"/>
                <w:szCs w:val="20"/>
                <w:color w:val="auto"/>
              </w:rPr>
            </w:pPr>
            <w:r>
              <w:rPr>
                <w:rFonts w:ascii="Arial" w:cs="Arial" w:eastAsia="Arial" w:hAnsi="Arial"/>
                <w:sz w:val="18"/>
                <w:szCs w:val="18"/>
                <w:color w:val="auto"/>
              </w:rPr>
              <w:t>Shares used in diluted per share computation</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200" w:type="dxa"/>
            <w:vAlign w:val="bottom"/>
            <w:gridSpan w:val="2"/>
            <w:vMerge w:val="continue"/>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630,328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590,308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586,152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1220" w:type="dxa"/>
            <w:vAlign w:val="bottom"/>
            <w:gridSpan w:val="5"/>
            <w:vMerge w:val="restart"/>
          </w:tcPr>
          <w:p>
            <w:pPr>
              <w:jc w:val="right"/>
              <w:ind w:right="72"/>
              <w:spacing w:after="0"/>
              <w:rPr>
                <w:sz w:val="20"/>
                <w:szCs w:val="20"/>
                <w:color w:val="auto"/>
              </w:rPr>
            </w:pPr>
            <w:r>
              <w:rPr>
                <w:rFonts w:ascii="Arial" w:cs="Arial" w:eastAsia="Arial" w:hAnsi="Arial"/>
                <w:sz w:val="14"/>
                <w:szCs w:val="14"/>
                <w:b w:val="1"/>
                <w:bCs w:val="1"/>
                <w:color w:val="auto"/>
                <w:w w:val="96"/>
              </w:rPr>
              <w:t>Common shares</w:t>
            </w:r>
          </w:p>
        </w:tc>
        <w:tc>
          <w:tcPr>
            <w:tcW w:w="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2"/>
                <w:szCs w:val="12"/>
                <w:color w:val="auto"/>
              </w:rPr>
            </w:pPr>
          </w:p>
        </w:tc>
        <w:tc>
          <w:tcPr>
            <w:tcW w:w="4760" w:type="dxa"/>
            <w:vAlign w:val="bottom"/>
          </w:tcPr>
          <w:p>
            <w:pPr>
              <w:spacing w:after="0"/>
              <w:rPr>
                <w:sz w:val="12"/>
                <w:szCs w:val="12"/>
                <w:color w:val="auto"/>
              </w:rPr>
            </w:pPr>
          </w:p>
        </w:tc>
        <w:tc>
          <w:tcPr>
            <w:tcW w:w="1220" w:type="dxa"/>
            <w:vAlign w:val="bottom"/>
            <w:tcBorders>
              <w:bottom w:val="single" w:sz="8" w:color="auto"/>
            </w:tcBorders>
            <w:gridSpan w:val="5"/>
            <w:vMerge w:val="continue"/>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gridSpan w:val="2"/>
          </w:tcPr>
          <w:p>
            <w:pPr>
              <w:jc w:val="right"/>
              <w:ind w:right="180"/>
              <w:spacing w:after="0" w:line="148" w:lineRule="exact"/>
              <w:rPr>
                <w:sz w:val="20"/>
                <w:szCs w:val="20"/>
                <w:color w:val="auto"/>
              </w:rPr>
            </w:pPr>
            <w:r>
              <w:rPr>
                <w:rFonts w:ascii="Arial" w:cs="Arial" w:eastAsia="Arial" w:hAnsi="Arial"/>
                <w:sz w:val="14"/>
                <w:szCs w:val="14"/>
                <w:b w:val="1"/>
                <w:bCs w:val="1"/>
                <w:color w:val="auto"/>
                <w:w w:val="90"/>
              </w:rPr>
              <w:t>Additional</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90"/>
              </w:rPr>
              <w:t>Deferred</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90"/>
              </w:rPr>
              <w:t>Other</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rPr>
              <w:t>Paid-in</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84"/>
              </w:rPr>
              <w:t>Stock-based</w:t>
            </w:r>
          </w:p>
        </w:tc>
        <w:tc>
          <w:tcPr>
            <w:tcW w:w="120" w:type="dxa"/>
            <w:vAlign w:val="bottom"/>
          </w:tcPr>
          <w:p>
            <w:pPr>
              <w:spacing w:after="0"/>
              <w:rPr>
                <w:sz w:val="11"/>
                <w:szCs w:val="11"/>
                <w:color w:val="auto"/>
              </w:rPr>
            </w:pPr>
          </w:p>
        </w:tc>
        <w:tc>
          <w:tcPr>
            <w:tcW w:w="1140" w:type="dxa"/>
            <w:vAlign w:val="bottom"/>
            <w:gridSpan w:val="3"/>
          </w:tcPr>
          <w:p>
            <w:pPr>
              <w:jc w:val="center"/>
              <w:ind w:right="160"/>
              <w:spacing w:after="0" w:line="129" w:lineRule="exact"/>
              <w:rPr>
                <w:sz w:val="20"/>
                <w:szCs w:val="20"/>
                <w:color w:val="auto"/>
              </w:rPr>
            </w:pPr>
            <w:r>
              <w:rPr>
                <w:rFonts w:ascii="Arial" w:cs="Arial" w:eastAsia="Arial" w:hAnsi="Arial"/>
                <w:sz w:val="14"/>
                <w:szCs w:val="14"/>
                <w:b w:val="1"/>
                <w:bCs w:val="1"/>
                <w:color w:val="auto"/>
                <w:w w:val="85"/>
              </w:rPr>
              <w:t>Comprehensive</w:t>
            </w:r>
          </w:p>
        </w:tc>
        <w:tc>
          <w:tcPr>
            <w:tcW w:w="120" w:type="dxa"/>
            <w:vAlign w:val="bottom"/>
          </w:tcPr>
          <w:p>
            <w:pPr>
              <w:spacing w:after="0"/>
              <w:rPr>
                <w:sz w:val="11"/>
                <w:szCs w:val="11"/>
                <w:color w:val="auto"/>
              </w:rPr>
            </w:pPr>
          </w:p>
        </w:tc>
        <w:tc>
          <w:tcPr>
            <w:tcW w:w="1000" w:type="dxa"/>
            <w:vAlign w:val="bottom"/>
            <w:gridSpan w:val="3"/>
          </w:tcPr>
          <w:p>
            <w:pPr>
              <w:jc w:val="right"/>
              <w:ind w:right="20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w w:val="85"/>
              </w:rPr>
              <w:t>Shares</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4"/>
                <w:szCs w:val="14"/>
                <w:color w:val="auto"/>
              </w:rPr>
            </w:pPr>
          </w:p>
        </w:tc>
        <w:tc>
          <w:tcPr>
            <w:tcW w:w="660" w:type="dxa"/>
            <w:vAlign w:val="bottom"/>
            <w:tcBorders>
              <w:bottom w:val="single" w:sz="8" w:color="auto"/>
            </w:tcBorders>
          </w:tcPr>
          <w:p>
            <w:pPr>
              <w:jc w:val="right"/>
              <w:ind w:right="32"/>
              <w:spacing w:after="0"/>
              <w:rPr>
                <w:sz w:val="20"/>
                <w:szCs w:val="20"/>
                <w:color w:val="auto"/>
              </w:rPr>
            </w:pPr>
            <w:r>
              <w:rPr>
                <w:rFonts w:ascii="Arial" w:cs="Arial" w:eastAsia="Arial" w:hAnsi="Arial"/>
                <w:sz w:val="14"/>
                <w:szCs w:val="14"/>
                <w:b w:val="1"/>
                <w:bCs w:val="1"/>
                <w:color w:val="auto"/>
              </w:rPr>
              <w:t>Capital</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6"/>
              </w:rPr>
              <w:t>Compensation</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12"/>
              <w:spacing w:after="0"/>
              <w:rPr>
                <w:sz w:val="20"/>
                <w:szCs w:val="20"/>
                <w:color w:val="auto"/>
              </w:rPr>
            </w:pPr>
            <w:r>
              <w:rPr>
                <w:rFonts w:ascii="Arial" w:cs="Arial" w:eastAsia="Arial" w:hAnsi="Arial"/>
                <w:sz w:val="14"/>
                <w:szCs w:val="14"/>
                <w:b w:val="1"/>
                <w:bCs w:val="1"/>
                <w:color w:val="auto"/>
                <w:w w:val="86"/>
              </w:rPr>
              <w:t>Income (Loss)</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Deficit</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Total</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7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220" w:type="dxa"/>
            <w:vAlign w:val="bottom"/>
            <w:gridSpan w:val="6"/>
          </w:tcPr>
          <w:p>
            <w:pPr>
              <w:jc w:val="right"/>
              <w:ind w:right="960"/>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Balance at January 28, 2006</w:t>
            </w:r>
          </w:p>
        </w:tc>
        <w:tc>
          <w:tcPr>
            <w:tcW w:w="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w w:val="90"/>
              </w:rPr>
              <w:t>582,776</w:t>
            </w:r>
          </w:p>
        </w:tc>
        <w:tc>
          <w:tcPr>
            <w:tcW w:w="260" w:type="dxa"/>
            <w:vAlign w:val="bottom"/>
            <w:gridSpan w:val="2"/>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1,165</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$ 3,634,239</w:t>
            </w:r>
          </w:p>
        </w:tc>
        <w:tc>
          <w:tcPr>
            <w:tcW w:w="16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(61,987)</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(1,759)</w:t>
            </w:r>
          </w:p>
        </w:tc>
        <w:tc>
          <w:tcPr>
            <w:tcW w:w="260" w:type="dxa"/>
            <w:vAlign w:val="bottom"/>
            <w:gridSpan w:val="2"/>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(564,433)</w:t>
            </w:r>
          </w:p>
        </w:tc>
        <w:tc>
          <w:tcPr>
            <w:tcW w:w="2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3,007,225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Common share options exercised</w:t>
            </w:r>
          </w:p>
        </w:tc>
        <w:tc>
          <w:tcPr>
            <w:tcW w:w="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3,719</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8</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22,414</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22,422</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Issuance of common shares under the employee stock purchase plan</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895</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13,613</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13,615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Issuance of common shares and options in connection with acquisitions</w:t>
            </w:r>
          </w:p>
        </w:tc>
        <w:tc>
          <w:tcPr>
            <w:tcW w:w="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35</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476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w w:val="97"/>
              </w:rPr>
              <w:t>Elimination of deferred stock-based compensation in relation to the adoption of</w:t>
            </w:r>
          </w:p>
        </w:tc>
        <w:tc>
          <w:tcPr>
            <w:tcW w:w="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8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9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4760" w:type="dxa"/>
            <w:vAlign w:val="bottom"/>
            <w:shd w:val="clear" w:color="auto" w:fill="CCEEFF"/>
          </w:tcPr>
          <w:p>
            <w:pPr>
              <w:ind w:left="200"/>
              <w:spacing w:after="0" w:line="159" w:lineRule="exact"/>
              <w:rPr>
                <w:sz w:val="20"/>
                <w:szCs w:val="20"/>
                <w:color w:val="auto"/>
              </w:rPr>
            </w:pPr>
            <w:r>
              <w:rPr>
                <w:rFonts w:ascii="Arial" w:cs="Arial" w:eastAsia="Arial" w:hAnsi="Arial"/>
                <w:sz w:val="14"/>
                <w:szCs w:val="14"/>
                <w:color w:val="auto"/>
              </w:rPr>
              <w:t>SFAS 123R</w:t>
            </w:r>
          </w:p>
        </w:tc>
        <w:tc>
          <w:tcPr>
            <w:tcW w:w="580" w:type="dxa"/>
            <w:vAlign w:val="bottom"/>
            <w:gridSpan w:val="2"/>
            <w:shd w:val="clear" w:color="auto" w:fill="CCEEFF"/>
          </w:tcPr>
          <w:p>
            <w:pPr>
              <w:ind w:left="280"/>
              <w:spacing w:after="0" w:line="15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380" w:type="dxa"/>
            <w:vAlign w:val="bottom"/>
            <w:shd w:val="clear" w:color="auto" w:fill="CCEEFF"/>
          </w:tcPr>
          <w:p>
            <w:pPr>
              <w:jc w:val="right"/>
              <w:ind w:right="12"/>
              <w:spacing w:after="0" w:line="159" w:lineRule="exact"/>
              <w:rPr>
                <w:sz w:val="20"/>
                <w:szCs w:val="20"/>
                <w:color w:val="auto"/>
              </w:rPr>
            </w:pPr>
            <w:r>
              <w:rPr>
                <w:rFonts w:ascii="Arial" w:cs="Arial" w:eastAsia="Arial" w:hAnsi="Arial"/>
                <w:sz w:val="14"/>
                <w:szCs w:val="14"/>
                <w:color w:val="auto"/>
              </w:rPr>
              <w:t>—</w:t>
            </w:r>
          </w:p>
        </w:tc>
        <w:tc>
          <w:tcPr>
            <w:tcW w:w="1020" w:type="dxa"/>
            <w:vAlign w:val="bottom"/>
            <w:gridSpan w:val="3"/>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(61,987)</w:t>
            </w:r>
          </w:p>
        </w:tc>
        <w:tc>
          <w:tcPr>
            <w:tcW w:w="1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960" w:type="dxa"/>
            <w:vAlign w:val="bottom"/>
            <w:gridSpan w:val="2"/>
            <w:shd w:val="clear" w:color="auto" w:fill="CCEEFF"/>
          </w:tcPr>
          <w:p>
            <w:pPr>
              <w:jc w:val="right"/>
              <w:ind w:right="140"/>
              <w:spacing w:after="0" w:line="159" w:lineRule="exact"/>
              <w:rPr>
                <w:sz w:val="20"/>
                <w:szCs w:val="20"/>
                <w:color w:val="auto"/>
              </w:rPr>
            </w:pPr>
            <w:r>
              <w:rPr>
                <w:rFonts w:ascii="Arial" w:cs="Arial" w:eastAsia="Arial" w:hAnsi="Arial"/>
                <w:sz w:val="14"/>
                <w:szCs w:val="14"/>
                <w:color w:val="auto"/>
              </w:rPr>
              <w:t>61,987</w:t>
            </w:r>
          </w:p>
        </w:tc>
        <w:tc>
          <w:tcPr>
            <w:tcW w:w="1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1060" w:type="dxa"/>
            <w:vAlign w:val="bottom"/>
            <w:gridSpan w:val="2"/>
            <w:shd w:val="clear" w:color="auto" w:fill="CCEEFF"/>
          </w:tcPr>
          <w:p>
            <w:pPr>
              <w:ind w:left="700"/>
              <w:spacing w:after="0" w:line="15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860" w:type="dxa"/>
            <w:vAlign w:val="bottom"/>
            <w:gridSpan w:val="2"/>
            <w:shd w:val="clear" w:color="auto" w:fill="CCEEFF"/>
          </w:tcPr>
          <w:p>
            <w:pPr>
              <w:jc w:val="right"/>
              <w:ind w:right="24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640" w:type="dxa"/>
            <w:vAlign w:val="bottom"/>
            <w:gridSpan w:val="2"/>
            <w:shd w:val="clear" w:color="auto" w:fill="CCEEFF"/>
          </w:tcPr>
          <w:p>
            <w:pPr>
              <w:jc w:val="right"/>
              <w:ind w:right="14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Stock-based compensation</w:t>
            </w:r>
          </w:p>
        </w:tc>
        <w:tc>
          <w:tcPr>
            <w:tcW w:w="5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192,932</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192,932</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Proceeds from recovery of stock option exercise price modification</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9,609</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9,609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Tax benefit from employee stock transactions</w:t>
            </w:r>
          </w:p>
        </w:tc>
        <w:tc>
          <w:tcPr>
            <w:tcW w:w="5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535</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535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Impact of change in accounting principle, net of tax effect</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102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(8,846)</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(8,846)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Comprehensive income (loss):</w:t>
            </w: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Unrealized gain on available-for-sale investments, net of tax</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1,787</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1,787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Net loss</w:t>
            </w:r>
          </w:p>
        </w:tc>
        <w:tc>
          <w:tcPr>
            <w:tcW w:w="5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(12,095)</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(12,095)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6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7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Total comprehensive loss</w:t>
            </w:r>
          </w:p>
        </w:tc>
        <w:tc>
          <w:tcPr>
            <w:tcW w:w="4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(10,308)</w:t>
            </w:r>
          </w:p>
        </w:tc>
        <w:tc>
          <w:tcPr>
            <w:tcW w:w="0" w:type="dxa"/>
            <w:vAlign w:val="bottom"/>
          </w:tcPr>
          <w:p>
            <w:pPr>
              <w:spacing w:after="0"/>
              <w:rPr>
                <w:sz w:val="1"/>
                <w:szCs w:val="1"/>
                <w:color w:val="auto"/>
              </w:rPr>
            </w:pPr>
          </w:p>
        </w:tc>
      </w:tr>
      <w:tr>
        <w:trPr>
          <w:trHeight w:val="20"/>
        </w:trPr>
        <w:tc>
          <w:tcPr>
            <w:tcW w:w="4780" w:type="dxa"/>
            <w:vAlign w:val="bottom"/>
            <w:gridSpan w:val="2"/>
            <w:vMerge w:val="restart"/>
          </w:tcPr>
          <w:p>
            <w:pPr>
              <w:spacing w:after="0"/>
              <w:rPr>
                <w:sz w:val="20"/>
                <w:szCs w:val="20"/>
                <w:color w:val="auto"/>
              </w:rPr>
            </w:pPr>
            <w:r>
              <w:rPr>
                <w:rFonts w:ascii="Arial" w:cs="Arial" w:eastAsia="Arial" w:hAnsi="Arial"/>
                <w:sz w:val="14"/>
                <w:szCs w:val="14"/>
                <w:color w:val="auto"/>
              </w:rPr>
              <w:t>Balance at January 27, 2007</w:t>
            </w:r>
          </w:p>
        </w:tc>
        <w:tc>
          <w:tcPr>
            <w:tcW w:w="4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4780" w:type="dxa"/>
            <w:vAlign w:val="bottom"/>
            <w:gridSpan w:val="2"/>
            <w:vMerge w:val="continue"/>
          </w:tcPr>
          <w:p>
            <w:pPr>
              <w:spacing w:after="0"/>
              <w:rPr>
                <w:sz w:val="13"/>
                <w:szCs w:val="13"/>
                <w:color w:val="auto"/>
              </w:rPr>
            </w:pPr>
          </w:p>
        </w:tc>
        <w:tc>
          <w:tcPr>
            <w:tcW w:w="580" w:type="dxa"/>
            <w:vAlign w:val="bottom"/>
            <w:gridSpan w:val="2"/>
          </w:tcPr>
          <w:p>
            <w:pPr>
              <w:jc w:val="right"/>
              <w:ind w:right="100"/>
              <w:spacing w:after="0" w:line="155" w:lineRule="exact"/>
              <w:rPr>
                <w:sz w:val="20"/>
                <w:szCs w:val="20"/>
                <w:color w:val="auto"/>
              </w:rPr>
            </w:pPr>
            <w:r>
              <w:rPr>
                <w:rFonts w:ascii="Arial" w:cs="Arial" w:eastAsia="Arial" w:hAnsi="Arial"/>
                <w:sz w:val="14"/>
                <w:szCs w:val="14"/>
                <w:color w:val="auto"/>
                <w:w w:val="90"/>
              </w:rPr>
              <w:t>587,425</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jc w:val="right"/>
              <w:spacing w:after="0" w:line="155" w:lineRule="exact"/>
              <w:rPr>
                <w:sz w:val="20"/>
                <w:szCs w:val="20"/>
                <w:color w:val="auto"/>
              </w:rPr>
            </w:pPr>
            <w:r>
              <w:rPr>
                <w:rFonts w:ascii="Arial" w:cs="Arial" w:eastAsia="Arial" w:hAnsi="Arial"/>
                <w:sz w:val="14"/>
                <w:szCs w:val="14"/>
                <w:color w:val="auto"/>
              </w:rPr>
              <w:t>1,175</w:t>
            </w:r>
          </w:p>
        </w:tc>
        <w:tc>
          <w:tcPr>
            <w:tcW w:w="860" w:type="dxa"/>
            <w:vAlign w:val="bottom"/>
            <w:gridSpan w:val="2"/>
          </w:tcPr>
          <w:p>
            <w:pPr>
              <w:jc w:val="right"/>
              <w:spacing w:after="0" w:line="155" w:lineRule="exact"/>
              <w:rPr>
                <w:sz w:val="20"/>
                <w:szCs w:val="20"/>
                <w:color w:val="auto"/>
              </w:rPr>
            </w:pPr>
            <w:r>
              <w:rPr>
                <w:rFonts w:ascii="Arial" w:cs="Arial" w:eastAsia="Arial" w:hAnsi="Arial"/>
                <w:sz w:val="14"/>
                <w:szCs w:val="14"/>
                <w:color w:val="auto"/>
              </w:rPr>
              <w:t>3,802,509</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60" w:type="dxa"/>
            <w:vAlign w:val="bottom"/>
            <w:gridSpan w:val="2"/>
          </w:tcPr>
          <w:p>
            <w:pPr>
              <w:jc w:val="right"/>
              <w:ind w:right="220"/>
              <w:spacing w:after="0" w:line="155"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60" w:type="dxa"/>
            <w:vAlign w:val="bottom"/>
            <w:gridSpan w:val="2"/>
          </w:tcPr>
          <w:p>
            <w:pPr>
              <w:jc w:val="right"/>
              <w:ind w:right="160"/>
              <w:spacing w:after="0" w:line="155" w:lineRule="exact"/>
              <w:rPr>
                <w:sz w:val="20"/>
                <w:szCs w:val="20"/>
                <w:color w:val="auto"/>
              </w:rPr>
            </w:pPr>
            <w:r>
              <w:rPr>
                <w:rFonts w:ascii="Arial" w:cs="Arial" w:eastAsia="Arial" w:hAnsi="Arial"/>
                <w:sz w:val="14"/>
                <w:szCs w:val="14"/>
                <w:color w:val="auto"/>
              </w:rPr>
              <w:t>28</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60" w:type="dxa"/>
            <w:vAlign w:val="bottom"/>
            <w:gridSpan w:val="2"/>
          </w:tcPr>
          <w:p>
            <w:pPr>
              <w:jc w:val="right"/>
              <w:ind w:right="120"/>
              <w:spacing w:after="0" w:line="155" w:lineRule="exact"/>
              <w:rPr>
                <w:sz w:val="20"/>
                <w:szCs w:val="20"/>
                <w:color w:val="auto"/>
              </w:rPr>
            </w:pPr>
            <w:r>
              <w:rPr>
                <w:rFonts w:ascii="Arial" w:cs="Arial" w:eastAsia="Arial" w:hAnsi="Arial"/>
                <w:sz w:val="14"/>
                <w:szCs w:val="14"/>
                <w:color w:val="auto"/>
              </w:rPr>
              <w:t>(576,528)</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jc w:val="right"/>
              <w:spacing w:after="0" w:line="155" w:lineRule="exact"/>
              <w:rPr>
                <w:sz w:val="20"/>
                <w:szCs w:val="20"/>
                <w:color w:val="auto"/>
              </w:rPr>
            </w:pPr>
            <w:r>
              <w:rPr>
                <w:rFonts w:ascii="Arial" w:cs="Arial" w:eastAsia="Arial" w:hAnsi="Arial"/>
                <w:sz w:val="14"/>
                <w:szCs w:val="14"/>
                <w:color w:val="auto"/>
                <w:w w:val="89"/>
              </w:rPr>
              <w:t>3,227,184</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Shares issued pursuant to stock options and awards, net</w:t>
            </w:r>
          </w:p>
        </w:tc>
        <w:tc>
          <w:tcPr>
            <w:tcW w:w="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11,243</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49,775</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49,797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Issuance of common shares under the employee stock purchase plan</w:t>
            </w:r>
          </w:p>
        </w:tc>
        <w:tc>
          <w:tcPr>
            <w:tcW w:w="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1,303</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3</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17,332</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17,335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Stock-based compensation</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230,980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230,980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Tax benefit from employee stock transactions</w:t>
            </w:r>
          </w:p>
        </w:tc>
        <w:tc>
          <w:tcPr>
            <w:tcW w:w="5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63</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63</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Comprehensive income (loss):</w:t>
            </w:r>
          </w:p>
        </w:tc>
        <w:tc>
          <w:tcPr>
            <w:tcW w:w="4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Unrealized gain on available-for-sale investments, net of tax</w:t>
            </w:r>
          </w:p>
        </w:tc>
        <w:tc>
          <w:tcPr>
            <w:tcW w:w="5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587</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587</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loss</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(114,427)</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(114,427)</w:t>
            </w:r>
          </w:p>
        </w:tc>
        <w:tc>
          <w:tcPr>
            <w:tcW w:w="0" w:type="dxa"/>
            <w:vAlign w:val="bottom"/>
          </w:tcPr>
          <w:p>
            <w:pPr>
              <w:spacing w:after="0"/>
              <w:rPr>
                <w:sz w:val="1"/>
                <w:szCs w:val="1"/>
                <w:color w:val="auto"/>
              </w:rPr>
            </w:pPr>
          </w:p>
        </w:tc>
      </w:tr>
      <w:tr>
        <w:trPr>
          <w:trHeight w:val="20"/>
        </w:trPr>
        <w:tc>
          <w:tcPr>
            <w:tcW w:w="4780" w:type="dxa"/>
            <w:vAlign w:val="bottom"/>
            <w:gridSpan w:val="2"/>
            <w:vMerge w:val="restart"/>
          </w:tcPr>
          <w:p>
            <w:pPr>
              <w:spacing w:after="0"/>
              <w:rPr>
                <w:sz w:val="20"/>
                <w:szCs w:val="20"/>
                <w:color w:val="auto"/>
              </w:rPr>
            </w:pPr>
            <w:r>
              <w:rPr>
                <w:rFonts w:ascii="Arial" w:cs="Arial" w:eastAsia="Arial" w:hAnsi="Arial"/>
                <w:sz w:val="14"/>
                <w:szCs w:val="14"/>
                <w:color w:val="auto"/>
              </w:rPr>
              <w:t>Total comprehensive loss</w:t>
            </w: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4780" w:type="dxa"/>
            <w:vAlign w:val="bottom"/>
            <w:gridSpan w:val="2"/>
            <w:vMerge w:val="continue"/>
          </w:tcPr>
          <w:p>
            <w:pPr>
              <w:spacing w:after="0"/>
              <w:rPr>
                <w:sz w:val="13"/>
                <w:szCs w:val="13"/>
                <w:color w:val="auto"/>
              </w:rPr>
            </w:pPr>
          </w:p>
        </w:tc>
        <w:tc>
          <w:tcPr>
            <w:tcW w:w="4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gridSpan w:val="2"/>
          </w:tcPr>
          <w:p>
            <w:pPr>
              <w:jc w:val="right"/>
              <w:ind w:right="20"/>
              <w:spacing w:after="0" w:line="155" w:lineRule="exact"/>
              <w:rPr>
                <w:sz w:val="20"/>
                <w:szCs w:val="20"/>
                <w:color w:val="auto"/>
              </w:rPr>
            </w:pPr>
            <w:r>
              <w:rPr>
                <w:rFonts w:ascii="Arial" w:cs="Arial" w:eastAsia="Arial" w:hAnsi="Arial"/>
                <w:sz w:val="14"/>
                <w:szCs w:val="14"/>
                <w:color w:val="auto"/>
              </w:rPr>
              <w:t>(113,840)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6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Balance at February 2, 2008</w:t>
            </w:r>
          </w:p>
        </w:tc>
        <w:tc>
          <w:tcPr>
            <w:tcW w:w="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w w:val="90"/>
              </w:rPr>
              <w:t>599,971</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1,200</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4,100,659</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615</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(690,955)</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3,411,519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Shares issued pursuant to stock options and awards, net</w:t>
            </w:r>
          </w:p>
        </w:tc>
        <w:tc>
          <w:tcPr>
            <w:tcW w:w="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10,790</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21</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56,899</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56,920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Issuance of common shares under the employee stock purchase plan</w:t>
            </w:r>
          </w:p>
        </w:tc>
        <w:tc>
          <w:tcPr>
            <w:tcW w:w="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3,947</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33,350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33,358</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Issuance of common shares on exercise of warrants</w:t>
            </w:r>
          </w:p>
        </w:tc>
        <w:tc>
          <w:tcPr>
            <w:tcW w:w="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1,680</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4</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2,408</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2,412</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Stock-based compensation</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178,999</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178,999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Tax benefit from employee stock transactions</w:t>
            </w: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20" w:type="dxa"/>
            <w:vAlign w:val="bottom"/>
            <w:gridSpan w:val="3"/>
          </w:tcPr>
          <w:p>
            <w:pPr>
              <w:jc w:val="right"/>
              <w:ind w:right="100"/>
              <w:spacing w:after="0" w:line="149" w:lineRule="exact"/>
              <w:rPr>
                <w:sz w:val="20"/>
                <w:szCs w:val="20"/>
                <w:color w:val="auto"/>
              </w:rPr>
            </w:pPr>
            <w:r>
              <w:rPr>
                <w:rFonts w:ascii="Arial" w:cs="Arial" w:eastAsia="Arial" w:hAnsi="Arial"/>
                <w:sz w:val="14"/>
                <w:szCs w:val="14"/>
                <w:color w:val="auto"/>
              </w:rPr>
              <w:t>(50)</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(50)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Comprehensive income (loss):</w:t>
            </w:r>
          </w:p>
        </w:tc>
        <w:tc>
          <w:tcPr>
            <w:tcW w:w="4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line="149" w:lineRule="exact"/>
              <w:rPr>
                <w:sz w:val="20"/>
                <w:szCs w:val="20"/>
                <w:color w:val="auto"/>
              </w:rPr>
            </w:pPr>
            <w:r>
              <w:rPr>
                <w:rFonts w:ascii="Arial" w:cs="Arial" w:eastAsia="Arial" w:hAnsi="Arial"/>
                <w:sz w:val="14"/>
                <w:szCs w:val="14"/>
                <w:color w:val="auto"/>
              </w:rPr>
              <w:t>Unrealized loss on available-for-sale investments, net of tax</w:t>
            </w:r>
          </w:p>
        </w:tc>
        <w:tc>
          <w:tcPr>
            <w:tcW w:w="5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(1,333)</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(1,333)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w:t>
            </w:r>
          </w:p>
        </w:tc>
        <w:tc>
          <w:tcPr>
            <w:tcW w:w="5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147,242</w:t>
            </w:r>
          </w:p>
        </w:tc>
        <w:tc>
          <w:tcPr>
            <w:tcW w:w="10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580" w:type="dxa"/>
            <w:vAlign w:val="bottom"/>
            <w:tcBorders>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147,242</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4780" w:type="dxa"/>
            <w:vAlign w:val="bottom"/>
            <w:gridSpan w:val="2"/>
          </w:tcPr>
          <w:p>
            <w:pPr>
              <w:spacing w:after="0" w:line="155" w:lineRule="exact"/>
              <w:rPr>
                <w:sz w:val="20"/>
                <w:szCs w:val="20"/>
                <w:color w:val="auto"/>
              </w:rPr>
            </w:pPr>
            <w:r>
              <w:rPr>
                <w:rFonts w:ascii="Arial" w:cs="Arial" w:eastAsia="Arial" w:hAnsi="Arial"/>
                <w:sz w:val="14"/>
                <w:szCs w:val="14"/>
                <w:color w:val="auto"/>
              </w:rPr>
              <w:t>Total comprehensive income</w:t>
            </w:r>
          </w:p>
        </w:tc>
        <w:tc>
          <w:tcPr>
            <w:tcW w:w="4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145,909</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Balance at January 31, 2009</w:t>
            </w:r>
          </w:p>
        </w:tc>
        <w:tc>
          <w:tcPr>
            <w:tcW w:w="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w w:val="90"/>
              </w:rPr>
              <w:t>616,388</w:t>
            </w:r>
          </w:p>
        </w:tc>
        <w:tc>
          <w:tcPr>
            <w:tcW w:w="260" w:type="dxa"/>
            <w:vAlign w:val="bottom"/>
            <w:gridSpan w:val="2"/>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1,233</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$ 4,372,265</w:t>
            </w:r>
          </w:p>
        </w:tc>
        <w:tc>
          <w:tcPr>
            <w:tcW w:w="16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(718)</w:t>
            </w:r>
          </w:p>
        </w:tc>
        <w:tc>
          <w:tcPr>
            <w:tcW w:w="260" w:type="dxa"/>
            <w:vAlign w:val="bottom"/>
            <w:gridSpan w:val="2"/>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(543,713)</w:t>
            </w:r>
          </w:p>
        </w:tc>
        <w:tc>
          <w:tcPr>
            <w:tcW w:w="2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3,829,067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520" w:type="dxa"/>
            <w:vAlign w:val="bottom"/>
          </w:tcPr>
          <w:p>
            <w:pPr>
              <w:spacing w:after="0"/>
              <w:rPr>
                <w:sz w:val="14"/>
                <w:szCs w:val="14"/>
                <w:color w:val="auto"/>
              </w:rPr>
            </w:pPr>
          </w:p>
        </w:tc>
        <w:tc>
          <w:tcPr>
            <w:tcW w:w="860" w:type="dxa"/>
            <w:vAlign w:val="bottom"/>
            <w:gridSpan w:val="3"/>
          </w:tcPr>
          <w:p>
            <w:pPr>
              <w:spacing w:after="0"/>
              <w:rPr>
                <w:sz w:val="20"/>
                <w:szCs w:val="20"/>
                <w:color w:val="auto"/>
              </w:rPr>
            </w:pPr>
            <w:r>
              <w:rPr>
                <w:rFonts w:ascii="Arial" w:cs="Arial" w:eastAsia="Arial" w:hAnsi="Arial"/>
                <w:sz w:val="14"/>
                <w:szCs w:val="14"/>
                <w:b w:val="1"/>
                <w:bCs w:val="1"/>
                <w:color w:val="auto"/>
              </w:rPr>
              <w:t>January 31,</w:t>
            </w:r>
          </w:p>
        </w:tc>
        <w:tc>
          <w:tcPr>
            <w:tcW w:w="220" w:type="dxa"/>
            <w:vAlign w:val="bottom"/>
          </w:tcPr>
          <w:p>
            <w:pPr>
              <w:spacing w:after="0"/>
              <w:rPr>
                <w:sz w:val="14"/>
                <w:szCs w:val="14"/>
                <w:color w:val="auto"/>
              </w:rPr>
            </w:pPr>
          </w:p>
        </w:tc>
        <w:tc>
          <w:tcPr>
            <w:tcW w:w="1080" w:type="dxa"/>
            <w:vAlign w:val="bottom"/>
            <w:gridSpan w:val="3"/>
          </w:tcPr>
          <w:p>
            <w:pPr>
              <w:spacing w:after="0"/>
              <w:rPr>
                <w:sz w:val="20"/>
                <w:szCs w:val="20"/>
                <w:color w:val="auto"/>
              </w:rPr>
            </w:pPr>
            <w:r>
              <w:rPr>
                <w:rFonts w:ascii="Arial" w:cs="Arial" w:eastAsia="Arial" w:hAnsi="Arial"/>
                <w:sz w:val="14"/>
                <w:szCs w:val="14"/>
                <w:b w:val="1"/>
                <w:bCs w:val="1"/>
                <w:color w:val="auto"/>
              </w:rPr>
              <w:t>February 2,</w:t>
            </w:r>
          </w:p>
        </w:tc>
        <w:tc>
          <w:tcPr>
            <w:tcW w:w="740" w:type="dxa"/>
            <w:vAlign w:val="bottom"/>
            <w:gridSpan w:val="3"/>
          </w:tcPr>
          <w:p>
            <w:pPr>
              <w:spacing w:after="0"/>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61"/>
        </w:trPr>
        <w:tc>
          <w:tcPr>
            <w:tcW w:w="8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2007</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8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Cash flows from operating activities:</w:t>
            </w: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Net income (loss)</w:t>
            </w:r>
          </w:p>
        </w:tc>
        <w:tc>
          <w:tcPr>
            <w:tcW w:w="14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147,242</w:t>
            </w:r>
          </w:p>
        </w:tc>
        <w:tc>
          <w:tcPr>
            <w:tcW w:w="360" w:type="dxa"/>
            <w:vAlign w:val="bottom"/>
            <w:gridSpan w:val="2"/>
          </w:tcPr>
          <w:p>
            <w:pPr>
              <w:ind w:left="22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w w:val="96"/>
              </w:rPr>
              <w:t>(114,427)</w:t>
            </w:r>
          </w:p>
        </w:tc>
        <w:tc>
          <w:tcPr>
            <w:tcW w:w="14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6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(12,095)</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Adjustments to reconcile net income (loss) to net cash provided by operating activities:</w:t>
            </w: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8520" w:type="dxa"/>
            <w:vAlign w:val="bottom"/>
          </w:tcPr>
          <w:p>
            <w:pPr>
              <w:ind w:left="880"/>
              <w:spacing w:after="0" w:line="149" w:lineRule="exact"/>
              <w:rPr>
                <w:sz w:val="20"/>
                <w:szCs w:val="20"/>
                <w:color w:val="auto"/>
              </w:rPr>
            </w:pPr>
            <w:r>
              <w:rPr>
                <w:rFonts w:ascii="Arial" w:cs="Arial" w:eastAsia="Arial" w:hAnsi="Arial"/>
                <w:sz w:val="14"/>
                <w:szCs w:val="14"/>
                <w:color w:val="auto"/>
              </w:rPr>
              <w:t>Cumulative effect of change in accounting principle, net</w:t>
            </w:r>
          </w:p>
        </w:tc>
        <w:tc>
          <w:tcPr>
            <w:tcW w:w="140" w:type="dxa"/>
            <w:vAlign w:val="bottom"/>
          </w:tcPr>
          <w:p>
            <w:pPr>
              <w:spacing w:after="0"/>
              <w:rPr>
                <w:sz w:val="12"/>
                <w:szCs w:val="12"/>
                <w:color w:val="auto"/>
              </w:rPr>
            </w:pP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(8,846)</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880"/>
              <w:spacing w:after="0" w:line="149" w:lineRule="exact"/>
              <w:rPr>
                <w:sz w:val="20"/>
                <w:szCs w:val="20"/>
                <w:color w:val="auto"/>
              </w:rPr>
            </w:pPr>
            <w:r>
              <w:rPr>
                <w:rFonts w:ascii="Arial" w:cs="Arial" w:eastAsia="Arial" w:hAnsi="Arial"/>
                <w:sz w:val="14"/>
                <w:szCs w:val="14"/>
                <w:color w:val="auto"/>
              </w:rPr>
              <w:t>Depreciation and amortization</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112,824</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105,812</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77,160</w:t>
            </w:r>
          </w:p>
        </w:tc>
        <w:tc>
          <w:tcPr>
            <w:tcW w:w="0" w:type="dxa"/>
            <w:vAlign w:val="bottom"/>
          </w:tcPr>
          <w:p>
            <w:pPr>
              <w:spacing w:after="0"/>
              <w:rPr>
                <w:sz w:val="1"/>
                <w:szCs w:val="1"/>
                <w:color w:val="auto"/>
              </w:rPr>
            </w:pPr>
          </w:p>
        </w:tc>
      </w:tr>
      <w:tr>
        <w:trPr>
          <w:trHeight w:val="149"/>
        </w:trPr>
        <w:tc>
          <w:tcPr>
            <w:tcW w:w="8520" w:type="dxa"/>
            <w:vAlign w:val="bottom"/>
          </w:tcPr>
          <w:p>
            <w:pPr>
              <w:ind w:left="880"/>
              <w:spacing w:after="0" w:line="149" w:lineRule="exact"/>
              <w:rPr>
                <w:sz w:val="20"/>
                <w:szCs w:val="20"/>
                <w:color w:val="auto"/>
              </w:rPr>
            </w:pPr>
            <w:r>
              <w:rPr>
                <w:rFonts w:ascii="Arial" w:cs="Arial" w:eastAsia="Arial" w:hAnsi="Arial"/>
                <w:sz w:val="14"/>
                <w:szCs w:val="14"/>
                <w:color w:val="auto"/>
              </w:rPr>
              <w:t>Stock-based compensation</w:t>
            </w:r>
          </w:p>
        </w:tc>
        <w:tc>
          <w:tcPr>
            <w:tcW w:w="140" w:type="dxa"/>
            <w:vAlign w:val="bottom"/>
          </w:tcPr>
          <w:p>
            <w:pPr>
              <w:spacing w:after="0"/>
              <w:rPr>
                <w:sz w:val="12"/>
                <w:szCs w:val="12"/>
                <w:color w:val="auto"/>
              </w:rPr>
            </w:pPr>
          </w:p>
        </w:tc>
        <w:tc>
          <w:tcPr>
            <w:tcW w:w="7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177,132</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00"/>
              <w:spacing w:after="0" w:line="149" w:lineRule="exact"/>
              <w:rPr>
                <w:sz w:val="20"/>
                <w:szCs w:val="20"/>
                <w:color w:val="auto"/>
              </w:rPr>
            </w:pPr>
            <w:r>
              <w:rPr>
                <w:rFonts w:ascii="Arial" w:cs="Arial" w:eastAsia="Arial" w:hAnsi="Arial"/>
                <w:sz w:val="14"/>
                <w:szCs w:val="14"/>
                <w:color w:val="auto"/>
              </w:rPr>
              <w:t>230,980</w:t>
            </w:r>
          </w:p>
        </w:tc>
        <w:tc>
          <w:tcPr>
            <w:tcW w:w="14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192,121</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880"/>
              <w:spacing w:after="0" w:line="149" w:lineRule="exact"/>
              <w:rPr>
                <w:sz w:val="20"/>
                <w:szCs w:val="20"/>
                <w:color w:val="auto"/>
              </w:rPr>
            </w:pPr>
            <w:r>
              <w:rPr>
                <w:rFonts w:ascii="Arial" w:cs="Arial" w:eastAsia="Arial" w:hAnsi="Arial"/>
                <w:sz w:val="14"/>
                <w:szCs w:val="14"/>
                <w:color w:val="auto"/>
              </w:rPr>
              <w:t>Amortization and write-off of acquired intangible assets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153,323</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155,734</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109,987</w:t>
            </w:r>
          </w:p>
        </w:tc>
        <w:tc>
          <w:tcPr>
            <w:tcW w:w="0" w:type="dxa"/>
            <w:vAlign w:val="bottom"/>
          </w:tcPr>
          <w:p>
            <w:pPr>
              <w:spacing w:after="0"/>
              <w:rPr>
                <w:sz w:val="1"/>
                <w:szCs w:val="1"/>
                <w:color w:val="auto"/>
              </w:rPr>
            </w:pPr>
          </w:p>
        </w:tc>
      </w:tr>
      <w:tr>
        <w:trPr>
          <w:trHeight w:val="149"/>
        </w:trPr>
        <w:tc>
          <w:tcPr>
            <w:tcW w:w="8520" w:type="dxa"/>
            <w:vAlign w:val="bottom"/>
          </w:tcPr>
          <w:p>
            <w:pPr>
              <w:ind w:left="880"/>
              <w:spacing w:after="0" w:line="149" w:lineRule="exact"/>
              <w:rPr>
                <w:sz w:val="20"/>
                <w:szCs w:val="20"/>
                <w:color w:val="auto"/>
              </w:rPr>
            </w:pPr>
            <w:r>
              <w:rPr>
                <w:rFonts w:ascii="Arial" w:cs="Arial" w:eastAsia="Arial" w:hAnsi="Arial"/>
                <w:sz w:val="14"/>
                <w:szCs w:val="14"/>
                <w:color w:val="auto"/>
              </w:rPr>
              <w:t>Acquired in-process research and development</w:t>
            </w:r>
          </w:p>
        </w:tc>
        <w:tc>
          <w:tcPr>
            <w:tcW w:w="140" w:type="dxa"/>
            <w:vAlign w:val="bottom"/>
          </w:tcPr>
          <w:p>
            <w:pPr>
              <w:spacing w:after="0"/>
              <w:rPr>
                <w:sz w:val="12"/>
                <w:szCs w:val="12"/>
                <w:color w:val="auto"/>
              </w:rPr>
            </w:pP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77,800</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880"/>
              <w:spacing w:after="0" w:line="149" w:lineRule="exact"/>
              <w:rPr>
                <w:sz w:val="20"/>
                <w:szCs w:val="20"/>
                <w:color w:val="auto"/>
              </w:rPr>
            </w:pPr>
            <w:r>
              <w:rPr>
                <w:rFonts w:ascii="Arial" w:cs="Arial" w:eastAsia="Arial" w:hAnsi="Arial"/>
                <w:sz w:val="14"/>
                <w:szCs w:val="14"/>
                <w:color w:val="auto"/>
              </w:rPr>
              <w:t>Fair market value adjustment to Intel inventory sold</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(15,359)</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w w:val="96"/>
              </w:rPr>
              <w:t>(109,262)</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(37,593)</w:t>
            </w:r>
          </w:p>
        </w:tc>
        <w:tc>
          <w:tcPr>
            <w:tcW w:w="0" w:type="dxa"/>
            <w:vAlign w:val="bottom"/>
          </w:tcPr>
          <w:p>
            <w:pPr>
              <w:spacing w:after="0"/>
              <w:rPr>
                <w:sz w:val="1"/>
                <w:szCs w:val="1"/>
                <w:color w:val="auto"/>
              </w:rPr>
            </w:pPr>
          </w:p>
        </w:tc>
      </w:tr>
      <w:tr>
        <w:trPr>
          <w:trHeight w:val="149"/>
        </w:trPr>
        <w:tc>
          <w:tcPr>
            <w:tcW w:w="8520" w:type="dxa"/>
            <w:vAlign w:val="bottom"/>
          </w:tcPr>
          <w:p>
            <w:pPr>
              <w:ind w:left="880"/>
              <w:spacing w:after="0" w:line="149" w:lineRule="exact"/>
              <w:rPr>
                <w:sz w:val="20"/>
                <w:szCs w:val="20"/>
                <w:color w:val="auto"/>
              </w:rPr>
            </w:pPr>
            <w:r>
              <w:rPr>
                <w:rFonts w:ascii="Arial" w:cs="Arial" w:eastAsia="Arial" w:hAnsi="Arial"/>
                <w:sz w:val="14"/>
                <w:szCs w:val="14"/>
                <w:color w:val="auto"/>
              </w:rPr>
              <w:t>Termination of supply contract</w:t>
            </w:r>
          </w:p>
        </w:tc>
        <w:tc>
          <w:tcPr>
            <w:tcW w:w="140" w:type="dxa"/>
            <w:vAlign w:val="bottom"/>
          </w:tcPr>
          <w:p>
            <w:pPr>
              <w:spacing w:after="0"/>
              <w:rPr>
                <w:sz w:val="12"/>
                <w:szCs w:val="12"/>
                <w:color w:val="auto"/>
              </w:rPr>
            </w:pP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(22,069)</w:t>
            </w:r>
          </w:p>
        </w:tc>
        <w:tc>
          <w:tcPr>
            <w:tcW w:w="140" w:type="dxa"/>
            <w:vAlign w:val="bottom"/>
          </w:tcPr>
          <w:p>
            <w:pPr>
              <w:spacing w:after="0"/>
              <w:rPr>
                <w:sz w:val="12"/>
                <w:szCs w:val="12"/>
                <w:color w:val="auto"/>
              </w:rPr>
            </w:pPr>
          </w:p>
        </w:tc>
        <w:tc>
          <w:tcPr>
            <w:tcW w:w="6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880"/>
              <w:spacing w:after="0" w:line="149" w:lineRule="exact"/>
              <w:rPr>
                <w:sz w:val="20"/>
                <w:szCs w:val="20"/>
                <w:color w:val="auto"/>
              </w:rPr>
            </w:pPr>
            <w:r>
              <w:rPr>
                <w:rFonts w:ascii="Arial" w:cs="Arial" w:eastAsia="Arial" w:hAnsi="Arial"/>
                <w:sz w:val="14"/>
                <w:szCs w:val="14"/>
                <w:color w:val="auto"/>
              </w:rPr>
              <w:t>Interest expense related to supply contract</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5,833</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8520" w:type="dxa"/>
            <w:vAlign w:val="bottom"/>
          </w:tcPr>
          <w:p>
            <w:pPr>
              <w:ind w:left="880"/>
              <w:spacing w:after="0" w:line="149" w:lineRule="exact"/>
              <w:rPr>
                <w:sz w:val="20"/>
                <w:szCs w:val="20"/>
                <w:color w:val="auto"/>
              </w:rPr>
            </w:pPr>
            <w:r>
              <w:rPr>
                <w:rFonts w:ascii="Arial" w:cs="Arial" w:eastAsia="Arial" w:hAnsi="Arial"/>
                <w:sz w:val="14"/>
                <w:szCs w:val="14"/>
                <w:color w:val="auto"/>
              </w:rPr>
              <w:t>Gain from disposal of assets</w:t>
            </w:r>
          </w:p>
        </w:tc>
        <w:tc>
          <w:tcPr>
            <w:tcW w:w="140" w:type="dxa"/>
            <w:vAlign w:val="bottom"/>
          </w:tcPr>
          <w:p>
            <w:pPr>
              <w:spacing w:after="0"/>
              <w:rPr>
                <w:sz w:val="12"/>
                <w:szCs w:val="12"/>
                <w:color w:val="auto"/>
              </w:rPr>
            </w:pP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(1,822)</w:t>
            </w:r>
          </w:p>
        </w:tc>
        <w:tc>
          <w:tcPr>
            <w:tcW w:w="140" w:type="dxa"/>
            <w:vAlign w:val="bottom"/>
          </w:tcPr>
          <w:p>
            <w:pPr>
              <w:spacing w:after="0"/>
              <w:rPr>
                <w:sz w:val="12"/>
                <w:szCs w:val="12"/>
                <w:color w:val="auto"/>
              </w:rPr>
            </w:pPr>
          </w:p>
        </w:tc>
        <w:tc>
          <w:tcPr>
            <w:tcW w:w="6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880"/>
              <w:spacing w:after="0" w:line="149" w:lineRule="exact"/>
              <w:rPr>
                <w:sz w:val="20"/>
                <w:szCs w:val="20"/>
                <w:color w:val="auto"/>
              </w:rPr>
            </w:pPr>
            <w:r>
              <w:rPr>
                <w:rFonts w:ascii="Arial" w:cs="Arial" w:eastAsia="Arial" w:hAnsi="Arial"/>
                <w:sz w:val="14"/>
                <w:szCs w:val="14"/>
                <w:color w:val="auto"/>
              </w:rPr>
              <w:t>Deferred tax provision</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(17,468)</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(13,783)</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(2,224)</w:t>
            </w:r>
          </w:p>
        </w:tc>
        <w:tc>
          <w:tcPr>
            <w:tcW w:w="0" w:type="dxa"/>
            <w:vAlign w:val="bottom"/>
          </w:tcPr>
          <w:p>
            <w:pPr>
              <w:spacing w:after="0"/>
              <w:rPr>
                <w:sz w:val="1"/>
                <w:szCs w:val="1"/>
                <w:color w:val="auto"/>
              </w:rPr>
            </w:pPr>
          </w:p>
        </w:tc>
      </w:tr>
      <w:tr>
        <w:trPr>
          <w:trHeight w:val="149"/>
        </w:trPr>
        <w:tc>
          <w:tcPr>
            <w:tcW w:w="8520" w:type="dxa"/>
            <w:vAlign w:val="bottom"/>
          </w:tcPr>
          <w:p>
            <w:pPr>
              <w:ind w:left="880"/>
              <w:spacing w:after="0" w:line="149" w:lineRule="exact"/>
              <w:rPr>
                <w:sz w:val="20"/>
                <w:szCs w:val="20"/>
                <w:color w:val="auto"/>
              </w:rPr>
            </w:pPr>
            <w:r>
              <w:rPr>
                <w:rFonts w:ascii="Arial" w:cs="Arial" w:eastAsia="Arial" w:hAnsi="Arial"/>
                <w:sz w:val="14"/>
                <w:szCs w:val="14"/>
                <w:color w:val="auto"/>
              </w:rPr>
              <w:t>Excess tax benefits from stock-based compensation</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(365)</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(278)</w:t>
            </w:r>
          </w:p>
        </w:tc>
        <w:tc>
          <w:tcPr>
            <w:tcW w:w="140" w:type="dxa"/>
            <w:vAlign w:val="bottom"/>
          </w:tcPr>
          <w:p>
            <w:pPr>
              <w:spacing w:after="0"/>
              <w:rPr>
                <w:sz w:val="12"/>
                <w:szCs w:val="12"/>
                <w:color w:val="auto"/>
              </w:rPr>
            </w:pPr>
          </w:p>
        </w:tc>
        <w:tc>
          <w:tcPr>
            <w:tcW w:w="6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(889)</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880"/>
              <w:spacing w:after="0" w:line="149" w:lineRule="exact"/>
              <w:rPr>
                <w:sz w:val="20"/>
                <w:szCs w:val="20"/>
                <w:color w:val="auto"/>
              </w:rPr>
            </w:pPr>
            <w:r>
              <w:rPr>
                <w:rFonts w:ascii="Arial" w:cs="Arial" w:eastAsia="Arial" w:hAnsi="Arial"/>
                <w:sz w:val="14"/>
                <w:szCs w:val="14"/>
                <w:color w:val="auto"/>
              </w:rPr>
              <w:t>Changes in assets and liabilities, net of assets acquired and liabilities assumed in acquisitions:</w:t>
            </w: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8520" w:type="dxa"/>
            <w:vAlign w:val="bottom"/>
          </w:tcPr>
          <w:p>
            <w:pPr>
              <w:ind w:left="1300"/>
              <w:spacing w:after="0" w:line="149" w:lineRule="exact"/>
              <w:rPr>
                <w:sz w:val="20"/>
                <w:szCs w:val="20"/>
                <w:color w:val="auto"/>
              </w:rPr>
            </w:pPr>
            <w:r>
              <w:rPr>
                <w:rFonts w:ascii="Arial" w:cs="Arial" w:eastAsia="Arial" w:hAnsi="Arial"/>
                <w:sz w:val="14"/>
                <w:szCs w:val="14"/>
                <w:color w:val="auto"/>
              </w:rPr>
              <w:t>Restricted cash</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(24,500)</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1300"/>
              <w:spacing w:after="0" w:line="149" w:lineRule="exact"/>
              <w:rPr>
                <w:sz w:val="20"/>
                <w:szCs w:val="20"/>
                <w:color w:val="auto"/>
              </w:rPr>
            </w:pPr>
            <w:r>
              <w:rPr>
                <w:rFonts w:ascii="Arial" w:cs="Arial" w:eastAsia="Arial" w:hAnsi="Arial"/>
                <w:sz w:val="14"/>
                <w:szCs w:val="14"/>
                <w:color w:val="auto"/>
              </w:rPr>
              <w:t>Accounts receivable</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109,919</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(1,763)</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(83,100)</w:t>
            </w:r>
          </w:p>
        </w:tc>
        <w:tc>
          <w:tcPr>
            <w:tcW w:w="0" w:type="dxa"/>
            <w:vAlign w:val="bottom"/>
          </w:tcPr>
          <w:p>
            <w:pPr>
              <w:spacing w:after="0"/>
              <w:rPr>
                <w:sz w:val="1"/>
                <w:szCs w:val="1"/>
                <w:color w:val="auto"/>
              </w:rPr>
            </w:pPr>
          </w:p>
        </w:tc>
      </w:tr>
      <w:tr>
        <w:trPr>
          <w:trHeight w:val="149"/>
        </w:trPr>
        <w:tc>
          <w:tcPr>
            <w:tcW w:w="8520" w:type="dxa"/>
            <w:vAlign w:val="bottom"/>
          </w:tcPr>
          <w:p>
            <w:pPr>
              <w:ind w:left="1300"/>
              <w:spacing w:after="0" w:line="149" w:lineRule="exact"/>
              <w:rPr>
                <w:sz w:val="20"/>
                <w:szCs w:val="20"/>
                <w:color w:val="auto"/>
              </w:rPr>
            </w:pPr>
            <w:r>
              <w:rPr>
                <w:rFonts w:ascii="Arial" w:cs="Arial" w:eastAsia="Arial" w:hAnsi="Arial"/>
                <w:sz w:val="14"/>
                <w:szCs w:val="14"/>
                <w:color w:val="auto"/>
              </w:rPr>
              <w:t>Inventories</w:t>
            </w:r>
          </w:p>
        </w:tc>
        <w:tc>
          <w:tcPr>
            <w:tcW w:w="140" w:type="dxa"/>
            <w:vAlign w:val="bottom"/>
          </w:tcPr>
          <w:p>
            <w:pPr>
              <w:spacing w:after="0"/>
              <w:rPr>
                <w:sz w:val="12"/>
                <w:szCs w:val="12"/>
                <w:color w:val="auto"/>
              </w:rPr>
            </w:pPr>
          </w:p>
        </w:tc>
        <w:tc>
          <w:tcPr>
            <w:tcW w:w="7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126,938</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w w:val="96"/>
              </w:rPr>
              <w:t>(202,275)</w:t>
            </w:r>
          </w:p>
        </w:tc>
        <w:tc>
          <w:tcPr>
            <w:tcW w:w="140" w:type="dxa"/>
            <w:vAlign w:val="bottom"/>
          </w:tcPr>
          <w:p>
            <w:pPr>
              <w:spacing w:after="0"/>
              <w:rPr>
                <w:sz w:val="12"/>
                <w:szCs w:val="12"/>
                <w:color w:val="auto"/>
              </w:rPr>
            </w:pPr>
          </w:p>
        </w:tc>
        <w:tc>
          <w:tcPr>
            <w:tcW w:w="6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(15,908)</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1300"/>
              <w:spacing w:after="0" w:line="149" w:lineRule="exact"/>
              <w:rPr>
                <w:sz w:val="20"/>
                <w:szCs w:val="20"/>
                <w:color w:val="auto"/>
              </w:rPr>
            </w:pPr>
            <w:r>
              <w:rPr>
                <w:rFonts w:ascii="Arial" w:cs="Arial" w:eastAsia="Arial" w:hAnsi="Arial"/>
                <w:sz w:val="14"/>
                <w:szCs w:val="14"/>
                <w:color w:val="auto"/>
              </w:rPr>
              <w:t>Prepaid expenses and other assets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63,476</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108,321</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(113,159)</w:t>
            </w:r>
          </w:p>
        </w:tc>
        <w:tc>
          <w:tcPr>
            <w:tcW w:w="0" w:type="dxa"/>
            <w:vAlign w:val="bottom"/>
          </w:tcPr>
          <w:p>
            <w:pPr>
              <w:spacing w:after="0"/>
              <w:rPr>
                <w:sz w:val="1"/>
                <w:szCs w:val="1"/>
                <w:color w:val="auto"/>
              </w:rPr>
            </w:pPr>
          </w:p>
        </w:tc>
      </w:tr>
      <w:tr>
        <w:trPr>
          <w:trHeight w:val="149"/>
        </w:trPr>
        <w:tc>
          <w:tcPr>
            <w:tcW w:w="8520" w:type="dxa"/>
            <w:vAlign w:val="bottom"/>
          </w:tcPr>
          <w:p>
            <w:pPr>
              <w:ind w:left="1300"/>
              <w:spacing w:after="0" w:line="149" w:lineRule="exact"/>
              <w:rPr>
                <w:sz w:val="20"/>
                <w:szCs w:val="20"/>
                <w:color w:val="auto"/>
              </w:rPr>
            </w:pPr>
            <w:r>
              <w:rPr>
                <w:rFonts w:ascii="Arial" w:cs="Arial" w:eastAsia="Arial" w:hAnsi="Arial"/>
                <w:sz w:val="14"/>
                <w:szCs w:val="14"/>
                <w:color w:val="auto"/>
              </w:rPr>
              <w:t>Accounts payable</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(88,795)</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(8,187)</w:t>
            </w:r>
          </w:p>
        </w:tc>
        <w:tc>
          <w:tcPr>
            <w:tcW w:w="14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43,891</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1300"/>
              <w:spacing w:after="0" w:line="149" w:lineRule="exact"/>
              <w:rPr>
                <w:sz w:val="20"/>
                <w:szCs w:val="20"/>
                <w:color w:val="auto"/>
              </w:rPr>
            </w:pPr>
            <w:r>
              <w:rPr>
                <w:rFonts w:ascii="Arial" w:cs="Arial" w:eastAsia="Arial" w:hAnsi="Arial"/>
                <w:sz w:val="14"/>
                <w:szCs w:val="14"/>
                <w:color w:val="auto"/>
              </w:rPr>
              <w:t>Accrued liabilities and other</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(36,708)</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10,880</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29,804</w:t>
            </w:r>
          </w:p>
        </w:tc>
        <w:tc>
          <w:tcPr>
            <w:tcW w:w="0" w:type="dxa"/>
            <w:vAlign w:val="bottom"/>
          </w:tcPr>
          <w:p>
            <w:pPr>
              <w:spacing w:after="0"/>
              <w:rPr>
                <w:sz w:val="1"/>
                <w:szCs w:val="1"/>
                <w:color w:val="auto"/>
              </w:rPr>
            </w:pPr>
          </w:p>
        </w:tc>
      </w:tr>
      <w:tr>
        <w:trPr>
          <w:trHeight w:val="149"/>
        </w:trPr>
        <w:tc>
          <w:tcPr>
            <w:tcW w:w="8520" w:type="dxa"/>
            <w:vAlign w:val="bottom"/>
          </w:tcPr>
          <w:p>
            <w:pPr>
              <w:ind w:left="1300"/>
              <w:spacing w:after="0" w:line="149" w:lineRule="exact"/>
              <w:rPr>
                <w:sz w:val="20"/>
                <w:szCs w:val="20"/>
                <w:color w:val="auto"/>
              </w:rPr>
            </w:pPr>
            <w:r>
              <w:rPr>
                <w:rFonts w:ascii="Arial" w:cs="Arial" w:eastAsia="Arial" w:hAnsi="Arial"/>
                <w:sz w:val="14"/>
                <w:szCs w:val="14"/>
                <w:color w:val="auto"/>
              </w:rPr>
              <w:t>Accrued employee compensation</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(26,956)</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00"/>
              <w:spacing w:after="0" w:line="149" w:lineRule="exact"/>
              <w:rPr>
                <w:sz w:val="20"/>
                <w:szCs w:val="20"/>
                <w:color w:val="auto"/>
              </w:rPr>
            </w:pPr>
            <w:r>
              <w:rPr>
                <w:rFonts w:ascii="Arial" w:cs="Arial" w:eastAsia="Arial" w:hAnsi="Arial"/>
                <w:sz w:val="14"/>
                <w:szCs w:val="14"/>
                <w:color w:val="auto"/>
              </w:rPr>
              <w:t>8,852</w:t>
            </w:r>
          </w:p>
        </w:tc>
        <w:tc>
          <w:tcPr>
            <w:tcW w:w="14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33,484</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1300"/>
              <w:spacing w:after="0" w:line="149" w:lineRule="exact"/>
              <w:rPr>
                <w:sz w:val="20"/>
                <w:szCs w:val="20"/>
                <w:color w:val="auto"/>
              </w:rPr>
            </w:pPr>
            <w:r>
              <w:rPr>
                <w:rFonts w:ascii="Arial" w:cs="Arial" w:eastAsia="Arial" w:hAnsi="Arial"/>
                <w:sz w:val="14"/>
                <w:szCs w:val="14"/>
                <w:color w:val="auto"/>
              </w:rPr>
              <w:t>Income taxes payable</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11,507</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1,845</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30,192</w:t>
            </w:r>
          </w:p>
        </w:tc>
        <w:tc>
          <w:tcPr>
            <w:tcW w:w="0" w:type="dxa"/>
            <w:vAlign w:val="bottom"/>
          </w:tcPr>
          <w:p>
            <w:pPr>
              <w:spacing w:after="0"/>
              <w:rPr>
                <w:sz w:val="1"/>
                <w:szCs w:val="1"/>
                <w:color w:val="auto"/>
              </w:rPr>
            </w:pPr>
          </w:p>
        </w:tc>
      </w:tr>
      <w:tr>
        <w:trPr>
          <w:trHeight w:val="149"/>
        </w:trPr>
        <w:tc>
          <w:tcPr>
            <w:tcW w:w="8520" w:type="dxa"/>
            <w:vAlign w:val="bottom"/>
          </w:tcPr>
          <w:p>
            <w:pPr>
              <w:ind w:left="1300"/>
              <w:spacing w:after="0" w:line="149" w:lineRule="exact"/>
              <w:rPr>
                <w:sz w:val="20"/>
                <w:szCs w:val="20"/>
                <w:color w:val="auto"/>
              </w:rPr>
            </w:pPr>
            <w:r>
              <w:rPr>
                <w:rFonts w:ascii="Arial" w:cs="Arial" w:eastAsia="Arial" w:hAnsi="Arial"/>
                <w:sz w:val="14"/>
                <w:szCs w:val="14"/>
                <w:color w:val="auto"/>
              </w:rPr>
              <w:t>Deferred income</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(11,525)</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00"/>
              <w:spacing w:after="0" w:line="149" w:lineRule="exact"/>
              <w:rPr>
                <w:sz w:val="20"/>
                <w:szCs w:val="20"/>
                <w:color w:val="auto"/>
              </w:rPr>
            </w:pPr>
            <w:r>
              <w:rPr>
                <w:rFonts w:ascii="Arial" w:cs="Arial" w:eastAsia="Arial" w:hAnsi="Arial"/>
                <w:sz w:val="14"/>
                <w:szCs w:val="14"/>
                <w:color w:val="auto"/>
              </w:rPr>
              <w:t>22,961</w:t>
            </w:r>
          </w:p>
        </w:tc>
        <w:tc>
          <w:tcPr>
            <w:tcW w:w="14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16,686</w:t>
            </w:r>
          </w:p>
        </w:tc>
        <w:tc>
          <w:tcPr>
            <w:tcW w:w="0" w:type="dxa"/>
            <w:vAlign w:val="bottom"/>
          </w:tcPr>
          <w:p>
            <w:pPr>
              <w:spacing w:after="0"/>
              <w:rPr>
                <w:sz w:val="1"/>
                <w:szCs w:val="1"/>
                <w:color w:val="auto"/>
              </w:rPr>
            </w:pPr>
          </w:p>
        </w:tc>
      </w:tr>
      <w:tr>
        <w:trPr>
          <w:trHeight w:val="27"/>
        </w:trPr>
        <w:tc>
          <w:tcPr>
            <w:tcW w:w="85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8520" w:type="dxa"/>
            <w:vAlign w:val="bottom"/>
            <w:shd w:val="clear" w:color="auto" w:fill="CCEEFF"/>
          </w:tcPr>
          <w:p>
            <w:pPr>
              <w:ind w:left="1740"/>
              <w:spacing w:after="0" w:line="149" w:lineRule="exact"/>
              <w:rPr>
                <w:sz w:val="20"/>
                <w:szCs w:val="20"/>
                <w:color w:val="auto"/>
              </w:rPr>
            </w:pPr>
            <w:r>
              <w:rPr>
                <w:rFonts w:ascii="Arial" w:cs="Arial" w:eastAsia="Arial" w:hAnsi="Arial"/>
                <w:sz w:val="14"/>
                <w:szCs w:val="14"/>
                <w:color w:val="auto"/>
              </w:rPr>
              <w:t>Net cash provided by operating activities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680,685</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177,352</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337,311</w:t>
            </w:r>
          </w:p>
        </w:tc>
        <w:tc>
          <w:tcPr>
            <w:tcW w:w="0" w:type="dxa"/>
            <w:vAlign w:val="bottom"/>
          </w:tcPr>
          <w:p>
            <w:pPr>
              <w:spacing w:after="0"/>
              <w:rPr>
                <w:sz w:val="1"/>
                <w:szCs w:val="1"/>
                <w:color w:val="auto"/>
              </w:rPr>
            </w:pPr>
          </w:p>
        </w:tc>
      </w:tr>
      <w:tr>
        <w:trPr>
          <w:trHeight w:val="156"/>
        </w:trPr>
        <w:tc>
          <w:tcPr>
            <w:tcW w:w="8520" w:type="dxa"/>
            <w:vAlign w:val="bottom"/>
          </w:tcPr>
          <w:p>
            <w:pPr>
              <w:spacing w:after="0" w:line="155" w:lineRule="exact"/>
              <w:rPr>
                <w:sz w:val="20"/>
                <w:szCs w:val="20"/>
                <w:color w:val="auto"/>
              </w:rPr>
            </w:pPr>
            <w:r>
              <w:rPr>
                <w:rFonts w:ascii="Arial" w:cs="Arial" w:eastAsia="Arial" w:hAnsi="Arial"/>
                <w:sz w:val="14"/>
                <w:szCs w:val="14"/>
                <w:b w:val="1"/>
                <w:bCs w:val="1"/>
                <w:color w:val="auto"/>
              </w:rPr>
              <w:t>Cash flows from investing activities:</w:t>
            </w:r>
          </w:p>
        </w:tc>
        <w:tc>
          <w:tcPr>
            <w:tcW w:w="140" w:type="dxa"/>
            <w:vAlign w:val="bottom"/>
            <w:tcBorders>
              <w:top w:val="single" w:sz="8" w:color="auto"/>
            </w:tcBorders>
          </w:tcPr>
          <w:p>
            <w:pPr>
              <w:spacing w:after="0"/>
              <w:rPr>
                <w:sz w:val="13"/>
                <w:szCs w:val="13"/>
                <w:color w:val="auto"/>
              </w:rPr>
            </w:pPr>
          </w:p>
        </w:tc>
        <w:tc>
          <w:tcPr>
            <w:tcW w:w="540" w:type="dxa"/>
            <w:vAlign w:val="bottom"/>
            <w:tcBorders>
              <w:top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540" w:type="dxa"/>
            <w:vAlign w:val="bottom"/>
            <w:tcBorders>
              <w:top w:val="single" w:sz="8" w:color="auto"/>
            </w:tcBorders>
          </w:tcPr>
          <w:p>
            <w:pPr>
              <w:spacing w:after="0"/>
              <w:rPr>
                <w:sz w:val="13"/>
                <w:szCs w:val="13"/>
                <w:color w:val="auto"/>
              </w:rPr>
            </w:pPr>
          </w:p>
        </w:tc>
        <w:tc>
          <w:tcPr>
            <w:tcW w:w="40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540" w:type="dxa"/>
            <w:vAlign w:val="bottom"/>
            <w:tcBorders>
              <w:top w:val="single" w:sz="8" w:color="auto"/>
            </w:tcBorders>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Cash paid for acquisitions, net of cash acquired</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(5,287)</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(19,987)</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(892,867)</w:t>
            </w: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Purchases of investments</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(10,172)</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w w:val="96"/>
              </w:rPr>
              <w:t>(262,886)</w:t>
            </w:r>
          </w:p>
        </w:tc>
        <w:tc>
          <w:tcPr>
            <w:tcW w:w="140" w:type="dxa"/>
            <w:vAlign w:val="bottom"/>
          </w:tcPr>
          <w:p>
            <w:pPr>
              <w:spacing w:after="0"/>
              <w:rPr>
                <w:sz w:val="12"/>
                <w:szCs w:val="12"/>
                <w:color w:val="auto"/>
              </w:rPr>
            </w:pPr>
          </w:p>
        </w:tc>
        <w:tc>
          <w:tcPr>
            <w:tcW w:w="600" w:type="dxa"/>
            <w:vAlign w:val="bottom"/>
            <w:gridSpan w:val="2"/>
          </w:tcPr>
          <w:p>
            <w:pPr>
              <w:jc w:val="right"/>
              <w:spacing w:after="0" w:line="149" w:lineRule="exact"/>
              <w:rPr>
                <w:sz w:val="20"/>
                <w:szCs w:val="20"/>
                <w:color w:val="auto"/>
              </w:rPr>
            </w:pPr>
            <w:r>
              <w:rPr>
                <w:rFonts w:ascii="Arial" w:cs="Arial" w:eastAsia="Arial" w:hAnsi="Arial"/>
                <w:sz w:val="14"/>
                <w:szCs w:val="14"/>
                <w:color w:val="auto"/>
                <w:w w:val="96"/>
              </w:rPr>
              <w:t>(266,938)</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Sales and maturities of short-term and long-term investments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29,181</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230,906</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812,831</w:t>
            </w: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Purchases of equity investments and loans advanced</w:t>
            </w:r>
          </w:p>
        </w:tc>
        <w:tc>
          <w:tcPr>
            <w:tcW w:w="140" w:type="dxa"/>
            <w:vAlign w:val="bottom"/>
          </w:tcPr>
          <w:p>
            <w:pPr>
              <w:spacing w:after="0"/>
              <w:rPr>
                <w:sz w:val="12"/>
                <w:szCs w:val="12"/>
                <w:color w:val="auto"/>
              </w:rPr>
            </w:pP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(323)</w:t>
            </w:r>
          </w:p>
        </w:tc>
        <w:tc>
          <w:tcPr>
            <w:tcW w:w="140" w:type="dxa"/>
            <w:vAlign w:val="bottom"/>
          </w:tcPr>
          <w:p>
            <w:pPr>
              <w:spacing w:after="0"/>
              <w:rPr>
                <w:sz w:val="12"/>
                <w:szCs w:val="12"/>
                <w:color w:val="auto"/>
              </w:rPr>
            </w:pPr>
          </w:p>
        </w:tc>
        <w:tc>
          <w:tcPr>
            <w:tcW w:w="6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Acquisition related transaction costs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(1,340)</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(9,032)</w:t>
            </w: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Purchases of property and equipment</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(73,243)</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w w:val="96"/>
              </w:rPr>
              <w:t>(113,462)</w:t>
            </w:r>
          </w:p>
        </w:tc>
        <w:tc>
          <w:tcPr>
            <w:tcW w:w="140" w:type="dxa"/>
            <w:vAlign w:val="bottom"/>
          </w:tcPr>
          <w:p>
            <w:pPr>
              <w:spacing w:after="0"/>
              <w:rPr>
                <w:sz w:val="12"/>
                <w:szCs w:val="12"/>
                <w:color w:val="auto"/>
              </w:rPr>
            </w:pPr>
          </w:p>
        </w:tc>
        <w:tc>
          <w:tcPr>
            <w:tcW w:w="600" w:type="dxa"/>
            <w:vAlign w:val="bottom"/>
            <w:gridSpan w:val="2"/>
          </w:tcPr>
          <w:p>
            <w:pPr>
              <w:jc w:val="right"/>
              <w:spacing w:after="0" w:line="149" w:lineRule="exact"/>
              <w:rPr>
                <w:sz w:val="20"/>
                <w:szCs w:val="20"/>
                <w:color w:val="auto"/>
              </w:rPr>
            </w:pPr>
            <w:r>
              <w:rPr>
                <w:rFonts w:ascii="Arial" w:cs="Arial" w:eastAsia="Arial" w:hAnsi="Arial"/>
                <w:sz w:val="14"/>
                <w:szCs w:val="14"/>
                <w:color w:val="auto"/>
                <w:w w:val="96"/>
              </w:rPr>
              <w:t>(180,696)</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Proceeds from sale of asset under construction</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5,122</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Purchases of technology licenses</w:t>
            </w:r>
          </w:p>
        </w:tc>
        <w:tc>
          <w:tcPr>
            <w:tcW w:w="14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(5,200)</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(23,175)</w:t>
            </w:r>
          </w:p>
        </w:tc>
        <w:tc>
          <w:tcPr>
            <w:tcW w:w="140" w:type="dxa"/>
            <w:vAlign w:val="bottom"/>
          </w:tcPr>
          <w:p>
            <w:pPr>
              <w:spacing w:after="0"/>
              <w:rPr>
                <w:sz w:val="12"/>
                <w:szCs w:val="12"/>
                <w:color w:val="auto"/>
              </w:rPr>
            </w:pPr>
          </w:p>
        </w:tc>
        <w:tc>
          <w:tcPr>
            <w:tcW w:w="6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(8,029)</w:t>
            </w:r>
          </w:p>
        </w:tc>
        <w:tc>
          <w:tcPr>
            <w:tcW w:w="0" w:type="dxa"/>
            <w:vAlign w:val="bottom"/>
          </w:tcPr>
          <w:p>
            <w:pPr>
              <w:spacing w:after="0"/>
              <w:rPr>
                <w:sz w:val="1"/>
                <w:szCs w:val="1"/>
                <w:color w:val="auto"/>
              </w:rPr>
            </w:pPr>
          </w:p>
        </w:tc>
      </w:tr>
      <w:tr>
        <w:trPr>
          <w:trHeight w:val="27"/>
        </w:trPr>
        <w:tc>
          <w:tcPr>
            <w:tcW w:w="85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8520" w:type="dxa"/>
            <w:vAlign w:val="bottom"/>
            <w:shd w:val="clear" w:color="auto" w:fill="CCEEFF"/>
          </w:tcPr>
          <w:p>
            <w:pPr>
              <w:ind w:left="1740"/>
              <w:spacing w:after="0" w:line="149" w:lineRule="exact"/>
              <w:rPr>
                <w:sz w:val="20"/>
                <w:szCs w:val="20"/>
                <w:color w:val="auto"/>
              </w:rPr>
            </w:pPr>
            <w:r>
              <w:rPr>
                <w:rFonts w:ascii="Arial" w:cs="Arial" w:eastAsia="Arial" w:hAnsi="Arial"/>
                <w:sz w:val="14"/>
                <w:szCs w:val="14"/>
                <w:color w:val="auto"/>
              </w:rPr>
              <w:t>Net cash used in investing activities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(64,721)</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w w:val="96"/>
              </w:rPr>
              <w:t>(185,145)</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(544,731)</w:t>
            </w:r>
          </w:p>
        </w:tc>
        <w:tc>
          <w:tcPr>
            <w:tcW w:w="0" w:type="dxa"/>
            <w:vAlign w:val="bottom"/>
          </w:tcPr>
          <w:p>
            <w:pPr>
              <w:spacing w:after="0"/>
              <w:rPr>
                <w:sz w:val="1"/>
                <w:szCs w:val="1"/>
                <w:color w:val="auto"/>
              </w:rPr>
            </w:pPr>
          </w:p>
        </w:tc>
      </w:tr>
      <w:tr>
        <w:trPr>
          <w:trHeight w:val="156"/>
        </w:trPr>
        <w:tc>
          <w:tcPr>
            <w:tcW w:w="8520" w:type="dxa"/>
            <w:vAlign w:val="bottom"/>
          </w:tcPr>
          <w:p>
            <w:pPr>
              <w:spacing w:after="0" w:line="155" w:lineRule="exact"/>
              <w:rPr>
                <w:sz w:val="20"/>
                <w:szCs w:val="20"/>
                <w:color w:val="auto"/>
              </w:rPr>
            </w:pPr>
            <w:r>
              <w:rPr>
                <w:rFonts w:ascii="Arial" w:cs="Arial" w:eastAsia="Arial" w:hAnsi="Arial"/>
                <w:sz w:val="14"/>
                <w:szCs w:val="14"/>
                <w:b w:val="1"/>
                <w:bCs w:val="1"/>
                <w:color w:val="auto"/>
              </w:rPr>
              <w:t>Cash flows from financing activities:</w:t>
            </w:r>
          </w:p>
        </w:tc>
        <w:tc>
          <w:tcPr>
            <w:tcW w:w="140" w:type="dxa"/>
            <w:vAlign w:val="bottom"/>
            <w:tcBorders>
              <w:top w:val="single" w:sz="8" w:color="auto"/>
            </w:tcBorders>
          </w:tcPr>
          <w:p>
            <w:pPr>
              <w:spacing w:after="0"/>
              <w:rPr>
                <w:sz w:val="13"/>
                <w:szCs w:val="13"/>
                <w:color w:val="auto"/>
              </w:rPr>
            </w:pPr>
          </w:p>
        </w:tc>
        <w:tc>
          <w:tcPr>
            <w:tcW w:w="540" w:type="dxa"/>
            <w:vAlign w:val="bottom"/>
            <w:tcBorders>
              <w:top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540" w:type="dxa"/>
            <w:vAlign w:val="bottom"/>
            <w:tcBorders>
              <w:top w:val="single" w:sz="8" w:color="auto"/>
            </w:tcBorders>
          </w:tcPr>
          <w:p>
            <w:pPr>
              <w:spacing w:after="0"/>
              <w:rPr>
                <w:sz w:val="13"/>
                <w:szCs w:val="13"/>
                <w:color w:val="auto"/>
              </w:rPr>
            </w:pPr>
          </w:p>
        </w:tc>
        <w:tc>
          <w:tcPr>
            <w:tcW w:w="40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540" w:type="dxa"/>
            <w:vAlign w:val="bottom"/>
            <w:tcBorders>
              <w:top w:val="single" w:sz="8" w:color="auto"/>
            </w:tcBorders>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Proceeds from the issuance of common shares and cash received from Section 16 officers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92,645</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65,903</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45,645</w:t>
            </w: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Proceeds from term loan obligations</w:t>
            </w:r>
          </w:p>
        </w:tc>
        <w:tc>
          <w:tcPr>
            <w:tcW w:w="140" w:type="dxa"/>
            <w:vAlign w:val="bottom"/>
          </w:tcPr>
          <w:p>
            <w:pPr>
              <w:spacing w:after="0"/>
              <w:rPr>
                <w:sz w:val="12"/>
                <w:szCs w:val="12"/>
                <w:color w:val="auto"/>
              </w:rPr>
            </w:pP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400,000</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Principal payments on capital lease and term loan obligations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6"/>
              </w:rPr>
              <w:t>(397,213)</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(10,748)</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(19,537)</w:t>
            </w: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Excess tax benefits from stock-based compensation</w:t>
            </w:r>
          </w:p>
        </w:tc>
        <w:tc>
          <w:tcPr>
            <w:tcW w:w="140" w:type="dxa"/>
            <w:vAlign w:val="bottom"/>
          </w:tcPr>
          <w:p>
            <w:pPr>
              <w:spacing w:after="0"/>
              <w:rPr>
                <w:sz w:val="12"/>
                <w:szCs w:val="12"/>
                <w:color w:val="auto"/>
              </w:rPr>
            </w:pPr>
          </w:p>
        </w:tc>
        <w:tc>
          <w:tcPr>
            <w:tcW w:w="7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365</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400"/>
              <w:spacing w:after="0" w:line="149" w:lineRule="exact"/>
              <w:rPr>
                <w:sz w:val="20"/>
                <w:szCs w:val="20"/>
                <w:color w:val="auto"/>
              </w:rPr>
            </w:pPr>
            <w:r>
              <w:rPr>
                <w:rFonts w:ascii="Arial" w:cs="Arial" w:eastAsia="Arial" w:hAnsi="Arial"/>
                <w:sz w:val="14"/>
                <w:szCs w:val="14"/>
                <w:color w:val="auto"/>
              </w:rPr>
              <w:t>278</w:t>
            </w:r>
          </w:p>
        </w:tc>
        <w:tc>
          <w:tcPr>
            <w:tcW w:w="140" w:type="dxa"/>
            <w:vAlign w:val="bottom"/>
          </w:tcPr>
          <w:p>
            <w:pPr>
              <w:spacing w:after="0"/>
              <w:rPr>
                <w:sz w:val="12"/>
                <w:szCs w:val="12"/>
                <w:color w:val="auto"/>
              </w:rPr>
            </w:pP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889</w:t>
            </w:r>
          </w:p>
        </w:tc>
        <w:tc>
          <w:tcPr>
            <w:tcW w:w="0" w:type="dxa"/>
            <w:vAlign w:val="bottom"/>
          </w:tcPr>
          <w:p>
            <w:pPr>
              <w:spacing w:after="0"/>
              <w:rPr>
                <w:sz w:val="1"/>
                <w:szCs w:val="1"/>
                <w:color w:val="auto"/>
              </w:rPr>
            </w:pPr>
          </w:p>
        </w:tc>
      </w:tr>
      <w:tr>
        <w:trPr>
          <w:trHeight w:val="27"/>
        </w:trPr>
        <w:tc>
          <w:tcPr>
            <w:tcW w:w="85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8520" w:type="dxa"/>
            <w:vAlign w:val="bottom"/>
            <w:shd w:val="clear" w:color="auto" w:fill="CCEEFF"/>
          </w:tcPr>
          <w:p>
            <w:pPr>
              <w:ind w:left="1740"/>
              <w:spacing w:after="0" w:line="149" w:lineRule="exact"/>
              <w:rPr>
                <w:sz w:val="20"/>
                <w:szCs w:val="20"/>
                <w:color w:val="auto"/>
              </w:rPr>
            </w:pPr>
            <w:r>
              <w:rPr>
                <w:rFonts w:ascii="Arial" w:cs="Arial" w:eastAsia="Arial" w:hAnsi="Arial"/>
                <w:sz w:val="14"/>
                <w:szCs w:val="14"/>
                <w:color w:val="auto"/>
              </w:rPr>
              <w:t>Net cash (used in) provided by financing activities</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6"/>
              </w:rPr>
              <w:t>(304,203)</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55,433</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426,997</w:t>
            </w:r>
          </w:p>
        </w:tc>
        <w:tc>
          <w:tcPr>
            <w:tcW w:w="0" w:type="dxa"/>
            <w:vAlign w:val="bottom"/>
          </w:tcPr>
          <w:p>
            <w:pPr>
              <w:spacing w:after="0"/>
              <w:rPr>
                <w:sz w:val="1"/>
                <w:szCs w:val="1"/>
                <w:color w:val="auto"/>
              </w:rPr>
            </w:pPr>
          </w:p>
        </w:tc>
      </w:tr>
      <w:tr>
        <w:trPr>
          <w:trHeight w:val="20"/>
        </w:trPr>
        <w:tc>
          <w:tcPr>
            <w:tcW w:w="8520" w:type="dxa"/>
            <w:vAlign w:val="bottom"/>
            <w:vMerge w:val="restart"/>
          </w:tcPr>
          <w:p>
            <w:pPr>
              <w:spacing w:after="0"/>
              <w:rPr>
                <w:sz w:val="20"/>
                <w:szCs w:val="20"/>
                <w:color w:val="auto"/>
              </w:rPr>
            </w:pPr>
            <w:r>
              <w:rPr>
                <w:rFonts w:ascii="Arial" w:cs="Arial" w:eastAsia="Arial" w:hAnsi="Arial"/>
                <w:sz w:val="14"/>
                <w:szCs w:val="14"/>
                <w:color w:val="auto"/>
              </w:rPr>
              <w:t>Net increase in cash and cash equivalents</w:t>
            </w: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8520" w:type="dxa"/>
            <w:vAlign w:val="bottom"/>
            <w:vMerge w:val="continue"/>
          </w:tcPr>
          <w:p>
            <w:pPr>
              <w:spacing w:after="0"/>
              <w:rPr>
                <w:sz w:val="13"/>
                <w:szCs w:val="13"/>
                <w:color w:val="auto"/>
              </w:rPr>
            </w:pPr>
          </w:p>
        </w:tc>
        <w:tc>
          <w:tcPr>
            <w:tcW w:w="140" w:type="dxa"/>
            <w:vAlign w:val="bottom"/>
          </w:tcPr>
          <w:p>
            <w:pPr>
              <w:spacing w:after="0"/>
              <w:rPr>
                <w:sz w:val="13"/>
                <w:szCs w:val="13"/>
                <w:color w:val="auto"/>
              </w:rPr>
            </w:pPr>
          </w:p>
        </w:tc>
        <w:tc>
          <w:tcPr>
            <w:tcW w:w="720" w:type="dxa"/>
            <w:vAlign w:val="bottom"/>
            <w:gridSpan w:val="2"/>
          </w:tcPr>
          <w:p>
            <w:pPr>
              <w:jc w:val="right"/>
              <w:ind w:right="180"/>
              <w:spacing w:after="0" w:line="155" w:lineRule="exact"/>
              <w:rPr>
                <w:sz w:val="20"/>
                <w:szCs w:val="20"/>
                <w:color w:val="auto"/>
              </w:rPr>
            </w:pPr>
            <w:r>
              <w:rPr>
                <w:rFonts w:ascii="Arial" w:cs="Arial" w:eastAsia="Arial" w:hAnsi="Arial"/>
                <w:sz w:val="14"/>
                <w:szCs w:val="14"/>
                <w:color w:val="auto"/>
              </w:rPr>
              <w:t>311,761</w:t>
            </w:r>
          </w:p>
        </w:tc>
        <w:tc>
          <w:tcPr>
            <w:tcW w:w="2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940" w:type="dxa"/>
            <w:vAlign w:val="bottom"/>
            <w:gridSpan w:val="2"/>
          </w:tcPr>
          <w:p>
            <w:pPr>
              <w:jc w:val="right"/>
              <w:ind w:right="400"/>
              <w:spacing w:after="0" w:line="155" w:lineRule="exact"/>
              <w:rPr>
                <w:sz w:val="20"/>
                <w:szCs w:val="20"/>
                <w:color w:val="auto"/>
              </w:rPr>
            </w:pPr>
            <w:r>
              <w:rPr>
                <w:rFonts w:ascii="Arial" w:cs="Arial" w:eastAsia="Arial" w:hAnsi="Arial"/>
                <w:sz w:val="14"/>
                <w:szCs w:val="14"/>
                <w:color w:val="auto"/>
              </w:rPr>
              <w:t>47,640</w:t>
            </w:r>
          </w:p>
        </w:tc>
        <w:tc>
          <w:tcPr>
            <w:tcW w:w="140" w:type="dxa"/>
            <w:vAlign w:val="bottom"/>
          </w:tcPr>
          <w:p>
            <w:pPr>
              <w:spacing w:after="0"/>
              <w:rPr>
                <w:sz w:val="13"/>
                <w:szCs w:val="13"/>
                <w:color w:val="auto"/>
              </w:rPr>
            </w:pPr>
          </w:p>
        </w:tc>
        <w:tc>
          <w:tcPr>
            <w:tcW w:w="600" w:type="dxa"/>
            <w:vAlign w:val="bottom"/>
            <w:gridSpan w:val="2"/>
          </w:tcPr>
          <w:p>
            <w:pPr>
              <w:jc w:val="right"/>
              <w:ind w:right="60"/>
              <w:spacing w:after="0" w:line="155" w:lineRule="exact"/>
              <w:rPr>
                <w:sz w:val="20"/>
                <w:szCs w:val="20"/>
                <w:color w:val="auto"/>
              </w:rPr>
            </w:pPr>
            <w:r>
              <w:rPr>
                <w:rFonts w:ascii="Arial" w:cs="Arial" w:eastAsia="Arial" w:hAnsi="Arial"/>
                <w:sz w:val="14"/>
                <w:szCs w:val="14"/>
                <w:color w:val="auto"/>
              </w:rPr>
              <w:t>219,577</w:t>
            </w:r>
          </w:p>
        </w:tc>
        <w:tc>
          <w:tcPr>
            <w:tcW w:w="0" w:type="dxa"/>
            <w:vAlign w:val="bottom"/>
          </w:tcPr>
          <w:p>
            <w:pPr>
              <w:spacing w:after="0"/>
              <w:rPr>
                <w:sz w:val="1"/>
                <w:szCs w:val="1"/>
                <w:color w:val="auto"/>
              </w:rPr>
            </w:pPr>
          </w:p>
        </w:tc>
      </w:tr>
      <w:tr>
        <w:trPr>
          <w:trHeight w:val="149"/>
        </w:trPr>
        <w:tc>
          <w:tcPr>
            <w:tcW w:w="85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Cash and cash equivalents at beginning of period</w:t>
            </w:r>
          </w:p>
        </w:tc>
        <w:tc>
          <w:tcPr>
            <w:tcW w:w="14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615,648</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568,008</w:t>
            </w:r>
          </w:p>
        </w:tc>
        <w:tc>
          <w:tcPr>
            <w:tcW w:w="14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348,431</w:t>
            </w:r>
          </w:p>
        </w:tc>
        <w:tc>
          <w:tcPr>
            <w:tcW w:w="0" w:type="dxa"/>
            <w:vAlign w:val="bottom"/>
          </w:tcPr>
          <w:p>
            <w:pPr>
              <w:spacing w:after="0"/>
              <w:rPr>
                <w:sz w:val="1"/>
                <w:szCs w:val="1"/>
                <w:color w:val="auto"/>
              </w:rPr>
            </w:pPr>
          </w:p>
        </w:tc>
      </w:tr>
      <w:tr>
        <w:trPr>
          <w:trHeight w:val="20"/>
        </w:trPr>
        <w:tc>
          <w:tcPr>
            <w:tcW w:w="8520" w:type="dxa"/>
            <w:vAlign w:val="bottom"/>
            <w:vMerge w:val="restart"/>
          </w:tcPr>
          <w:p>
            <w:pPr>
              <w:spacing w:after="0"/>
              <w:rPr>
                <w:sz w:val="20"/>
                <w:szCs w:val="20"/>
                <w:color w:val="auto"/>
              </w:rPr>
            </w:pPr>
            <w:r>
              <w:rPr>
                <w:rFonts w:ascii="Arial" w:cs="Arial" w:eastAsia="Arial" w:hAnsi="Arial"/>
                <w:sz w:val="14"/>
                <w:szCs w:val="14"/>
                <w:color w:val="auto"/>
              </w:rPr>
              <w:t>Cash and cash equivalents at end of period</w:t>
            </w: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8520" w:type="dxa"/>
            <w:vAlign w:val="bottom"/>
            <w:vMerge w:val="continue"/>
          </w:tcPr>
          <w:p>
            <w:pPr>
              <w:spacing w:after="0"/>
              <w:rPr>
                <w:sz w:val="13"/>
                <w:szCs w:val="13"/>
                <w:color w:val="auto"/>
              </w:rPr>
            </w:pPr>
          </w:p>
        </w:tc>
        <w:tc>
          <w:tcPr>
            <w:tcW w:w="140" w:type="dxa"/>
            <w:vAlign w:val="bottom"/>
          </w:tcPr>
          <w:p>
            <w:pPr>
              <w:spacing w:after="0" w:line="155"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180"/>
              <w:spacing w:after="0" w:line="155" w:lineRule="exact"/>
              <w:rPr>
                <w:sz w:val="20"/>
                <w:szCs w:val="20"/>
                <w:color w:val="auto"/>
              </w:rPr>
            </w:pPr>
            <w:r>
              <w:rPr>
                <w:rFonts w:ascii="Arial" w:cs="Arial" w:eastAsia="Arial" w:hAnsi="Arial"/>
                <w:sz w:val="14"/>
                <w:szCs w:val="14"/>
                <w:color w:val="auto"/>
              </w:rPr>
              <w:t>927,409</w:t>
            </w:r>
          </w:p>
        </w:tc>
        <w:tc>
          <w:tcPr>
            <w:tcW w:w="360" w:type="dxa"/>
            <w:vAlign w:val="bottom"/>
            <w:gridSpan w:val="2"/>
          </w:tcPr>
          <w:p>
            <w:pPr>
              <w:ind w:left="220"/>
              <w:spacing w:after="0" w:line="155"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00"/>
              <w:spacing w:after="0" w:line="155" w:lineRule="exact"/>
              <w:rPr>
                <w:sz w:val="20"/>
                <w:szCs w:val="20"/>
                <w:color w:val="auto"/>
              </w:rPr>
            </w:pPr>
            <w:r>
              <w:rPr>
                <w:rFonts w:ascii="Arial" w:cs="Arial" w:eastAsia="Arial" w:hAnsi="Arial"/>
                <w:sz w:val="14"/>
                <w:szCs w:val="14"/>
                <w:color w:val="auto"/>
              </w:rPr>
              <w:t>615,648</w:t>
            </w:r>
          </w:p>
        </w:tc>
        <w:tc>
          <w:tcPr>
            <w:tcW w:w="140" w:type="dxa"/>
            <w:vAlign w:val="bottom"/>
          </w:tcPr>
          <w:p>
            <w:pPr>
              <w:spacing w:after="0" w:line="155" w:lineRule="exact"/>
              <w:rPr>
                <w:sz w:val="20"/>
                <w:szCs w:val="20"/>
                <w:color w:val="auto"/>
              </w:rPr>
            </w:pPr>
            <w:r>
              <w:rPr>
                <w:rFonts w:ascii="Arial" w:cs="Arial" w:eastAsia="Arial" w:hAnsi="Arial"/>
                <w:sz w:val="14"/>
                <w:szCs w:val="14"/>
                <w:color w:val="auto"/>
              </w:rPr>
              <w:t>$</w:t>
            </w:r>
          </w:p>
        </w:tc>
        <w:tc>
          <w:tcPr>
            <w:tcW w:w="600" w:type="dxa"/>
            <w:vAlign w:val="bottom"/>
            <w:gridSpan w:val="2"/>
          </w:tcPr>
          <w:p>
            <w:pPr>
              <w:jc w:val="right"/>
              <w:ind w:right="60"/>
              <w:spacing w:after="0" w:line="155" w:lineRule="exact"/>
              <w:rPr>
                <w:sz w:val="20"/>
                <w:szCs w:val="20"/>
                <w:color w:val="auto"/>
              </w:rPr>
            </w:pPr>
            <w:r>
              <w:rPr>
                <w:rFonts w:ascii="Arial" w:cs="Arial" w:eastAsia="Arial" w:hAnsi="Arial"/>
                <w:sz w:val="14"/>
                <w:szCs w:val="14"/>
                <w:color w:val="auto"/>
              </w:rPr>
              <w:t>568,008</w:t>
            </w:r>
          </w:p>
        </w:tc>
        <w:tc>
          <w:tcPr>
            <w:tcW w:w="0" w:type="dxa"/>
            <w:vAlign w:val="bottom"/>
          </w:tcPr>
          <w:p>
            <w:pPr>
              <w:spacing w:after="0"/>
              <w:rPr>
                <w:sz w:val="1"/>
                <w:szCs w:val="1"/>
                <w:color w:val="auto"/>
              </w:rPr>
            </w:pPr>
          </w:p>
        </w:tc>
      </w:tr>
      <w:tr>
        <w:trPr>
          <w:trHeight w:val="20"/>
        </w:trPr>
        <w:tc>
          <w:tcPr>
            <w:tcW w:w="8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8520" w:type="dxa"/>
            <w:vAlign w:val="bottom"/>
            <w:shd w:val="clear" w:color="auto" w:fill="CCEEFF"/>
          </w:tcPr>
          <w:p>
            <w:pPr>
              <w:spacing w:after="0" w:line="143" w:lineRule="exact"/>
              <w:rPr>
                <w:sz w:val="20"/>
                <w:szCs w:val="20"/>
                <w:color w:val="auto"/>
              </w:rPr>
            </w:pPr>
            <w:r>
              <w:rPr>
                <w:rFonts w:ascii="Arial" w:cs="Arial" w:eastAsia="Arial" w:hAnsi="Arial"/>
                <w:sz w:val="14"/>
                <w:szCs w:val="14"/>
                <w:b w:val="1"/>
                <w:bCs w:val="1"/>
                <w:color w:val="auto"/>
              </w:rPr>
              <w:t>Supplemental cash flow information:</w:t>
            </w: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8520" w:type="dxa"/>
            <w:vAlign w:val="bottom"/>
          </w:tcPr>
          <w:p>
            <w:pPr>
              <w:ind w:left="440"/>
              <w:spacing w:after="0" w:line="149" w:lineRule="exact"/>
              <w:rPr>
                <w:sz w:val="20"/>
                <w:szCs w:val="20"/>
                <w:color w:val="auto"/>
              </w:rPr>
            </w:pPr>
            <w:r>
              <w:rPr>
                <w:rFonts w:ascii="Arial" w:cs="Arial" w:eastAsia="Arial" w:hAnsi="Arial"/>
                <w:sz w:val="14"/>
                <w:szCs w:val="14"/>
                <w:color w:val="auto"/>
              </w:rPr>
              <w:t>Cash paid for interest</w:t>
            </w:r>
          </w:p>
        </w:tc>
        <w:tc>
          <w:tcPr>
            <w:tcW w:w="14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20,787</w:t>
            </w:r>
          </w:p>
        </w:tc>
        <w:tc>
          <w:tcPr>
            <w:tcW w:w="360" w:type="dxa"/>
            <w:vAlign w:val="bottom"/>
            <w:gridSpan w:val="2"/>
          </w:tcPr>
          <w:p>
            <w:pPr>
              <w:ind w:left="22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00"/>
              <w:spacing w:after="0" w:line="149" w:lineRule="exact"/>
              <w:rPr>
                <w:sz w:val="20"/>
                <w:szCs w:val="20"/>
                <w:color w:val="auto"/>
              </w:rPr>
            </w:pPr>
            <w:r>
              <w:rPr>
                <w:rFonts w:ascii="Arial" w:cs="Arial" w:eastAsia="Arial" w:hAnsi="Arial"/>
                <w:sz w:val="14"/>
                <w:szCs w:val="14"/>
                <w:color w:val="auto"/>
              </w:rPr>
              <w:t>41,840</w:t>
            </w:r>
          </w:p>
        </w:tc>
        <w:tc>
          <w:tcPr>
            <w:tcW w:w="14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6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6,072</w:t>
            </w:r>
          </w:p>
        </w:tc>
        <w:tc>
          <w:tcPr>
            <w:tcW w:w="0" w:type="dxa"/>
            <w:vAlign w:val="bottom"/>
          </w:tcPr>
          <w:p>
            <w:pPr>
              <w:spacing w:after="0"/>
              <w:rPr>
                <w:sz w:val="1"/>
                <w:szCs w:val="1"/>
                <w:color w:val="auto"/>
              </w:rPr>
            </w:pPr>
          </w:p>
        </w:tc>
      </w:tr>
      <w:tr>
        <w:trPr>
          <w:trHeight w:val="20"/>
        </w:trPr>
        <w:tc>
          <w:tcPr>
            <w:tcW w:w="8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8520" w:type="dxa"/>
            <w:vAlign w:val="bottom"/>
            <w:shd w:val="clear" w:color="auto" w:fill="CCEEFF"/>
          </w:tcPr>
          <w:p>
            <w:pPr>
              <w:ind w:left="440"/>
              <w:spacing w:after="0" w:line="143" w:lineRule="exact"/>
              <w:rPr>
                <w:sz w:val="20"/>
                <w:szCs w:val="20"/>
                <w:color w:val="auto"/>
              </w:rPr>
            </w:pPr>
            <w:r>
              <w:rPr>
                <w:rFonts w:ascii="Arial" w:cs="Arial" w:eastAsia="Arial" w:hAnsi="Arial"/>
                <w:sz w:val="14"/>
                <w:szCs w:val="14"/>
                <w:color w:val="auto"/>
              </w:rPr>
              <w:t>Cash paid for income taxes, net</w:t>
            </w:r>
          </w:p>
        </w:tc>
        <w:tc>
          <w:tcPr>
            <w:tcW w:w="14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80"/>
              <w:spacing w:after="0" w:line="143" w:lineRule="exact"/>
              <w:rPr>
                <w:sz w:val="20"/>
                <w:szCs w:val="20"/>
                <w:color w:val="auto"/>
              </w:rPr>
            </w:pPr>
            <w:r>
              <w:rPr>
                <w:rFonts w:ascii="Arial" w:cs="Arial" w:eastAsia="Arial" w:hAnsi="Arial"/>
                <w:sz w:val="14"/>
                <w:szCs w:val="14"/>
                <w:color w:val="auto"/>
              </w:rPr>
              <w:t>17,232</w:t>
            </w:r>
          </w:p>
        </w:tc>
        <w:tc>
          <w:tcPr>
            <w:tcW w:w="360" w:type="dxa"/>
            <w:vAlign w:val="bottom"/>
            <w:gridSpan w:val="2"/>
            <w:shd w:val="clear" w:color="auto" w:fill="CCEEFF"/>
          </w:tcPr>
          <w:p>
            <w:pPr>
              <w:ind w:left="220"/>
              <w:spacing w:after="0" w:line="143"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400"/>
              <w:spacing w:after="0" w:line="143" w:lineRule="exact"/>
              <w:rPr>
                <w:sz w:val="20"/>
                <w:szCs w:val="20"/>
                <w:color w:val="auto"/>
              </w:rPr>
            </w:pPr>
            <w:r>
              <w:rPr>
                <w:rFonts w:ascii="Arial" w:cs="Arial" w:eastAsia="Arial" w:hAnsi="Arial"/>
                <w:sz w:val="14"/>
                <w:szCs w:val="14"/>
                <w:color w:val="auto"/>
              </w:rPr>
              <w:t>16,878</w:t>
            </w:r>
          </w:p>
        </w:tc>
        <w:tc>
          <w:tcPr>
            <w:tcW w:w="14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600" w:type="dxa"/>
            <w:vAlign w:val="bottom"/>
            <w:gridSpan w:val="2"/>
            <w:shd w:val="clear" w:color="auto" w:fill="CCEEFF"/>
          </w:tcPr>
          <w:p>
            <w:pPr>
              <w:jc w:val="right"/>
              <w:ind w:right="60"/>
              <w:spacing w:after="0" w:line="143" w:lineRule="exact"/>
              <w:rPr>
                <w:sz w:val="20"/>
                <w:szCs w:val="20"/>
                <w:color w:val="auto"/>
              </w:rPr>
            </w:pPr>
            <w:r>
              <w:rPr>
                <w:rFonts w:ascii="Arial" w:cs="Arial" w:eastAsia="Arial" w:hAnsi="Arial"/>
                <w:sz w:val="14"/>
                <w:szCs w:val="14"/>
                <w:color w:val="auto"/>
              </w:rPr>
              <w:t>7,132</w:t>
            </w:r>
          </w:p>
        </w:tc>
        <w:tc>
          <w:tcPr>
            <w:tcW w:w="0" w:type="dxa"/>
            <w:vAlign w:val="bottom"/>
          </w:tcPr>
          <w:p>
            <w:pPr>
              <w:spacing w:after="0"/>
              <w:rPr>
                <w:sz w:val="1"/>
                <w:szCs w:val="1"/>
                <w:color w:val="auto"/>
              </w:rPr>
            </w:pPr>
          </w:p>
        </w:tc>
      </w:tr>
      <w:tr>
        <w:trPr>
          <w:trHeight w:val="20"/>
        </w:trPr>
        <w:tc>
          <w:tcPr>
            <w:tcW w:w="8520" w:type="dxa"/>
            <w:vAlign w:val="bottom"/>
            <w:vMerge w:val="restart"/>
          </w:tcPr>
          <w:p>
            <w:pPr>
              <w:ind w:left="440"/>
              <w:spacing w:after="0"/>
              <w:rPr>
                <w:sz w:val="20"/>
                <w:szCs w:val="20"/>
                <w:color w:val="auto"/>
              </w:rPr>
            </w:pPr>
            <w:r>
              <w:rPr>
                <w:rFonts w:ascii="Arial" w:cs="Arial" w:eastAsia="Arial" w:hAnsi="Arial"/>
                <w:sz w:val="14"/>
                <w:szCs w:val="14"/>
                <w:color w:val="auto"/>
              </w:rPr>
              <w:t>Acquisition of property and equipment under capital lease obligations</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8520" w:type="dxa"/>
            <w:vAlign w:val="bottom"/>
            <w:vMerge w:val="continue"/>
          </w:tcPr>
          <w:p>
            <w:pPr>
              <w:spacing w:after="0"/>
              <w:rPr>
                <w:sz w:val="12"/>
                <w:szCs w:val="12"/>
                <w:color w:val="auto"/>
              </w:rPr>
            </w:pPr>
          </w:p>
        </w:tc>
        <w:tc>
          <w:tcPr>
            <w:tcW w:w="140" w:type="dxa"/>
            <w:vAlign w:val="bottom"/>
          </w:tcPr>
          <w:p>
            <w:pPr>
              <w:spacing w:after="0" w:line="143"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240"/>
              <w:spacing w:after="0" w:line="143" w:lineRule="exact"/>
              <w:rPr>
                <w:sz w:val="20"/>
                <w:szCs w:val="20"/>
                <w:color w:val="auto"/>
              </w:rPr>
            </w:pPr>
            <w:r>
              <w:rPr>
                <w:rFonts w:ascii="Arial" w:cs="Arial" w:eastAsia="Arial" w:hAnsi="Arial"/>
                <w:sz w:val="14"/>
                <w:szCs w:val="14"/>
                <w:color w:val="auto"/>
              </w:rPr>
              <w:t>—</w:t>
            </w:r>
          </w:p>
        </w:tc>
        <w:tc>
          <w:tcPr>
            <w:tcW w:w="360" w:type="dxa"/>
            <w:vAlign w:val="bottom"/>
            <w:gridSpan w:val="2"/>
          </w:tcPr>
          <w:p>
            <w:pPr>
              <w:ind w:left="220"/>
              <w:spacing w:after="0" w:line="143"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460"/>
              <w:spacing w:after="0" w:line="143" w:lineRule="exact"/>
              <w:rPr>
                <w:sz w:val="20"/>
                <w:szCs w:val="20"/>
                <w:color w:val="auto"/>
              </w:rPr>
            </w:pPr>
            <w:r>
              <w:rPr>
                <w:rFonts w:ascii="Arial" w:cs="Arial" w:eastAsia="Arial" w:hAnsi="Arial"/>
                <w:sz w:val="14"/>
                <w:szCs w:val="14"/>
                <w:color w:val="auto"/>
              </w:rPr>
              <w:t>—</w:t>
            </w:r>
          </w:p>
        </w:tc>
        <w:tc>
          <w:tcPr>
            <w:tcW w:w="140" w:type="dxa"/>
            <w:vAlign w:val="bottom"/>
          </w:tcPr>
          <w:p>
            <w:pPr>
              <w:spacing w:after="0" w:line="143" w:lineRule="exact"/>
              <w:rPr>
                <w:sz w:val="20"/>
                <w:szCs w:val="20"/>
                <w:color w:val="auto"/>
              </w:rPr>
            </w:pPr>
            <w:r>
              <w:rPr>
                <w:rFonts w:ascii="Arial" w:cs="Arial" w:eastAsia="Arial" w:hAnsi="Arial"/>
                <w:sz w:val="14"/>
                <w:szCs w:val="14"/>
                <w:color w:val="auto"/>
              </w:rPr>
              <w:t>$</w:t>
            </w:r>
          </w:p>
        </w:tc>
        <w:tc>
          <w:tcPr>
            <w:tcW w:w="600" w:type="dxa"/>
            <w:vAlign w:val="bottom"/>
            <w:gridSpan w:val="2"/>
          </w:tcPr>
          <w:p>
            <w:pPr>
              <w:jc w:val="right"/>
              <w:ind w:right="60"/>
              <w:spacing w:after="0" w:line="143" w:lineRule="exact"/>
              <w:rPr>
                <w:sz w:val="20"/>
                <w:szCs w:val="20"/>
                <w:color w:val="auto"/>
              </w:rPr>
            </w:pPr>
            <w:r>
              <w:rPr>
                <w:rFonts w:ascii="Arial" w:cs="Arial" w:eastAsia="Arial" w:hAnsi="Arial"/>
                <w:sz w:val="14"/>
                <w:szCs w:val="14"/>
                <w:color w:val="auto"/>
              </w:rPr>
              <w:t>15,868</w:t>
            </w:r>
          </w:p>
        </w:tc>
        <w:tc>
          <w:tcPr>
            <w:tcW w:w="0" w:type="dxa"/>
            <w:vAlign w:val="bottom"/>
          </w:tcPr>
          <w:p>
            <w:pPr>
              <w:spacing w:after="0"/>
              <w:rPr>
                <w:sz w:val="1"/>
                <w:szCs w:val="1"/>
                <w:color w:val="auto"/>
              </w:rPr>
            </w:pPr>
          </w:p>
        </w:tc>
      </w:tr>
      <w:tr>
        <w:trPr>
          <w:trHeight w:val="20"/>
        </w:trPr>
        <w:tc>
          <w:tcPr>
            <w:tcW w:w="8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8520" w:type="dxa"/>
            <w:vAlign w:val="bottom"/>
            <w:shd w:val="clear" w:color="auto" w:fill="CCEEFF"/>
          </w:tcPr>
          <w:p>
            <w:pPr>
              <w:ind w:left="440"/>
              <w:spacing w:after="0" w:line="143" w:lineRule="exact"/>
              <w:rPr>
                <w:sz w:val="20"/>
                <w:szCs w:val="20"/>
                <w:color w:val="auto"/>
              </w:rPr>
            </w:pPr>
            <w:r>
              <w:rPr>
                <w:rFonts w:ascii="Arial" w:cs="Arial" w:eastAsia="Arial" w:hAnsi="Arial"/>
                <w:sz w:val="14"/>
                <w:szCs w:val="14"/>
                <w:color w:val="auto"/>
              </w:rPr>
              <w:t>Elimination of deferred stock-based compensation due to SFAS 123R</w:t>
            </w:r>
          </w:p>
        </w:tc>
        <w:tc>
          <w:tcPr>
            <w:tcW w:w="14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240"/>
              <w:spacing w:after="0" w:line="143" w:lineRule="exact"/>
              <w:rPr>
                <w:sz w:val="20"/>
                <w:szCs w:val="20"/>
                <w:color w:val="auto"/>
              </w:rPr>
            </w:pPr>
            <w:r>
              <w:rPr>
                <w:rFonts w:ascii="Arial" w:cs="Arial" w:eastAsia="Arial" w:hAnsi="Arial"/>
                <w:sz w:val="14"/>
                <w:szCs w:val="14"/>
                <w:color w:val="auto"/>
              </w:rPr>
              <w:t>—</w:t>
            </w:r>
          </w:p>
        </w:tc>
        <w:tc>
          <w:tcPr>
            <w:tcW w:w="360" w:type="dxa"/>
            <w:vAlign w:val="bottom"/>
            <w:gridSpan w:val="2"/>
            <w:shd w:val="clear" w:color="auto" w:fill="CCEEFF"/>
          </w:tcPr>
          <w:p>
            <w:pPr>
              <w:ind w:left="220"/>
              <w:spacing w:after="0" w:line="143"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460"/>
              <w:spacing w:after="0" w:line="143"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w:t>
            </w:r>
          </w:p>
        </w:tc>
        <w:tc>
          <w:tcPr>
            <w:tcW w:w="600" w:type="dxa"/>
            <w:vAlign w:val="bottom"/>
            <w:gridSpan w:val="2"/>
            <w:shd w:val="clear" w:color="auto" w:fill="CCEEFF"/>
          </w:tcPr>
          <w:p>
            <w:pPr>
              <w:jc w:val="right"/>
              <w:ind w:right="60"/>
              <w:spacing w:after="0" w:line="143" w:lineRule="exact"/>
              <w:rPr>
                <w:sz w:val="20"/>
                <w:szCs w:val="20"/>
                <w:color w:val="auto"/>
              </w:rPr>
            </w:pPr>
            <w:r>
              <w:rPr>
                <w:rFonts w:ascii="Arial" w:cs="Arial" w:eastAsia="Arial" w:hAnsi="Arial"/>
                <w:sz w:val="14"/>
                <w:szCs w:val="14"/>
                <w:color w:val="auto"/>
              </w:rPr>
              <w:t>61,987</w:t>
            </w:r>
          </w:p>
        </w:tc>
        <w:tc>
          <w:tcPr>
            <w:tcW w:w="0" w:type="dxa"/>
            <w:vAlign w:val="bottom"/>
          </w:tcPr>
          <w:p>
            <w:pPr>
              <w:spacing w:after="0"/>
              <w:rPr>
                <w:sz w:val="1"/>
                <w:szCs w:val="1"/>
                <w:color w:val="auto"/>
              </w:rPr>
            </w:pPr>
          </w:p>
        </w:tc>
      </w:tr>
      <w:tr>
        <w:trPr>
          <w:trHeight w:val="20"/>
        </w:trPr>
        <w:tc>
          <w:tcPr>
            <w:tcW w:w="8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 wireless, PC connectivity, gateway, communications controller, storage and power management solutions that serve diverse applications used in business enterprise, consumer electronics and emerging markets.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2009 and fiscal 2007 are comprised of a 52-week period and fiscal 2008 was comprised of a 53-week period. Certain reclassifications have been made to the prior period balances in the Statements of Operations in order to conform to the current period’s presentation.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 based compensation, uncollectible receivables, inventory excess and obsolescence, the useful lives of long-lived assets including property and equipment, investment fair values, goodwill and other intangible assets, and income taxes, litigation and other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money market funds and commercial deposits.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Restricted Cash</w:t>
      </w:r>
    </w:p>
    <w:p>
      <w:pPr>
        <w:spacing w:after="0" w:line="90" w:lineRule="exact"/>
        <w:rPr>
          <w:sz w:val="20"/>
          <w:szCs w:val="20"/>
          <w:color w:val="auto"/>
        </w:rPr>
      </w:pPr>
    </w:p>
    <w:p>
      <w:pPr>
        <w:ind w:right="200" w:firstLine="456"/>
        <w:spacing w:after="0" w:line="370" w:lineRule="auto"/>
        <w:rPr>
          <w:sz w:val="20"/>
          <w:szCs w:val="20"/>
          <w:color w:val="auto"/>
        </w:rPr>
      </w:pPr>
      <w:r>
        <w:rPr>
          <w:rFonts w:ascii="Arial" w:cs="Arial" w:eastAsia="Arial" w:hAnsi="Arial"/>
          <w:sz w:val="15"/>
          <w:szCs w:val="15"/>
          <w:color w:val="auto"/>
        </w:rPr>
        <w:t>Restricted cash consists of proceeds of insurance recoveries that the Company must offset against any future payments that it may be required to make in any settlements related to the stock option backdating litigation. After all settlements are resolved, the Company can use the proceeds as it deems appropriate.</w:t>
      </w:r>
    </w:p>
    <w:p>
      <w:pPr>
        <w:spacing w:after="0" w:line="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20"/>
          </w:cols>
          <w:pgMar w:left="240" w:top="45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jc w:val="both"/>
        <w:ind w:firstLine="456"/>
        <w:spacing w:after="0" w:line="284" w:lineRule="auto"/>
        <w:rPr>
          <w:sz w:val="20"/>
          <w:szCs w:val="20"/>
          <w:color w:val="auto"/>
        </w:rPr>
      </w:pPr>
      <w:r>
        <w:rPr>
          <w:rFonts w:ascii="Arial" w:cs="Arial" w:eastAsia="Arial" w:hAnsi="Arial"/>
          <w:sz w:val="16"/>
          <w:szCs w:val="16"/>
          <w:color w:val="auto"/>
        </w:rPr>
        <w:t>Investments designated as available-for-sale securities under SFAS No. 115, “Accounting for Investment in Certain Debt and Equity Securities,” are carried at fair value based on quoted market prices or estimated based on quoted market prices for financial instruments with similar characteristics. Unrealized gains and losses of the Company’s available-for-sale securities are excluded from earnings and reported as a component of other comprehensive income (loss).</w:t>
      </w:r>
    </w:p>
    <w:p>
      <w:pPr>
        <w:spacing w:after="0" w:line="1"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Additionally, the Company assesses whether an other-than-temporary impairment loss on its available-for-sale securities has occurred due to declines in fair value or other market conditions. Declines in fair value that are considered other than temporary are recorded as an impairment of investments in the Consolidated Statements of Operations.</w:t>
      </w:r>
    </w:p>
    <w:p>
      <w:pPr>
        <w:spacing w:after="0" w:line="144"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ninety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Company also invests in auction rate securities that are typically over collateralized by pools of loans originated under the Federal Family Education Loan Program (the “FFELP”) and are guaranteed by the United States Federal Department of Education (the “DOE”), and insured. In addition, all auction rate securities held are rated by one or more of the major independent rating agencies as either AAA or Aaa at the time of purchase. See Note 3 for further details on the Company’s investments.</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large proportion of the Company’s customer base located primarily in the Asia Pacific Region,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 receivable balances and current economic conditions that may affect a customer’s ability to pay. The Company recorded provisions for allowance for bad debt and doubtful accounts of $485,000, none and $50,000 in fiscal 2009, 2008 and 2007, respectively. Net credits transferred to the allowance aggregated to $18,000, $9,000 and 122,000 in fiscal 2009, 2008 and 2007, respectively. Net receivables written off against the allowance aggregated to $12,000, none and none in fiscal 2009, 2008 and 2007, respectively. Net deductions to the allowance for bad debt and doubtful accounts aggregated none, $1.2 million and none in fiscal 2009, 2008 and 2007, respectively. The allowance for</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bad and doubtful accounts at January 31, 2009, February 2, 2008 and January 27, 2007 was $0.9 million, $0.4 million and $2.0 million, respectively. Refer to the Revenue Recognition policies for additional information on sales returns and allowances.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sales to end customers comprising 10% or more of the Company’s net revenue for the periods indicated: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080" w:type="dxa"/>
            <w:vAlign w:val="bottom"/>
            <w:tcBorders>
              <w:bottom w:val="single" w:sz="8" w:color="auto"/>
            </w:tcBorders>
            <w:gridSpan w:val="3"/>
          </w:tcPr>
          <w:p>
            <w:pPr>
              <w:jc w:val="center"/>
              <w:ind w:right="540"/>
              <w:spacing w:after="0"/>
              <w:rPr>
                <w:sz w:val="20"/>
                <w:szCs w:val="20"/>
                <w:color w:val="auto"/>
              </w:rPr>
            </w:pPr>
            <w:r>
              <w:rPr>
                <w:rFonts w:ascii="Arial" w:cs="Arial" w:eastAsia="Arial" w:hAnsi="Arial"/>
                <w:sz w:val="14"/>
                <w:szCs w:val="14"/>
                <w:b w:val="1"/>
                <w:bCs w:val="1"/>
                <w:color w:val="auto"/>
                <w:w w:val="87"/>
              </w:rPr>
              <w:t>Years Ended</w:t>
            </w:r>
          </w:p>
        </w:tc>
        <w:tc>
          <w:tcPr>
            <w:tcW w:w="70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60" w:type="dxa"/>
            <w:vAlign w:val="bottom"/>
          </w:tcPr>
          <w:p>
            <w:pPr>
              <w:spacing w:after="0"/>
              <w:rPr>
                <w:sz w:val="11"/>
                <w:szCs w:val="11"/>
                <w:color w:val="auto"/>
              </w:rPr>
            </w:pPr>
          </w:p>
        </w:tc>
        <w:tc>
          <w:tcPr>
            <w:tcW w:w="1240" w:type="dxa"/>
            <w:vAlign w:val="bottom"/>
            <w:gridSpan w:val="2"/>
          </w:tcPr>
          <w:p>
            <w:pPr>
              <w:jc w:val="center"/>
              <w:ind w:right="560"/>
              <w:spacing w:after="0" w:line="129" w:lineRule="exact"/>
              <w:rPr>
                <w:sz w:val="20"/>
                <w:szCs w:val="20"/>
                <w:color w:val="auto"/>
              </w:rPr>
            </w:pPr>
            <w:r>
              <w:rPr>
                <w:rFonts w:ascii="Arial" w:cs="Arial" w:eastAsia="Arial" w:hAnsi="Arial"/>
                <w:sz w:val="14"/>
                <w:szCs w:val="14"/>
                <w:b w:val="1"/>
                <w:bCs w:val="1"/>
                <w:color w:val="auto"/>
                <w:w w:val="88"/>
              </w:rPr>
              <w:t>January 31,</w:t>
            </w:r>
          </w:p>
        </w:tc>
        <w:tc>
          <w:tcPr>
            <w:tcW w:w="420" w:type="dxa"/>
            <w:vAlign w:val="bottom"/>
          </w:tcPr>
          <w:p>
            <w:pPr>
              <w:spacing w:after="0"/>
              <w:rPr>
                <w:sz w:val="11"/>
                <w:szCs w:val="11"/>
                <w:color w:val="auto"/>
              </w:rPr>
            </w:pPr>
          </w:p>
        </w:tc>
        <w:tc>
          <w:tcPr>
            <w:tcW w:w="166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27,</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26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680" w:type="dxa"/>
            <w:vAlign w:val="bottom"/>
          </w:tcPr>
          <w:p>
            <w:pPr>
              <w:jc w:val="right"/>
              <w:ind w:right="120"/>
              <w:spacing w:after="0"/>
              <w:rPr>
                <w:sz w:val="20"/>
                <w:szCs w:val="20"/>
                <w:color w:val="auto"/>
              </w:rPr>
            </w:pPr>
            <w:r>
              <w:rPr>
                <w:rFonts w:ascii="Arial" w:cs="Arial" w:eastAsia="Arial" w:hAnsi="Arial"/>
                <w:sz w:val="14"/>
                <w:szCs w:val="14"/>
                <w:b w:val="1"/>
                <w:bCs w:val="1"/>
                <w:color w:val="auto"/>
              </w:rPr>
              <w:t>2009</w:t>
            </w:r>
          </w:p>
        </w:tc>
        <w:tc>
          <w:tcPr>
            <w:tcW w:w="560" w:type="dxa"/>
            <w:vAlign w:val="bottom"/>
          </w:tcPr>
          <w:p>
            <w:pPr>
              <w:spacing w:after="0"/>
              <w:rPr>
                <w:sz w:val="14"/>
                <w:szCs w:val="14"/>
                <w:color w:val="auto"/>
              </w:rPr>
            </w:pPr>
          </w:p>
        </w:tc>
        <w:tc>
          <w:tcPr>
            <w:tcW w:w="1120" w:type="dxa"/>
            <w:vAlign w:val="bottom"/>
            <w:gridSpan w:val="2"/>
          </w:tcPr>
          <w:p>
            <w:pPr>
              <w:jc w:val="center"/>
              <w:ind w:left="340"/>
              <w:spacing w:after="0"/>
              <w:rPr>
                <w:sz w:val="20"/>
                <w:szCs w:val="20"/>
                <w:color w:val="auto"/>
              </w:rPr>
            </w:pPr>
            <w:r>
              <w:rPr>
                <w:rFonts w:ascii="Arial" w:cs="Arial" w:eastAsia="Arial" w:hAnsi="Arial"/>
                <w:sz w:val="14"/>
                <w:szCs w:val="14"/>
                <w:b w:val="1"/>
                <w:bCs w:val="1"/>
                <w:color w:val="auto"/>
                <w:w w:val="83"/>
              </w:rPr>
              <w:t>2008</w:t>
            </w:r>
          </w:p>
        </w:tc>
        <w:tc>
          <w:tcPr>
            <w:tcW w:w="960" w:type="dxa"/>
            <w:vAlign w:val="bottom"/>
          </w:tcPr>
          <w:p>
            <w:pPr>
              <w:spacing w:after="0"/>
              <w:rPr>
                <w:sz w:val="14"/>
                <w:szCs w:val="14"/>
                <w:color w:val="auto"/>
              </w:rPr>
            </w:pPr>
          </w:p>
        </w:tc>
        <w:tc>
          <w:tcPr>
            <w:tcW w:w="700" w:type="dxa"/>
            <w:vAlign w:val="bottom"/>
          </w:tcPr>
          <w:p>
            <w:pPr>
              <w:jc w:val="right"/>
              <w:ind w:right="140"/>
              <w:spacing w:after="0"/>
              <w:rPr>
                <w:sz w:val="20"/>
                <w:szCs w:val="20"/>
                <w:color w:val="auto"/>
              </w:rPr>
            </w:pPr>
            <w:r>
              <w:rPr>
                <w:rFonts w:ascii="Arial" w:cs="Arial" w:eastAsia="Arial" w:hAnsi="Arial"/>
                <w:sz w:val="14"/>
                <w:szCs w:val="14"/>
                <w:b w:val="1"/>
                <w:bCs w:val="1"/>
                <w:color w:val="auto"/>
              </w:rPr>
              <w:t>2007</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12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21%</w:t>
            </w:r>
          </w:p>
        </w:tc>
        <w:tc>
          <w:tcPr>
            <w:tcW w:w="2080" w:type="dxa"/>
            <w:vAlign w:val="bottom"/>
            <w:gridSpan w:val="3"/>
            <w:shd w:val="clear" w:color="auto" w:fill="CCEEFF"/>
          </w:tcPr>
          <w:p>
            <w:pPr>
              <w:jc w:val="right"/>
              <w:ind w:right="820"/>
              <w:spacing w:after="0"/>
              <w:rPr>
                <w:sz w:val="20"/>
                <w:szCs w:val="20"/>
                <w:color w:val="auto"/>
              </w:rPr>
            </w:pPr>
            <w:r>
              <w:rPr>
                <w:rFonts w:ascii="Arial" w:cs="Arial" w:eastAsia="Arial" w:hAnsi="Arial"/>
                <w:sz w:val="18"/>
                <w:szCs w:val="18"/>
                <w:color w:val="auto"/>
              </w:rPr>
              <w:t>17%</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124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spacing w:after="0"/>
              <w:rPr>
                <w:sz w:val="18"/>
                <w:szCs w:val="18"/>
                <w:color w:val="auto"/>
              </w:rPr>
            </w:pP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Samsung</w:t>
            </w:r>
          </w:p>
        </w:tc>
        <w:tc>
          <w:tcPr>
            <w:tcW w:w="124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The Company’s accounts receivable were concentrated with one customer at January 31, 2009 representing 11% of gross accounts receivable, and were concentrated with three customers at February 2, 2008, representing 14%, 11% and 11% of gross accounts receivable.</w:t>
      </w:r>
    </w:p>
    <w:p>
      <w:pPr>
        <w:spacing w:after="0" w:line="85"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In fiscal 2009, 2008 and 2007, no distributor accounted for more than 10% of the Company’s net revenue, respectively. One distributor also accounted for 11% of total accounts receivable in the year ended February 2, 2008. The Company continuously monitors the creditworthiness of its distributors and believes their sales to diverse end customers and to diverse geographies further serve to mitigate the Company’s exposure to credit risk.</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Other Risk</w:t>
      </w:r>
    </w:p>
    <w:p>
      <w:pPr>
        <w:spacing w:after="0" w:line="9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semiconductor industry is characterized by rapid technological change, competitive pricing pressures, and cyclical market patterns. The Company’s results of operations are affected by a wide variety of factors, including general economic conditions, both at home and abroad; economic conditions specific to the semiconductor industry; demand for the Company’s products; the timely introduction of new products; implementation of new manufacturing technologies; manufacturing capacity; the ability to manufacture efficiently; the availability and cost of materials and supplies; competition; the ability to safeguard patents and intellectual property in a rapidly evolving market; and reliance on assembly and wafer fabrication subcontractors and on independent distributors and sales representatives. As a result, the Company may experience substantial period-to-period fluctuations in future operating results due to the factors mentioned above or other factors.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Inventory is stated at the lower of cost or market, cost being determined under the first-in, first-out method. The Company has taken provisions to write-down the cost of obsolete and excess inventory to the estimated market value based on forecasted demand for its products. If actual future demand for the Company’s products is less than currently forecasted, additional inventory provisions may be required. Once a provision is recorded, it is maintained until the product to which it relates to is sold or otherwise disposed of. This treatment is in accordance with Accounting Research Bulletin 43 and Staff Accounting Bulletin 100, “Restructuring and Impairment Charges.” The Company recorded charges for inventory excess and obsolescence of $56.6 million, $62.1 million and $34.7 million, for fiscal 2009, 2008 and 2007, respectively. The Company also recorded $15.4 million and $109.3 million of fair market value adjustments to Intel inventory sold in fiscal 2009 and 2008, respectively.</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90" w:lineRule="exact"/>
        <w:rPr>
          <w:sz w:val="20"/>
          <w:szCs w:val="20"/>
          <w:color w:val="auto"/>
        </w:rPr>
      </w:pPr>
    </w:p>
    <w:p>
      <w:pPr>
        <w:ind w:right="500" w:firstLine="456"/>
        <w:spacing w:after="0" w:line="323" w:lineRule="auto"/>
        <w:rPr>
          <w:sz w:val="20"/>
          <w:szCs w:val="20"/>
          <w:color w:val="auto"/>
        </w:rPr>
      </w:pPr>
      <w:r>
        <w:rPr>
          <w:rFonts w:ascii="Arial" w:cs="Arial" w:eastAsia="Arial" w:hAnsi="Arial"/>
          <w:sz w:val="15"/>
          <w:szCs w:val="15"/>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the lease or their estimated useful lives.</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reporting unit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Statement of Financial Accounting Standards (“SFAS”) No. 142, “Goodwill and Other Intangible Assets,” because the fair value of the reporting unit has exceeded its net book value at every measurement date.</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accounts for long-lived assets, including other purchased intangible assets, in accordance with SFAS No. 144, “Accounting for the Impairment or Disposal of Long-Lived Assets,” which requires impairment losses to be recorded on long-lived assets used in operations when indicators of impairment are present. Whenever events or changes in circumstances suggest that the carrying amount of long-lived assets may not be recoverable, the Company estimates the future cash flows expected to be generated by the asset from its use or eventual disposition. If the sum of the expected future cash flows, which includes revenue, is less than the carrying amount of those assets, the Company recognizes an impairment loss based on the excess of the carrying amount over the fair value of the assets. See Note 5 for further details regarding impairment of acquisition-related identified intangible assets.</w:t>
      </w:r>
    </w:p>
    <w:p>
      <w:pPr>
        <w:spacing w:after="0" w:line="12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of one to seven years for purchased technology, one to eight years for core technology, four to seven years for customer contracts and related relationships, one to five years for trade name and three years for non-competition.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functional currency of substantially all of the Company’s non-United States operations is the United States dollar. Monetary accounts maintained in currencies other than the United States dollar are re-measured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00"/>
          </w:cols>
          <w:pgMar w:left="240" w:top="459" w:right="2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using the foreign 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40" w:lineRule="exact"/>
        <w:rPr>
          <w:sz w:val="20"/>
          <w:szCs w:val="20"/>
          <w:color w:val="auto"/>
        </w:rPr>
      </w:pPr>
    </w:p>
    <w:p>
      <w:pPr>
        <w:ind w:firstLine="456"/>
        <w:spacing w:after="0" w:line="308" w:lineRule="auto"/>
        <w:rPr>
          <w:sz w:val="20"/>
          <w:szCs w:val="20"/>
          <w:color w:val="auto"/>
        </w:rPr>
      </w:pPr>
      <w:r>
        <w:rPr>
          <w:rFonts w:ascii="Arial" w:cs="Arial" w:eastAsia="Arial" w:hAnsi="Arial"/>
          <w:sz w:val="15"/>
          <w:szCs w:val="15"/>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because the selling price is not fixed and determinable and the Company is not able to estimate future returns.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the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09"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85"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4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For arrangements involving multiple deliverables, where the deliverables include software and non-software products and services, the Company applies the provisions of EITF Issue No. 00-21, “Revenue Arrangements with Multiple Deliverables”, to separate the deliverables and allocate the total arrangement consideration. Accordingly, the Company evaluates each deliverable to determine whether it represents a separate unit of accounting based on the following criteria: (a) whether the delivered item has value to the customer on a stand-alone basis; (b) whether there is objective and reliable evidence of the fair value of the undelivered items; and (c) if the contract includes a general right of return relative to the delivered item, delivery or performance of the undelivered items is considered probable and substantially in control of the Company. If objective and reliable evidence of fair value exists for all units of accounting in the arrangement, revenue is allocated to each unit of accounting based on relative fair values. In situations where there is objective and reliable evidence of fair value for all undelivered elements, but not for delivered elements, the residual method is used to allocate the arrangement’s consideration. The Company does not typically have vendor specific objective evidence of fair</w:t>
      </w:r>
    </w:p>
    <w:p>
      <w:pPr>
        <w:spacing w:after="0" w:line="10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360"/>
          </w:cols>
          <w:pgMar w:left="240" w:top="459" w:right="29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0"/>
        <w:spacing w:after="0" w:line="306" w:lineRule="auto"/>
        <w:rPr>
          <w:sz w:val="20"/>
          <w:szCs w:val="20"/>
          <w:color w:val="auto"/>
        </w:rPr>
      </w:pPr>
      <w:r>
        <w:rPr>
          <w:rFonts w:ascii="Arial" w:cs="Arial" w:eastAsia="Arial" w:hAnsi="Arial"/>
          <w:sz w:val="16"/>
          <w:szCs w:val="16"/>
          <w:color w:val="auto"/>
        </w:rPr>
        <w:t>value for software products. Therefore, in a substantial majority of the Company’s arrangements, the residual method is used to allocate arrangement consideration. Under the residual method, the fair value of the undelivered elements is deferred and accounted for under the applicable revenue recognition guidance, and the remaining portion of the arrangement fee is allocated to the delivered elements and is recognized as revenue.</w:t>
      </w:r>
    </w:p>
    <w:p>
      <w:pPr>
        <w:spacing w:after="0" w:line="10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1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4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accounts for rebates in accordance with EITF Issue No. 01-9, “Accounting for Consideration Given by a Vendor to a Customer (Including a Reseller of the Vendor’s Products)</w:t>
      </w:r>
      <w:r>
        <w:rPr>
          <w:rFonts w:ascii="Arial" w:cs="Arial" w:eastAsia="Arial" w:hAnsi="Arial"/>
          <w:sz w:val="16"/>
          <w:szCs w:val="16"/>
          <w:i w:val="1"/>
          <w:iCs w:val="1"/>
          <w:color w:val="auto"/>
        </w:rPr>
        <w:t>,</w:t>
      </w:r>
      <w:r>
        <w:rPr>
          <w:rFonts w:ascii="Arial" w:cs="Arial" w:eastAsia="Arial" w:hAnsi="Arial"/>
          <w:sz w:val="16"/>
          <w:szCs w:val="16"/>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Advertising costs are expensed as incurred.</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Effective from January 29, 2006, the Company adopted FASB Statement of Financial Accounting Standards No. 123 (revised 2004), “Share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 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w:t>
      </w:r>
    </w:p>
    <w:p>
      <w:pPr>
        <w:spacing w:after="0" w:line="14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143"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The adoption of SFAS 123R resulted in a cumulative benefit from change in accounting principle of $8.8 million, net of tax as of the year ended January 27, 2007, reflecting the net cumulative impact of estimated forfeitures that were previously not included in the determination of historic stock based compensation expense in periods prior to January 28, 2006.</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320"/>
          </w:cols>
          <w:pgMar w:left="240" w:top="459" w:right="3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The Company estimates the fair value of each award as of the date of grant using the Black-Scholes option pricing model. The Black-Scholes option pricing model was developed for use in estimating the value of traded options that have no vesting restrictions and that are freely transferable. In addition, the Black-Scholes model incorporates various highly subjective assumptions including expected term of awards and expected future stock price volatility. Although the Black-Scholes model meets the requirements of SFAS 123R, the fair values generated by the model may not be indicative of the actual fair values of awards as it does not consider other factors important to those share-based payment awards, such as continued employment, periodic vesting requirements, and limited transferability.</w:t>
      </w:r>
    </w:p>
    <w:p>
      <w:pPr>
        <w:spacing w:after="0" w:line="118"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developing estimates used in the adoption of SFAS 123R, the Company establishes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 Expected volatility under SFAS 123R was developed based on the average of the Company’s historical daily stock price volatility.</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are recorded net of estimated forfeitures such that expense is recorded only for those stock-based awards that are expected to vest. Under APB 25, previously recognized expense is reversed for the portion of awards forfeited prior to vesting as and when forfeitures occurred.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For the years ended January 31, 2009, February 2, 2008 and January 27, 2007, comprehensive income (loss) is comprised of net income (loss) and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unrealized gains and losses on available-for-sale securities, net of tax. For the years ended January 31, 2009, February 2, 2008 and January 27, 2007,</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$(1.3) million, $0.6 million and $1.8 million, respectively, of net unrealized gains (losses) were reclassified as realized gains (losses) and recognized in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accompanying statement of operations upon the sale of the related securities.</w:t>
      </w:r>
    </w:p>
    <w:p>
      <w:pPr>
        <w:spacing w:after="0" w:line="165" w:lineRule="exact"/>
        <w:rPr>
          <w:sz w:val="20"/>
          <w:szCs w:val="20"/>
          <w:color w:val="auto"/>
        </w:rPr>
      </w:pPr>
    </w:p>
    <w:p>
      <w:pPr>
        <w:ind w:right="700" w:firstLine="456"/>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balance sheets, consists of net unrealized gains and losses on available-for-sale securities, net of tax.</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accordance with Statement of Financial Accounting Standards No. 109, “Accounting for Income Taxes” (“SFAS 109”), the Company recognizes income taxes using an asset and liability approach. This approach requires the recognition of taxes payable or refundable for the current year and deferred tax liabilities and assets for the future tax consequences of events that have been recognized in its consolidated financial statements or tax returns. The measurement of current and deferred taxes is based on provisions of the enacted tax law and the effects of future changes in tax laws or rates are not anticipated.</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SFAS 109 provides for recognition of deferred tax assets if the realization of such deferred tax assets is more likely than not to occur. With the exception of certain international jurisdictions, the Company has determined that at this time it is more likely than not that deferred tax assets attributable to the remaining jurisdictions will not be realized, primarily due to uncertainties related to its ability to utilize the net operating loss carryforwards before they expire based on its recent years history of losses. Accordingly, the Company has established a valuation allowance for such deferred tax assets. If there is a change in the Company’s ability to realize its deferred tax assets, then its tax provision may decrease in the period in which it determines that realization is more likely than not.</w:t>
      </w:r>
    </w:p>
    <w:p>
      <w:pPr>
        <w:spacing w:after="0" w:line="10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July 13, 2006, the FASB issued Interpretation No. 48, “Accounting for Uncertainty in Income Taxes — An Interpretation of FASB Statement 109” (“FIN 48”). The Company adopted FIN 48 on January 28, 2007. FIN 48 clarifies the accounting for uncertainty in income taxes recognized in an entity’s financial statements in accordance with SFAS 109 and prescribes a recognition threshold and measurement attributes for financial statement recognition and measurement of a tax position taken or expected to be taken in a tax return. Additionally, FIN 48 provides guidance on derecognition, classification, interest and penalties, accounting in interim periods and disclosure of tax positions. Under FIN 48, the Company may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should be measured based on the largest benefit that has a greater than fifty percent likelihood of being realized upon settlement.</w:t>
      </w:r>
    </w:p>
    <w:p>
      <w:pPr>
        <w:spacing w:after="0" w:line="11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it operates. The determination of tax liabilities in each of these jurisdictions requires the interpretation and application of complex and sometimes uncertain tax laws and regulations. The Company recognizes liabilities based on the provision of FIN 48. If the Company ultimately determines that the payment of such a liability is not necessary, then it reverses the liability and recognizes a tax benefit during the period in which the determination is made that the liability is no longer necessary.</w:t>
      </w:r>
    </w:p>
    <w:p>
      <w:pPr>
        <w:spacing w:after="0" w:line="113" w:lineRule="exact"/>
        <w:rPr>
          <w:sz w:val="20"/>
          <w:szCs w:val="20"/>
          <w:color w:val="auto"/>
        </w:rPr>
      </w:pPr>
    </w:p>
    <w:p>
      <w:pPr>
        <w:ind w:right="280" w:firstLine="456"/>
        <w:spacing w:after="0" w:line="370" w:lineRule="auto"/>
        <w:rPr>
          <w:sz w:val="20"/>
          <w:szCs w:val="20"/>
          <w:color w:val="auto"/>
        </w:rPr>
      </w:pPr>
      <w:r>
        <w:rPr>
          <w:rFonts w:ascii="Arial" w:cs="Arial" w:eastAsia="Arial" w:hAnsi="Arial"/>
          <w:sz w:val="15"/>
          <w:szCs w:val="15"/>
          <w:color w:val="auto"/>
        </w:rPr>
        <w:t>The recognition and measurement of current taxes payable or refundable and deferred tax assets and liabilities requires that the Company makes certain estimates and judgments. Changes to these estimates or a change in judgment may have a material impact on the Company’s tax provision in a future period.</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 In addition, provisions are made for any specific warranty claims that management is aware of.</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In December 2007, the FASB issued SFAS No. 141 (revised 2007), “Business Combinations” (“SFAS 141R”). The standard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in-process research and development, the accounting for acquisition-related restructuring cost accruals, the treatment of acquisition</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400"/>
          </w:cols>
          <w:pgMar w:left="240" w:top="459" w:right="2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related transaction costs and the recognition of changes in the acquirer’s income tax valuation allowance. The adoption of SFAS 141R will change the Company’s accounting treatment for business combinations on a prospective basis beginning on February 1, 2009.</w:t>
      </w:r>
    </w:p>
    <w:p>
      <w:pPr>
        <w:spacing w:after="0" w:line="132"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February 2008, the FASB issued FASB Staff Position No. FAS 157-2, “Effective Date of FASB Statement No. 157” (“FSP 157-2”),” to partially defer SFAS No. 157, “Fair Value Measurements” (“SFAS 157”). FSP157-2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adoption of FSP 157-2 is effective for us beginning February 1, 2009. The Company is currently evaluating the impact of the adoption of FSP157-2 and does not anticipate that FSP 157-2 will have a material impact on its financial position and results of operations.</w:t>
      </w:r>
    </w:p>
    <w:p>
      <w:pPr>
        <w:spacing w:after="0" w:line="144"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March 2008, the FASB issued SFAS No. 161, “Disclosures about Derivative Instruments and Hedging Activities” (“SFAS 161”). SFAS 161 amends and expands the disclosure requirements of SFAS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Company will adopt SFAS 161 on February 1, 2009 and is currently evaluating the impact of adoption of SFAS 161 on its financial position and results of operations.</w:t>
      </w:r>
    </w:p>
    <w:p>
      <w:pPr>
        <w:spacing w:after="0" w:line="12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April 2008, the FASB issued FASB Staff Position FAS 142-3, “Determination of Useful Life of Intangible Assets” (“FSP FAS 142-3”). FSP FAS 142-3 amends the factors that should be considered in developing the renewal or extension assumptions used to determine the useful life of a recognized intangible asset under SFAS 142, “Goodwill and Other Intangible Assets.” FSP FAS 142-3 also requires expanded disclosure related to the determination of intangible asset useful lives. FSP FAS 142-3 is effective for fiscal years beginning after December 15, 2008. Earlier adoption is not permitted. The Company does not anticipate that FSP FAS 142-3 will have a significant impact on its financial position and results of operations.</w:t>
      </w:r>
    </w:p>
    <w:p>
      <w:pPr>
        <w:spacing w:after="0" w:line="11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May 2008, the FASB issued SFAS No. 162, “The Hierarchy of Generally Accepted Accounting Principles” (“SFAS 162”). SFAS 162 identifies the sources of accounting principles and the framework for selecting the principles used in the preparation of financial statements of nongovernmental entities that are presented in conformity with generally accepted accounting principles. SFAS 162 became effective on November 13, 2008. The adoption of SFAS 162 during the fourth quarter of fiscal 2009 had no impact on the Company’s financial position and results of operations.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Business Combinations: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2009</w:t>
      </w:r>
    </w:p>
    <w:p>
      <w:pPr>
        <w:spacing w:after="0" w:line="90" w:lineRule="exact"/>
        <w:rPr>
          <w:sz w:val="20"/>
          <w:szCs w:val="20"/>
          <w:color w:val="auto"/>
        </w:rPr>
      </w:pPr>
    </w:p>
    <w:p>
      <w:pPr>
        <w:jc w:val="both"/>
        <w:ind w:right="20" w:firstLine="456"/>
        <w:spacing w:after="0" w:line="283" w:lineRule="auto"/>
        <w:rPr>
          <w:sz w:val="20"/>
          <w:szCs w:val="20"/>
          <w:color w:val="auto"/>
        </w:rPr>
      </w:pPr>
      <w:r>
        <w:rPr>
          <w:rFonts w:ascii="Arial" w:cs="Arial" w:eastAsia="Arial" w:hAnsi="Arial"/>
          <w:sz w:val="16"/>
          <w:szCs w:val="16"/>
          <w:color w:val="auto"/>
        </w:rPr>
        <w:t>During fiscal 2009, the Company completed the acquisition of an unrelated private company. The company was acquired for $5.3 million and is engaged in developing Gigabit Passive Optical Networks solutions for telecommunications equipment manufacturers and original device manufacturers. Under the purchase method of accounting, the total purchase price was allocated to net tangible and intangible assets based on their fair values as of the date of the completion of the respective acquisition. The Company recorded acquired net liabilities of $1.4 million, amortizable intangible assets of $6.2 million and goodwill of $0.5 million.</w:t>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The intangible assets are being amortized over their useful lives of two to six years.</w:t>
      </w:r>
    </w:p>
    <w:p>
      <w:pPr>
        <w:spacing w:after="0" w:line="15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2008</w:t>
      </w:r>
    </w:p>
    <w:p>
      <w:pPr>
        <w:spacing w:after="0" w:line="90" w:lineRule="exact"/>
        <w:rPr>
          <w:sz w:val="20"/>
          <w:szCs w:val="20"/>
          <w:color w:val="auto"/>
        </w:rPr>
      </w:pPr>
    </w:p>
    <w:p>
      <w:pPr>
        <w:ind w:right="180" w:firstLine="456"/>
        <w:spacing w:after="0" w:line="291" w:lineRule="auto"/>
        <w:rPr>
          <w:sz w:val="20"/>
          <w:szCs w:val="20"/>
          <w:color w:val="auto"/>
        </w:rPr>
      </w:pPr>
      <w:r>
        <w:rPr>
          <w:rFonts w:ascii="Arial" w:cs="Arial" w:eastAsia="Arial" w:hAnsi="Arial"/>
          <w:sz w:val="16"/>
          <w:szCs w:val="16"/>
          <w:color w:val="auto"/>
        </w:rPr>
        <w:t>During fiscal 2008, the Company completed the acquisition of two unrelated private companies. One of the companies was acquired for $9.7 million and designed and developed software for optical storage applications. The second company was acquired for $13.4 million and provided IP Multimedia Subsystem middleware and applications for multi-mode cellular mobile devices. Under the purchase method of accounting, the total purchase price was allocated to net tangible and intangible assets based on their fair values as of the date of the completion of the respective acquisitions. The Company recorded acquired net tangible assets of $4.1 million, a deferred tax asset of $0.9 million, a deferred tax liability of $3.8 million, amortizable intangible assets of $9.2 million and goodwill of $12.7 million. The intangible assets are being amortized over their useful lives ranging from one to seven years.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2007</w:t>
      </w:r>
    </w:p>
    <w:p>
      <w:pPr>
        <w:spacing w:after="0" w:line="9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The Company acquired the semiconductor division of UTStarcom, Inc (“UTStarcom Business”), the printer semiconductor division of Avago Technologies Limited (“Avago Business”), the communications and applications business of Intel (“ICAP Business”) and assets of two other businesses from unrelated parties during fiscal 2007.</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ICAP Business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acquired the ICAP Business on November 8, 2006. The ICAP Business designs, manufactures, and markets applications and communications processors for cellular phones, personal digital assistants, and other personal devices. The primary purpose and benefits of the acquisition were to permit the Company’s entry into the wireless handheld device market, leverage its portfolio of complementary technology and obtain important wireless systems level knowledge. These factors contributed to a purchase price that was in excess of the fair value of the ICAP Business net tangible and intangible assets acquired. The Company recorded goodwill, which is not deductible for tax purposes, in connection with this transaction.</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purchase price of the acquisition was $605.6 million, determined as follows (in thousands):</w:t>
      </w:r>
    </w:p>
    <w:p>
      <w:pPr>
        <w:spacing w:after="0" w:line="220" w:lineRule="exact"/>
        <w:rPr>
          <w:sz w:val="20"/>
          <w:szCs w:val="20"/>
          <w:color w:val="auto"/>
        </w:rPr>
      </w:pPr>
    </w:p>
    <w:tbl>
      <w:tblPr>
        <w:tblLayout w:type="fixed"/>
        <w:tblInd w:w="920" w:type="dxa"/>
        <w:tblCellMar>
          <w:top w:w="0" w:type="dxa"/>
          <w:left w:w="0" w:type="dxa"/>
          <w:bottom w:w="0" w:type="dxa"/>
          <w:right w:w="0" w:type="dxa"/>
        </w:tblCellMar>
      </w:tblPr>
      <w:tr>
        <w:trPr>
          <w:trHeight w:val="216"/>
        </w:trPr>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5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600,000</w:t>
            </w:r>
          </w:p>
        </w:tc>
        <w:tc>
          <w:tcPr>
            <w:tcW w:w="0" w:type="dxa"/>
            <w:vAlign w:val="bottom"/>
          </w:tcPr>
          <w:p>
            <w:pPr>
              <w:spacing w:after="0"/>
              <w:rPr>
                <w:sz w:val="1"/>
                <w:szCs w:val="1"/>
                <w:color w:val="auto"/>
              </w:rPr>
            </w:pPr>
          </w:p>
        </w:tc>
      </w:tr>
      <w:tr>
        <w:trPr>
          <w:trHeight w:val="223"/>
        </w:trPr>
        <w:tc>
          <w:tcPr>
            <w:tcW w:w="3060" w:type="dxa"/>
            <w:vAlign w:val="bottom"/>
          </w:tcPr>
          <w:p>
            <w:pPr>
              <w:spacing w:after="0"/>
              <w:rPr>
                <w:sz w:val="20"/>
                <w:szCs w:val="20"/>
                <w:color w:val="auto"/>
              </w:rPr>
            </w:pPr>
            <w:r>
              <w:rPr>
                <w:rFonts w:ascii="Arial" w:cs="Arial" w:eastAsia="Arial" w:hAnsi="Arial"/>
                <w:sz w:val="18"/>
                <w:szCs w:val="18"/>
                <w:color w:val="auto"/>
              </w:rPr>
              <w:t>Transaction costs</w:t>
            </w:r>
          </w:p>
        </w:tc>
        <w:tc>
          <w:tcPr>
            <w:tcW w:w="57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5,644</w:t>
            </w:r>
          </w:p>
        </w:tc>
        <w:tc>
          <w:tcPr>
            <w:tcW w:w="0" w:type="dxa"/>
            <w:vAlign w:val="bottom"/>
          </w:tcPr>
          <w:p>
            <w:pPr>
              <w:spacing w:after="0"/>
              <w:rPr>
                <w:sz w:val="1"/>
                <w:szCs w:val="1"/>
                <w:color w:val="auto"/>
              </w:rPr>
            </w:pPr>
          </w:p>
        </w:tc>
      </w:tr>
      <w:tr>
        <w:trPr>
          <w:trHeight w:val="216"/>
        </w:trPr>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Total purchase price</w:t>
            </w:r>
          </w:p>
        </w:tc>
        <w:tc>
          <w:tcPr>
            <w:tcW w:w="5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605,644</w:t>
            </w:r>
          </w:p>
        </w:tc>
        <w:tc>
          <w:tcPr>
            <w:tcW w:w="0" w:type="dxa"/>
            <w:vAlign w:val="bottom"/>
          </w:tcPr>
          <w:p>
            <w:pPr>
              <w:spacing w:after="0"/>
              <w:rPr>
                <w:sz w:val="1"/>
                <w:szCs w:val="1"/>
                <w:color w:val="auto"/>
              </w:rPr>
            </w:pPr>
          </w:p>
        </w:tc>
      </w:tr>
      <w:tr>
        <w:trPr>
          <w:trHeight w:val="20"/>
        </w:trPr>
        <w:tc>
          <w:tcPr>
            <w:tcW w:w="3060" w:type="dxa"/>
            <w:vAlign w:val="bottom"/>
          </w:tcPr>
          <w:p>
            <w:pPr>
              <w:spacing w:after="0" w:line="20" w:lineRule="exact"/>
              <w:rPr>
                <w:sz w:val="1"/>
                <w:szCs w:val="1"/>
                <w:color w:val="auto"/>
              </w:rPr>
            </w:pPr>
          </w:p>
        </w:tc>
        <w:tc>
          <w:tcPr>
            <w:tcW w:w="5740" w:type="dxa"/>
            <w:vAlign w:val="bottom"/>
            <w:vMerge w:val="restart"/>
          </w:tcPr>
          <w:p>
            <w:pPr>
              <w:jc w:val="right"/>
              <w:ind w:right="3832"/>
              <w:spacing w:after="0"/>
              <w:rPr>
                <w:sz w:val="20"/>
                <w:szCs w:val="20"/>
                <w:color w:val="auto"/>
              </w:rPr>
            </w:pPr>
            <w:r>
              <w:rPr>
                <w:rFonts w:ascii="Arial" w:cs="Arial" w:eastAsia="Arial" w:hAnsi="Arial"/>
                <w:sz w:val="18"/>
                <w:szCs w:val="18"/>
                <w:color w:val="auto"/>
              </w:rPr>
              <w:t>83</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060" w:type="dxa"/>
            <w:vAlign w:val="bottom"/>
          </w:tcPr>
          <w:p>
            <w:pPr>
              <w:spacing w:after="0"/>
              <w:rPr>
                <w:sz w:val="24"/>
                <w:szCs w:val="24"/>
                <w:color w:val="auto"/>
              </w:rPr>
            </w:pPr>
          </w:p>
        </w:tc>
        <w:tc>
          <w:tcPr>
            <w:tcW w:w="574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completion of the acquisition as follows (in thousands):</w:t>
      </w:r>
    </w:p>
    <w:p>
      <w:pPr>
        <w:spacing w:after="0" w:line="181" w:lineRule="exact"/>
        <w:rPr>
          <w:sz w:val="20"/>
          <w:szCs w:val="20"/>
          <w:color w:val="auto"/>
        </w:rPr>
      </w:pPr>
    </w:p>
    <w:tbl>
      <w:tblPr>
        <w:tblLayout w:type="fixed"/>
        <w:tblInd w:w="920" w:type="dxa"/>
        <w:tblCellMar>
          <w:top w:w="0" w:type="dxa"/>
          <w:left w:w="0" w:type="dxa"/>
          <w:bottom w:w="0" w:type="dxa"/>
          <w:right w:w="0" w:type="dxa"/>
        </w:tblCellMar>
      </w:tblPr>
      <w:tr>
        <w:trPr>
          <w:trHeight w:val="216"/>
        </w:trPr>
        <w:tc>
          <w:tcPr>
            <w:tcW w:w="8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3,847</w:t>
            </w:r>
          </w:p>
        </w:tc>
        <w:tc>
          <w:tcPr>
            <w:tcW w:w="60" w:type="dxa"/>
            <w:vAlign w:val="bottom"/>
            <w:shd w:val="clear" w:color="auto" w:fill="CCEEFF"/>
          </w:tcPr>
          <w:p>
            <w:pPr>
              <w:spacing w:after="0"/>
              <w:rPr>
                <w:sz w:val="18"/>
                <w:szCs w:val="18"/>
                <w:color w:val="auto"/>
              </w:rPr>
            </w:pPr>
          </w:p>
        </w:tc>
      </w:tr>
      <w:tr>
        <w:trPr>
          <w:trHeight w:val="216"/>
        </w:trPr>
        <w:tc>
          <w:tcPr>
            <w:tcW w:w="8780" w:type="dxa"/>
            <w:vAlign w:val="bottom"/>
          </w:tcPr>
          <w:p>
            <w:pPr>
              <w:ind w:left="440"/>
              <w:spacing w:after="0"/>
              <w:rPr>
                <w:sz w:val="20"/>
                <w:szCs w:val="20"/>
                <w:color w:val="auto"/>
              </w:rPr>
            </w:pPr>
            <w:r>
              <w:rPr>
                <w:rFonts w:ascii="Arial" w:cs="Arial" w:eastAsia="Arial" w:hAnsi="Arial"/>
                <w:sz w:val="18"/>
                <w:szCs w:val="18"/>
                <w:color w:val="auto"/>
              </w:rPr>
              <w:t>Fixed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45,076</w:t>
            </w:r>
          </w:p>
        </w:tc>
        <w:tc>
          <w:tcPr>
            <w:tcW w:w="60" w:type="dxa"/>
            <w:vAlign w:val="bottom"/>
          </w:tcPr>
          <w:p>
            <w:pPr>
              <w:spacing w:after="0"/>
              <w:rPr>
                <w:sz w:val="18"/>
                <w:szCs w:val="18"/>
                <w:color w:val="auto"/>
              </w:rPr>
            </w:pPr>
          </w:p>
        </w:tc>
      </w:tr>
      <w:tr>
        <w:trPr>
          <w:trHeight w:val="216"/>
        </w:trPr>
        <w:tc>
          <w:tcPr>
            <w:tcW w:w="8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tax asset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4,550</w:t>
            </w:r>
          </w:p>
        </w:tc>
        <w:tc>
          <w:tcPr>
            <w:tcW w:w="60" w:type="dxa"/>
            <w:vAlign w:val="bottom"/>
            <w:shd w:val="clear" w:color="auto" w:fill="CCEEFF"/>
          </w:tcPr>
          <w:p>
            <w:pPr>
              <w:spacing w:after="0"/>
              <w:rPr>
                <w:sz w:val="18"/>
                <w:szCs w:val="18"/>
                <w:color w:val="auto"/>
              </w:rPr>
            </w:pPr>
          </w:p>
        </w:tc>
      </w:tr>
      <w:tr>
        <w:trPr>
          <w:trHeight w:val="216"/>
        </w:trPr>
        <w:tc>
          <w:tcPr>
            <w:tcW w:w="8780" w:type="dxa"/>
            <w:vAlign w:val="bottom"/>
          </w:tcPr>
          <w:p>
            <w:pPr>
              <w:ind w:left="440"/>
              <w:spacing w:after="0"/>
              <w:rPr>
                <w:sz w:val="20"/>
                <w:szCs w:val="20"/>
                <w:color w:val="auto"/>
              </w:rPr>
            </w:pPr>
            <w:r>
              <w:rPr>
                <w:rFonts w:ascii="Arial" w:cs="Arial" w:eastAsia="Arial" w:hAnsi="Arial"/>
                <w:sz w:val="18"/>
                <w:szCs w:val="18"/>
                <w:color w:val="auto"/>
              </w:rPr>
              <w:t>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4,864</w:t>
            </w:r>
          </w:p>
        </w:tc>
        <w:tc>
          <w:tcPr>
            <w:tcW w:w="60" w:type="dxa"/>
            <w:vAlign w:val="bottom"/>
          </w:tcPr>
          <w:p>
            <w:pPr>
              <w:spacing w:after="0"/>
              <w:rPr>
                <w:sz w:val="18"/>
                <w:szCs w:val="18"/>
                <w:color w:val="auto"/>
              </w:rPr>
            </w:pPr>
          </w:p>
        </w:tc>
      </w:tr>
      <w:tr>
        <w:trPr>
          <w:trHeight w:val="216"/>
        </w:trPr>
        <w:tc>
          <w:tcPr>
            <w:tcW w:w="8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13,301</w:t>
            </w:r>
          </w:p>
        </w:tc>
        <w:tc>
          <w:tcPr>
            <w:tcW w:w="60" w:type="dxa"/>
            <w:vAlign w:val="bottom"/>
            <w:shd w:val="clear" w:color="auto" w:fill="CCEEFF"/>
          </w:tcPr>
          <w:p>
            <w:pPr>
              <w:spacing w:after="0"/>
              <w:rPr>
                <w:sz w:val="18"/>
                <w:szCs w:val="18"/>
                <w:color w:val="auto"/>
              </w:rPr>
            </w:pPr>
          </w:p>
        </w:tc>
      </w:tr>
      <w:tr>
        <w:trPr>
          <w:trHeight w:val="216"/>
        </w:trPr>
        <w:tc>
          <w:tcPr>
            <w:tcW w:w="8780" w:type="dxa"/>
            <w:vAlign w:val="bottom"/>
          </w:tcPr>
          <w:p>
            <w:pPr>
              <w:ind w:left="440"/>
              <w:spacing w:after="0"/>
              <w:rPr>
                <w:sz w:val="20"/>
                <w:szCs w:val="20"/>
                <w:color w:val="auto"/>
              </w:rPr>
            </w:pPr>
            <w:r>
              <w:rPr>
                <w:rFonts w:ascii="Arial" w:cs="Arial" w:eastAsia="Arial" w:hAnsi="Arial"/>
                <w:sz w:val="18"/>
                <w:szCs w:val="18"/>
                <w:color w:val="auto"/>
              </w:rPr>
              <w:t>Long-term deferred tax asset</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813</w:t>
            </w:r>
          </w:p>
        </w:tc>
        <w:tc>
          <w:tcPr>
            <w:tcW w:w="60" w:type="dxa"/>
            <w:vAlign w:val="bottom"/>
          </w:tcPr>
          <w:p>
            <w:pPr>
              <w:spacing w:after="0"/>
              <w:rPr>
                <w:sz w:val="18"/>
                <w:szCs w:val="18"/>
                <w:color w:val="auto"/>
              </w:rPr>
            </w:pPr>
          </w:p>
        </w:tc>
      </w:tr>
      <w:tr>
        <w:trPr>
          <w:trHeight w:val="216"/>
        </w:trPr>
        <w:tc>
          <w:tcPr>
            <w:tcW w:w="8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(6,342)</w:t>
            </w:r>
          </w:p>
        </w:tc>
      </w:tr>
      <w:tr>
        <w:trPr>
          <w:trHeight w:val="216"/>
        </w:trPr>
        <w:tc>
          <w:tcPr>
            <w:tcW w:w="8780" w:type="dxa"/>
            <w:vAlign w:val="bottom"/>
          </w:tcPr>
          <w:p>
            <w:pPr>
              <w:ind w:left="440"/>
              <w:spacing w:after="0"/>
              <w:rPr>
                <w:sz w:val="20"/>
                <w:szCs w:val="20"/>
                <w:color w:val="auto"/>
              </w:rPr>
            </w:pPr>
            <w:r>
              <w:rPr>
                <w:rFonts w:ascii="Arial" w:cs="Arial" w:eastAsia="Arial" w:hAnsi="Arial"/>
                <w:sz w:val="18"/>
                <w:szCs w:val="18"/>
                <w:color w:val="auto"/>
              </w:rPr>
              <w:t>Accrued compensation</w:t>
            </w:r>
          </w:p>
        </w:tc>
        <w:tc>
          <w:tcPr>
            <w:tcW w:w="1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(12,236)</w:t>
            </w:r>
          </w:p>
        </w:tc>
      </w:tr>
      <w:tr>
        <w:trPr>
          <w:trHeight w:val="216"/>
        </w:trPr>
        <w:tc>
          <w:tcPr>
            <w:tcW w:w="8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supply agreement</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(200,662)</w:t>
            </w:r>
          </w:p>
        </w:tc>
      </w:tr>
      <w:tr>
        <w:trPr>
          <w:trHeight w:val="216"/>
        </w:trPr>
        <w:tc>
          <w:tcPr>
            <w:tcW w:w="8780" w:type="dxa"/>
            <w:vAlign w:val="bottom"/>
          </w:tcPr>
          <w:p>
            <w:pPr>
              <w:ind w:left="440"/>
              <w:spacing w:after="0"/>
              <w:rPr>
                <w:sz w:val="20"/>
                <w:szCs w:val="20"/>
                <w:color w:val="auto"/>
              </w:rPr>
            </w:pPr>
            <w:r>
              <w:rPr>
                <w:rFonts w:ascii="Arial" w:cs="Arial" w:eastAsia="Arial" w:hAnsi="Arial"/>
                <w:sz w:val="18"/>
                <w:szCs w:val="18"/>
                <w:color w:val="auto"/>
              </w:rPr>
              <w:t>Long-term liabilities</w:t>
            </w:r>
          </w:p>
        </w:tc>
        <w:tc>
          <w:tcPr>
            <w:tcW w:w="1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(14,831)</w:t>
            </w:r>
          </w:p>
        </w:tc>
      </w:tr>
      <w:tr>
        <w:trPr>
          <w:trHeight w:val="27"/>
        </w:trPr>
        <w:tc>
          <w:tcPr>
            <w:tcW w:w="87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8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(161,620)</w:t>
            </w:r>
          </w:p>
        </w:tc>
      </w:tr>
      <w:tr>
        <w:trPr>
          <w:trHeight w:val="216"/>
        </w:trPr>
        <w:tc>
          <w:tcPr>
            <w:tcW w:w="878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8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Existing technology</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190,700</w:t>
            </w:r>
          </w:p>
        </w:tc>
        <w:tc>
          <w:tcPr>
            <w:tcW w:w="60" w:type="dxa"/>
            <w:vAlign w:val="bottom"/>
            <w:shd w:val="clear" w:color="auto" w:fill="CCEEFF"/>
          </w:tcPr>
          <w:p>
            <w:pPr>
              <w:spacing w:after="0"/>
              <w:rPr>
                <w:sz w:val="18"/>
                <w:szCs w:val="18"/>
                <w:color w:val="auto"/>
              </w:rPr>
            </w:pPr>
          </w:p>
        </w:tc>
      </w:tr>
      <w:tr>
        <w:trPr>
          <w:trHeight w:val="216"/>
        </w:trPr>
        <w:tc>
          <w:tcPr>
            <w:tcW w:w="8780" w:type="dxa"/>
            <w:vAlign w:val="bottom"/>
          </w:tcPr>
          <w:p>
            <w:pPr>
              <w:ind w:left="440"/>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136,300</w:t>
            </w:r>
          </w:p>
        </w:tc>
        <w:tc>
          <w:tcPr>
            <w:tcW w:w="60" w:type="dxa"/>
            <w:vAlign w:val="bottom"/>
          </w:tcPr>
          <w:p>
            <w:pPr>
              <w:spacing w:after="0"/>
              <w:rPr>
                <w:sz w:val="18"/>
                <w:szCs w:val="18"/>
                <w:color w:val="auto"/>
              </w:rPr>
            </w:pPr>
          </w:p>
        </w:tc>
      </w:tr>
      <w:tr>
        <w:trPr>
          <w:trHeight w:val="216"/>
        </w:trPr>
        <w:tc>
          <w:tcPr>
            <w:tcW w:w="8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Customer relationships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59,900</w:t>
            </w:r>
          </w:p>
        </w:tc>
        <w:tc>
          <w:tcPr>
            <w:tcW w:w="60" w:type="dxa"/>
            <w:vAlign w:val="bottom"/>
            <w:shd w:val="clear" w:color="auto" w:fill="CCEEFF"/>
          </w:tcPr>
          <w:p>
            <w:pPr>
              <w:spacing w:after="0"/>
              <w:rPr>
                <w:sz w:val="18"/>
                <w:szCs w:val="18"/>
                <w:color w:val="auto"/>
              </w:rPr>
            </w:pPr>
          </w:p>
        </w:tc>
      </w:tr>
      <w:tr>
        <w:trPr>
          <w:trHeight w:val="216"/>
        </w:trPr>
        <w:tc>
          <w:tcPr>
            <w:tcW w:w="878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77,800</w:t>
            </w:r>
          </w:p>
        </w:tc>
        <w:tc>
          <w:tcPr>
            <w:tcW w:w="60" w:type="dxa"/>
            <w:vAlign w:val="bottom"/>
          </w:tcPr>
          <w:p>
            <w:pPr>
              <w:spacing w:after="0"/>
              <w:rPr>
                <w:sz w:val="18"/>
                <w:szCs w:val="18"/>
                <w:color w:val="auto"/>
              </w:rPr>
            </w:pPr>
          </w:p>
        </w:tc>
      </w:tr>
      <w:tr>
        <w:trPr>
          <w:trHeight w:val="216"/>
        </w:trPr>
        <w:tc>
          <w:tcPr>
            <w:tcW w:w="87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302,564</w:t>
            </w:r>
          </w:p>
        </w:tc>
        <w:tc>
          <w:tcPr>
            <w:tcW w:w="60" w:type="dxa"/>
            <w:vAlign w:val="bottom"/>
            <w:shd w:val="clear" w:color="auto" w:fill="CCEEFF"/>
          </w:tcPr>
          <w:p>
            <w:pPr>
              <w:spacing w:after="0"/>
              <w:rPr>
                <w:sz w:val="18"/>
                <w:szCs w:val="18"/>
                <w:color w:val="auto"/>
              </w:rPr>
            </w:pPr>
          </w:p>
        </w:tc>
      </w:tr>
      <w:tr>
        <w:trPr>
          <w:trHeight w:val="222"/>
        </w:trPr>
        <w:tc>
          <w:tcPr>
            <w:tcW w:w="878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605,644</w:t>
            </w:r>
          </w:p>
        </w:tc>
        <w:tc>
          <w:tcPr>
            <w:tcW w:w="60" w:type="dxa"/>
            <w:vAlign w:val="bottom"/>
          </w:tcPr>
          <w:p>
            <w:pPr>
              <w:spacing w:after="0"/>
              <w:rPr>
                <w:sz w:val="19"/>
                <w:szCs w:val="19"/>
                <w:color w:val="auto"/>
              </w:rPr>
            </w:pPr>
          </w:p>
        </w:tc>
      </w:tr>
      <w:tr>
        <w:trPr>
          <w:trHeight w:val="20"/>
        </w:trPr>
        <w:tc>
          <w:tcPr>
            <w:tcW w:w="87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amortizable intangible assets of $386.9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one to seven years. The existing technology comprises of products which have reached technological feasibility and includes the chipsets which have been completed and shipping in volume to customers. Core technology represents a combination of processes, patents and trade secrets developed though years of experience in design and development of the products. Customer relationships represent future projected revenue that will be derived from sales of future versions of existing products that will be sold to existing customers. The Company has not provided a deferred tax liability on $386.9 million of purchased intangibles during the year as the intangibles are recorded in Bermuda at a zero tax rate.</w:t>
      </w:r>
    </w:p>
    <w:p>
      <w:pPr>
        <w:spacing w:after="0" w:line="118"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Of the total purchase price, $77.8 million was allocated to in-process research and development (“IPRD”) based upon the fair values of assets acquired and was charged to expense in the fourth quarter of fiscal 2007. The ICAP Business was developing new products that had not reached technological feasibility and which had no alternative use and therefore were immediately written-off. The projects in process consisted of the development of new features and functionalities for sophisticated processors necessary to address customer needs, drive market acceptance and fuel the overall revenue growth profile of the acquired products.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ranging from 24.0% to 27.0% were used for IPRD. At the time of the acquisition, there were three significant projects in progress that were approximately 56.0% complete with aggregate costs to complete of $31.0 million. The projects were completed during fiscal 2008.</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380"/>
          </w:cols>
          <w:pgMar w:left="240" w:top="459" w:right="27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4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weighted average useful lives of acquired intangibles from the ICAP Business are 4.2 years for existing technology, 7.0 years for core technology and 7.0 year for customer relationships.</w:t>
      </w:r>
    </w:p>
    <w:p>
      <w:pPr>
        <w:spacing w:after="0" w:line="132"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conjunction with the acquisition of the ICAP Business, the Company entered into a supply agreement with Intel. The supply agreement obligated the Company to purchase certain finished product and sorted wafers at a contracted price from Intel for a contracted period of time. The contracted purchase period differed between finished products and sorted wafers. Intel’s pricing to the Company was greater than comparable prices available to the Company in the market in almost all cases. Accordingly, the Company recorded a liability upon the signing of the contract representing the difference between Intel prices and comparable market prices for those products for which the Company had a contractual obligation.</w:t>
      </w:r>
    </w:p>
    <w:p>
      <w:pPr>
        <w:spacing w:after="0" w:line="1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reduced its inventory carrying value as product was purchased. Since the Company was obligated to purchase finished products and sorted wafers at prices above which a market participant could obtain from independent foundries and assembly/test subcontractors, the Company recorded inventory on hand at fair value with the difference between actual purchase price and fair values reducing the supply agreement liability. The Company also imputed and recorded interest expense on the supply agreement since the supply agreement liability was incurred over multiple quarters into the future and thus the liability was initially recorded at net present value.</w:t>
      </w:r>
    </w:p>
    <w:p>
      <w:pPr>
        <w:spacing w:after="0" w:line="143"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Company has met the contractual obligations under the original supply agreement and can purchase products from its own foundries and subcontractors or continue to use Intel until the products have transitioned to the Company’s foundries and subcontractors. Although the Company has transitioned certain products to its fabrication partners, the Company anticipates that it will continue to source certain legacy application processor cellular and handset inventory from Intel. In the fourth quarter of fiscal 2008, the Company amended the supply agreement.</w:t>
      </w:r>
    </w:p>
    <w:p>
      <w:pPr>
        <w:spacing w:after="0" w:line="113"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During the fourth quarter of fiscal 2008, the Company recorded an adjustment of $18.3 million to the supply agreement liability and goodwill as a reduction to reflect the proper characterization of the supply agreement. Additionally, a one-time benefit of $22.1 million was credited to other income to reflect the differences between the original estimate and actual product mix and yields. As of February 2, 2008, $36.7 million in credits have been adjusted against inventory to reflect fair market value and $0.8 million has been adjusted to deferred cost of goods sold. This amount will be recognized in cost of goods sold as and when the related inventory is depleted in future periods.</w:t>
      </w:r>
    </w:p>
    <w:p>
      <w:pPr>
        <w:spacing w:after="0" w:line="143"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The results of operations of the UTStarcom Business, the Avago Business and the ICAP Business have been included in the Company’s consolidated statements of operations since their respective acquisition dates. The following unaudited pro forma information presents a summary of the results of operations of the Company assuming the acquisition of these businesses occurred at the beginning of the periods presented (in thousands, except for per share amounts):</w:t>
      </w:r>
    </w:p>
    <w:p>
      <w:pPr>
        <w:spacing w:after="0" w:line="112"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24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90"/>
              </w:rPr>
              <w:t>Year Ended</w:t>
            </w:r>
          </w:p>
        </w:tc>
      </w:tr>
      <w:tr>
        <w:trPr>
          <w:trHeight w:val="161"/>
        </w:trPr>
        <w:tc>
          <w:tcPr>
            <w:tcW w:w="324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10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7"/>
              </w:rPr>
              <w:t>January 27, 2007</w:t>
            </w:r>
          </w:p>
        </w:tc>
        <w:tc>
          <w:tcPr>
            <w:tcW w:w="60" w:type="dxa"/>
            <w:vAlign w:val="bottom"/>
          </w:tcPr>
          <w:p>
            <w:pPr>
              <w:spacing w:after="0"/>
              <w:rPr>
                <w:sz w:val="14"/>
                <w:szCs w:val="14"/>
                <w:color w:val="auto"/>
              </w:rPr>
            </w:pPr>
          </w:p>
        </w:tc>
      </w:tr>
      <w:tr>
        <w:trPr>
          <w:trHeight w:val="210"/>
        </w:trPr>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5400" w:type="dxa"/>
            <w:vAlign w:val="bottom"/>
            <w:gridSpan w:val="2"/>
            <w:shd w:val="clear" w:color="auto" w:fill="CCEEFF"/>
          </w:tcPr>
          <w:p>
            <w:pPr>
              <w:ind w:left="5280"/>
              <w:spacing w:after="0"/>
              <w:rPr>
                <w:sz w:val="20"/>
                <w:szCs w:val="20"/>
                <w:color w:val="auto"/>
              </w:rPr>
            </w:pPr>
            <w:r>
              <w:rPr>
                <w:rFonts w:ascii="Arial" w:cs="Arial" w:eastAsia="Arial" w:hAnsi="Arial"/>
                <w:sz w:val="18"/>
                <w:szCs w:val="18"/>
                <w:color w:val="auto"/>
                <w:w w:val="9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2,610,079</w:t>
            </w:r>
          </w:p>
        </w:tc>
        <w:tc>
          <w:tcPr>
            <w:tcW w:w="60" w:type="dxa"/>
            <w:vAlign w:val="bottom"/>
            <w:shd w:val="clear" w:color="auto" w:fill="CCEEFF"/>
          </w:tcPr>
          <w:p>
            <w:pPr>
              <w:spacing w:after="0"/>
              <w:rPr>
                <w:sz w:val="18"/>
                <w:szCs w:val="18"/>
                <w:color w:val="auto"/>
              </w:rPr>
            </w:pPr>
          </w:p>
        </w:tc>
      </w:tr>
      <w:tr>
        <w:trPr>
          <w:trHeight w:val="216"/>
        </w:trPr>
        <w:tc>
          <w:tcPr>
            <w:tcW w:w="3240" w:type="dxa"/>
            <w:vAlign w:val="bottom"/>
          </w:tcPr>
          <w:p>
            <w:pPr>
              <w:spacing w:after="0"/>
              <w:rPr>
                <w:sz w:val="20"/>
                <w:szCs w:val="20"/>
                <w:color w:val="auto"/>
              </w:rPr>
            </w:pPr>
            <w:r>
              <w:rPr>
                <w:rFonts w:ascii="Arial" w:cs="Arial" w:eastAsia="Arial" w:hAnsi="Arial"/>
                <w:sz w:val="18"/>
                <w:szCs w:val="18"/>
                <w:color w:val="auto"/>
              </w:rPr>
              <w:t>Net loss</w:t>
            </w:r>
          </w:p>
        </w:tc>
        <w:tc>
          <w:tcPr>
            <w:tcW w:w="5400" w:type="dxa"/>
            <w:vAlign w:val="bottom"/>
            <w:gridSpan w:val="2"/>
          </w:tcPr>
          <w:p>
            <w:pPr>
              <w:ind w:left="5280"/>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(475,150)</w:t>
            </w:r>
          </w:p>
        </w:tc>
      </w:tr>
      <w:tr>
        <w:trPr>
          <w:trHeight w:val="216"/>
        </w:trPr>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Basic net loss per share</w:t>
            </w:r>
          </w:p>
        </w:tc>
        <w:tc>
          <w:tcPr>
            <w:tcW w:w="5400" w:type="dxa"/>
            <w:vAlign w:val="bottom"/>
            <w:gridSpan w:val="2"/>
            <w:shd w:val="clear" w:color="auto" w:fill="CCEEFF"/>
          </w:tcPr>
          <w:p>
            <w:pPr>
              <w:ind w:left="5280"/>
              <w:spacing w:after="0"/>
              <w:rPr>
                <w:sz w:val="20"/>
                <w:szCs w:val="20"/>
                <w:color w:val="auto"/>
              </w:rPr>
            </w:pPr>
            <w:r>
              <w:rPr>
                <w:rFonts w:ascii="Arial" w:cs="Arial" w:eastAsia="Arial" w:hAnsi="Arial"/>
                <w:sz w:val="18"/>
                <w:szCs w:val="18"/>
                <w:color w:val="auto"/>
                <w:w w:val="99"/>
              </w:rPr>
              <w:t>$</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(0.81)</w:t>
            </w:r>
          </w:p>
        </w:tc>
      </w:tr>
      <w:tr>
        <w:trPr>
          <w:trHeight w:val="222"/>
        </w:trPr>
        <w:tc>
          <w:tcPr>
            <w:tcW w:w="324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5400" w:type="dxa"/>
            <w:vAlign w:val="bottom"/>
            <w:gridSpan w:val="2"/>
          </w:tcPr>
          <w:p>
            <w:pPr>
              <w:ind w:left="5280"/>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(0.81)</w:t>
            </w:r>
          </w:p>
        </w:tc>
      </w:tr>
      <w:tr>
        <w:trPr>
          <w:trHeight w:val="356"/>
        </w:trPr>
        <w:tc>
          <w:tcPr>
            <w:tcW w:w="3240" w:type="dxa"/>
            <w:vAlign w:val="bottom"/>
          </w:tcPr>
          <w:p>
            <w:pPr>
              <w:spacing w:after="0"/>
              <w:rPr>
                <w:sz w:val="24"/>
                <w:szCs w:val="24"/>
                <w:color w:val="auto"/>
              </w:rPr>
            </w:pPr>
          </w:p>
        </w:tc>
        <w:tc>
          <w:tcPr>
            <w:tcW w:w="5280" w:type="dxa"/>
            <w:vAlign w:val="bottom"/>
          </w:tcPr>
          <w:p>
            <w:pPr>
              <w:ind w:left="1460"/>
              <w:spacing w:after="0"/>
              <w:rPr>
                <w:sz w:val="20"/>
                <w:szCs w:val="20"/>
                <w:color w:val="auto"/>
              </w:rPr>
            </w:pPr>
            <w:r>
              <w:rPr>
                <w:rFonts w:ascii="Arial" w:cs="Arial" w:eastAsia="Arial" w:hAnsi="Arial"/>
                <w:sz w:val="18"/>
                <w:szCs w:val="18"/>
                <w:color w:val="auto"/>
              </w:rPr>
              <w:t>85</w:t>
            </w: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ectPr>
          <w:pgSz w:w="11900" w:h="16838" w:orient="portrait"/>
          <w:cols w:equalWidth="0" w:num="1">
            <w:col w:w="11380"/>
          </w:cols>
          <w:pgMar w:left="240" w:top="459" w:right="27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Avago Business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acquired the Avago Business on May 1, 2006. The Avago Business focuses on the design and development of system-on-chip and system level solutions for both inkjet and laser jet printer systems. The primary purpose and benefits of the acquisition were to permit the Company’s entry into the printer market, leverage its portfolio of complementary technology, obtain important printer systems level knowledge and strengthen the Company’s relationship with the only customer of the products. These factors contributed to a purchase price that was in excess of the fair value of the Avago Business net tangible and intangible assets acquired. The Company recorded goodwill, which is not deductible for tax purposes, in connection with this transaction.</w:t>
      </w:r>
    </w:p>
    <w:p>
      <w:pPr>
        <w:spacing w:after="0" w:line="11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Under the terms of the agreement, the Company paid $249.6 million in cash and an additional $35.0 million in cash for the contingent consideration. The purchase price of the acquisition, including the contingent consideration recorded of $35.0 million, was $288.0 million and was determined as follows (in thousands):</w:t>
      </w:r>
    </w:p>
    <w:p>
      <w:pPr>
        <w:spacing w:after="0" w:line="189" w:lineRule="exact"/>
        <w:rPr>
          <w:sz w:val="20"/>
          <w:szCs w:val="20"/>
          <w:color w:val="auto"/>
        </w:rPr>
      </w:pPr>
    </w:p>
    <w:tbl>
      <w:tblPr>
        <w:tblLayout w:type="fixed"/>
        <w:tblInd w:w="920" w:type="dxa"/>
        <w:tblCellMar>
          <w:top w:w="0" w:type="dxa"/>
          <w:left w:w="0" w:type="dxa"/>
          <w:bottom w:w="0" w:type="dxa"/>
          <w:right w:w="0" w:type="dxa"/>
        </w:tblCellMar>
      </w:tblPr>
      <w:tr>
        <w:trPr>
          <w:trHeight w:val="216"/>
        </w:trPr>
        <w:tc>
          <w:tcPr>
            <w:tcW w:w="54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284,591</w:t>
            </w:r>
          </w:p>
        </w:tc>
      </w:tr>
      <w:tr>
        <w:trPr>
          <w:trHeight w:val="223"/>
        </w:trPr>
        <w:tc>
          <w:tcPr>
            <w:tcW w:w="5480" w:type="dxa"/>
            <w:vAlign w:val="bottom"/>
          </w:tcPr>
          <w:p>
            <w:pPr>
              <w:spacing w:after="0"/>
              <w:rPr>
                <w:sz w:val="20"/>
                <w:szCs w:val="20"/>
                <w:color w:val="auto"/>
              </w:rPr>
            </w:pPr>
            <w:r>
              <w:rPr>
                <w:rFonts w:ascii="Arial" w:cs="Arial" w:eastAsia="Arial" w:hAnsi="Arial"/>
                <w:sz w:val="18"/>
                <w:szCs w:val="18"/>
                <w:color w:val="auto"/>
              </w:rPr>
              <w:t>Transaction costs</w:t>
            </w:r>
          </w:p>
        </w:tc>
        <w:tc>
          <w:tcPr>
            <w:tcW w:w="33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3,388</w:t>
            </w:r>
          </w:p>
        </w:tc>
      </w:tr>
      <w:tr>
        <w:trPr>
          <w:trHeight w:val="216"/>
        </w:trPr>
        <w:tc>
          <w:tcPr>
            <w:tcW w:w="5480" w:type="dxa"/>
            <w:vAlign w:val="bottom"/>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3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287,979</w:t>
            </w:r>
          </w:p>
        </w:tc>
      </w:tr>
      <w:tr>
        <w:trPr>
          <w:trHeight w:val="20"/>
        </w:trPr>
        <w:tc>
          <w:tcPr>
            <w:tcW w:w="5480" w:type="dxa"/>
            <w:vAlign w:val="bottom"/>
          </w:tcPr>
          <w:p>
            <w:pPr>
              <w:spacing w:after="0" w:line="20" w:lineRule="exact"/>
              <w:rPr>
                <w:sz w:val="1"/>
                <w:szCs w:val="1"/>
                <w:color w:val="auto"/>
              </w:rPr>
            </w:pPr>
          </w:p>
        </w:tc>
        <w:tc>
          <w:tcPr>
            <w:tcW w:w="3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the third quarter of fiscal 2007, the Company recorded additional purchase consideration with a corresponding increase in goodwill of $10.0 million based on the achievement of certain levels of revenue of the past year. Additionally, in the third quarter of fiscal 2007, the Company recorded an adjustment of $1.9 million relating to inventory acquired at the acquisition date, resulting in a corresponding reduction in goodwill. In the first quarter of fiscal 2008, the Company recorded an adjustment of $1.3 million relating to a reduction of an accrued liability recorded in the original purchase accounting resulting in a corresponding decrease in goodwill. In the third quarter of fiscal 2008, the Company recorded the final purchase consideration with a corresponding increase in goodwill of $25.0 million based on the achievement of a certain level of revenue for the one year period ending October 2007.</w:t>
      </w:r>
    </w:p>
    <w:p>
      <w:pPr>
        <w:spacing w:after="0" w:line="120"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Under the purchase method of accounting, the total purchase price (including the contingent consideration recorded of $35.0 million) was allocated to net tangible and intangible assets based on their fair values as of the date of completion of the acquisition, as adjusted, as follows (in thousands):</w:t>
      </w:r>
    </w:p>
    <w:p>
      <w:pPr>
        <w:spacing w:after="0" w:line="134" w:lineRule="exact"/>
        <w:rPr>
          <w:sz w:val="20"/>
          <w:szCs w:val="20"/>
          <w:color w:val="auto"/>
        </w:rPr>
      </w:pPr>
    </w:p>
    <w:tbl>
      <w:tblPr>
        <w:tblLayout w:type="fixed"/>
        <w:tblInd w:w="920" w:type="dxa"/>
        <w:tblCellMar>
          <w:top w:w="0" w:type="dxa"/>
          <w:left w:w="0" w:type="dxa"/>
          <w:bottom w:w="0" w:type="dxa"/>
          <w:right w:w="0" w:type="dxa"/>
        </w:tblCellMar>
      </w:tblPr>
      <w:tr>
        <w:trPr>
          <w:trHeight w:val="216"/>
        </w:trPr>
        <w:tc>
          <w:tcPr>
            <w:tcW w:w="3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w:t>
            </w:r>
          </w:p>
        </w:tc>
        <w:tc>
          <w:tcPr>
            <w:tcW w:w="5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ind w:left="440"/>
              <w:spacing w:after="0"/>
              <w:rPr>
                <w:sz w:val="20"/>
                <w:szCs w:val="20"/>
                <w:color w:val="auto"/>
              </w:rPr>
            </w:pPr>
            <w:r>
              <w:rPr>
                <w:rFonts w:ascii="Arial" w:cs="Arial" w:eastAsia="Arial" w:hAnsi="Arial"/>
                <w:sz w:val="18"/>
                <w:szCs w:val="18"/>
                <w:color w:val="auto"/>
              </w:rPr>
              <w:t>Current assets</w:t>
            </w:r>
          </w:p>
        </w:tc>
        <w:tc>
          <w:tcPr>
            <w:tcW w:w="5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3,704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tax asset</w:t>
            </w:r>
          </w:p>
        </w:tc>
        <w:tc>
          <w:tcPr>
            <w:tcW w:w="5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5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23,896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Fixed assets</w:t>
            </w:r>
          </w:p>
        </w:tc>
        <w:tc>
          <w:tcPr>
            <w:tcW w:w="5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ind w:left="440"/>
              <w:spacing w:after="0"/>
              <w:rPr>
                <w:sz w:val="20"/>
                <w:szCs w:val="20"/>
                <w:color w:val="auto"/>
              </w:rPr>
            </w:pPr>
            <w:r>
              <w:rPr>
                <w:rFonts w:ascii="Arial" w:cs="Arial" w:eastAsia="Arial" w:hAnsi="Arial"/>
                <w:sz w:val="18"/>
                <w:szCs w:val="18"/>
                <w:color w:val="auto"/>
              </w:rPr>
              <w:t>Other current assets</w:t>
            </w:r>
          </w:p>
        </w:tc>
        <w:tc>
          <w:tcPr>
            <w:tcW w:w="5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5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(11,940)</w:t>
            </w:r>
          </w:p>
        </w:tc>
        <w:tc>
          <w:tcPr>
            <w:tcW w:w="0" w:type="dxa"/>
            <w:vAlign w:val="bottom"/>
          </w:tcPr>
          <w:p>
            <w:pPr>
              <w:spacing w:after="0"/>
              <w:rPr>
                <w:sz w:val="1"/>
                <w:szCs w:val="1"/>
                <w:color w:val="auto"/>
              </w:rPr>
            </w:pPr>
          </w:p>
        </w:tc>
      </w:tr>
      <w:tr>
        <w:trPr>
          <w:trHeight w:val="223"/>
        </w:trPr>
        <w:tc>
          <w:tcPr>
            <w:tcW w:w="3540" w:type="dxa"/>
            <w:vAlign w:val="bottom"/>
          </w:tcPr>
          <w:p>
            <w:pPr>
              <w:ind w:left="440"/>
              <w:spacing w:after="0"/>
              <w:rPr>
                <w:sz w:val="20"/>
                <w:szCs w:val="20"/>
                <w:color w:val="auto"/>
              </w:rPr>
            </w:pPr>
            <w:r>
              <w:rPr>
                <w:rFonts w:ascii="Arial" w:cs="Arial" w:eastAsia="Arial" w:hAnsi="Arial"/>
                <w:sz w:val="18"/>
                <w:szCs w:val="18"/>
                <w:color w:val="auto"/>
              </w:rPr>
              <w:t>Accrued employee benefits</w:t>
            </w:r>
          </w:p>
        </w:tc>
        <w:tc>
          <w:tcPr>
            <w:tcW w:w="5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(3,998)</w:t>
            </w: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5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32,771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5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Existing technology</w:t>
            </w:r>
          </w:p>
        </w:tc>
        <w:tc>
          <w:tcPr>
            <w:tcW w:w="5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ind w:left="440"/>
              <w:spacing w:after="0"/>
              <w:rPr>
                <w:sz w:val="20"/>
                <w:szCs w:val="20"/>
                <w:color w:val="auto"/>
              </w:rPr>
            </w:pPr>
            <w:r>
              <w:rPr>
                <w:rFonts w:ascii="Arial" w:cs="Arial" w:eastAsia="Arial" w:hAnsi="Arial"/>
                <w:sz w:val="18"/>
                <w:szCs w:val="18"/>
                <w:color w:val="auto"/>
              </w:rPr>
              <w:t>Core technology</w:t>
            </w:r>
          </w:p>
        </w:tc>
        <w:tc>
          <w:tcPr>
            <w:tcW w:w="5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40,200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Customer relationships</w:t>
            </w:r>
          </w:p>
        </w:tc>
        <w:tc>
          <w:tcPr>
            <w:tcW w:w="5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540" w:type="dxa"/>
            <w:vAlign w:val="bottom"/>
          </w:tcPr>
          <w:p>
            <w:pPr>
              <w:spacing w:after="0"/>
              <w:rPr>
                <w:sz w:val="20"/>
                <w:szCs w:val="20"/>
                <w:color w:val="auto"/>
              </w:rPr>
            </w:pPr>
            <w:r>
              <w:rPr>
                <w:rFonts w:ascii="Arial" w:cs="Arial" w:eastAsia="Arial" w:hAnsi="Arial"/>
                <w:sz w:val="18"/>
                <w:szCs w:val="18"/>
                <w:color w:val="auto"/>
              </w:rPr>
              <w:t>Goodwill</w:t>
            </w:r>
          </w:p>
        </w:tc>
        <w:tc>
          <w:tcPr>
            <w:tcW w:w="5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105,808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Total purchase price allocation</w:t>
            </w:r>
          </w:p>
        </w:tc>
        <w:tc>
          <w:tcPr>
            <w:tcW w:w="5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287,979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5300" w:type="dxa"/>
            <w:vAlign w:val="bottom"/>
            <w:vMerge w:val="restart"/>
          </w:tcPr>
          <w:p>
            <w:pPr>
              <w:jc w:val="right"/>
              <w:ind w:right="3872"/>
              <w:spacing w:after="0"/>
              <w:rPr>
                <w:sz w:val="20"/>
                <w:szCs w:val="20"/>
                <w:color w:val="auto"/>
              </w:rPr>
            </w:pPr>
            <w:r>
              <w:rPr>
                <w:rFonts w:ascii="Arial" w:cs="Arial" w:eastAsia="Arial" w:hAnsi="Arial"/>
                <w:sz w:val="18"/>
                <w:szCs w:val="18"/>
                <w:color w:val="auto"/>
              </w:rPr>
              <w:t>86</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53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00"/>
          </w:cols>
          <w:pgMar w:left="240" w:top="459" w:right="35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six years. 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Company has not provided a deferred tax liability on $149.4 million of purchased intangibles during the year as the intangibles have been stepped up for tax purposes under Singapore tax law to $149.4 million.</w:t>
      </w:r>
    </w:p>
    <w:p>
      <w:pPr>
        <w:spacing w:after="0" w:line="11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existing technology, 4.9 years for core technology and 5.0 years for customer relationships.</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UTStarcom Business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Company acquired the UTStarcom Business on February 16, 2006. The UTStarcom Business focuses on the design and development of personal handyphone systems (PHS) and next generation cellular communications technology. The primary reasons for the acquisition of the semiconductor division of UTStarcom were to strengthen and augment its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118"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Under the terms of the agreement, the Company paid $24.0 million in cash and an additional $16.0 million based on the achievement of certain defined milestones. The purchase price of the acquisition was $40.8 million, including the contingent consideration recorded of $16.0 million, and was determined as follows (in thousands):</w:t>
      </w:r>
    </w:p>
    <w:p>
      <w:pPr>
        <w:spacing w:after="0" w:line="189" w:lineRule="exact"/>
        <w:rPr>
          <w:sz w:val="20"/>
          <w:szCs w:val="20"/>
          <w:color w:val="auto"/>
        </w:rPr>
      </w:pPr>
    </w:p>
    <w:tbl>
      <w:tblPr>
        <w:tblLayout w:type="fixed"/>
        <w:tblInd w:w="920" w:type="dxa"/>
        <w:tblCellMar>
          <w:top w:w="0" w:type="dxa"/>
          <w:left w:w="0" w:type="dxa"/>
          <w:bottom w:w="0" w:type="dxa"/>
          <w:right w:w="0" w:type="dxa"/>
        </w:tblCellMar>
      </w:tblP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$ 40,008</w:t>
            </w:r>
          </w:p>
        </w:tc>
      </w:tr>
      <w:tr>
        <w:trPr>
          <w:trHeight w:val="223"/>
        </w:trPr>
        <w:tc>
          <w:tcPr>
            <w:tcW w:w="8980" w:type="dxa"/>
            <w:vAlign w:val="bottom"/>
          </w:tcPr>
          <w:p>
            <w:pPr>
              <w:spacing w:after="0"/>
              <w:rPr>
                <w:sz w:val="20"/>
                <w:szCs w:val="20"/>
                <w:color w:val="auto"/>
              </w:rPr>
            </w:pPr>
            <w:r>
              <w:rPr>
                <w:rFonts w:ascii="Arial" w:cs="Arial" w:eastAsia="Arial" w:hAnsi="Arial"/>
                <w:sz w:val="18"/>
                <w:szCs w:val="18"/>
                <w:color w:val="auto"/>
              </w:rPr>
              <w:t>Transaction costs</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w:t>
            </w: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Total purchase price</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$ 40,800</w:t>
            </w:r>
          </w:p>
        </w:tc>
      </w:tr>
      <w:tr>
        <w:trPr>
          <w:trHeight w:val="20"/>
        </w:trPr>
        <w:tc>
          <w:tcPr>
            <w:tcW w:w="898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In the third quarter of fiscal 2007, the Company recorded additional purchase consideration of $16.0 million upon the achievement of the contingent milestones as defined in the purchase agreement. A liability of approximately $8.7 million was preliminarily recorded, representing the excess of the fair value of net tangible and intangible assets acquired over the purchase price. As a result of the contingent consideration, additional goodwill of $7.3 million was recorded.</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380"/>
          </w:cols>
          <w:pgMar w:left="240" w:top="459" w:right="27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the completion of the acquisition as follows (in thousands):</w:t>
      </w:r>
    </w:p>
    <w:p>
      <w:pPr>
        <w:spacing w:after="0" w:line="181" w:lineRule="exact"/>
        <w:rPr>
          <w:sz w:val="20"/>
          <w:szCs w:val="20"/>
          <w:color w:val="auto"/>
        </w:rPr>
      </w:pPr>
    </w:p>
    <w:tbl>
      <w:tblPr>
        <w:tblLayout w:type="fixed"/>
        <w:tblInd w:w="920" w:type="dxa"/>
        <w:tblCellMar>
          <w:top w:w="0" w:type="dxa"/>
          <w:left w:w="0" w:type="dxa"/>
          <w:bottom w:w="0" w:type="dxa"/>
          <w:right w:w="0" w:type="dxa"/>
        </w:tblCellMar>
      </w:tblPr>
      <w:tr>
        <w:trPr>
          <w:trHeight w:val="216"/>
        </w:trPr>
        <w:tc>
          <w:tcPr>
            <w:tcW w:w="89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2,097</w:t>
            </w:r>
          </w:p>
        </w:tc>
      </w:tr>
      <w:tr>
        <w:trPr>
          <w:trHeight w:val="223"/>
        </w:trPr>
        <w:tc>
          <w:tcPr>
            <w:tcW w:w="8980" w:type="dxa"/>
            <w:vAlign w:val="bottom"/>
          </w:tcPr>
          <w:p>
            <w:pPr>
              <w:ind w:left="440"/>
              <w:spacing w:after="0"/>
              <w:rPr>
                <w:sz w:val="20"/>
                <w:szCs w:val="20"/>
                <w:color w:val="auto"/>
              </w:rPr>
            </w:pPr>
            <w:r>
              <w:rPr>
                <w:rFonts w:ascii="Arial" w:cs="Arial" w:eastAsia="Arial" w:hAnsi="Arial"/>
                <w:sz w:val="18"/>
                <w:szCs w:val="18"/>
                <w:color w:val="auto"/>
              </w:rPr>
              <w:t>Fixed assets</w:t>
            </w:r>
          </w:p>
        </w:tc>
        <w:tc>
          <w:tcPr>
            <w:tcW w:w="10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611</w:t>
            </w:r>
          </w:p>
        </w:tc>
      </w:tr>
      <w:tr>
        <w:trPr>
          <w:trHeight w:val="216"/>
        </w:trPr>
        <w:tc>
          <w:tcPr>
            <w:tcW w:w="8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r>
      <w:tr>
        <w:trPr>
          <w:trHeight w:val="216"/>
        </w:trPr>
        <w:tc>
          <w:tcPr>
            <w:tcW w:w="89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Existing technology</w:t>
            </w: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11,900</w:t>
            </w:r>
          </w:p>
        </w:tc>
      </w:tr>
      <w:tr>
        <w:trPr>
          <w:trHeight w:val="216"/>
        </w:trPr>
        <w:tc>
          <w:tcPr>
            <w:tcW w:w="8980" w:type="dxa"/>
            <w:vAlign w:val="bottom"/>
          </w:tcPr>
          <w:p>
            <w:pPr>
              <w:ind w:left="440"/>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4,100</w:t>
            </w:r>
          </w:p>
        </w:tc>
      </w:tr>
      <w:tr>
        <w:trPr>
          <w:trHeight w:val="216"/>
        </w:trPr>
        <w:tc>
          <w:tcPr>
            <w:tcW w:w="89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Supply contract</w:t>
            </w: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r>
      <w:tr>
        <w:trPr>
          <w:trHeight w:val="216"/>
        </w:trPr>
        <w:tc>
          <w:tcPr>
            <w:tcW w:w="8980" w:type="dxa"/>
            <w:vAlign w:val="bottom"/>
          </w:tcPr>
          <w:p>
            <w:pPr>
              <w:ind w:left="440"/>
              <w:spacing w:after="0"/>
              <w:rPr>
                <w:sz w:val="20"/>
                <w:szCs w:val="20"/>
                <w:color w:val="auto"/>
              </w:rPr>
            </w:pPr>
            <w:r>
              <w:rPr>
                <w:rFonts w:ascii="Arial" w:cs="Arial" w:eastAsia="Arial" w:hAnsi="Arial"/>
                <w:sz w:val="18"/>
                <w:szCs w:val="18"/>
                <w:color w:val="auto"/>
              </w:rPr>
              <w:t>Customer relationships</w:t>
            </w: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13,900</w:t>
            </w: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7,292</w:t>
            </w:r>
          </w:p>
        </w:tc>
      </w:tr>
      <w:tr>
        <w:trPr>
          <w:trHeight w:val="222"/>
        </w:trPr>
        <w:tc>
          <w:tcPr>
            <w:tcW w:w="898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40,800</w:t>
            </w:r>
          </w:p>
        </w:tc>
      </w:tr>
      <w:tr>
        <w:trPr>
          <w:trHeight w:val="20"/>
        </w:trPr>
        <w:tc>
          <w:tcPr>
            <w:tcW w:w="89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four years. 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five-year contract. The Company has not provided a deferred tax liability on $30.8 million of purchased intangibles during the year as the intangibles are recorded in Bermuda at a zero tax rate.</w:t>
      </w:r>
    </w:p>
    <w:p>
      <w:pPr>
        <w:spacing w:after="0" w:line="118" w:lineRule="exact"/>
        <w:rPr>
          <w:sz w:val="20"/>
          <w:szCs w:val="20"/>
          <w:color w:val="auto"/>
        </w:rPr>
      </w:pPr>
    </w:p>
    <w:p>
      <w:pPr>
        <w:ind w:right="820" w:firstLine="456"/>
        <w:spacing w:after="0" w:line="268"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existing technology, 4.0 years for core technology, 4.0 years for the supply contract, and 4.0 years for customer relationships.</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Other acquisitions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2007</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During fiscal 2007, the Company completed the acquisition of the assets of two other businesses from unrelated parties with purchase prices totaling</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$16.7 million. Under the purchase method of accounting, the total purchase price was allocated to net tangible and intangible assets based on their fair values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the date of the completion of the respective acquisitions. The Company recorded acquired net tangible assets of $0.4 million, deferred tax liability of</w:t>
      </w:r>
    </w:p>
    <w:p>
      <w:pPr>
        <w:spacing w:after="0" w:line="32" w:lineRule="exact"/>
        <w:rPr>
          <w:sz w:val="20"/>
          <w:szCs w:val="20"/>
          <w:color w:val="auto"/>
        </w:rPr>
      </w:pPr>
    </w:p>
    <w:p>
      <w:pPr>
        <w:ind w:right="540"/>
        <w:spacing w:after="0" w:line="261" w:lineRule="auto"/>
        <w:rPr>
          <w:sz w:val="20"/>
          <w:szCs w:val="20"/>
          <w:color w:val="auto"/>
        </w:rPr>
      </w:pPr>
      <w:r>
        <w:rPr>
          <w:rFonts w:ascii="Arial" w:cs="Arial" w:eastAsia="Arial" w:hAnsi="Arial"/>
          <w:sz w:val="18"/>
          <w:szCs w:val="18"/>
          <w:color w:val="auto"/>
        </w:rPr>
        <w:t>$3.0 million, amortizable intangible assets of $10.1 million and goodwill of $11.2 million. The intangible assets are being amortized over their useful lives ranging from one to eight years.</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680" w:type="dxa"/>
            <w:vAlign w:val="bottom"/>
            <w:tcBorders>
              <w:bottom w:val="single" w:sz="8" w:color="auto"/>
            </w:tcBorders>
            <w:gridSpan w:val="7"/>
          </w:tcPr>
          <w:p>
            <w:pPr>
              <w:ind w:left="60"/>
              <w:spacing w:after="0"/>
              <w:rPr>
                <w:sz w:val="20"/>
                <w:szCs w:val="20"/>
                <w:color w:val="auto"/>
              </w:rPr>
            </w:pPr>
            <w:r>
              <w:rPr>
                <w:rFonts w:ascii="Arial" w:cs="Arial" w:eastAsia="Arial" w:hAnsi="Arial"/>
                <w:sz w:val="14"/>
                <w:szCs w:val="14"/>
                <w:b w:val="1"/>
                <w:bCs w:val="1"/>
                <w:color w:val="auto"/>
              </w:rPr>
              <w:t>As of January 31, 2009</w:t>
            </w:r>
          </w:p>
        </w:tc>
        <w:tc>
          <w:tcPr>
            <w:tcW w:w="5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80" w:type="dxa"/>
            <w:vAlign w:val="bottom"/>
            <w:gridSpan w:val="4"/>
          </w:tcPr>
          <w:p>
            <w:pPr>
              <w:ind w:left="60"/>
              <w:spacing w:after="0" w:line="129" w:lineRule="exact"/>
              <w:rPr>
                <w:sz w:val="20"/>
                <w:szCs w:val="20"/>
                <w:color w:val="auto"/>
              </w:rPr>
            </w:pPr>
            <w:r>
              <w:rPr>
                <w:rFonts w:ascii="Arial" w:cs="Arial" w:eastAsia="Arial" w:hAnsi="Arial"/>
                <w:sz w:val="14"/>
                <w:szCs w:val="14"/>
                <w:b w:val="1"/>
                <w:bCs w:val="1"/>
                <w:color w:val="auto"/>
              </w:rPr>
              <w:t>Gross</w:t>
            </w:r>
          </w:p>
        </w:tc>
        <w:tc>
          <w:tcPr>
            <w:tcW w:w="100" w:type="dxa"/>
            <w:vAlign w:val="bottom"/>
          </w:tcPr>
          <w:p>
            <w:pPr>
              <w:spacing w:after="0"/>
              <w:rPr>
                <w:sz w:val="11"/>
                <w:szCs w:val="11"/>
                <w:color w:val="auto"/>
              </w:rPr>
            </w:pPr>
          </w:p>
        </w:tc>
        <w:tc>
          <w:tcPr>
            <w:tcW w:w="620" w:type="dxa"/>
            <w:vAlign w:val="bottom"/>
            <w:gridSpan w:val="3"/>
          </w:tcPr>
          <w:p>
            <w:pPr>
              <w:jc w:val="right"/>
              <w:ind w:right="220"/>
              <w:spacing w:after="0" w:line="129" w:lineRule="exact"/>
              <w:rPr>
                <w:sz w:val="20"/>
                <w:szCs w:val="20"/>
                <w:color w:val="auto"/>
              </w:rPr>
            </w:pPr>
            <w:r>
              <w:rPr>
                <w:rFonts w:ascii="Arial" w:cs="Arial" w:eastAsia="Arial" w:hAnsi="Arial"/>
                <w:sz w:val="14"/>
                <w:szCs w:val="14"/>
                <w:b w:val="1"/>
                <w:bCs w:val="1"/>
                <w:color w:val="auto"/>
                <w:w w:val="93"/>
              </w:rPr>
              <w:t>Gross</w:t>
            </w:r>
          </w:p>
        </w:tc>
        <w:tc>
          <w:tcPr>
            <w:tcW w:w="5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240" w:type="dxa"/>
            <w:vAlign w:val="bottom"/>
          </w:tcPr>
          <w:p>
            <w:pPr>
              <w:spacing w:after="0"/>
              <w:rPr>
                <w:sz w:val="12"/>
                <w:szCs w:val="12"/>
                <w:color w:val="auto"/>
              </w:rPr>
            </w:pPr>
          </w:p>
        </w:tc>
        <w:tc>
          <w:tcPr>
            <w:tcW w:w="1160" w:type="dxa"/>
            <w:vAlign w:val="bottom"/>
            <w:gridSpan w:val="4"/>
          </w:tcPr>
          <w:p>
            <w:pPr>
              <w:jc w:val="center"/>
              <w:ind w:right="540"/>
              <w:spacing w:after="0" w:line="149" w:lineRule="exact"/>
              <w:rPr>
                <w:sz w:val="20"/>
                <w:szCs w:val="20"/>
                <w:color w:val="auto"/>
              </w:rPr>
            </w:pPr>
            <w:r>
              <w:rPr>
                <w:rFonts w:ascii="Arial" w:cs="Arial" w:eastAsia="Arial" w:hAnsi="Arial"/>
                <w:sz w:val="14"/>
                <w:szCs w:val="14"/>
                <w:b w:val="1"/>
                <w:bCs w:val="1"/>
                <w:color w:val="auto"/>
                <w:w w:val="90"/>
              </w:rPr>
              <w:t>Amortized</w:t>
            </w:r>
          </w:p>
        </w:tc>
        <w:tc>
          <w:tcPr>
            <w:tcW w:w="1160" w:type="dxa"/>
            <w:vAlign w:val="bottom"/>
            <w:gridSpan w:val="5"/>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720" w:type="dxa"/>
            <w:vAlign w:val="bottom"/>
            <w:gridSpan w:val="4"/>
          </w:tcPr>
          <w:p>
            <w:pPr>
              <w:ind w:left="20"/>
              <w:spacing w:after="0" w:line="149" w:lineRule="exact"/>
              <w:rPr>
                <w:sz w:val="20"/>
                <w:szCs w:val="20"/>
                <w:color w:val="auto"/>
              </w:rPr>
            </w:pPr>
            <w:r>
              <w:rPr>
                <w:rFonts w:ascii="Arial" w:cs="Arial" w:eastAsia="Arial" w:hAnsi="Arial"/>
                <w:sz w:val="14"/>
                <w:szCs w:val="14"/>
                <w:b w:val="1"/>
                <w:bCs w:val="1"/>
                <w:color w:val="auto"/>
                <w:w w:val="95"/>
              </w:rPr>
              <w:t>Unrealized</w:t>
            </w:r>
          </w:p>
        </w:tc>
        <w:tc>
          <w:tcPr>
            <w:tcW w:w="5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9"/>
              </w:rPr>
              <w:t>Estimated</w:t>
            </w:r>
          </w:p>
        </w:tc>
        <w:tc>
          <w:tcPr>
            <w:tcW w:w="0" w:type="dxa"/>
            <w:vAlign w:val="bottom"/>
          </w:tcPr>
          <w:p>
            <w:pPr>
              <w:spacing w:after="0"/>
              <w:rPr>
                <w:sz w:val="1"/>
                <w:szCs w:val="1"/>
                <w:color w:val="auto"/>
              </w:rPr>
            </w:pPr>
          </w:p>
        </w:tc>
      </w:tr>
      <w:tr>
        <w:trPr>
          <w:trHeight w:val="161"/>
        </w:trPr>
        <w:tc>
          <w:tcPr>
            <w:tcW w:w="7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3"/>
              </w:rPr>
              <w:t>Cost</w:t>
            </w:r>
          </w:p>
        </w:tc>
        <w:tc>
          <w:tcPr>
            <w:tcW w:w="80" w:type="dxa"/>
            <w:vAlign w:val="bottom"/>
          </w:tcPr>
          <w:p>
            <w:pPr>
              <w:spacing w:after="0"/>
              <w:rPr>
                <w:sz w:val="14"/>
                <w:szCs w:val="14"/>
                <w:color w:val="auto"/>
              </w:rPr>
            </w:pPr>
          </w:p>
        </w:tc>
        <w:tc>
          <w:tcPr>
            <w:tcW w:w="1080" w:type="dxa"/>
            <w:vAlign w:val="bottom"/>
            <w:gridSpan w:val="4"/>
          </w:tcPr>
          <w:p>
            <w:pPr>
              <w:ind w:left="60"/>
              <w:spacing w:after="0"/>
              <w:rPr>
                <w:sz w:val="20"/>
                <w:szCs w:val="20"/>
                <w:color w:val="auto"/>
              </w:rPr>
            </w:pPr>
            <w:r>
              <w:rPr>
                <w:rFonts w:ascii="Arial" w:cs="Arial" w:eastAsia="Arial" w:hAnsi="Arial"/>
                <w:sz w:val="14"/>
                <w:szCs w:val="14"/>
                <w:b w:val="1"/>
                <w:bCs w:val="1"/>
                <w:color w:val="auto"/>
              </w:rPr>
              <w:t>Gains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4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79"/>
              </w:rPr>
              <w:t>Loss</w:t>
            </w: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7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Available-for-sale:</w:t>
            </w: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7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85"/>
              </w:rPr>
              <w:t>$ 36,850</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(1,309)</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240" w:type="dxa"/>
            <w:vAlign w:val="bottom"/>
          </w:tcPr>
          <w:p>
            <w:pPr>
              <w:spacing w:after="0"/>
              <w:rPr>
                <w:sz w:val="20"/>
                <w:szCs w:val="20"/>
                <w:color w:val="auto"/>
              </w:rPr>
            </w:pPr>
            <w:r>
              <w:rPr>
                <w:rFonts w:ascii="Arial" w:cs="Arial" w:eastAsia="Arial" w:hAnsi="Arial"/>
                <w:sz w:val="18"/>
                <w:szCs w:val="18"/>
                <w:color w:val="auto"/>
              </w:rPr>
              <w:t>Trading securities:</w:t>
            </w:r>
          </w:p>
        </w:tc>
        <w:tc>
          <w:tcPr>
            <w:tcW w:w="10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4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460" w:type="dxa"/>
            <w:vAlign w:val="bottom"/>
            <w:tcBorders>
              <w:top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7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6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240" w:type="dxa"/>
            <w:vAlign w:val="bottom"/>
          </w:tcPr>
          <w:p>
            <w:pPr>
              <w:spacing w:after="0"/>
              <w:rPr>
                <w:sz w:val="20"/>
                <w:szCs w:val="20"/>
                <w:color w:val="auto"/>
              </w:rPr>
            </w:pPr>
            <w:r>
              <w:rPr>
                <w:rFonts w:ascii="Arial" w:cs="Arial" w:eastAsia="Arial" w:hAnsi="Arial"/>
                <w:sz w:val="18"/>
                <w:szCs w:val="18"/>
                <w:color w:val="auto"/>
              </w:rPr>
              <w:t>Total long-term investments</w:t>
            </w:r>
          </w:p>
        </w:tc>
        <w:tc>
          <w:tcPr>
            <w:tcW w:w="720" w:type="dxa"/>
            <w:vAlign w:val="bottom"/>
            <w:gridSpan w:val="3"/>
          </w:tcPr>
          <w:p>
            <w:pPr>
              <w:jc w:val="right"/>
              <w:ind w:right="100"/>
              <w:spacing w:after="0"/>
              <w:rPr>
                <w:sz w:val="20"/>
                <w:szCs w:val="20"/>
                <w:color w:val="auto"/>
              </w:rPr>
            </w:pPr>
            <w:r>
              <w:rPr>
                <w:rFonts w:ascii="Arial" w:cs="Arial" w:eastAsia="Arial" w:hAnsi="Arial"/>
                <w:sz w:val="18"/>
                <w:szCs w:val="18"/>
                <w:color w:val="auto"/>
                <w:w w:val="85"/>
              </w:rPr>
              <w:t>$ 41,850</w:t>
            </w:r>
          </w:p>
        </w:tc>
        <w:tc>
          <w:tcPr>
            <w:tcW w:w="440" w:type="dxa"/>
            <w:vAlign w:val="bottom"/>
          </w:tcPr>
          <w:p>
            <w:pPr>
              <w:spacing w:after="0"/>
              <w:rPr>
                <w:sz w:val="19"/>
                <w:szCs w:val="19"/>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20" w:type="dxa"/>
            <w:vAlign w:val="bottom"/>
          </w:tcPr>
          <w:p>
            <w:pPr>
              <w:spacing w:after="0"/>
              <w:rPr>
                <w:sz w:val="19"/>
                <w:szCs w:val="19"/>
                <w:color w:val="auto"/>
              </w:rPr>
            </w:pPr>
          </w:p>
        </w:tc>
        <w:tc>
          <w:tcPr>
            <w:tcW w:w="960" w:type="dxa"/>
            <w:vAlign w:val="bottom"/>
            <w:gridSpan w:val="3"/>
          </w:tcPr>
          <w:p>
            <w:pPr>
              <w:ind w:left="160"/>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(1,309)</w:t>
            </w:r>
          </w:p>
        </w:tc>
        <w:tc>
          <w:tcPr>
            <w:tcW w:w="1160" w:type="dxa"/>
            <w:vAlign w:val="bottom"/>
            <w:gridSpan w:val="3"/>
          </w:tcPr>
          <w:p>
            <w:pPr>
              <w:jc w:val="right"/>
              <w:ind w:right="20"/>
              <w:spacing w:after="0"/>
              <w:rPr>
                <w:sz w:val="20"/>
                <w:szCs w:val="20"/>
                <w:color w:val="auto"/>
              </w:rPr>
            </w:pPr>
            <w:r>
              <w:rPr>
                <w:rFonts w:ascii="Arial" w:cs="Arial" w:eastAsia="Arial" w:hAnsi="Arial"/>
                <w:sz w:val="18"/>
                <w:szCs w:val="18"/>
                <w:color w:val="auto"/>
              </w:rPr>
              <w:t>$ 40,541</w:t>
            </w:r>
          </w:p>
        </w:tc>
        <w:tc>
          <w:tcPr>
            <w:tcW w:w="0" w:type="dxa"/>
            <w:vAlign w:val="bottom"/>
          </w:tcPr>
          <w:p>
            <w:pPr>
              <w:spacing w:after="0"/>
              <w:rPr>
                <w:sz w:val="1"/>
                <w:szCs w:val="1"/>
                <w:color w:val="auto"/>
              </w:rPr>
            </w:pPr>
          </w:p>
        </w:tc>
      </w:tr>
      <w:tr>
        <w:trPr>
          <w:trHeight w:val="20"/>
        </w:trPr>
        <w:tc>
          <w:tcPr>
            <w:tcW w:w="7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5"/>
              </w:rPr>
              <w:t>$ 41,850</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20" w:type="dxa"/>
            <w:vAlign w:val="bottom"/>
            <w:shd w:val="clear" w:color="auto" w:fill="CCEEFF"/>
          </w:tcPr>
          <w:p>
            <w:pPr>
              <w:spacing w:after="0"/>
              <w:rPr>
                <w:sz w:val="18"/>
                <w:szCs w:val="18"/>
                <w:color w:val="auto"/>
              </w:rPr>
            </w:pPr>
          </w:p>
        </w:tc>
        <w:tc>
          <w:tcPr>
            <w:tcW w:w="4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spacing w:after="0"/>
              <w:rPr>
                <w:sz w:val="18"/>
                <w:szCs w:val="18"/>
                <w:color w:val="auto"/>
              </w:rPr>
            </w:pPr>
          </w:p>
        </w:tc>
        <w:tc>
          <w:tcPr>
            <w:tcW w:w="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(1,309)</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7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gridSpan w:val="7"/>
          </w:tcPr>
          <w:p>
            <w:pPr>
              <w:ind w:left="120"/>
              <w:spacing w:after="0"/>
              <w:rPr>
                <w:sz w:val="20"/>
                <w:szCs w:val="20"/>
                <w:color w:val="auto"/>
              </w:rPr>
            </w:pPr>
            <w:r>
              <w:rPr>
                <w:rFonts w:ascii="Arial" w:cs="Arial" w:eastAsia="Arial" w:hAnsi="Arial"/>
                <w:sz w:val="14"/>
                <w:szCs w:val="14"/>
                <w:b w:val="1"/>
                <w:bCs w:val="1"/>
                <w:color w:val="auto"/>
              </w:rPr>
              <w:t>As of February 2, 2008</w:t>
            </w:r>
          </w:p>
        </w:tc>
        <w:tc>
          <w:tcPr>
            <w:tcW w:w="54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3"/>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gridSpan w:val="2"/>
          </w:tcPr>
          <w:p>
            <w:pPr>
              <w:jc w:val="right"/>
              <w:ind w:right="140"/>
              <w:spacing w:after="0" w:line="129" w:lineRule="exact"/>
              <w:rPr>
                <w:sz w:val="20"/>
                <w:szCs w:val="20"/>
                <w:color w:val="auto"/>
              </w:rPr>
            </w:pPr>
            <w:r>
              <w:rPr>
                <w:rFonts w:ascii="Arial" w:cs="Arial" w:eastAsia="Arial" w:hAnsi="Arial"/>
                <w:sz w:val="14"/>
                <w:szCs w:val="14"/>
                <w:b w:val="1"/>
                <w:bCs w:val="1"/>
                <w:color w:val="auto"/>
                <w:w w:val="93"/>
              </w:rPr>
              <w:t>Gross</w:t>
            </w:r>
          </w:p>
        </w:tc>
        <w:tc>
          <w:tcPr>
            <w:tcW w:w="5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Amortized</w:t>
            </w:r>
          </w:p>
        </w:tc>
        <w:tc>
          <w:tcPr>
            <w:tcW w:w="80" w:type="dxa"/>
            <w:vAlign w:val="bottom"/>
          </w:tcPr>
          <w:p>
            <w:pPr>
              <w:spacing w:after="0"/>
              <w:rPr>
                <w:sz w:val="12"/>
                <w:szCs w:val="12"/>
                <w:color w:val="auto"/>
              </w:rPr>
            </w:pPr>
          </w:p>
        </w:tc>
        <w:tc>
          <w:tcPr>
            <w:tcW w:w="1080" w:type="dxa"/>
            <w:vAlign w:val="bottom"/>
            <w:gridSpan w:val="4"/>
          </w:tcPr>
          <w:p>
            <w:pPr>
              <w:ind w:left="20"/>
              <w:spacing w:after="0" w:line="149" w:lineRule="exact"/>
              <w:rPr>
                <w:sz w:val="20"/>
                <w:szCs w:val="20"/>
                <w:color w:val="auto"/>
              </w:rPr>
            </w:pPr>
            <w:r>
              <w:rPr>
                <w:rFonts w:ascii="Arial" w:cs="Arial" w:eastAsia="Arial" w:hAnsi="Arial"/>
                <w:sz w:val="14"/>
                <w:szCs w:val="14"/>
                <w:b w:val="1"/>
                <w:bCs w:val="1"/>
                <w:color w:val="auto"/>
              </w:rPr>
              <w:t>Unrealized</w:t>
            </w:r>
          </w:p>
        </w:tc>
        <w:tc>
          <w:tcPr>
            <w:tcW w:w="100" w:type="dxa"/>
            <w:vAlign w:val="bottom"/>
          </w:tcPr>
          <w:p>
            <w:pPr>
              <w:spacing w:after="0"/>
              <w:rPr>
                <w:sz w:val="12"/>
                <w:szCs w:val="12"/>
                <w:color w:val="auto"/>
              </w:rPr>
            </w:pPr>
          </w:p>
        </w:tc>
        <w:tc>
          <w:tcPr>
            <w:tcW w:w="6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9"/>
              </w:rPr>
              <w:t>Estimated</w:t>
            </w:r>
          </w:p>
        </w:tc>
        <w:tc>
          <w:tcPr>
            <w:tcW w:w="0" w:type="dxa"/>
            <w:vAlign w:val="bottom"/>
          </w:tcPr>
          <w:p>
            <w:pPr>
              <w:spacing w:after="0"/>
              <w:rPr>
                <w:sz w:val="1"/>
                <w:szCs w:val="1"/>
                <w:color w:val="auto"/>
              </w:rPr>
            </w:pPr>
          </w:p>
        </w:tc>
      </w:tr>
      <w:tr>
        <w:trPr>
          <w:trHeight w:val="161"/>
        </w:trPr>
        <w:tc>
          <w:tcPr>
            <w:tcW w:w="7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83"/>
              </w:rPr>
              <w:t>Cost</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3"/>
          </w:tcPr>
          <w:p>
            <w:pPr>
              <w:ind w:left="40"/>
              <w:spacing w:after="0"/>
              <w:rPr>
                <w:sz w:val="20"/>
                <w:szCs w:val="20"/>
                <w:color w:val="auto"/>
              </w:rPr>
            </w:pPr>
            <w:r>
              <w:rPr>
                <w:rFonts w:ascii="Arial" w:cs="Arial" w:eastAsia="Arial" w:hAnsi="Arial"/>
                <w:sz w:val="14"/>
                <w:szCs w:val="14"/>
                <w:b w:val="1"/>
                <w:bCs w:val="1"/>
                <w:color w:val="auto"/>
              </w:rPr>
              <w:t>Gains</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Loss</w:t>
            </w: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7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100" w:type="dxa"/>
            <w:vAlign w:val="bottom"/>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Available-for-sale:</w:t>
            </w: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Federal, State and county securities</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88"/>
              </w:rPr>
              <w:t>$ 15,231</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23</w:t>
            </w:r>
          </w:p>
        </w:tc>
        <w:tc>
          <w:tcPr>
            <w:tcW w:w="44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100"/>
              <w:spacing w:after="0"/>
              <w:rPr>
                <w:sz w:val="20"/>
                <w:szCs w:val="20"/>
                <w:color w:val="auto"/>
              </w:rPr>
            </w:pPr>
            <w:r>
              <w:rPr>
                <w:rFonts w:ascii="Arial" w:cs="Arial" w:eastAsia="Arial" w:hAnsi="Arial"/>
                <w:sz w:val="15"/>
                <w:szCs w:val="15"/>
                <w:color w:val="auto"/>
                <w:w w:val="71"/>
              </w:rPr>
              <w:t>$</w:t>
            </w:r>
          </w:p>
        </w:tc>
        <w:tc>
          <w:tcPr>
            <w:tcW w:w="5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$ 15,254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40" w:type="dxa"/>
            <w:vAlign w:val="bottom"/>
            <w:vMerge w:val="restart"/>
          </w:tcPr>
          <w:p>
            <w:pPr>
              <w:spacing w:after="0"/>
              <w:rPr>
                <w:sz w:val="20"/>
                <w:szCs w:val="20"/>
                <w:color w:val="auto"/>
              </w:rPr>
            </w:pPr>
            <w:r>
              <w:rPr>
                <w:rFonts w:ascii="Arial" w:cs="Arial" w:eastAsia="Arial" w:hAnsi="Arial"/>
                <w:sz w:val="18"/>
                <w:szCs w:val="18"/>
                <w:color w:val="auto"/>
              </w:rPr>
              <w:t>Total short-term investments</w:t>
            </w:r>
          </w:p>
        </w:tc>
        <w:tc>
          <w:tcPr>
            <w:tcW w:w="100" w:type="dxa"/>
            <w:vAlign w:val="bottom"/>
          </w:tcPr>
          <w:p>
            <w:pPr>
              <w:spacing w:after="0" w:line="20" w:lineRule="exact"/>
              <w:rPr>
                <w:sz w:val="1"/>
                <w:szCs w:val="1"/>
                <w:color w:val="auto"/>
              </w:rPr>
            </w:pPr>
          </w:p>
        </w:tc>
        <w:tc>
          <w:tcPr>
            <w:tcW w:w="620" w:type="dxa"/>
            <w:vAlign w:val="bottom"/>
            <w:gridSpan w:val="2"/>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24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gridSpan w:val="2"/>
          </w:tcPr>
          <w:p>
            <w:pPr>
              <w:jc w:val="center"/>
              <w:spacing w:after="0"/>
              <w:rPr>
                <w:sz w:val="20"/>
                <w:szCs w:val="20"/>
                <w:color w:val="auto"/>
              </w:rPr>
            </w:pPr>
            <w:r>
              <w:rPr>
                <w:rFonts w:ascii="Arial" w:cs="Arial" w:eastAsia="Arial" w:hAnsi="Arial"/>
                <w:sz w:val="18"/>
                <w:szCs w:val="18"/>
                <w:color w:val="auto"/>
                <w:w w:val="88"/>
              </w:rPr>
              <w:t>$ 15,231</w:t>
            </w:r>
          </w:p>
        </w:tc>
        <w:tc>
          <w:tcPr>
            <w:tcW w:w="4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gridSpan w:val="2"/>
          </w:tcPr>
          <w:p>
            <w:pPr>
              <w:ind w:left="340"/>
              <w:spacing w:after="0"/>
              <w:rPr>
                <w:sz w:val="20"/>
                <w:szCs w:val="20"/>
                <w:color w:val="auto"/>
              </w:rPr>
            </w:pPr>
            <w:r>
              <w:rPr>
                <w:rFonts w:ascii="Arial" w:cs="Arial" w:eastAsia="Arial" w:hAnsi="Arial"/>
                <w:sz w:val="18"/>
                <w:szCs w:val="18"/>
                <w:color w:val="auto"/>
                <w:w w:val="79"/>
              </w:rPr>
              <w:t>23</w:t>
            </w:r>
          </w:p>
        </w:tc>
        <w:tc>
          <w:tcPr>
            <w:tcW w:w="440" w:type="dxa"/>
            <w:vAlign w:val="bottom"/>
          </w:tcPr>
          <w:p>
            <w:pPr>
              <w:spacing w:after="0"/>
              <w:rPr>
                <w:sz w:val="19"/>
                <w:szCs w:val="19"/>
                <w:color w:val="auto"/>
              </w:rPr>
            </w:pPr>
          </w:p>
        </w:tc>
        <w:tc>
          <w:tcPr>
            <w:tcW w:w="180" w:type="dxa"/>
            <w:vAlign w:val="bottom"/>
            <w:gridSpan w:val="2"/>
          </w:tcPr>
          <w:p>
            <w:pPr>
              <w:ind w:left="100"/>
              <w:spacing w:after="0"/>
              <w:rPr>
                <w:sz w:val="20"/>
                <w:szCs w:val="20"/>
                <w:color w:val="auto"/>
              </w:rPr>
            </w:pPr>
            <w:r>
              <w:rPr>
                <w:rFonts w:ascii="Arial" w:cs="Arial" w:eastAsia="Arial" w:hAnsi="Arial"/>
                <w:sz w:val="15"/>
                <w:szCs w:val="15"/>
                <w:color w:val="auto"/>
                <w:w w:val="71"/>
              </w:rPr>
              <w:t>$</w:t>
            </w:r>
          </w:p>
        </w:tc>
        <w:tc>
          <w:tcPr>
            <w:tcW w:w="5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20"/>
              <w:spacing w:after="0"/>
              <w:rPr>
                <w:sz w:val="20"/>
                <w:szCs w:val="20"/>
                <w:color w:val="auto"/>
              </w:rPr>
            </w:pPr>
            <w:r>
              <w:rPr>
                <w:rFonts w:ascii="Arial" w:cs="Arial" w:eastAsia="Arial" w:hAnsi="Arial"/>
                <w:sz w:val="18"/>
                <w:szCs w:val="18"/>
                <w:color w:val="auto"/>
              </w:rPr>
              <w:t>$ 15,254</w:t>
            </w:r>
          </w:p>
        </w:tc>
        <w:tc>
          <w:tcPr>
            <w:tcW w:w="0" w:type="dxa"/>
            <w:vAlign w:val="bottom"/>
          </w:tcPr>
          <w:p>
            <w:pPr>
              <w:spacing w:after="0"/>
              <w:rPr>
                <w:sz w:val="1"/>
                <w:szCs w:val="1"/>
                <w:color w:val="auto"/>
              </w:rPr>
            </w:pPr>
          </w:p>
        </w:tc>
      </w:tr>
      <w:tr>
        <w:trPr>
          <w:trHeight w:val="20"/>
        </w:trPr>
        <w:tc>
          <w:tcPr>
            <w:tcW w:w="7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7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Available-for-sale:</w:t>
            </w: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88"/>
              </w:rPr>
              <w:t>$ 45,628</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100"/>
              <w:spacing w:after="0"/>
              <w:rPr>
                <w:sz w:val="20"/>
                <w:szCs w:val="20"/>
                <w:color w:val="auto"/>
              </w:rPr>
            </w:pPr>
            <w:r>
              <w:rPr>
                <w:rFonts w:ascii="Arial" w:cs="Arial" w:eastAsia="Arial" w:hAnsi="Arial"/>
                <w:sz w:val="15"/>
                <w:szCs w:val="15"/>
                <w:color w:val="auto"/>
                <w:w w:val="71"/>
              </w:rPr>
              <w:t>$</w:t>
            </w:r>
          </w:p>
        </w:tc>
        <w:tc>
          <w:tcPr>
            <w:tcW w:w="5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$ 45,628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4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100" w:type="dxa"/>
            <w:vAlign w:val="bottom"/>
          </w:tcPr>
          <w:p>
            <w:pPr>
              <w:spacing w:after="0" w:line="20" w:lineRule="exact"/>
              <w:rPr>
                <w:sz w:val="1"/>
                <w:szCs w:val="1"/>
                <w:color w:val="auto"/>
              </w:rPr>
            </w:pPr>
          </w:p>
        </w:tc>
        <w:tc>
          <w:tcPr>
            <w:tcW w:w="620" w:type="dxa"/>
            <w:vAlign w:val="bottom"/>
            <w:gridSpan w:val="2"/>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24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gridSpan w:val="2"/>
          </w:tcPr>
          <w:p>
            <w:pPr>
              <w:jc w:val="center"/>
              <w:spacing w:after="0"/>
              <w:rPr>
                <w:sz w:val="20"/>
                <w:szCs w:val="20"/>
                <w:color w:val="auto"/>
              </w:rPr>
            </w:pPr>
            <w:r>
              <w:rPr>
                <w:rFonts w:ascii="Arial" w:cs="Arial" w:eastAsia="Arial" w:hAnsi="Arial"/>
                <w:sz w:val="18"/>
                <w:szCs w:val="18"/>
                <w:color w:val="auto"/>
                <w:w w:val="88"/>
              </w:rPr>
              <w:t>$ 45,628</w:t>
            </w:r>
          </w:p>
        </w:tc>
        <w:tc>
          <w:tcPr>
            <w:tcW w:w="4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9"/>
                <w:szCs w:val="19"/>
                <w:color w:val="auto"/>
              </w:rPr>
            </w:pPr>
          </w:p>
        </w:tc>
        <w:tc>
          <w:tcPr>
            <w:tcW w:w="180" w:type="dxa"/>
            <w:vAlign w:val="bottom"/>
            <w:gridSpan w:val="2"/>
          </w:tcPr>
          <w:p>
            <w:pPr>
              <w:ind w:left="100"/>
              <w:spacing w:after="0"/>
              <w:rPr>
                <w:sz w:val="20"/>
                <w:szCs w:val="20"/>
                <w:color w:val="auto"/>
              </w:rPr>
            </w:pPr>
            <w:r>
              <w:rPr>
                <w:rFonts w:ascii="Arial" w:cs="Arial" w:eastAsia="Arial" w:hAnsi="Arial"/>
                <w:sz w:val="15"/>
                <w:szCs w:val="15"/>
                <w:color w:val="auto"/>
                <w:w w:val="71"/>
              </w:rPr>
              <w:t>$</w:t>
            </w:r>
          </w:p>
        </w:tc>
        <w:tc>
          <w:tcPr>
            <w:tcW w:w="5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20"/>
              <w:spacing w:after="0"/>
              <w:rPr>
                <w:sz w:val="20"/>
                <w:szCs w:val="20"/>
                <w:color w:val="auto"/>
              </w:rPr>
            </w:pPr>
            <w:r>
              <w:rPr>
                <w:rFonts w:ascii="Arial" w:cs="Arial" w:eastAsia="Arial" w:hAnsi="Arial"/>
                <w:sz w:val="18"/>
                <w:szCs w:val="18"/>
                <w:color w:val="auto"/>
              </w:rPr>
              <w:t>$ 45,628</w:t>
            </w:r>
          </w:p>
        </w:tc>
        <w:tc>
          <w:tcPr>
            <w:tcW w:w="0" w:type="dxa"/>
            <w:vAlign w:val="bottom"/>
          </w:tcPr>
          <w:p>
            <w:pPr>
              <w:spacing w:after="0"/>
              <w:rPr>
                <w:sz w:val="1"/>
                <w:szCs w:val="1"/>
                <w:color w:val="auto"/>
              </w:rPr>
            </w:pPr>
          </w:p>
        </w:tc>
      </w:tr>
      <w:tr>
        <w:trPr>
          <w:trHeight w:val="20"/>
        </w:trPr>
        <w:tc>
          <w:tcPr>
            <w:tcW w:w="7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Total available-for-sale securities</w:t>
            </w:r>
          </w:p>
        </w:tc>
        <w:tc>
          <w:tcPr>
            <w:tcW w:w="720" w:type="dxa"/>
            <w:vAlign w:val="bottom"/>
            <w:gridSpan w:val="3"/>
            <w:shd w:val="clear" w:color="auto" w:fill="CCEEFF"/>
          </w:tcPr>
          <w:p>
            <w:pPr>
              <w:jc w:val="center"/>
              <w:ind w:left="16"/>
              <w:spacing w:after="0"/>
              <w:rPr>
                <w:sz w:val="20"/>
                <w:szCs w:val="20"/>
                <w:color w:val="auto"/>
              </w:rPr>
            </w:pPr>
            <w:r>
              <w:rPr>
                <w:rFonts w:ascii="Arial" w:cs="Arial" w:eastAsia="Arial" w:hAnsi="Arial"/>
                <w:sz w:val="18"/>
                <w:szCs w:val="18"/>
                <w:color w:val="auto"/>
                <w:w w:val="88"/>
              </w:rPr>
              <w:t>$ 60,859</w:t>
            </w:r>
          </w:p>
        </w:tc>
        <w:tc>
          <w:tcPr>
            <w:tcW w:w="44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5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23</w:t>
            </w:r>
          </w:p>
        </w:tc>
        <w:tc>
          <w:tcPr>
            <w:tcW w:w="440" w:type="dxa"/>
            <w:vAlign w:val="bottom"/>
            <w:shd w:val="clear" w:color="auto" w:fill="CCEEFF"/>
          </w:tcPr>
          <w:p>
            <w:pPr>
              <w:spacing w:after="0"/>
              <w:rPr>
                <w:sz w:val="18"/>
                <w:szCs w:val="18"/>
                <w:color w:val="auto"/>
              </w:rPr>
            </w:pPr>
          </w:p>
        </w:tc>
        <w:tc>
          <w:tcPr>
            <w:tcW w:w="180" w:type="dxa"/>
            <w:vAlign w:val="bottom"/>
            <w:gridSpan w:val="2"/>
            <w:shd w:val="clear" w:color="auto" w:fill="CCEEFF"/>
          </w:tcPr>
          <w:p>
            <w:pPr>
              <w:ind w:left="100"/>
              <w:spacing w:after="0"/>
              <w:rPr>
                <w:sz w:val="20"/>
                <w:szCs w:val="20"/>
                <w:color w:val="auto"/>
              </w:rPr>
            </w:pPr>
            <w:r>
              <w:rPr>
                <w:rFonts w:ascii="Arial" w:cs="Arial" w:eastAsia="Arial" w:hAnsi="Arial"/>
                <w:sz w:val="15"/>
                <w:szCs w:val="15"/>
                <w:color w:val="auto"/>
                <w:w w:val="71"/>
              </w:rPr>
              <w:t>$</w:t>
            </w:r>
          </w:p>
        </w:tc>
        <w:tc>
          <w:tcPr>
            <w:tcW w:w="5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$ 60,882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of January 31, 2009, the Company’s investment portfolio included $41.9 million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The Company’s auction rate securities are all backed by student loans originated under the FFELP and are over-collateralized, insured and guaranteed by the DOE. All auction rate securities held by the Company are rated by the major independent rating agencies as either AAA or Aaa at the time of purchase and their current ratings are still within the guidelines of the Company’s investment policy.</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the Company, as the amount of securities submitted for sale in those auctions exceed the amount of bids. Due to the auction failures, the auction rate securities do not have a readily determinable market value. To estimate the fair value of the auction rate securities as of January 31, 2009, the Company used a discounted cash flow model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considering the guarantees by the DOE of the underlying student loans, guarantees by other third parties, additional credit enhancements included in the securities, and the rate of return required by investors to own these securities in the current environment.</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420"/>
          </w:cols>
          <w:pgMar w:left="240" w:top="459" w:right="2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 xml:space="preserve">In the fourth quarter of fiscal 2009, UBS, a broker, offered a settlement where UBS has the right to call and sell one of the auction rate securities the Company purchased from them at par value of $5 million at a future date. As a result of the Company’s participation in this settlement, the Company included the put option from the settlement in the long term investments and elected to apply SFAS 159, </w:t>
      </w:r>
      <w:r>
        <w:rPr>
          <w:rFonts w:ascii="Arial" w:cs="Arial" w:eastAsia="Arial" w:hAnsi="Arial"/>
          <w:sz w:val="16"/>
          <w:szCs w:val="16"/>
          <w:i w:val="1"/>
          <w:iCs w:val="1"/>
          <w:color w:val="auto"/>
        </w:rPr>
        <w:t>The Fair Value Option for Financial Assets and Financial Liabilities</w:t>
      </w:r>
      <w:r>
        <w:rPr>
          <w:rFonts w:ascii="Arial" w:cs="Arial" w:eastAsia="Arial" w:hAnsi="Arial"/>
          <w:sz w:val="16"/>
          <w:szCs w:val="16"/>
          <w:color w:val="auto"/>
        </w:rPr>
        <w:t xml:space="preserve">, to measure the put option at fair value. Also, the Company elected to transfer this auction rate security to trading securities from available-for-securities pursuant to SFAS 115, </w:t>
      </w:r>
      <w:r>
        <w:rPr>
          <w:rFonts w:ascii="Arial" w:cs="Arial" w:eastAsia="Arial" w:hAnsi="Arial"/>
          <w:sz w:val="16"/>
          <w:szCs w:val="16"/>
          <w:i w:val="1"/>
          <w:iCs w:val="1"/>
          <w:color w:val="auto"/>
        </w:rPr>
        <w:t>Accounting for Certain Investments in Debt and Equity Securities</w:t>
      </w:r>
      <w:r>
        <w:rPr>
          <w:rFonts w:ascii="Arial" w:cs="Arial" w:eastAsia="Arial" w:hAnsi="Arial"/>
          <w:sz w:val="16"/>
          <w:szCs w:val="16"/>
          <w:color w:val="auto"/>
        </w:rPr>
        <w:t>, as the Company’s intent is to exercise the put option at a future date.</w:t>
      </w:r>
    </w:p>
    <w:p>
      <w:pPr>
        <w:spacing w:after="0" w:line="116"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As of January 31, 2009, the estimated fair values of the auction rate securities were $1.3 million less than their par value. Based primarily on the Company’s ability and intent to hold these securities until recovery and the extent of impairment, the Company concluded the decline in fair values was temporary and recorded the unrealized loss to accumulated other comprehensive income (loss), a component of shareholders’ equity as of January 31, 2009. The Company specifically noted that it had approximately 4.5% of its total cash invested in these auction rate securities, a cash balance of approximately $927.4 million in cash and cash equivalents other than auction rate securities and restricted cash, and that the Company continues to generate positive cash flow on a quarterly basis.</w:t>
      </w:r>
    </w:p>
    <w:p>
      <w:pPr>
        <w:spacing w:after="0" w:line="144"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To the extent the Company determines that any impairment is other-than-temporary, the impairment would be recorded to earnings. In addition, the Company has concluded that the auctions for these securities may continue to fail for at least the next 12 months and as a result, these auction rate securities have been classified as long-term investments as of January 31, 2009.</w:t>
      </w:r>
    </w:p>
    <w:p>
      <w:pPr>
        <w:spacing w:after="0" w:line="14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contractual maturities of available-for-sale and trading debt securities at January 31, 2009 and February 2, 2008 are presented in the following table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60" w:type="dxa"/>
            <w:vAlign w:val="bottom"/>
            <w:gridSpan w:val="4"/>
          </w:tcPr>
          <w:p>
            <w:pPr>
              <w:jc w:val="right"/>
              <w:ind w:right="252"/>
              <w:spacing w:after="0"/>
              <w:rPr>
                <w:sz w:val="20"/>
                <w:szCs w:val="20"/>
                <w:color w:val="auto"/>
              </w:rPr>
            </w:pPr>
            <w:r>
              <w:rPr>
                <w:rFonts w:ascii="Arial" w:cs="Arial" w:eastAsia="Arial" w:hAnsi="Arial"/>
                <w:sz w:val="14"/>
                <w:szCs w:val="14"/>
                <w:b w:val="1"/>
                <w:bCs w:val="1"/>
                <w:color w:val="auto"/>
              </w:rPr>
              <w:t>January 31, 2009</w:t>
            </w:r>
          </w:p>
        </w:tc>
        <w:tc>
          <w:tcPr>
            <w:tcW w:w="440" w:type="dxa"/>
            <w:vAlign w:val="bottom"/>
          </w:tcPr>
          <w:p>
            <w:pPr>
              <w:spacing w:after="0"/>
              <w:rPr>
                <w:sz w:val="14"/>
                <w:szCs w:val="14"/>
                <w:color w:val="auto"/>
              </w:rPr>
            </w:pPr>
          </w:p>
        </w:tc>
        <w:tc>
          <w:tcPr>
            <w:tcW w:w="1700" w:type="dxa"/>
            <w:vAlign w:val="bottom"/>
            <w:gridSpan w:val="5"/>
          </w:tcPr>
          <w:p>
            <w:pPr>
              <w:jc w:val="right"/>
              <w:ind w:right="360"/>
              <w:spacing w:after="0"/>
              <w:rPr>
                <w:sz w:val="20"/>
                <w:szCs w:val="20"/>
                <w:color w:val="auto"/>
              </w:rPr>
            </w:pPr>
            <w:r>
              <w:rPr>
                <w:rFonts w:ascii="Arial" w:cs="Arial" w:eastAsia="Arial" w:hAnsi="Arial"/>
                <w:sz w:val="14"/>
                <w:szCs w:val="14"/>
                <w:b w:val="1"/>
                <w:bCs w:val="1"/>
                <w:color w:val="auto"/>
              </w:rPr>
              <w:t>February 2, 2008</w:t>
            </w:r>
          </w:p>
        </w:tc>
      </w:tr>
      <w:tr>
        <w:trPr>
          <w:trHeight w:val="129"/>
        </w:trPr>
        <w:tc>
          <w:tcPr>
            <w:tcW w:w="7620" w:type="dxa"/>
            <w:vAlign w:val="bottom"/>
          </w:tcPr>
          <w:p>
            <w:pPr>
              <w:spacing w:after="0"/>
              <w:rPr>
                <w:sz w:val="11"/>
                <w:szCs w:val="11"/>
                <w:color w:val="auto"/>
              </w:rPr>
            </w:pPr>
          </w:p>
        </w:tc>
        <w:tc>
          <w:tcPr>
            <w:tcW w:w="6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Amortized</w:t>
            </w:r>
          </w:p>
        </w:tc>
        <w:tc>
          <w:tcPr>
            <w:tcW w:w="46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6"/>
              </w:rPr>
              <w:t>Estimated</w:t>
            </w:r>
          </w:p>
        </w:tc>
        <w:tc>
          <w:tcPr>
            <w:tcW w:w="44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220"/>
              <w:spacing w:after="0" w:line="129" w:lineRule="exact"/>
              <w:rPr>
                <w:sz w:val="20"/>
                <w:szCs w:val="20"/>
                <w:color w:val="auto"/>
              </w:rPr>
            </w:pPr>
            <w:r>
              <w:rPr>
                <w:rFonts w:ascii="Arial" w:cs="Arial" w:eastAsia="Arial" w:hAnsi="Arial"/>
                <w:sz w:val="14"/>
                <w:szCs w:val="14"/>
                <w:b w:val="1"/>
                <w:bCs w:val="1"/>
                <w:color w:val="auto"/>
                <w:w w:val="87"/>
              </w:rPr>
              <w:t>Amortized</w:t>
            </w:r>
          </w:p>
        </w:tc>
        <w:tc>
          <w:tcPr>
            <w:tcW w:w="2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6"/>
              </w:rPr>
              <w:t>Estimated</w:t>
            </w:r>
          </w:p>
        </w:tc>
        <w:tc>
          <w:tcPr>
            <w:tcW w:w="20" w:type="dxa"/>
            <w:vAlign w:val="bottom"/>
          </w:tcPr>
          <w:p>
            <w:pPr>
              <w:spacing w:after="0"/>
              <w:rPr>
                <w:sz w:val="11"/>
                <w:szCs w:val="11"/>
                <w:color w:val="auto"/>
              </w:rPr>
            </w:pPr>
          </w:p>
        </w:tc>
      </w:tr>
      <w:tr>
        <w:trPr>
          <w:trHeight w:val="161"/>
        </w:trPr>
        <w:tc>
          <w:tcPr>
            <w:tcW w:w="76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9"/>
              <w:spacing w:after="0"/>
              <w:rPr>
                <w:sz w:val="20"/>
                <w:szCs w:val="20"/>
                <w:color w:val="auto"/>
              </w:rPr>
            </w:pPr>
            <w:r>
              <w:rPr>
                <w:rFonts w:ascii="Arial" w:cs="Arial" w:eastAsia="Arial" w:hAnsi="Arial"/>
                <w:sz w:val="14"/>
                <w:szCs w:val="14"/>
                <w:b w:val="1"/>
                <w:bCs w:val="1"/>
                <w:color w:val="auto"/>
                <w:w w:val="96"/>
              </w:rPr>
              <w:t>Cost</w:t>
            </w:r>
          </w:p>
        </w:tc>
        <w:tc>
          <w:tcPr>
            <w:tcW w:w="460" w:type="dxa"/>
            <w:vAlign w:val="bottom"/>
          </w:tcPr>
          <w:p>
            <w:pPr>
              <w:spacing w:after="0"/>
              <w:rPr>
                <w:sz w:val="14"/>
                <w:szCs w:val="14"/>
                <w:color w:val="auto"/>
              </w:rPr>
            </w:pPr>
          </w:p>
        </w:tc>
        <w:tc>
          <w:tcPr>
            <w:tcW w:w="6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6"/>
              </w:rPr>
              <w:t>Fair Value</w:t>
            </w:r>
          </w:p>
        </w:tc>
        <w:tc>
          <w:tcPr>
            <w:tcW w:w="440" w:type="dxa"/>
            <w:vAlign w:val="bottom"/>
          </w:tcPr>
          <w:p>
            <w:pPr>
              <w:spacing w:after="0"/>
              <w:rPr>
                <w:sz w:val="14"/>
                <w:szCs w:val="14"/>
                <w:color w:val="auto"/>
              </w:rPr>
            </w:pPr>
          </w:p>
        </w:tc>
        <w:tc>
          <w:tcPr>
            <w:tcW w:w="620" w:type="dxa"/>
            <w:vAlign w:val="bottom"/>
            <w:tcBorders>
              <w:bottom w:val="single" w:sz="8" w:color="auto"/>
            </w:tcBorders>
          </w:tcPr>
          <w:p>
            <w:pPr>
              <w:jc w:val="right"/>
              <w:ind w:right="104"/>
              <w:spacing w:after="0"/>
              <w:rPr>
                <w:sz w:val="20"/>
                <w:szCs w:val="20"/>
                <w:color w:val="auto"/>
              </w:rPr>
            </w:pPr>
            <w:r>
              <w:rPr>
                <w:rFonts w:ascii="Arial" w:cs="Arial" w:eastAsia="Arial" w:hAnsi="Arial"/>
                <w:sz w:val="14"/>
                <w:szCs w:val="14"/>
                <w:b w:val="1"/>
                <w:bCs w:val="1"/>
                <w:color w:val="auto"/>
              </w:rPr>
              <w:t>Cost</w:t>
            </w: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6"/>
              </w:rPr>
              <w:t>Fair Value</w:t>
            </w:r>
          </w:p>
        </w:tc>
        <w:tc>
          <w:tcPr>
            <w:tcW w:w="20" w:type="dxa"/>
            <w:vAlign w:val="bottom"/>
          </w:tcPr>
          <w:p>
            <w:pPr>
              <w:spacing w:after="0"/>
              <w:rPr>
                <w:sz w:val="14"/>
                <w:szCs w:val="14"/>
                <w:color w:val="auto"/>
              </w:rPr>
            </w:pPr>
          </w:p>
        </w:tc>
      </w:tr>
      <w:tr>
        <w:trPr>
          <w:trHeight w:val="210"/>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$ 15,231</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$ 15,254</w:t>
            </w:r>
          </w:p>
        </w:tc>
        <w:tc>
          <w:tcPr>
            <w:tcW w:w="20" w:type="dxa"/>
            <w:vAlign w:val="bottom"/>
          </w:tcPr>
          <w:p>
            <w:pPr>
              <w:spacing w:after="0"/>
              <w:rPr>
                <w:sz w:val="18"/>
                <w:szCs w:val="18"/>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5,000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5,000</w:t>
            </w:r>
          </w:p>
        </w:tc>
        <w:tc>
          <w:tcPr>
            <w:tcW w:w="440" w:type="dxa"/>
            <w:vAlign w:val="bottom"/>
          </w:tcPr>
          <w:p>
            <w:pPr>
              <w:spacing w:after="0"/>
              <w:rPr>
                <w:sz w:val="18"/>
                <w:szCs w:val="18"/>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600" w:type="dxa"/>
            <w:vAlign w:val="bottom"/>
          </w:tcPr>
          <w:p>
            <w:pPr>
              <w:jc w:val="right"/>
              <w:ind w:right="6"/>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36,850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35,541</w:t>
            </w:r>
          </w:p>
        </w:tc>
        <w:tc>
          <w:tcPr>
            <w:tcW w:w="4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45,628</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0" w:type="dxa"/>
            <w:vAlign w:val="bottom"/>
          </w:tcPr>
          <w:p>
            <w:pPr>
              <w:spacing w:after="0"/>
              <w:rPr>
                <w:sz w:val="18"/>
                <w:szCs w:val="18"/>
                <w:color w:val="auto"/>
              </w:rPr>
            </w:pPr>
          </w:p>
        </w:tc>
      </w:tr>
      <w:tr>
        <w:trPr>
          <w:trHeight w:val="20"/>
        </w:trPr>
        <w:tc>
          <w:tcPr>
            <w:tcW w:w="76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22"/>
        </w:trPr>
        <w:tc>
          <w:tcPr>
            <w:tcW w:w="762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41,850</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40,541</w:t>
            </w:r>
          </w:p>
        </w:tc>
        <w:tc>
          <w:tcPr>
            <w:tcW w:w="1280" w:type="dxa"/>
            <w:vAlign w:val="bottom"/>
            <w:gridSpan w:val="3"/>
          </w:tcPr>
          <w:p>
            <w:pPr>
              <w:jc w:val="right"/>
              <w:ind w:right="220"/>
              <w:spacing w:after="0"/>
              <w:rPr>
                <w:sz w:val="20"/>
                <w:szCs w:val="20"/>
                <w:color w:val="auto"/>
              </w:rPr>
            </w:pPr>
            <w:r>
              <w:rPr>
                <w:rFonts w:ascii="Arial" w:cs="Arial" w:eastAsia="Arial" w:hAnsi="Arial"/>
                <w:sz w:val="18"/>
                <w:szCs w:val="18"/>
                <w:color w:val="auto"/>
              </w:rPr>
              <w:t>$ 60,859</w:t>
            </w: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$ 60,882</w:t>
            </w:r>
          </w:p>
        </w:tc>
      </w:tr>
      <w:tr>
        <w:trPr>
          <w:trHeight w:val="20"/>
        </w:trPr>
        <w:tc>
          <w:tcPr>
            <w:tcW w:w="76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The following tables summarize the investments’ gross unrealized losses and fair value, aggregated by investment category and length of time that individual securities have been in a continuous unrealized gain or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6"/>
          </w:tcPr>
          <w:p>
            <w:pPr>
              <w:jc w:val="right"/>
              <w:ind w:right="600"/>
              <w:spacing w:after="0"/>
              <w:rPr>
                <w:sz w:val="20"/>
                <w:szCs w:val="20"/>
                <w:color w:val="auto"/>
              </w:rPr>
            </w:pPr>
            <w:r>
              <w:rPr>
                <w:rFonts w:ascii="Arial" w:cs="Arial" w:eastAsia="Arial" w:hAnsi="Arial"/>
                <w:sz w:val="14"/>
                <w:szCs w:val="14"/>
                <w:b w:val="1"/>
                <w:bCs w:val="1"/>
                <w:color w:val="auto"/>
              </w:rPr>
              <w:t>January 31, 2009</w:t>
            </w:r>
          </w:p>
        </w:tc>
        <w:tc>
          <w:tcPr>
            <w:tcW w:w="5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38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460" w:type="dxa"/>
            <w:vAlign w:val="bottom"/>
            <w:gridSpan w:val="4"/>
          </w:tcPr>
          <w:p>
            <w:pPr>
              <w:ind w:left="140"/>
              <w:spacing w:after="0" w:line="142" w:lineRule="exact"/>
              <w:rPr>
                <w:sz w:val="20"/>
                <w:szCs w:val="20"/>
                <w:color w:val="auto"/>
              </w:rPr>
            </w:pPr>
            <w:r>
              <w:rPr>
                <w:rFonts w:ascii="Arial" w:cs="Arial" w:eastAsia="Arial" w:hAnsi="Arial"/>
                <w:sz w:val="14"/>
                <w:szCs w:val="14"/>
                <w:b w:val="1"/>
                <w:bCs w:val="1"/>
                <w:color w:val="auto"/>
                <w:w w:val="93"/>
              </w:rPr>
              <w:t>Less than 12 months</w:t>
            </w:r>
          </w:p>
        </w:tc>
        <w:tc>
          <w:tcPr>
            <w:tcW w:w="340" w:type="dxa"/>
            <w:vAlign w:val="bottom"/>
          </w:tcPr>
          <w:p>
            <w:pPr>
              <w:spacing w:after="0"/>
              <w:rPr>
                <w:sz w:val="12"/>
                <w:szCs w:val="12"/>
                <w:color w:val="auto"/>
              </w:rPr>
            </w:pPr>
          </w:p>
        </w:tc>
        <w:tc>
          <w:tcPr>
            <w:tcW w:w="1960" w:type="dxa"/>
            <w:vAlign w:val="bottom"/>
            <w:gridSpan w:val="6"/>
          </w:tcPr>
          <w:p>
            <w:pPr>
              <w:jc w:val="right"/>
              <w:ind w:right="640"/>
              <w:spacing w:after="0" w:line="142" w:lineRule="exact"/>
              <w:rPr>
                <w:sz w:val="20"/>
                <w:szCs w:val="20"/>
                <w:color w:val="auto"/>
              </w:rPr>
            </w:pPr>
            <w:r>
              <w:rPr>
                <w:rFonts w:ascii="Arial" w:cs="Arial" w:eastAsia="Arial" w:hAnsi="Arial"/>
                <w:sz w:val="14"/>
                <w:szCs w:val="14"/>
                <w:b w:val="1"/>
                <w:bCs w:val="1"/>
                <w:color w:val="auto"/>
              </w:rPr>
              <w:t>12 months or more</w:t>
            </w:r>
          </w:p>
        </w:tc>
        <w:tc>
          <w:tcPr>
            <w:tcW w:w="580" w:type="dxa"/>
            <w:vAlign w:val="bottom"/>
          </w:tcPr>
          <w:p>
            <w:pPr>
              <w:spacing w:after="0"/>
              <w:rPr>
                <w:sz w:val="12"/>
                <w:szCs w:val="12"/>
                <w:color w:val="auto"/>
              </w:rPr>
            </w:pPr>
          </w:p>
        </w:tc>
        <w:tc>
          <w:tcPr>
            <w:tcW w:w="460" w:type="dxa"/>
            <w:vAlign w:val="bottom"/>
            <w:gridSpan w:val="2"/>
          </w:tcPr>
          <w:p>
            <w:pPr>
              <w:ind w:left="40"/>
              <w:spacing w:after="0" w:line="142" w:lineRule="exact"/>
              <w:rPr>
                <w:sz w:val="20"/>
                <w:szCs w:val="20"/>
                <w:color w:val="auto"/>
              </w:rPr>
            </w:pPr>
            <w:r>
              <w:rPr>
                <w:rFonts w:ascii="Arial" w:cs="Arial" w:eastAsia="Arial" w:hAnsi="Arial"/>
                <w:sz w:val="14"/>
                <w:szCs w:val="14"/>
                <w:b w:val="1"/>
                <w:bCs w:val="1"/>
                <w:color w:val="auto"/>
              </w:rPr>
              <w:t>Total</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4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Fair</w:t>
            </w:r>
          </w:p>
        </w:tc>
        <w:tc>
          <w:tcPr>
            <w:tcW w:w="34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Unrealized</w:t>
            </w:r>
          </w:p>
        </w:tc>
        <w:tc>
          <w:tcPr>
            <w:tcW w:w="340" w:type="dxa"/>
            <w:vAlign w:val="bottom"/>
          </w:tcPr>
          <w:p>
            <w:pPr>
              <w:spacing w:after="0"/>
              <w:rPr>
                <w:sz w:val="11"/>
                <w:szCs w:val="11"/>
                <w:color w:val="auto"/>
              </w:rPr>
            </w:pPr>
          </w:p>
        </w:tc>
        <w:tc>
          <w:tcPr>
            <w:tcW w:w="760" w:type="dxa"/>
            <w:vAlign w:val="bottom"/>
            <w:tcBorders>
              <w:top w:val="single" w:sz="8" w:color="auto"/>
            </w:tcBorders>
            <w:gridSpan w:val="2"/>
          </w:tcPr>
          <w:p>
            <w:pPr>
              <w:jc w:val="center"/>
              <w:ind w:right="18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40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3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Value</w:t>
            </w: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59"/>
              <w:spacing w:after="0"/>
              <w:rPr>
                <w:sz w:val="20"/>
                <w:szCs w:val="20"/>
                <w:color w:val="auto"/>
              </w:rPr>
            </w:pPr>
            <w:r>
              <w:rPr>
                <w:rFonts w:ascii="Arial" w:cs="Arial" w:eastAsia="Arial" w:hAnsi="Arial"/>
                <w:sz w:val="14"/>
                <w:szCs w:val="14"/>
                <w:b w:val="1"/>
                <w:bCs w:val="1"/>
                <w:color w:val="auto"/>
                <w:w w:val="85"/>
              </w:rPr>
              <w:t>(Loss)</w:t>
            </w:r>
          </w:p>
        </w:tc>
        <w:tc>
          <w:tcPr>
            <w:tcW w:w="3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w w:val="85"/>
              </w:rPr>
              <w:t>(Loss)</w:t>
            </w:r>
          </w:p>
        </w:tc>
        <w:tc>
          <w:tcPr>
            <w:tcW w:w="40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3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(Loss)</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16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20"/>
                <w:szCs w:val="20"/>
                <w:color w:val="auto"/>
              </w:rPr>
            </w:pPr>
            <w:r>
              <w:rPr>
                <w:rFonts w:ascii="Arial" w:cs="Arial" w:eastAsia="Arial" w:hAnsi="Arial"/>
                <w:sz w:val="18"/>
                <w:szCs w:val="18"/>
                <w:color w:val="auto"/>
              </w:rPr>
              <w:t>$ —</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center"/>
              <w:ind w:left="72"/>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(1,309)</w:t>
            </w: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(1,309)</w:t>
            </w:r>
          </w:p>
        </w:tc>
        <w:tc>
          <w:tcPr>
            <w:tcW w:w="0" w:type="dxa"/>
            <w:vAlign w:val="bottom"/>
          </w:tcPr>
          <w:p>
            <w:pPr>
              <w:spacing w:after="0"/>
              <w:rPr>
                <w:sz w:val="1"/>
                <w:szCs w:val="1"/>
                <w:color w:val="auto"/>
              </w:rPr>
            </w:pPr>
          </w:p>
        </w:tc>
      </w:tr>
      <w:tr>
        <w:trPr>
          <w:trHeight w:val="20"/>
        </w:trPr>
        <w:tc>
          <w:tcPr>
            <w:tcW w:w="43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66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80" w:type="dxa"/>
            <w:vAlign w:val="bottom"/>
            <w:vMerge w:val="continue"/>
          </w:tcPr>
          <w:p>
            <w:pPr>
              <w:spacing w:after="0"/>
              <w:rPr>
                <w:sz w:val="19"/>
                <w:szCs w:val="19"/>
                <w:color w:val="auto"/>
              </w:rPr>
            </w:pPr>
          </w:p>
        </w:tc>
        <w:tc>
          <w:tcPr>
            <w:tcW w:w="1660" w:type="dxa"/>
            <w:vAlign w:val="bottom"/>
          </w:tcPr>
          <w:p>
            <w:pPr>
              <w:spacing w:after="0"/>
              <w:rPr>
                <w:sz w:val="19"/>
                <w:szCs w:val="19"/>
                <w:color w:val="auto"/>
              </w:rPr>
            </w:pPr>
          </w:p>
        </w:tc>
        <w:tc>
          <w:tcPr>
            <w:tcW w:w="400" w:type="dxa"/>
            <w:vAlign w:val="bottom"/>
          </w:tcPr>
          <w:p>
            <w:pPr>
              <w:spacing w:after="0"/>
              <w:rPr>
                <w:sz w:val="20"/>
                <w:szCs w:val="20"/>
                <w:color w:val="auto"/>
              </w:rPr>
            </w:pPr>
            <w:r>
              <w:rPr>
                <w:rFonts w:ascii="Arial" w:cs="Arial" w:eastAsia="Arial" w:hAnsi="Arial"/>
                <w:sz w:val="18"/>
                <w:szCs w:val="18"/>
                <w:color w:val="auto"/>
              </w:rPr>
              <w:t>$ —</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center"/>
              <w:ind w:left="72"/>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w w:val="98"/>
              </w:rPr>
              <w:t>(1,309)</w:t>
            </w:r>
          </w:p>
        </w:tc>
        <w:tc>
          <w:tcPr>
            <w:tcW w:w="580" w:type="dxa"/>
            <w:vAlign w:val="bottom"/>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98"/>
              </w:rPr>
              <w:t>(1,309)</w:t>
            </w:r>
          </w:p>
        </w:tc>
        <w:tc>
          <w:tcPr>
            <w:tcW w:w="0" w:type="dxa"/>
            <w:vAlign w:val="bottom"/>
          </w:tcPr>
          <w:p>
            <w:pPr>
              <w:spacing w:after="0"/>
              <w:rPr>
                <w:sz w:val="1"/>
                <w:szCs w:val="1"/>
                <w:color w:val="auto"/>
              </w:rPr>
            </w:pPr>
          </w:p>
        </w:tc>
      </w:tr>
      <w:tr>
        <w:trPr>
          <w:trHeight w:val="20"/>
        </w:trPr>
        <w:tc>
          <w:tcPr>
            <w:tcW w:w="4380" w:type="dxa"/>
            <w:vAlign w:val="bottom"/>
          </w:tcPr>
          <w:p>
            <w:pPr>
              <w:spacing w:after="0" w:line="20" w:lineRule="exact"/>
              <w:rPr>
                <w:sz w:val="1"/>
                <w:szCs w:val="1"/>
                <w:color w:val="auto"/>
              </w:rPr>
            </w:pPr>
          </w:p>
        </w:tc>
        <w:tc>
          <w:tcPr>
            <w:tcW w:w="1660" w:type="dxa"/>
            <w:vAlign w:val="bottom"/>
            <w:vMerge w:val="restart"/>
          </w:tcPr>
          <w:p>
            <w:pPr>
              <w:jc w:val="right"/>
              <w:ind w:right="152"/>
              <w:spacing w:after="0"/>
              <w:rPr>
                <w:sz w:val="20"/>
                <w:szCs w:val="20"/>
                <w:color w:val="auto"/>
              </w:rPr>
            </w:pPr>
            <w:r>
              <w:rPr>
                <w:rFonts w:ascii="Arial" w:cs="Arial" w:eastAsia="Arial" w:hAnsi="Arial"/>
                <w:sz w:val="18"/>
                <w:szCs w:val="18"/>
                <w:color w:val="auto"/>
              </w:rPr>
              <w:t>90</w:t>
            </w:r>
          </w:p>
        </w:tc>
        <w:tc>
          <w:tcPr>
            <w:tcW w:w="4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380" w:type="dxa"/>
            <w:vAlign w:val="bottom"/>
          </w:tcPr>
          <w:p>
            <w:pPr>
              <w:spacing w:after="0"/>
              <w:rPr>
                <w:sz w:val="24"/>
                <w:szCs w:val="24"/>
                <w:color w:val="auto"/>
              </w:rPr>
            </w:pPr>
          </w:p>
        </w:tc>
        <w:tc>
          <w:tcPr>
            <w:tcW w:w="1660" w:type="dxa"/>
            <w:vAlign w:val="bottom"/>
            <w:vMerge w:val="continue"/>
          </w:tcPr>
          <w:p>
            <w:pPr>
              <w:spacing w:after="0"/>
              <w:rPr>
                <w:sz w:val="24"/>
                <w:szCs w:val="24"/>
                <w:color w:val="auto"/>
              </w:rPr>
            </w:pPr>
          </w:p>
        </w:tc>
        <w:tc>
          <w:tcPr>
            <w:tcW w:w="4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5"/>
          </w:tcPr>
          <w:p>
            <w:pPr>
              <w:jc w:val="right"/>
              <w:spacing w:after="0"/>
              <w:rPr>
                <w:sz w:val="20"/>
                <w:szCs w:val="20"/>
                <w:color w:val="auto"/>
              </w:rPr>
            </w:pPr>
            <w:r>
              <w:rPr>
                <w:rFonts w:ascii="Arial" w:cs="Arial" w:eastAsia="Arial" w:hAnsi="Arial"/>
                <w:sz w:val="14"/>
                <w:szCs w:val="14"/>
                <w:b w:val="1"/>
                <w:bCs w:val="1"/>
                <w:color w:val="auto"/>
              </w:rPr>
              <w:t>February 2, 2008</w:t>
            </w:r>
          </w:p>
        </w:tc>
        <w:tc>
          <w:tcPr>
            <w:tcW w:w="2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6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540" w:type="dxa"/>
            <w:vAlign w:val="bottom"/>
            <w:tcBorders>
              <w:bottom w:val="single" w:sz="8" w:color="auto"/>
            </w:tcBorders>
            <w:gridSpan w:val="4"/>
          </w:tcPr>
          <w:p>
            <w:pPr>
              <w:ind w:left="180"/>
              <w:spacing w:after="0" w:line="142" w:lineRule="exact"/>
              <w:rPr>
                <w:sz w:val="20"/>
                <w:szCs w:val="20"/>
                <w:color w:val="auto"/>
              </w:rPr>
            </w:pPr>
            <w:r>
              <w:rPr>
                <w:rFonts w:ascii="Arial" w:cs="Arial" w:eastAsia="Arial" w:hAnsi="Arial"/>
                <w:sz w:val="14"/>
                <w:szCs w:val="14"/>
                <w:b w:val="1"/>
                <w:bCs w:val="1"/>
                <w:color w:val="auto"/>
                <w:w w:val="96"/>
              </w:rPr>
              <w:t>Less than 12 months</w:t>
            </w:r>
          </w:p>
        </w:tc>
        <w:tc>
          <w:tcPr>
            <w:tcW w:w="420" w:type="dxa"/>
            <w:vAlign w:val="bottom"/>
          </w:tcPr>
          <w:p>
            <w:pPr>
              <w:spacing w:after="0"/>
              <w:rPr>
                <w:sz w:val="12"/>
                <w:szCs w:val="12"/>
                <w:color w:val="auto"/>
              </w:rPr>
            </w:pPr>
          </w:p>
        </w:tc>
        <w:tc>
          <w:tcPr>
            <w:tcW w:w="1360" w:type="dxa"/>
            <w:vAlign w:val="bottom"/>
            <w:tcBorders>
              <w:bottom w:val="single" w:sz="8" w:color="auto"/>
            </w:tcBorders>
            <w:gridSpan w:val="5"/>
          </w:tcPr>
          <w:p>
            <w:pPr>
              <w:jc w:val="right"/>
              <w:spacing w:after="0" w:line="142" w:lineRule="exact"/>
              <w:rPr>
                <w:sz w:val="20"/>
                <w:szCs w:val="20"/>
                <w:color w:val="auto"/>
              </w:rPr>
            </w:pPr>
            <w:r>
              <w:rPr>
                <w:rFonts w:ascii="Arial" w:cs="Arial" w:eastAsia="Arial" w:hAnsi="Arial"/>
                <w:sz w:val="14"/>
                <w:szCs w:val="14"/>
                <w:b w:val="1"/>
                <w:bCs w:val="1"/>
                <w:color w:val="auto"/>
              </w:rPr>
              <w:t>12 months or more</w:t>
            </w:r>
          </w:p>
        </w:tc>
        <w:tc>
          <w:tcPr>
            <w:tcW w:w="260" w:type="dxa"/>
            <w:vAlign w:val="bottom"/>
            <w:tcBorders>
              <w:bottom w:val="single" w:sz="8" w:color="auto"/>
            </w:tcBorders>
          </w:tcPr>
          <w:p>
            <w:pPr>
              <w:spacing w:after="0"/>
              <w:rPr>
                <w:sz w:val="12"/>
                <w:szCs w:val="12"/>
                <w:color w:val="auto"/>
              </w:rPr>
            </w:pPr>
          </w:p>
        </w:tc>
        <w:tc>
          <w:tcPr>
            <w:tcW w:w="2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2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gridSpan w:val="2"/>
          </w:tcPr>
          <w:p>
            <w:pPr>
              <w:jc w:val="center"/>
              <w:ind w:right="52"/>
              <w:spacing w:after="0" w:line="142" w:lineRule="exact"/>
              <w:rPr>
                <w:sz w:val="20"/>
                <w:szCs w:val="20"/>
                <w:color w:val="auto"/>
              </w:rPr>
            </w:pPr>
            <w:r>
              <w:rPr>
                <w:rFonts w:ascii="Arial" w:cs="Arial" w:eastAsia="Arial" w:hAnsi="Arial"/>
                <w:sz w:val="14"/>
                <w:szCs w:val="14"/>
                <w:b w:val="1"/>
                <w:bCs w:val="1"/>
                <w:color w:val="auto"/>
                <w:w w:val="89"/>
              </w:rPr>
              <w:t>Total</w:t>
            </w:r>
          </w:p>
        </w:tc>
        <w:tc>
          <w:tcPr>
            <w:tcW w:w="460" w:type="dxa"/>
            <w:vAlign w:val="bottom"/>
            <w:tcBorders>
              <w:bottom w:val="single" w:sz="8" w:color="auto"/>
            </w:tcBorders>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8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Fair</w:t>
            </w:r>
          </w:p>
        </w:tc>
        <w:tc>
          <w:tcPr>
            <w:tcW w:w="420" w:type="dxa"/>
            <w:vAlign w:val="bottom"/>
          </w:tcPr>
          <w:p>
            <w:pPr>
              <w:spacing w:after="0"/>
              <w:rPr>
                <w:sz w:val="11"/>
                <w:szCs w:val="11"/>
                <w:color w:val="auto"/>
              </w:rPr>
            </w:pPr>
          </w:p>
        </w:tc>
        <w:tc>
          <w:tcPr>
            <w:tcW w:w="74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87"/>
              </w:rPr>
              <w:t>Unrealized</w:t>
            </w:r>
          </w:p>
        </w:tc>
        <w:tc>
          <w:tcPr>
            <w:tcW w:w="420" w:type="dxa"/>
            <w:vAlign w:val="bottom"/>
          </w:tcPr>
          <w:p>
            <w:pPr>
              <w:spacing w:after="0"/>
              <w:rPr>
                <w:sz w:val="11"/>
                <w:szCs w:val="11"/>
                <w:color w:val="auto"/>
              </w:rPr>
            </w:pPr>
          </w:p>
        </w:tc>
        <w:tc>
          <w:tcPr>
            <w:tcW w:w="780" w:type="dxa"/>
            <w:vAlign w:val="bottom"/>
            <w:gridSpan w:val="2"/>
          </w:tcPr>
          <w:p>
            <w:pPr>
              <w:ind w:left="160"/>
              <w:spacing w:after="0" w:line="129"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1"/>
                <w:szCs w:val="11"/>
                <w:color w:val="auto"/>
              </w:rPr>
            </w:pPr>
          </w:p>
        </w:tc>
        <w:tc>
          <w:tcPr>
            <w:tcW w:w="6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gridSpan w:val="4"/>
          </w:tcPr>
          <w:p>
            <w:pPr>
              <w:jc w:val="right"/>
              <w:ind w:right="180"/>
              <w:spacing w:after="0" w:line="129" w:lineRule="exact"/>
              <w:rPr>
                <w:sz w:val="20"/>
                <w:szCs w:val="20"/>
                <w:color w:val="auto"/>
              </w:rPr>
            </w:pPr>
            <w:r>
              <w:rPr>
                <w:rFonts w:ascii="Arial" w:cs="Arial" w:eastAsia="Arial" w:hAnsi="Arial"/>
                <w:sz w:val="14"/>
                <w:szCs w:val="14"/>
                <w:b w:val="1"/>
                <w:bCs w:val="1"/>
                <w:color w:val="auto"/>
              </w:rPr>
              <w:t>Fair</w:t>
            </w:r>
          </w:p>
        </w:tc>
        <w:tc>
          <w:tcPr>
            <w:tcW w:w="400" w:type="dxa"/>
            <w:vAlign w:val="bottom"/>
          </w:tcPr>
          <w:p>
            <w:pPr>
              <w:spacing w:after="0"/>
              <w:rPr>
                <w:sz w:val="11"/>
                <w:szCs w:val="11"/>
                <w:color w:val="auto"/>
              </w:rPr>
            </w:pPr>
          </w:p>
        </w:tc>
        <w:tc>
          <w:tcPr>
            <w:tcW w:w="6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7"/>
              </w:rPr>
              <w:t>Unrealized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0"/>
              </w:rPr>
              <w:t>Value</w:t>
            </w:r>
          </w:p>
        </w:tc>
        <w:tc>
          <w:tcPr>
            <w:tcW w:w="4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6"/>
              </w:rPr>
              <w:t>Gain</w:t>
            </w:r>
          </w:p>
        </w:tc>
        <w:tc>
          <w:tcPr>
            <w:tcW w:w="420" w:type="dxa"/>
            <w:vAlign w:val="bottom"/>
          </w:tcPr>
          <w:p>
            <w:pPr>
              <w:spacing w:after="0"/>
              <w:rPr>
                <w:sz w:val="14"/>
                <w:szCs w:val="14"/>
                <w:color w:val="auto"/>
              </w:rPr>
            </w:pPr>
          </w:p>
        </w:tc>
        <w:tc>
          <w:tcPr>
            <w:tcW w:w="58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rPr>
              <w:t>Value</w:t>
            </w: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Borders>
              <w:bottom w:val="single" w:sz="8" w:color="auto"/>
            </w:tcBorders>
            <w:gridSpan w:val="3"/>
          </w:tcPr>
          <w:p>
            <w:pPr>
              <w:ind w:left="160"/>
              <w:spacing w:after="0"/>
              <w:rPr>
                <w:sz w:val="20"/>
                <w:szCs w:val="20"/>
                <w:color w:val="auto"/>
              </w:rPr>
            </w:pPr>
            <w:r>
              <w:rPr>
                <w:rFonts w:ascii="Arial" w:cs="Arial" w:eastAsia="Arial" w:hAnsi="Arial"/>
                <w:sz w:val="14"/>
                <w:szCs w:val="14"/>
                <w:b w:val="1"/>
                <w:bCs w:val="1"/>
                <w:color w:val="auto"/>
              </w:rPr>
              <w:t>Gain</w:t>
            </w:r>
          </w:p>
        </w:tc>
        <w:tc>
          <w:tcPr>
            <w:tcW w:w="340" w:type="dxa"/>
            <w:vAlign w:val="bottom"/>
            <w:gridSpan w:val="2"/>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Borders>
              <w:bottom w:val="single" w:sz="8" w:color="auto"/>
            </w:tcBorders>
            <w:gridSpan w:val="3"/>
          </w:tcPr>
          <w:p>
            <w:pPr>
              <w:jc w:val="right"/>
              <w:ind w:right="52"/>
              <w:spacing w:after="0"/>
              <w:rPr>
                <w:sz w:val="20"/>
                <w:szCs w:val="20"/>
                <w:color w:val="auto"/>
              </w:rPr>
            </w:pPr>
            <w:r>
              <w:rPr>
                <w:rFonts w:ascii="Arial" w:cs="Arial" w:eastAsia="Arial" w:hAnsi="Arial"/>
                <w:sz w:val="14"/>
                <w:szCs w:val="14"/>
                <w:b w:val="1"/>
                <w:bCs w:val="1"/>
                <w:color w:val="auto"/>
              </w:rPr>
              <w:t>Value</w:t>
            </w: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97"/>
              <w:spacing w:after="0"/>
              <w:rPr>
                <w:sz w:val="20"/>
                <w:szCs w:val="20"/>
                <w:color w:val="auto"/>
              </w:rPr>
            </w:pPr>
            <w:r>
              <w:rPr>
                <w:rFonts w:ascii="Arial" w:cs="Arial" w:eastAsia="Arial" w:hAnsi="Arial"/>
                <w:sz w:val="14"/>
                <w:szCs w:val="14"/>
                <w:b w:val="1"/>
                <w:bCs w:val="1"/>
                <w:color w:val="auto"/>
                <w:w w:val="83"/>
              </w:rPr>
              <w:t>Gain</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U.S. Federal, State and county securities</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w w:val="84"/>
              </w:rPr>
              <w:t>$ —</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$15,254</w:t>
            </w:r>
          </w:p>
        </w:tc>
        <w:tc>
          <w:tcPr>
            <w:tcW w:w="4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23</w:t>
            </w:r>
          </w:p>
        </w:tc>
        <w:tc>
          <w:tcPr>
            <w:tcW w:w="60" w:type="dxa"/>
            <w:vAlign w:val="bottom"/>
            <w:shd w:val="clear" w:color="auto" w:fill="CCEEFF"/>
          </w:tcPr>
          <w:p>
            <w:pPr>
              <w:spacing w:after="0"/>
              <w:rPr>
                <w:sz w:val="18"/>
                <w:szCs w:val="18"/>
                <w:color w:val="auto"/>
              </w:rPr>
            </w:pPr>
          </w:p>
        </w:tc>
        <w:tc>
          <w:tcPr>
            <w:tcW w:w="6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w w:val="98"/>
              </w:rPr>
              <w:t>$15,254</w:t>
            </w:r>
          </w:p>
        </w:tc>
        <w:tc>
          <w:tcPr>
            <w:tcW w:w="5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2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640" w:type="dxa"/>
            <w:vAlign w:val="bottom"/>
          </w:tcPr>
          <w:p>
            <w:pPr>
              <w:spacing w:after="0"/>
              <w:rPr>
                <w:sz w:val="18"/>
                <w:szCs w:val="18"/>
                <w:color w:val="auto"/>
              </w:rPr>
            </w:pPr>
          </w:p>
        </w:tc>
        <w:tc>
          <w:tcPr>
            <w:tcW w:w="3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45,628</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20"/>
                <w:szCs w:val="20"/>
                <w:color w:val="auto"/>
              </w:rPr>
            </w:pPr>
            <w:r>
              <w:rPr>
                <w:rFonts w:ascii="Arial" w:cs="Arial" w:eastAsia="Arial" w:hAnsi="Arial"/>
                <w:sz w:val="18"/>
                <w:szCs w:val="18"/>
                <w:color w:val="auto"/>
              </w:rPr>
              <w:t>—</w:t>
            </w:r>
          </w:p>
        </w:tc>
        <w:tc>
          <w:tcPr>
            <w:tcW w:w="340" w:type="dxa"/>
            <w:vAlign w:val="bottom"/>
            <w:gridSpan w:val="2"/>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4"/>
          </w:tcPr>
          <w:p>
            <w:pPr>
              <w:jc w:val="right"/>
              <w:ind w:right="20"/>
              <w:spacing w:after="0"/>
              <w:rPr>
                <w:sz w:val="20"/>
                <w:szCs w:val="20"/>
                <w:color w:val="auto"/>
              </w:rPr>
            </w:pPr>
            <w:r>
              <w:rPr>
                <w:rFonts w:ascii="Arial" w:cs="Arial" w:eastAsia="Arial" w:hAnsi="Arial"/>
                <w:sz w:val="18"/>
                <w:szCs w:val="18"/>
                <w:color w:val="auto"/>
              </w:rPr>
              <w:t>45,628</w:t>
            </w:r>
          </w:p>
        </w:tc>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0" w:type="dxa"/>
            <w:vAlign w:val="bottom"/>
          </w:tcPr>
          <w:p>
            <w:pPr>
              <w:spacing w:after="0"/>
              <w:rPr>
                <w:sz w:val="2"/>
                <w:szCs w:val="2"/>
                <w:color w:val="auto"/>
              </w:rPr>
            </w:pPr>
          </w:p>
        </w:tc>
        <w:tc>
          <w:tcPr>
            <w:tcW w:w="4680" w:type="dxa"/>
            <w:vAlign w:val="bottom"/>
          </w:tcPr>
          <w:p>
            <w:pPr>
              <w:spacing w:after="0"/>
              <w:rPr>
                <w:sz w:val="2"/>
                <w:szCs w:val="2"/>
                <w:color w:val="auto"/>
              </w:rPr>
            </w:pPr>
          </w:p>
        </w:tc>
        <w:tc>
          <w:tcPr>
            <w:tcW w:w="64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w w:val="84"/>
              </w:rPr>
              <w:t>$ —</w:t>
            </w: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60,882</w:t>
            </w:r>
          </w:p>
        </w:tc>
        <w:tc>
          <w:tcPr>
            <w:tcW w:w="4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23</w:t>
            </w:r>
          </w:p>
        </w:tc>
        <w:tc>
          <w:tcPr>
            <w:tcW w:w="60" w:type="dxa"/>
            <w:vAlign w:val="bottom"/>
            <w:shd w:val="clear" w:color="auto" w:fill="CCEEFF"/>
          </w:tcPr>
          <w:p>
            <w:pPr>
              <w:spacing w:after="0"/>
              <w:rPr>
                <w:sz w:val="18"/>
                <w:szCs w:val="18"/>
                <w:color w:val="auto"/>
              </w:rPr>
            </w:pPr>
          </w:p>
        </w:tc>
        <w:tc>
          <w:tcPr>
            <w:tcW w:w="6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60,882</w:t>
            </w:r>
          </w:p>
        </w:tc>
        <w:tc>
          <w:tcPr>
            <w:tcW w:w="5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40" w:type="dxa"/>
            <w:vAlign w:val="bottom"/>
            <w:gridSpan w:val="3"/>
            <w:vMerge w:val="restart"/>
          </w:tcPr>
          <w:p>
            <w:pPr>
              <w:spacing w:after="0"/>
              <w:rPr>
                <w:sz w:val="20"/>
                <w:szCs w:val="20"/>
                <w:color w:val="auto"/>
              </w:rPr>
            </w:pPr>
            <w:r>
              <w:rPr>
                <w:rFonts w:ascii="Arial" w:cs="Arial" w:eastAsia="Arial" w:hAnsi="Arial"/>
                <w:sz w:val="18"/>
                <w:szCs w:val="18"/>
                <w:b w:val="1"/>
                <w:bCs w:val="1"/>
                <w:color w:val="auto"/>
                <w:w w:val="97"/>
              </w:rPr>
              <w:t>Note 4 — Supplemental Financial Information (in thousands):</w:t>
            </w:r>
          </w:p>
        </w:tc>
        <w:tc>
          <w:tcPr>
            <w:tcW w:w="64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140" w:type="dxa"/>
            <w:vAlign w:val="bottom"/>
            <w:gridSpan w:val="3"/>
            <w:vMerge w:val="continue"/>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5120" w:type="dxa"/>
            <w:vAlign w:val="bottom"/>
            <w:gridSpan w:val="2"/>
          </w:tcPr>
          <w:p>
            <w:pPr>
              <w:ind w:left="440"/>
              <w:spacing w:after="0"/>
              <w:rPr>
                <w:sz w:val="20"/>
                <w:szCs w:val="20"/>
                <w:color w:val="auto"/>
              </w:rPr>
            </w:pPr>
            <w:r>
              <w:rPr>
                <w:rFonts w:ascii="Arial" w:cs="Arial" w:eastAsia="Arial" w:hAnsi="Arial"/>
                <w:sz w:val="18"/>
                <w:szCs w:val="18"/>
                <w:b w:val="1"/>
                <w:bCs w:val="1"/>
                <w:color w:val="auto"/>
              </w:rPr>
              <w:t>Cash and cash equivalents</w:t>
            </w: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w w:val="90"/>
              </w:rPr>
              <w:t>January 31,</w:t>
            </w: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gridSpan w:val="5"/>
          </w:tcPr>
          <w:p>
            <w:pPr>
              <w:jc w:val="center"/>
              <w:spacing w:after="0"/>
              <w:rPr>
                <w:sz w:val="20"/>
                <w:szCs w:val="20"/>
                <w:color w:val="auto"/>
              </w:rPr>
            </w:pPr>
            <w:r>
              <w:rPr>
                <w:rFonts w:ascii="Arial" w:cs="Arial" w:eastAsia="Arial" w:hAnsi="Arial"/>
                <w:sz w:val="14"/>
                <w:szCs w:val="14"/>
                <w:b w:val="1"/>
                <w:bCs w:val="1"/>
                <w:color w:val="auto"/>
                <w:w w:val="90"/>
              </w:rPr>
              <w:t>February 2,</w:t>
            </w: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rPr>
              <w:t>2009</w:t>
            </w:r>
          </w:p>
        </w:tc>
        <w:tc>
          <w:tcPr>
            <w:tcW w:w="6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2008</w:t>
            </w:r>
          </w:p>
        </w:tc>
        <w:tc>
          <w:tcPr>
            <w:tcW w:w="180" w:type="dxa"/>
            <w:vAlign w:val="bottom"/>
            <w:tcBorders>
              <w:bottom w:val="single" w:sz="8" w:color="auto"/>
            </w:tcBorders>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72,348</w:t>
            </w: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97,395</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Cash equivalents:</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Commercial paper</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9"/>
              </w:rPr>
              <w:t>381,674</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w w:val="89"/>
              </w:rPr>
              <w:t>105,491</w:t>
            </w: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13,245</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mutual fund</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9"/>
              </w:rPr>
              <w:t>367,896</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505,008</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5120" w:type="dxa"/>
            <w:vAlign w:val="bottom"/>
            <w:gridSpan w:val="2"/>
          </w:tcPr>
          <w:p>
            <w:pPr>
              <w:ind w:left="440"/>
              <w:spacing w:after="0"/>
              <w:rPr>
                <w:sz w:val="20"/>
                <w:szCs w:val="20"/>
                <w:color w:val="auto"/>
              </w:rPr>
            </w:pPr>
            <w:r>
              <w:rPr>
                <w:rFonts w:ascii="Arial" w:cs="Arial" w:eastAsia="Arial" w:hAnsi="Arial"/>
                <w:sz w:val="18"/>
                <w:szCs w:val="18"/>
                <w:color w:val="auto"/>
              </w:rPr>
              <w:t>Total cash and cash equivalents</w:t>
            </w:r>
          </w:p>
        </w:tc>
        <w:tc>
          <w:tcPr>
            <w:tcW w:w="6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gridSpan w:val="6"/>
          </w:tcPr>
          <w:p>
            <w:pPr>
              <w:jc w:val="right"/>
              <w:spacing w:after="0"/>
              <w:rPr>
                <w:sz w:val="20"/>
                <w:szCs w:val="20"/>
                <w:color w:val="auto"/>
              </w:rPr>
            </w:pPr>
            <w:r>
              <w:rPr>
                <w:rFonts w:ascii="Arial" w:cs="Arial" w:eastAsia="Arial" w:hAnsi="Arial"/>
                <w:sz w:val="18"/>
                <w:szCs w:val="18"/>
                <w:color w:val="auto"/>
              </w:rPr>
              <w:t>$ 927,409</w:t>
            </w:r>
          </w:p>
        </w:tc>
        <w:tc>
          <w:tcPr>
            <w:tcW w:w="66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615,648</w:t>
            </w:r>
          </w:p>
        </w:tc>
        <w:tc>
          <w:tcPr>
            <w:tcW w:w="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20" w:type="dxa"/>
            <w:vAlign w:val="bottom"/>
            <w:gridSpan w:val="2"/>
            <w:vMerge w:val="restart"/>
          </w:tcPr>
          <w:p>
            <w:pPr>
              <w:ind w:left="440"/>
              <w:spacing w:after="0"/>
              <w:rPr>
                <w:sz w:val="20"/>
                <w:szCs w:val="20"/>
                <w:color w:val="auto"/>
              </w:rPr>
            </w:pPr>
            <w:r>
              <w:rPr>
                <w:rFonts w:ascii="Arial" w:cs="Arial" w:eastAsia="Arial" w:hAnsi="Arial"/>
                <w:sz w:val="18"/>
                <w:szCs w:val="18"/>
                <w:b w:val="1"/>
                <w:bCs w:val="1"/>
                <w:color w:val="auto"/>
              </w:rPr>
              <w:t>Inventories</w:t>
            </w:r>
          </w:p>
        </w:tc>
        <w:tc>
          <w:tcPr>
            <w:tcW w:w="6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20" w:type="dxa"/>
            <w:vAlign w:val="bottom"/>
          </w:tcPr>
          <w:p>
            <w:pPr>
              <w:spacing w:after="0"/>
              <w:rPr>
                <w:sz w:val="24"/>
                <w:szCs w:val="24"/>
                <w:color w:val="auto"/>
              </w:rPr>
            </w:pPr>
          </w:p>
        </w:tc>
        <w:tc>
          <w:tcPr>
            <w:tcW w:w="5120" w:type="dxa"/>
            <w:vAlign w:val="bottom"/>
            <w:gridSpan w:val="2"/>
            <w:vMerge w:val="continue"/>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w w:val="90"/>
              </w:rPr>
              <w:t>January 31,</w:t>
            </w: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gridSpan w:val="5"/>
          </w:tcPr>
          <w:p>
            <w:pPr>
              <w:jc w:val="center"/>
              <w:spacing w:after="0"/>
              <w:rPr>
                <w:sz w:val="20"/>
                <w:szCs w:val="20"/>
                <w:color w:val="auto"/>
              </w:rPr>
            </w:pPr>
            <w:r>
              <w:rPr>
                <w:rFonts w:ascii="Arial" w:cs="Arial" w:eastAsia="Arial" w:hAnsi="Arial"/>
                <w:sz w:val="14"/>
                <w:szCs w:val="14"/>
                <w:b w:val="1"/>
                <w:bCs w:val="1"/>
                <w:color w:val="auto"/>
                <w:w w:val="90"/>
              </w:rPr>
              <w:t>February 2,</w:t>
            </w: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rPr>
              <w:t>2009</w:t>
            </w:r>
          </w:p>
        </w:tc>
        <w:tc>
          <w:tcPr>
            <w:tcW w:w="6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2008</w:t>
            </w:r>
          </w:p>
        </w:tc>
        <w:tc>
          <w:tcPr>
            <w:tcW w:w="180" w:type="dxa"/>
            <w:vAlign w:val="bottom"/>
            <w:tcBorders>
              <w:bottom w:val="single" w:sz="8" w:color="auto"/>
            </w:tcBorders>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$ 188,830</w:t>
            </w: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270,449</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Finished goods</w:t>
            </w:r>
          </w:p>
        </w:tc>
        <w:tc>
          <w:tcPr>
            <w:tcW w:w="6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121,824</w:t>
            </w: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6"/>
              </w:rPr>
              <w:t>149,045</w:t>
            </w:r>
          </w:p>
        </w:tc>
        <w:tc>
          <w:tcPr>
            <w:tcW w:w="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$ 310,654</w:t>
            </w: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419,494</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20" w:type="dxa"/>
            <w:vAlign w:val="bottom"/>
            <w:gridSpan w:val="2"/>
            <w:vMerge w:val="restart"/>
          </w:tcPr>
          <w:p>
            <w:pPr>
              <w:ind w:left="440"/>
              <w:spacing w:after="0"/>
              <w:rPr>
                <w:sz w:val="20"/>
                <w:szCs w:val="20"/>
                <w:color w:val="auto"/>
              </w:rPr>
            </w:pPr>
            <w:r>
              <w:rPr>
                <w:rFonts w:ascii="Arial" w:cs="Arial" w:eastAsia="Arial" w:hAnsi="Arial"/>
                <w:sz w:val="18"/>
                <w:szCs w:val="18"/>
                <w:b w:val="1"/>
                <w:bCs w:val="1"/>
                <w:color w:val="auto"/>
              </w:rPr>
              <w:t>Prepaid expenses and other current assets</w:t>
            </w:r>
          </w:p>
        </w:tc>
        <w:tc>
          <w:tcPr>
            <w:tcW w:w="6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5120" w:type="dxa"/>
            <w:vAlign w:val="bottom"/>
            <w:gridSpan w:val="2"/>
            <w:vMerge w:val="continue"/>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60" w:type="dxa"/>
            <w:vAlign w:val="bottom"/>
            <w:gridSpan w:val="4"/>
          </w:tcPr>
          <w:p>
            <w:pPr>
              <w:ind w:left="20"/>
              <w:spacing w:after="0"/>
              <w:rPr>
                <w:sz w:val="20"/>
                <w:szCs w:val="20"/>
                <w:color w:val="auto"/>
              </w:rPr>
            </w:pPr>
            <w:r>
              <w:rPr>
                <w:rFonts w:ascii="Arial" w:cs="Arial" w:eastAsia="Arial" w:hAnsi="Arial"/>
                <w:sz w:val="14"/>
                <w:szCs w:val="14"/>
                <w:b w:val="1"/>
                <w:bCs w:val="1"/>
                <w:color w:val="auto"/>
                <w:w w:val="93"/>
              </w:rPr>
              <w:t>January 31,</w:t>
            </w: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0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February 2,</w:t>
            </w: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jc w:val="right"/>
              <w:ind w:right="132"/>
              <w:spacing w:after="0"/>
              <w:rPr>
                <w:sz w:val="20"/>
                <w:szCs w:val="20"/>
                <w:color w:val="auto"/>
              </w:rPr>
            </w:pPr>
            <w:r>
              <w:rPr>
                <w:rFonts w:ascii="Arial" w:cs="Arial" w:eastAsia="Arial" w:hAnsi="Arial"/>
                <w:sz w:val="14"/>
                <w:szCs w:val="14"/>
                <w:b w:val="1"/>
                <w:bCs w:val="1"/>
                <w:color w:val="auto"/>
                <w:w w:val="96"/>
              </w:rPr>
              <w:t>2009</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2008</w:t>
            </w:r>
          </w:p>
        </w:tc>
        <w:tc>
          <w:tcPr>
            <w:tcW w:w="180" w:type="dxa"/>
            <w:vAlign w:val="bottom"/>
            <w:tcBorders>
              <w:bottom w:val="single" w:sz="8" w:color="auto"/>
            </w:tcBorders>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14,000</w:t>
            </w:r>
          </w:p>
        </w:tc>
        <w:tc>
          <w:tcPr>
            <w:tcW w:w="60" w:type="dxa"/>
            <w:vAlign w:val="bottom"/>
            <w:shd w:val="clear" w:color="auto" w:fill="CCEEFF"/>
          </w:tcPr>
          <w:p>
            <w:pPr>
              <w:spacing w:after="0"/>
              <w:rPr>
                <w:sz w:val="18"/>
                <w:szCs w:val="18"/>
                <w:color w:val="auto"/>
              </w:rPr>
            </w:pP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23,200</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Prepayments for wafers</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40" w:type="dxa"/>
            <w:vAlign w:val="bottom"/>
            <w:gridSpan w:val="2"/>
          </w:tcPr>
          <w:p>
            <w:pPr>
              <w:jc w:val="right"/>
              <w:ind w:right="160"/>
              <w:spacing w:after="0"/>
              <w:rPr>
                <w:sz w:val="20"/>
                <w:szCs w:val="20"/>
                <w:color w:val="auto"/>
              </w:rPr>
            </w:pPr>
            <w:r>
              <w:rPr>
                <w:rFonts w:ascii="Arial" w:cs="Arial" w:eastAsia="Arial" w:hAnsi="Arial"/>
                <w:sz w:val="18"/>
                <w:szCs w:val="18"/>
                <w:color w:val="auto"/>
                <w:w w:val="88"/>
              </w:rPr>
              <w:t>—</w:t>
            </w: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13,938</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Receivable from foundry</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7,472</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10,240</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Other</w:t>
            </w:r>
          </w:p>
        </w:tc>
        <w:tc>
          <w:tcPr>
            <w:tcW w:w="6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4"/>
              </w:rPr>
              <w:t>39,796</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58,431</w:t>
            </w:r>
          </w:p>
        </w:tc>
        <w:tc>
          <w:tcPr>
            <w:tcW w:w="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61,268</w:t>
            </w:r>
          </w:p>
        </w:tc>
        <w:tc>
          <w:tcPr>
            <w:tcW w:w="60" w:type="dxa"/>
            <w:vAlign w:val="bottom"/>
            <w:shd w:val="clear" w:color="auto" w:fill="CCEEFF"/>
          </w:tcPr>
          <w:p>
            <w:pPr>
              <w:spacing w:after="0"/>
              <w:rPr>
                <w:sz w:val="18"/>
                <w:szCs w:val="18"/>
                <w:color w:val="auto"/>
              </w:rPr>
            </w:pPr>
          </w:p>
        </w:tc>
        <w:tc>
          <w:tcPr>
            <w:tcW w:w="1260" w:type="dxa"/>
            <w:vAlign w:val="bottom"/>
            <w:gridSpan w:val="7"/>
            <w:shd w:val="clear" w:color="auto" w:fill="CCEEFF"/>
          </w:tcPr>
          <w:p>
            <w:pPr>
              <w:jc w:val="right"/>
              <w:spacing w:after="0"/>
              <w:rPr>
                <w:sz w:val="20"/>
                <w:szCs w:val="20"/>
                <w:color w:val="auto"/>
              </w:rPr>
            </w:pPr>
            <w:r>
              <w:rPr>
                <w:rFonts w:ascii="Arial" w:cs="Arial" w:eastAsia="Arial" w:hAnsi="Arial"/>
                <w:sz w:val="18"/>
                <w:szCs w:val="18"/>
                <w:color w:val="auto"/>
              </w:rPr>
              <w:t>$ 105,809</w:t>
            </w: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80" w:type="dxa"/>
            <w:vAlign w:val="bottom"/>
          </w:tcPr>
          <w:p>
            <w:pPr>
              <w:spacing w:after="0" w:line="20" w:lineRule="exact"/>
              <w:rPr>
                <w:sz w:val="1"/>
                <w:szCs w:val="1"/>
                <w:color w:val="auto"/>
              </w:rPr>
            </w:pPr>
          </w:p>
        </w:tc>
        <w:tc>
          <w:tcPr>
            <w:tcW w:w="1020" w:type="dxa"/>
            <w:vAlign w:val="bottom"/>
            <w:gridSpan w:val="2"/>
            <w:vMerge w:val="restart"/>
          </w:tcPr>
          <w:p>
            <w:pPr>
              <w:jc w:val="right"/>
              <w:ind w:right="282"/>
              <w:spacing w:after="0"/>
              <w:rPr>
                <w:sz w:val="20"/>
                <w:szCs w:val="20"/>
                <w:color w:val="auto"/>
              </w:rPr>
            </w:pPr>
            <w:r>
              <w:rPr>
                <w:rFonts w:ascii="Arial" w:cs="Arial" w:eastAsia="Arial" w:hAnsi="Arial"/>
                <w:sz w:val="18"/>
                <w:szCs w:val="18"/>
                <w:color w:val="auto"/>
              </w:rPr>
              <w:t>91</w:t>
            </w:r>
          </w:p>
        </w:tc>
        <w:tc>
          <w:tcPr>
            <w:tcW w:w="4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80" w:type="dxa"/>
            <w:vAlign w:val="bottom"/>
          </w:tcPr>
          <w:p>
            <w:pPr>
              <w:spacing w:after="0"/>
              <w:rPr>
                <w:sz w:val="24"/>
                <w:szCs w:val="24"/>
                <w:color w:val="auto"/>
              </w:rPr>
            </w:pPr>
          </w:p>
        </w:tc>
        <w:tc>
          <w:tcPr>
            <w:tcW w:w="1020" w:type="dxa"/>
            <w:vAlign w:val="bottom"/>
            <w:gridSpan w:val="2"/>
            <w:vMerge w:val="continue"/>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Property and equipment, net</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00" w:type="dxa"/>
            <w:vAlign w:val="bottom"/>
          </w:tcPr>
          <w:p>
            <w:pPr>
              <w:spacing w:after="0"/>
              <w:rPr>
                <w:sz w:val="14"/>
                <w:szCs w:val="14"/>
                <w:color w:val="auto"/>
              </w:rPr>
            </w:pPr>
          </w:p>
        </w:tc>
        <w:tc>
          <w:tcPr>
            <w:tcW w:w="130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w w:val="88"/>
              </w:rPr>
              <w:t>January 31,</w:t>
            </w:r>
          </w:p>
        </w:tc>
        <w:tc>
          <w:tcPr>
            <w:tcW w:w="80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90"/>
              </w:rPr>
              <w:t>February 2,</w:t>
            </w:r>
          </w:p>
        </w:tc>
      </w:tr>
      <w:tr>
        <w:trPr>
          <w:trHeight w:val="161"/>
        </w:trPr>
        <w:tc>
          <w:tcPr>
            <w:tcW w:w="8400" w:type="dxa"/>
            <w:vAlign w:val="bottom"/>
          </w:tcPr>
          <w:p>
            <w:pPr>
              <w:spacing w:after="0"/>
              <w:rPr>
                <w:sz w:val="14"/>
                <w:szCs w:val="14"/>
                <w:color w:val="auto"/>
              </w:rPr>
            </w:pPr>
          </w:p>
        </w:tc>
        <w:tc>
          <w:tcPr>
            <w:tcW w:w="72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2009</w:t>
            </w:r>
          </w:p>
        </w:tc>
        <w:tc>
          <w:tcPr>
            <w:tcW w:w="580" w:type="dxa"/>
            <w:vAlign w:val="bottom"/>
          </w:tcPr>
          <w:p>
            <w:pPr>
              <w:spacing w:after="0"/>
              <w:rPr>
                <w:sz w:val="14"/>
                <w:szCs w:val="14"/>
                <w:color w:val="auto"/>
              </w:rPr>
            </w:pPr>
          </w:p>
        </w:tc>
        <w:tc>
          <w:tcPr>
            <w:tcW w:w="7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r>
      <w:tr>
        <w:trPr>
          <w:trHeight w:val="210"/>
        </w:trPr>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$ 343,772</w:t>
            </w: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$ 315,797</w:t>
            </w:r>
          </w:p>
        </w:tc>
        <w:tc>
          <w:tcPr>
            <w:tcW w:w="60" w:type="dxa"/>
            <w:vAlign w:val="bottom"/>
            <w:shd w:val="clear" w:color="auto" w:fill="CCEEFF"/>
          </w:tcPr>
          <w:p>
            <w:pPr>
              <w:spacing w:after="0"/>
              <w:rPr>
                <w:sz w:val="18"/>
                <w:szCs w:val="18"/>
                <w:color w:val="auto"/>
              </w:rPr>
            </w:pPr>
          </w:p>
        </w:tc>
      </w:tr>
      <w:tr>
        <w:trPr>
          <w:trHeight w:val="216"/>
        </w:trPr>
        <w:tc>
          <w:tcPr>
            <w:tcW w:w="8400" w:type="dxa"/>
            <w:vAlign w:val="bottom"/>
          </w:tcPr>
          <w:p>
            <w:pPr>
              <w:spacing w:after="0"/>
              <w:rPr>
                <w:sz w:val="20"/>
                <w:szCs w:val="20"/>
                <w:color w:val="auto"/>
              </w:rPr>
            </w:pPr>
            <w:r>
              <w:rPr>
                <w:rFonts w:ascii="Arial" w:cs="Arial" w:eastAsia="Arial" w:hAnsi="Arial"/>
                <w:sz w:val="18"/>
                <w:szCs w:val="18"/>
                <w:color w:val="auto"/>
              </w:rPr>
              <w:t>Computer software</w:t>
            </w:r>
          </w:p>
        </w:tc>
        <w:tc>
          <w:tcPr>
            <w:tcW w:w="720" w:type="dxa"/>
            <w:vAlign w:val="bottom"/>
          </w:tcPr>
          <w:p>
            <w:pPr>
              <w:jc w:val="right"/>
              <w:spacing w:after="0"/>
              <w:rPr>
                <w:sz w:val="20"/>
                <w:szCs w:val="20"/>
                <w:color w:val="auto"/>
              </w:rPr>
            </w:pPr>
            <w:r>
              <w:rPr>
                <w:rFonts w:ascii="Arial" w:cs="Arial" w:eastAsia="Arial" w:hAnsi="Arial"/>
                <w:sz w:val="18"/>
                <w:szCs w:val="18"/>
                <w:color w:val="auto"/>
              </w:rPr>
              <w:t>75,986</w:t>
            </w:r>
          </w:p>
        </w:tc>
        <w:tc>
          <w:tcPr>
            <w:tcW w:w="5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72,736</w:t>
            </w:r>
          </w:p>
        </w:tc>
        <w:tc>
          <w:tcPr>
            <w:tcW w:w="60" w:type="dxa"/>
            <w:vAlign w:val="bottom"/>
          </w:tcPr>
          <w:p>
            <w:pPr>
              <w:spacing w:after="0"/>
              <w:rPr>
                <w:sz w:val="18"/>
                <w:szCs w:val="18"/>
                <w:color w:val="auto"/>
              </w:rPr>
            </w:pPr>
          </w:p>
        </w:tc>
      </w:tr>
      <w:tr>
        <w:trPr>
          <w:trHeight w:val="216"/>
        </w:trPr>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23,490</w:t>
            </w: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22,303</w:t>
            </w:r>
          </w:p>
        </w:tc>
        <w:tc>
          <w:tcPr>
            <w:tcW w:w="60" w:type="dxa"/>
            <w:vAlign w:val="bottom"/>
            <w:shd w:val="clear" w:color="auto" w:fill="CCEEFF"/>
          </w:tcPr>
          <w:p>
            <w:pPr>
              <w:spacing w:after="0"/>
              <w:rPr>
                <w:sz w:val="18"/>
                <w:szCs w:val="18"/>
                <w:color w:val="auto"/>
              </w:rPr>
            </w:pPr>
          </w:p>
        </w:tc>
      </w:tr>
      <w:tr>
        <w:trPr>
          <w:trHeight w:val="216"/>
        </w:trPr>
        <w:tc>
          <w:tcPr>
            <w:tcW w:w="8400" w:type="dxa"/>
            <w:vAlign w:val="bottom"/>
          </w:tcPr>
          <w:p>
            <w:pPr>
              <w:spacing w:after="0"/>
              <w:rPr>
                <w:sz w:val="20"/>
                <w:szCs w:val="20"/>
                <w:color w:val="auto"/>
              </w:rPr>
            </w:pPr>
            <w:r>
              <w:rPr>
                <w:rFonts w:ascii="Arial" w:cs="Arial" w:eastAsia="Arial" w:hAnsi="Arial"/>
                <w:sz w:val="18"/>
                <w:szCs w:val="18"/>
                <w:color w:val="auto"/>
              </w:rPr>
              <w:t>Leasehold improvements</w:t>
            </w:r>
          </w:p>
        </w:tc>
        <w:tc>
          <w:tcPr>
            <w:tcW w:w="720" w:type="dxa"/>
            <w:vAlign w:val="bottom"/>
          </w:tcPr>
          <w:p>
            <w:pPr>
              <w:jc w:val="right"/>
              <w:spacing w:after="0"/>
              <w:rPr>
                <w:sz w:val="20"/>
                <w:szCs w:val="20"/>
                <w:color w:val="auto"/>
              </w:rPr>
            </w:pPr>
            <w:r>
              <w:rPr>
                <w:rFonts w:ascii="Arial" w:cs="Arial" w:eastAsia="Arial" w:hAnsi="Arial"/>
                <w:sz w:val="18"/>
                <w:szCs w:val="18"/>
                <w:color w:val="auto"/>
              </w:rPr>
              <w:t>38,872</w:t>
            </w:r>
          </w:p>
        </w:tc>
        <w:tc>
          <w:tcPr>
            <w:tcW w:w="5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33,659</w:t>
            </w:r>
          </w:p>
        </w:tc>
        <w:tc>
          <w:tcPr>
            <w:tcW w:w="60" w:type="dxa"/>
            <w:vAlign w:val="bottom"/>
          </w:tcPr>
          <w:p>
            <w:pPr>
              <w:spacing w:after="0"/>
              <w:rPr>
                <w:sz w:val="18"/>
                <w:szCs w:val="18"/>
                <w:color w:val="auto"/>
              </w:rPr>
            </w:pPr>
          </w:p>
        </w:tc>
      </w:tr>
      <w:tr>
        <w:trPr>
          <w:trHeight w:val="216"/>
        </w:trPr>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105,091</w:t>
            </w:r>
          </w:p>
        </w:tc>
        <w:tc>
          <w:tcPr>
            <w:tcW w:w="60" w:type="dxa"/>
            <w:vAlign w:val="bottom"/>
            <w:shd w:val="clear" w:color="auto" w:fill="CCEEFF"/>
          </w:tcPr>
          <w:p>
            <w:pPr>
              <w:spacing w:after="0"/>
              <w:rPr>
                <w:sz w:val="18"/>
                <w:szCs w:val="18"/>
                <w:color w:val="auto"/>
              </w:rPr>
            </w:pPr>
          </w:p>
        </w:tc>
      </w:tr>
      <w:tr>
        <w:trPr>
          <w:trHeight w:val="216"/>
        </w:trPr>
        <w:tc>
          <w:tcPr>
            <w:tcW w:w="8400" w:type="dxa"/>
            <w:vAlign w:val="bottom"/>
          </w:tcPr>
          <w:p>
            <w:pPr>
              <w:spacing w:after="0"/>
              <w:rPr>
                <w:sz w:val="20"/>
                <w:szCs w:val="20"/>
                <w:color w:val="auto"/>
              </w:rPr>
            </w:pPr>
            <w:r>
              <w:rPr>
                <w:rFonts w:ascii="Arial" w:cs="Arial" w:eastAsia="Arial" w:hAnsi="Arial"/>
                <w:sz w:val="18"/>
                <w:szCs w:val="18"/>
                <w:color w:val="auto"/>
              </w:rPr>
              <w:t>Building improvements</w:t>
            </w:r>
          </w:p>
        </w:tc>
        <w:tc>
          <w:tcPr>
            <w:tcW w:w="720" w:type="dxa"/>
            <w:vAlign w:val="bottom"/>
          </w:tcPr>
          <w:p>
            <w:pPr>
              <w:jc w:val="right"/>
              <w:spacing w:after="0"/>
              <w:rPr>
                <w:sz w:val="20"/>
                <w:szCs w:val="20"/>
                <w:color w:val="auto"/>
              </w:rPr>
            </w:pPr>
            <w:r>
              <w:rPr>
                <w:rFonts w:ascii="Arial" w:cs="Arial" w:eastAsia="Arial" w:hAnsi="Arial"/>
                <w:sz w:val="18"/>
                <w:szCs w:val="18"/>
                <w:color w:val="auto"/>
              </w:rPr>
              <w:t>45,329</w:t>
            </w:r>
          </w:p>
        </w:tc>
        <w:tc>
          <w:tcPr>
            <w:tcW w:w="5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44,340</w:t>
            </w:r>
          </w:p>
        </w:tc>
        <w:tc>
          <w:tcPr>
            <w:tcW w:w="60" w:type="dxa"/>
            <w:vAlign w:val="bottom"/>
          </w:tcPr>
          <w:p>
            <w:pPr>
              <w:spacing w:after="0"/>
              <w:rPr>
                <w:sz w:val="18"/>
                <w:szCs w:val="18"/>
                <w:color w:val="auto"/>
              </w:rPr>
            </w:pPr>
          </w:p>
        </w:tc>
      </w:tr>
      <w:tr>
        <w:trPr>
          <w:trHeight w:val="216"/>
        </w:trPr>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61,096</w:t>
            </w:r>
          </w:p>
        </w:tc>
        <w:tc>
          <w:tcPr>
            <w:tcW w:w="60" w:type="dxa"/>
            <w:vAlign w:val="bottom"/>
            <w:shd w:val="clear" w:color="auto" w:fill="CCEEFF"/>
          </w:tcPr>
          <w:p>
            <w:pPr>
              <w:spacing w:after="0"/>
              <w:rPr>
                <w:sz w:val="18"/>
                <w:szCs w:val="18"/>
                <w:color w:val="auto"/>
              </w:rPr>
            </w:pPr>
          </w:p>
        </w:tc>
      </w:tr>
      <w:tr>
        <w:trPr>
          <w:trHeight w:val="223"/>
        </w:trPr>
        <w:tc>
          <w:tcPr>
            <w:tcW w:w="840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2,483</w:t>
            </w:r>
          </w:p>
        </w:tc>
        <w:tc>
          <w:tcPr>
            <w:tcW w:w="58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32,287</w:t>
            </w:r>
          </w:p>
        </w:tc>
        <w:tc>
          <w:tcPr>
            <w:tcW w:w="60" w:type="dxa"/>
            <w:vAlign w:val="bottom"/>
          </w:tcPr>
          <w:p>
            <w:pPr>
              <w:spacing w:after="0"/>
              <w:rPr>
                <w:sz w:val="19"/>
                <w:szCs w:val="19"/>
                <w:color w:val="auto"/>
              </w:rPr>
            </w:pPr>
          </w:p>
        </w:tc>
      </w:tr>
      <w:tr>
        <w:trPr>
          <w:trHeight w:val="216"/>
        </w:trPr>
        <w:tc>
          <w:tcPr>
            <w:tcW w:w="84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747,424</w:t>
            </w: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687,309</w:t>
            </w:r>
          </w:p>
        </w:tc>
        <w:tc>
          <w:tcPr>
            <w:tcW w:w="60" w:type="dxa"/>
            <w:vAlign w:val="bottom"/>
            <w:shd w:val="clear" w:color="auto" w:fill="CCEEFF"/>
          </w:tcPr>
          <w:p>
            <w:pPr>
              <w:spacing w:after="0"/>
              <w:rPr>
                <w:sz w:val="18"/>
                <w:szCs w:val="18"/>
                <w:color w:val="auto"/>
              </w:rPr>
            </w:pPr>
          </w:p>
        </w:tc>
      </w:tr>
      <w:tr>
        <w:trPr>
          <w:trHeight w:val="223"/>
        </w:trPr>
        <w:tc>
          <w:tcPr>
            <w:tcW w:w="840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1300" w:type="dxa"/>
            <w:vAlign w:val="bottom"/>
            <w:gridSpan w:val="2"/>
          </w:tcPr>
          <w:p>
            <w:pPr>
              <w:jc w:val="right"/>
              <w:ind w:right="520"/>
              <w:spacing w:after="0"/>
              <w:rPr>
                <w:sz w:val="20"/>
                <w:szCs w:val="20"/>
                <w:color w:val="auto"/>
              </w:rPr>
            </w:pPr>
            <w:r>
              <w:rPr>
                <w:rFonts w:ascii="Arial" w:cs="Arial" w:eastAsia="Arial" w:hAnsi="Arial"/>
                <w:sz w:val="18"/>
                <w:szCs w:val="18"/>
                <w:color w:val="auto"/>
                <w:w w:val="98"/>
              </w:rPr>
              <w:t>(356,571)</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(271,068)</w:t>
            </w:r>
          </w:p>
        </w:tc>
      </w:tr>
      <w:tr>
        <w:trPr>
          <w:trHeight w:val="216"/>
        </w:trPr>
        <w:tc>
          <w:tcPr>
            <w:tcW w:w="8400" w:type="dxa"/>
            <w:vAlign w:val="bottom"/>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$ 390,853</w:t>
            </w:r>
          </w:p>
        </w:tc>
        <w:tc>
          <w:tcPr>
            <w:tcW w:w="58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$ 416,241</w:t>
            </w:r>
          </w:p>
        </w:tc>
        <w:tc>
          <w:tcPr>
            <w:tcW w:w="60" w:type="dxa"/>
            <w:vAlign w:val="bottom"/>
            <w:shd w:val="clear" w:color="auto" w:fill="CCEEFF"/>
          </w:tcPr>
          <w:p>
            <w:pPr>
              <w:spacing w:after="0"/>
              <w:rPr>
                <w:sz w:val="18"/>
                <w:szCs w:val="18"/>
                <w:color w:val="auto"/>
              </w:rPr>
            </w:pPr>
          </w:p>
        </w:tc>
      </w:tr>
      <w:tr>
        <w:trPr>
          <w:trHeight w:val="20"/>
        </w:trPr>
        <w:tc>
          <w:tcPr>
            <w:tcW w:w="84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recorded depreciation expense of $95.5 million, $93.7 million and $70.8 million for fiscal 2009, 2008 and 2007, respectively. Property and equipment included $7.0 million and $9.1 million of assets acquired under capital lease at January 31, 2009 and February 2, 2008, respectively. Accumulated depreciation related to these assets was $3.6 million and $3.2 million at January 31, 2009 and February 2, 2008, respectively.</w:t>
      </w:r>
    </w:p>
    <w:p>
      <w:pPr>
        <w:spacing w:after="0" w:line="18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Other noncurrent assets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26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76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90"/>
              </w:rPr>
              <w:t>January 31,</w:t>
            </w:r>
          </w:p>
        </w:tc>
        <w:tc>
          <w:tcPr>
            <w:tcW w:w="500" w:type="dxa"/>
            <w:vAlign w:val="bottom"/>
          </w:tcPr>
          <w:p>
            <w:pPr>
              <w:spacing w:after="0"/>
              <w:rPr>
                <w:sz w:val="14"/>
                <w:szCs w:val="14"/>
                <w:color w:val="auto"/>
              </w:rPr>
            </w:pPr>
          </w:p>
        </w:tc>
        <w:tc>
          <w:tcPr>
            <w:tcW w:w="780" w:type="dxa"/>
            <w:vAlign w:val="bottom"/>
            <w:gridSpan w:val="4"/>
          </w:tcPr>
          <w:p>
            <w:pPr>
              <w:ind w:left="40"/>
              <w:spacing w:after="0"/>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61"/>
        </w:trPr>
        <w:tc>
          <w:tcPr>
            <w:tcW w:w="426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rPr>
              <w:t>2009</w:t>
            </w:r>
          </w:p>
        </w:tc>
        <w:tc>
          <w:tcPr>
            <w:tcW w:w="60" w:type="dxa"/>
            <w:vAlign w:val="bottom"/>
            <w:tcBorders>
              <w:bottom w:val="single" w:sz="8" w:color="auto"/>
            </w:tcBorders>
          </w:tcPr>
          <w:p>
            <w:pPr>
              <w:spacing w:after="0"/>
              <w:rPr>
                <w:sz w:val="14"/>
                <w:szCs w:val="14"/>
                <w:color w:val="auto"/>
              </w:rPr>
            </w:pPr>
          </w:p>
        </w:tc>
        <w:tc>
          <w:tcPr>
            <w:tcW w:w="5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Long-term prepayments for foundry capacity</w:t>
            </w:r>
          </w:p>
        </w:tc>
        <w:tc>
          <w:tcPr>
            <w:tcW w:w="4380" w:type="dxa"/>
            <w:vAlign w:val="bottom"/>
            <w:gridSpan w:val="2"/>
            <w:shd w:val="clear" w:color="auto" w:fill="CCEEFF"/>
          </w:tcPr>
          <w:p>
            <w:pPr>
              <w:ind w:left="42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Equity investments in privately held companies</w:t>
            </w:r>
          </w:p>
        </w:tc>
        <w:tc>
          <w:tcPr>
            <w:tcW w:w="4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7,058</w:t>
            </w: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7,058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4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43,121</w:t>
            </w:r>
          </w:p>
        </w:tc>
        <w:tc>
          <w:tcPr>
            <w:tcW w:w="5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50,235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Technology licenses</w:t>
            </w:r>
          </w:p>
        </w:tc>
        <w:tc>
          <w:tcPr>
            <w:tcW w:w="4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24,108</w:t>
            </w: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25,209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4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41,575</w:t>
            </w:r>
          </w:p>
        </w:tc>
        <w:tc>
          <w:tcPr>
            <w:tcW w:w="5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260" w:type="dxa"/>
            <w:vAlign w:val="bottom"/>
          </w:tcPr>
          <w:p>
            <w:pPr>
              <w:spacing w:after="0"/>
              <w:rPr>
                <w:sz w:val="20"/>
                <w:szCs w:val="20"/>
                <w:color w:val="auto"/>
              </w:rPr>
            </w:pPr>
            <w:r>
              <w:rPr>
                <w:rFonts w:ascii="Arial" w:cs="Arial" w:eastAsia="Arial" w:hAnsi="Arial"/>
                <w:sz w:val="18"/>
                <w:szCs w:val="18"/>
                <w:color w:val="auto"/>
              </w:rPr>
              <w:t>Other</w:t>
            </w:r>
          </w:p>
        </w:tc>
        <w:tc>
          <w:tcPr>
            <w:tcW w:w="42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13,665</w:t>
            </w:r>
          </w:p>
        </w:tc>
        <w:tc>
          <w:tcPr>
            <w:tcW w:w="500" w:type="dxa"/>
            <w:vAlign w:val="bottom"/>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28,830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18"/>
                <w:szCs w:val="18"/>
                <w:color w:val="auto"/>
              </w:rPr>
            </w:pPr>
          </w:p>
        </w:tc>
        <w:tc>
          <w:tcPr>
            <w:tcW w:w="49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$ 138,327</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157,107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60" w:type="dxa"/>
            <w:vAlign w:val="bottom"/>
            <w:vMerge w:val="restart"/>
          </w:tcPr>
          <w:p>
            <w:pPr>
              <w:spacing w:after="0"/>
              <w:rPr>
                <w:sz w:val="20"/>
                <w:szCs w:val="20"/>
                <w:color w:val="auto"/>
              </w:rPr>
            </w:pPr>
            <w:r>
              <w:rPr>
                <w:rFonts w:ascii="Arial" w:cs="Arial" w:eastAsia="Arial" w:hAnsi="Arial"/>
                <w:sz w:val="18"/>
                <w:szCs w:val="18"/>
                <w:b w:val="1"/>
                <w:bCs w:val="1"/>
                <w:color w:val="auto"/>
              </w:rPr>
              <w:t>Accrued liabilities</w:t>
            </w:r>
          </w:p>
        </w:tc>
        <w:tc>
          <w:tcPr>
            <w:tcW w:w="42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260" w:type="dxa"/>
            <w:vAlign w:val="bottom"/>
            <w:vMerge w:val="continue"/>
          </w:tcPr>
          <w:p>
            <w:pPr>
              <w:spacing w:after="0"/>
              <w:rPr>
                <w:sz w:val="24"/>
                <w:szCs w:val="24"/>
                <w:color w:val="auto"/>
              </w:rPr>
            </w:pPr>
          </w:p>
        </w:tc>
        <w:tc>
          <w:tcPr>
            <w:tcW w:w="4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260" w:type="dxa"/>
            <w:vAlign w:val="bottom"/>
          </w:tcPr>
          <w:p>
            <w:pPr>
              <w:spacing w:after="0"/>
              <w:rPr>
                <w:sz w:val="24"/>
                <w:szCs w:val="24"/>
                <w:color w:val="auto"/>
              </w:rPr>
            </w:pPr>
          </w:p>
        </w:tc>
        <w:tc>
          <w:tcPr>
            <w:tcW w:w="4220" w:type="dxa"/>
            <w:vAlign w:val="bottom"/>
          </w:tcPr>
          <w:p>
            <w:pPr>
              <w:spacing w:after="0"/>
              <w:rPr>
                <w:sz w:val="24"/>
                <w:szCs w:val="24"/>
                <w:color w:val="auto"/>
              </w:rPr>
            </w:pPr>
          </w:p>
        </w:tc>
        <w:tc>
          <w:tcPr>
            <w:tcW w:w="76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January 31,</w:t>
            </w: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20" w:type="dxa"/>
            <w:vAlign w:val="bottom"/>
            <w:gridSpan w:val="3"/>
          </w:tcPr>
          <w:p>
            <w:pPr>
              <w:spacing w:after="0"/>
              <w:rPr>
                <w:sz w:val="20"/>
                <w:szCs w:val="20"/>
                <w:color w:val="auto"/>
              </w:rPr>
            </w:pPr>
            <w:r>
              <w:rPr>
                <w:rFonts w:ascii="Arial" w:cs="Arial" w:eastAsia="Arial" w:hAnsi="Arial"/>
                <w:sz w:val="14"/>
                <w:szCs w:val="14"/>
                <w:b w:val="1"/>
                <w:bCs w:val="1"/>
                <w:color w:val="auto"/>
                <w:w w:val="92"/>
              </w:rPr>
              <w:t>February 2,</w:t>
            </w:r>
          </w:p>
        </w:tc>
        <w:tc>
          <w:tcPr>
            <w:tcW w:w="0" w:type="dxa"/>
            <w:vAlign w:val="bottom"/>
          </w:tcPr>
          <w:p>
            <w:pPr>
              <w:spacing w:after="0"/>
              <w:rPr>
                <w:sz w:val="1"/>
                <w:szCs w:val="1"/>
                <w:color w:val="auto"/>
              </w:rPr>
            </w:pPr>
          </w:p>
        </w:tc>
      </w:tr>
      <w:tr>
        <w:trPr>
          <w:trHeight w:val="161"/>
        </w:trPr>
        <w:tc>
          <w:tcPr>
            <w:tcW w:w="426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2009</w:t>
            </w:r>
          </w:p>
        </w:tc>
        <w:tc>
          <w:tcPr>
            <w:tcW w:w="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 current portion</w:t>
            </w:r>
          </w:p>
        </w:tc>
        <w:tc>
          <w:tcPr>
            <w:tcW w:w="4380" w:type="dxa"/>
            <w:vAlign w:val="bottom"/>
            <w:gridSpan w:val="2"/>
            <w:shd w:val="clear" w:color="auto" w:fill="CCEEFF"/>
          </w:tcPr>
          <w:p>
            <w:pPr>
              <w:ind w:left="42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Accrued royalties</w:t>
            </w:r>
          </w:p>
        </w:tc>
        <w:tc>
          <w:tcPr>
            <w:tcW w:w="4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5,660</w:t>
            </w:r>
          </w:p>
        </w:tc>
        <w:tc>
          <w:tcPr>
            <w:tcW w:w="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8,859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4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28,925</w:t>
            </w:r>
          </w:p>
        </w:tc>
        <w:tc>
          <w:tcPr>
            <w:tcW w:w="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22,756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Accrued legal and professional services</w:t>
            </w:r>
          </w:p>
        </w:tc>
        <w:tc>
          <w:tcPr>
            <w:tcW w:w="4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25,719</w:t>
            </w:r>
          </w:p>
        </w:tc>
        <w:tc>
          <w:tcPr>
            <w:tcW w:w="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9,380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Accrued contingent consideration</w:t>
            </w:r>
          </w:p>
        </w:tc>
        <w:tc>
          <w:tcPr>
            <w:tcW w:w="4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260" w:type="dxa"/>
            <w:vAlign w:val="bottom"/>
          </w:tcPr>
          <w:p>
            <w:pPr>
              <w:spacing w:after="0"/>
              <w:rPr>
                <w:sz w:val="20"/>
                <w:szCs w:val="20"/>
                <w:color w:val="auto"/>
              </w:rPr>
            </w:pPr>
            <w:r>
              <w:rPr>
                <w:rFonts w:ascii="Arial" w:cs="Arial" w:eastAsia="Arial" w:hAnsi="Arial"/>
                <w:sz w:val="18"/>
                <w:szCs w:val="18"/>
                <w:color w:val="auto"/>
              </w:rPr>
              <w:t>Other</w:t>
            </w:r>
          </w:p>
        </w:tc>
        <w:tc>
          <w:tcPr>
            <w:tcW w:w="42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22,809</w:t>
            </w:r>
          </w:p>
        </w:tc>
        <w:tc>
          <w:tcPr>
            <w:tcW w:w="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50,966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18"/>
                <w:szCs w:val="18"/>
                <w:color w:val="auto"/>
              </w:rPr>
            </w:pPr>
          </w:p>
        </w:tc>
        <w:tc>
          <w:tcPr>
            <w:tcW w:w="4380" w:type="dxa"/>
            <w:vAlign w:val="bottom"/>
            <w:gridSpan w:val="2"/>
            <w:shd w:val="clear" w:color="auto" w:fill="CCEEFF"/>
          </w:tcPr>
          <w:p>
            <w:pPr>
              <w:ind w:left="42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83,113</w:t>
            </w:r>
          </w:p>
        </w:tc>
        <w:tc>
          <w:tcPr>
            <w:tcW w:w="60" w:type="dxa"/>
            <w:vAlign w:val="bottom"/>
            <w:shd w:val="clear" w:color="auto" w:fill="CCEEFF"/>
          </w:tcPr>
          <w:p>
            <w:pPr>
              <w:spacing w:after="0"/>
              <w:rPr>
                <w:sz w:val="18"/>
                <w:szCs w:val="18"/>
                <w:color w:val="auto"/>
              </w:rPr>
            </w:pPr>
          </w:p>
        </w:tc>
        <w:tc>
          <w:tcPr>
            <w:tcW w:w="12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$ 122,961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60" w:type="dxa"/>
            <w:vAlign w:val="bottom"/>
          </w:tcPr>
          <w:p>
            <w:pPr>
              <w:spacing w:after="0" w:line="20" w:lineRule="exact"/>
              <w:rPr>
                <w:sz w:val="1"/>
                <w:szCs w:val="1"/>
                <w:color w:val="auto"/>
              </w:rPr>
            </w:pPr>
          </w:p>
        </w:tc>
        <w:tc>
          <w:tcPr>
            <w:tcW w:w="4220" w:type="dxa"/>
            <w:vAlign w:val="bottom"/>
            <w:vMerge w:val="restart"/>
          </w:tcPr>
          <w:p>
            <w:pPr>
              <w:jc w:val="right"/>
              <w:ind w:right="3052"/>
              <w:spacing w:after="0"/>
              <w:rPr>
                <w:sz w:val="20"/>
                <w:szCs w:val="20"/>
                <w:color w:val="auto"/>
              </w:rPr>
            </w:pPr>
            <w:r>
              <w:rPr>
                <w:rFonts w:ascii="Arial" w:cs="Arial" w:eastAsia="Arial" w:hAnsi="Arial"/>
                <w:sz w:val="18"/>
                <w:szCs w:val="18"/>
                <w:color w:val="auto"/>
              </w:rPr>
              <w:t>92</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260" w:type="dxa"/>
            <w:vAlign w:val="bottom"/>
          </w:tcPr>
          <w:p>
            <w:pPr>
              <w:spacing w:after="0"/>
              <w:rPr>
                <w:sz w:val="24"/>
                <w:szCs w:val="24"/>
                <w:color w:val="auto"/>
              </w:rPr>
            </w:pPr>
          </w:p>
        </w:tc>
        <w:tc>
          <w:tcPr>
            <w:tcW w:w="422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60"/>
          </w:cols>
          <w:pgMar w:left="240" w:top="459" w:right="39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Other long-term liabilities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50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w w:val="88"/>
              </w:rPr>
              <w:t>January 31,</w:t>
            </w:r>
          </w:p>
        </w:tc>
        <w:tc>
          <w:tcPr>
            <w:tcW w:w="62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90"/>
              </w:rPr>
              <w:t>February 2,</w:t>
            </w:r>
          </w:p>
        </w:tc>
      </w:tr>
      <w:tr>
        <w:trPr>
          <w:trHeight w:val="161"/>
        </w:trPr>
        <w:tc>
          <w:tcPr>
            <w:tcW w:w="85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2009</w:t>
            </w:r>
          </w:p>
        </w:tc>
        <w:tc>
          <w:tcPr>
            <w:tcW w:w="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r>
      <w:tr>
        <w:trPr>
          <w:trHeight w:val="210"/>
        </w:trPr>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46,716</w:t>
            </w:r>
          </w:p>
        </w:tc>
        <w:tc>
          <w:tcPr>
            <w:tcW w:w="76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49,819</w:t>
            </w:r>
          </w:p>
        </w:tc>
        <w:tc>
          <w:tcPr>
            <w:tcW w:w="20" w:type="dxa"/>
            <w:vAlign w:val="bottom"/>
          </w:tcPr>
          <w:p>
            <w:pPr>
              <w:spacing w:after="0"/>
              <w:rPr>
                <w:sz w:val="18"/>
                <w:szCs w:val="18"/>
                <w:color w:val="auto"/>
              </w:rPr>
            </w:pPr>
          </w:p>
        </w:tc>
      </w:tr>
      <w:tr>
        <w:trPr>
          <w:trHeight w:val="216"/>
        </w:trPr>
        <w:tc>
          <w:tcPr>
            <w:tcW w:w="850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2,246</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1,326</w:t>
            </w:r>
          </w:p>
        </w:tc>
        <w:tc>
          <w:tcPr>
            <w:tcW w:w="20" w:type="dxa"/>
            <w:vAlign w:val="bottom"/>
          </w:tcPr>
          <w:p>
            <w:pPr>
              <w:spacing w:after="0"/>
              <w:rPr>
                <w:sz w:val="18"/>
                <w:szCs w:val="18"/>
                <w:color w:val="auto"/>
              </w:rPr>
            </w:pPr>
          </w:p>
        </w:tc>
      </w:tr>
      <w:tr>
        <w:trPr>
          <w:trHeight w:val="216"/>
        </w:trPr>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4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6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1,187</w:t>
            </w:r>
          </w:p>
        </w:tc>
        <w:tc>
          <w:tcPr>
            <w:tcW w:w="20" w:type="dxa"/>
            <w:vAlign w:val="bottom"/>
          </w:tcPr>
          <w:p>
            <w:pPr>
              <w:spacing w:after="0"/>
              <w:rPr>
                <w:sz w:val="18"/>
                <w:szCs w:val="18"/>
                <w:color w:val="auto"/>
              </w:rPr>
            </w:pPr>
          </w:p>
        </w:tc>
      </w:tr>
      <w:tr>
        <w:trPr>
          <w:trHeight w:val="222"/>
        </w:trPr>
        <w:tc>
          <w:tcPr>
            <w:tcW w:w="85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49,655</w:t>
            </w:r>
          </w:p>
        </w:tc>
        <w:tc>
          <w:tcPr>
            <w:tcW w:w="760" w:type="dxa"/>
            <w:vAlign w:val="bottom"/>
            <w:gridSpan w:val="2"/>
          </w:tcPr>
          <w:p>
            <w:pPr>
              <w:ind w:left="62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52,332</w:t>
            </w:r>
          </w:p>
        </w:tc>
      </w:tr>
      <w:tr>
        <w:trPr>
          <w:trHeight w:val="20"/>
        </w:trPr>
        <w:tc>
          <w:tcPr>
            <w:tcW w:w="85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computations of basic and diluted net income per share are presented in the following table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jc w:val="right"/>
              <w:ind w:right="400"/>
              <w:spacing w:after="0"/>
              <w:rPr>
                <w:sz w:val="20"/>
                <w:szCs w:val="20"/>
                <w:color w:val="auto"/>
              </w:rPr>
            </w:pPr>
            <w:r>
              <w:rPr>
                <w:rFonts w:ascii="Arial" w:cs="Arial" w:eastAsia="Arial" w:hAnsi="Arial"/>
                <w:sz w:val="14"/>
                <w:szCs w:val="14"/>
                <w:b w:val="1"/>
                <w:bCs w:val="1"/>
                <w:color w:val="auto"/>
                <w:w w:val="93"/>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420" w:type="dxa"/>
            <w:vAlign w:val="bottom"/>
          </w:tcPr>
          <w:p>
            <w:pPr>
              <w:spacing w:after="0"/>
              <w:rPr>
                <w:sz w:val="11"/>
                <w:szCs w:val="11"/>
                <w:color w:val="auto"/>
              </w:rPr>
            </w:pPr>
          </w:p>
        </w:tc>
        <w:tc>
          <w:tcPr>
            <w:tcW w:w="8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80" w:type="dxa"/>
            <w:vAlign w:val="bottom"/>
          </w:tcPr>
          <w:p>
            <w:pPr>
              <w:spacing w:after="0"/>
              <w:rPr>
                <w:sz w:val="11"/>
                <w:szCs w:val="11"/>
                <w:color w:val="auto"/>
              </w:rPr>
            </w:pPr>
          </w:p>
        </w:tc>
        <w:tc>
          <w:tcPr>
            <w:tcW w:w="1140" w:type="dxa"/>
            <w:vAlign w:val="bottom"/>
            <w:gridSpan w:val="3"/>
          </w:tcPr>
          <w:p>
            <w:pPr>
              <w:jc w:val="right"/>
              <w:ind w:right="440"/>
              <w:spacing w:after="0" w:line="129" w:lineRule="exact"/>
              <w:rPr>
                <w:sz w:val="20"/>
                <w:szCs w:val="20"/>
                <w:color w:val="auto"/>
              </w:rPr>
            </w:pPr>
            <w:r>
              <w:rPr>
                <w:rFonts w:ascii="Arial" w:cs="Arial" w:eastAsia="Arial" w:hAnsi="Arial"/>
                <w:sz w:val="14"/>
                <w:szCs w:val="14"/>
                <w:b w:val="1"/>
                <w:bCs w:val="1"/>
                <w:color w:val="auto"/>
                <w:w w:val="90"/>
              </w:rPr>
              <w:t>February 2,</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27,</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2007</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Income (loss) before change in accounting principle</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w w:val="89"/>
              </w:rPr>
              <w:t>147,242</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w w:val="88"/>
              </w:rPr>
              <w:t>(114,427)</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w w:val="95"/>
              </w:rPr>
              <w:t>(20,941)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9"/>
              </w:rPr>
              <w:t>147,242</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8"/>
              </w:rPr>
              <w:t>(114,427)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5"/>
              </w:rPr>
              <w:t>(12,095)</w:t>
            </w:r>
          </w:p>
        </w:tc>
        <w:tc>
          <w:tcPr>
            <w:tcW w:w="0" w:type="dxa"/>
            <w:vAlign w:val="bottom"/>
          </w:tcPr>
          <w:p>
            <w:pPr>
              <w:spacing w:after="0"/>
              <w:rPr>
                <w:sz w:val="1"/>
                <w:szCs w:val="1"/>
                <w:color w:val="auto"/>
              </w:rPr>
            </w:pPr>
          </w:p>
        </w:tc>
      </w:tr>
      <w:tr>
        <w:trPr>
          <w:trHeight w:val="20"/>
        </w:trPr>
        <w:tc>
          <w:tcPr>
            <w:tcW w:w="8440" w:type="dxa"/>
            <w:vAlign w:val="bottom"/>
            <w:gridSpan w:val="2"/>
            <w:vMerge w:val="restart"/>
          </w:tcPr>
          <w:p>
            <w:pPr>
              <w:spacing w:after="0"/>
              <w:rPr>
                <w:sz w:val="20"/>
                <w:szCs w:val="20"/>
                <w:color w:val="auto"/>
              </w:rPr>
            </w:pPr>
            <w:r>
              <w:rPr>
                <w:rFonts w:ascii="Arial" w:cs="Arial" w:eastAsia="Arial" w:hAnsi="Arial"/>
                <w:sz w:val="18"/>
                <w:szCs w:val="18"/>
                <w:color w:val="auto"/>
              </w:rPr>
              <w:t>Denominator:</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844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9"/>
              </w:rPr>
              <w:t>608,747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590,308</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9"/>
              </w:rPr>
              <w:t>586,152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Less: unvested common shares subject to repurchase</w:t>
            </w: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9"/>
              </w:rPr>
              <w:t>608,747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590,308</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9"/>
              </w:rPr>
              <w:t>586,152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Effect of dilutive securities — Warrants</w:t>
            </w:r>
          </w:p>
        </w:tc>
        <w:tc>
          <w:tcPr>
            <w:tcW w:w="100" w:type="dxa"/>
            <w:vAlign w:val="bottom"/>
          </w:tcPr>
          <w:p>
            <w:pPr>
              <w:spacing w:after="0"/>
              <w:rPr>
                <w:sz w:val="18"/>
                <w:szCs w:val="18"/>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315</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6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Common share options, restricted stock units and other</w:t>
            </w: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21,266</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440" w:type="dxa"/>
            <w:vAlign w:val="bottom"/>
            <w:gridSpan w:val="2"/>
          </w:tcPr>
          <w:p>
            <w:pPr>
              <w:spacing w:after="0"/>
              <w:rPr>
                <w:sz w:val="20"/>
                <w:szCs w:val="20"/>
                <w:color w:val="auto"/>
              </w:rPr>
            </w:pPr>
            <w:r>
              <w:rPr>
                <w:rFonts w:ascii="Arial" w:cs="Arial" w:eastAsia="Arial" w:hAnsi="Arial"/>
                <w:sz w:val="18"/>
                <w:szCs w:val="18"/>
                <w:color w:val="auto"/>
              </w:rPr>
              <w:t>Weighted average shares — diluted</w:t>
            </w:r>
          </w:p>
        </w:tc>
        <w:tc>
          <w:tcPr>
            <w:tcW w:w="100" w:type="dxa"/>
            <w:vAlign w:val="bottom"/>
          </w:tcPr>
          <w:p>
            <w:pPr>
              <w:spacing w:after="0"/>
              <w:rPr>
                <w:sz w:val="20"/>
                <w:szCs w:val="20"/>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w w:val="89"/>
              </w:rPr>
              <w:t>630,328</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590,308</w:t>
            </w:r>
          </w:p>
        </w:tc>
        <w:tc>
          <w:tcPr>
            <w:tcW w:w="120" w:type="dxa"/>
            <w:vAlign w:val="bottom"/>
          </w:tcPr>
          <w:p>
            <w:pPr>
              <w:spacing w:after="0"/>
              <w:rPr>
                <w:sz w:val="20"/>
                <w:szCs w:val="20"/>
                <w:color w:val="auto"/>
              </w:rPr>
            </w:pPr>
          </w:p>
        </w:tc>
        <w:tc>
          <w:tcPr>
            <w:tcW w:w="680" w:type="dxa"/>
            <w:vAlign w:val="bottom"/>
            <w:gridSpan w:val="2"/>
          </w:tcPr>
          <w:p>
            <w:pPr>
              <w:jc w:val="right"/>
              <w:ind w:right="80"/>
              <w:spacing w:after="0"/>
              <w:rPr>
                <w:sz w:val="20"/>
                <w:szCs w:val="20"/>
                <w:color w:val="auto"/>
              </w:rPr>
            </w:pPr>
            <w:r>
              <w:rPr>
                <w:rFonts w:ascii="Arial" w:cs="Arial" w:eastAsia="Arial" w:hAnsi="Arial"/>
                <w:sz w:val="18"/>
                <w:szCs w:val="18"/>
                <w:color w:val="auto"/>
                <w:w w:val="89"/>
              </w:rPr>
              <w:t>586,152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change in accounting principle</w:t>
            </w:r>
          </w:p>
        </w:tc>
        <w:tc>
          <w:tcPr>
            <w:tcW w:w="10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Basic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0.24</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(0.19)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0.23</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(0.19)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0.24</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(0.19)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Diluted</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0.23</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(0.19)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anti-dilutive effects of warrants, common share options, restricted stock and other securities totaling 64,509,371 shares were excluded from diluted net loss per share for fiscal 2009.</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anti-dilutive effects of warrants, common share options, restricted stock and other securities totaling 38,745,678 shares were excluded from diluted net loss per share for fiscal 2008.</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anti-dilutive effects of warrants, common share options, restricted stock and other securities totaling 46,869,920 shares were excluded from diluted net loss per share for fiscal 2007.</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Fair Value Measurements: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Effective February 3, 2008, the Company adopted SFAS 157, except as it applies to the nonfinancial assets and nonfinancial liabilities subject to FSP 157-</w:t>
      </w:r>
    </w:p>
    <w:p>
      <w:pPr>
        <w:spacing w:after="0" w:line="38" w:lineRule="exact"/>
        <w:rPr>
          <w:sz w:val="20"/>
          <w:szCs w:val="20"/>
          <w:color w:val="auto"/>
        </w:rPr>
      </w:pPr>
    </w:p>
    <w:p>
      <w:pPr>
        <w:ind w:right="380" w:firstLine="8"/>
        <w:spacing w:after="0" w:line="261" w:lineRule="auto"/>
        <w:tabs>
          <w:tab w:leader="none" w:pos="176" w:val="left"/>
        </w:tabs>
        <w:numPr>
          <w:ilvl w:val="0"/>
          <w:numId w:val="15"/>
        </w:numPr>
        <w:rPr>
          <w:rFonts w:ascii="Arial" w:cs="Arial" w:eastAsia="Arial" w:hAnsi="Arial"/>
          <w:sz w:val="18"/>
          <w:szCs w:val="18"/>
          <w:color w:val="auto"/>
        </w:rPr>
      </w:pPr>
      <w:r>
        <w:rPr>
          <w:rFonts w:ascii="Arial" w:cs="Arial" w:eastAsia="Arial" w:hAnsi="Arial"/>
          <w:sz w:val="18"/>
          <w:szCs w:val="18"/>
          <w:color w:val="auto"/>
        </w:rPr>
        <w:t>SFAS 157 clarifies that fair value is an exit price, representing the amount that would be received to sell an asset or paid to transfer a liability in an orderly transaction between market</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participants. As such, fair value is a market-based measurement that should be determined based on assumptions that market participants would use in pricing an asset or a liability. As a basis for considering such assumptions, SFAS 157 establishes a three-tier value hierarchy, which prioritizes the inputs used in the valuation methodologies in measuring fair value:</w:t>
      </w:r>
    </w:p>
    <w:p>
      <w:pPr>
        <w:spacing w:after="0" w:line="59"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In accordance with SFAS 157, the Company measures its cash equivalents and marketable securities at fair value. Our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(see Note 3 above). Some of the inputs to the cash flow model are unobservable in the market. The total amount of assets measured using Level 3 valuation methodologies represented 0.9% of total assets as of January 31, 2009.</w:t>
      </w:r>
    </w:p>
    <w:p>
      <w:pPr>
        <w:spacing w:after="0" w:line="118"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table below sets forth, by level, the Company’s financial assets that were accounted for at fair value as of January 31, 2009. The table does not include assets and liabilities which are measured at historical cost or any basis other than fair value (in thousands):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jc w:val="center"/>
              <w:ind w:right="4"/>
              <w:spacing w:after="0"/>
              <w:rPr>
                <w:sz w:val="20"/>
                <w:szCs w:val="20"/>
                <w:color w:val="auto"/>
              </w:rPr>
            </w:pPr>
            <w:r>
              <w:rPr>
                <w:rFonts w:ascii="Arial" w:cs="Arial" w:eastAsia="Arial" w:hAnsi="Arial"/>
                <w:sz w:val="14"/>
                <w:szCs w:val="14"/>
                <w:b w:val="1"/>
                <w:bCs w:val="1"/>
                <w:color w:val="auto"/>
                <w:w w:val="87"/>
              </w:rPr>
              <w:t>Portion of</w:t>
            </w:r>
          </w:p>
        </w:tc>
        <w:tc>
          <w:tcPr>
            <w:tcW w:w="3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49"/>
        </w:trPr>
        <w:tc>
          <w:tcPr>
            <w:tcW w:w="78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jc w:val="center"/>
              <w:ind w:right="4"/>
              <w:spacing w:after="0" w:line="149" w:lineRule="exact"/>
              <w:rPr>
                <w:sz w:val="20"/>
                <w:szCs w:val="20"/>
                <w:color w:val="auto"/>
              </w:rPr>
            </w:pPr>
            <w:r>
              <w:rPr>
                <w:rFonts w:ascii="Arial" w:cs="Arial" w:eastAsia="Arial" w:hAnsi="Arial"/>
                <w:sz w:val="14"/>
                <w:szCs w:val="14"/>
                <w:b w:val="1"/>
                <w:bCs w:val="1"/>
                <w:color w:val="auto"/>
                <w:w w:val="93"/>
              </w:rPr>
              <w:t>Carrying</w:t>
            </w: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40" w:type="dxa"/>
            <w:vAlign w:val="bottom"/>
          </w:tcPr>
          <w:p>
            <w:pPr>
              <w:spacing w:after="0"/>
              <w:rPr>
                <w:sz w:val="12"/>
                <w:szCs w:val="12"/>
                <w:color w:val="auto"/>
              </w:rPr>
            </w:pPr>
          </w:p>
        </w:tc>
      </w:tr>
      <w:tr>
        <w:trPr>
          <w:trHeight w:val="149"/>
        </w:trPr>
        <w:tc>
          <w:tcPr>
            <w:tcW w:w="78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jc w:val="center"/>
              <w:ind w:right="24"/>
              <w:spacing w:after="0" w:line="149" w:lineRule="exact"/>
              <w:rPr>
                <w:sz w:val="20"/>
                <w:szCs w:val="20"/>
                <w:color w:val="auto"/>
              </w:rPr>
            </w:pPr>
            <w:r>
              <w:rPr>
                <w:rFonts w:ascii="Arial" w:cs="Arial" w:eastAsia="Arial" w:hAnsi="Arial"/>
                <w:sz w:val="14"/>
                <w:szCs w:val="14"/>
                <w:b w:val="1"/>
                <w:bCs w:val="1"/>
                <w:color w:val="auto"/>
                <w:w w:val="85"/>
              </w:rPr>
              <w:t>Value</w:t>
            </w: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40" w:type="dxa"/>
            <w:vAlign w:val="bottom"/>
          </w:tcPr>
          <w:p>
            <w:pPr>
              <w:spacing w:after="0"/>
              <w:rPr>
                <w:sz w:val="12"/>
                <w:szCs w:val="12"/>
                <w:color w:val="auto"/>
              </w:rPr>
            </w:pPr>
          </w:p>
        </w:tc>
      </w:tr>
      <w:tr>
        <w:trPr>
          <w:trHeight w:val="149"/>
        </w:trPr>
        <w:tc>
          <w:tcPr>
            <w:tcW w:w="7860" w:type="dxa"/>
            <w:vAlign w:val="bottom"/>
          </w:tcPr>
          <w:p>
            <w:pPr>
              <w:spacing w:after="0"/>
              <w:rPr>
                <w:sz w:val="12"/>
                <w:szCs w:val="12"/>
                <w:color w:val="auto"/>
              </w:rPr>
            </w:pPr>
          </w:p>
        </w:tc>
        <w:tc>
          <w:tcPr>
            <w:tcW w:w="7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8"/>
              </w:rPr>
              <w:t>Measured at</w:t>
            </w: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40" w:type="dxa"/>
            <w:vAlign w:val="bottom"/>
          </w:tcPr>
          <w:p>
            <w:pPr>
              <w:spacing w:after="0"/>
              <w:rPr>
                <w:sz w:val="12"/>
                <w:szCs w:val="12"/>
                <w:color w:val="auto"/>
              </w:rPr>
            </w:pPr>
          </w:p>
        </w:tc>
      </w:tr>
      <w:tr>
        <w:trPr>
          <w:trHeight w:val="149"/>
        </w:trPr>
        <w:tc>
          <w:tcPr>
            <w:tcW w:w="7860" w:type="dxa"/>
            <w:vAlign w:val="bottom"/>
          </w:tcPr>
          <w:p>
            <w:pPr>
              <w:spacing w:after="0"/>
              <w:rPr>
                <w:sz w:val="12"/>
                <w:szCs w:val="12"/>
                <w:color w:val="auto"/>
              </w:rPr>
            </w:pPr>
          </w:p>
        </w:tc>
        <w:tc>
          <w:tcPr>
            <w:tcW w:w="7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9"/>
              </w:rPr>
              <w:t>Fair Value</w:t>
            </w: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40" w:type="dxa"/>
            <w:vAlign w:val="bottom"/>
          </w:tcPr>
          <w:p>
            <w:pPr>
              <w:spacing w:after="0"/>
              <w:rPr>
                <w:sz w:val="12"/>
                <w:szCs w:val="12"/>
                <w:color w:val="auto"/>
              </w:rPr>
            </w:pPr>
          </w:p>
        </w:tc>
      </w:tr>
      <w:tr>
        <w:trPr>
          <w:trHeight w:val="149"/>
        </w:trPr>
        <w:tc>
          <w:tcPr>
            <w:tcW w:w="7860" w:type="dxa"/>
            <w:vAlign w:val="bottom"/>
          </w:tcPr>
          <w:p>
            <w:pPr>
              <w:spacing w:after="0"/>
              <w:rPr>
                <w:sz w:val="12"/>
                <w:szCs w:val="12"/>
                <w:color w:val="auto"/>
              </w:rPr>
            </w:pPr>
          </w:p>
        </w:tc>
        <w:tc>
          <w:tcPr>
            <w:tcW w:w="7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8"/>
              </w:rPr>
              <w:t>January 31,</w:t>
            </w: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40" w:type="dxa"/>
            <w:vAlign w:val="bottom"/>
          </w:tcPr>
          <w:p>
            <w:pPr>
              <w:spacing w:after="0"/>
              <w:rPr>
                <w:sz w:val="12"/>
                <w:szCs w:val="12"/>
                <w:color w:val="auto"/>
              </w:rPr>
            </w:pPr>
          </w:p>
        </w:tc>
      </w:tr>
      <w:tr>
        <w:trPr>
          <w:trHeight w:val="161"/>
        </w:trPr>
        <w:tc>
          <w:tcPr>
            <w:tcW w:w="78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4"/>
              <w:spacing w:after="0"/>
              <w:rPr>
                <w:sz w:val="20"/>
                <w:szCs w:val="20"/>
                <w:color w:val="auto"/>
              </w:rPr>
            </w:pPr>
            <w:r>
              <w:rPr>
                <w:rFonts w:ascii="Arial" w:cs="Arial" w:eastAsia="Arial" w:hAnsi="Arial"/>
                <w:sz w:val="14"/>
                <w:szCs w:val="14"/>
                <w:b w:val="1"/>
                <w:bCs w:val="1"/>
                <w:color w:val="auto"/>
                <w:w w:val="83"/>
              </w:rPr>
              <w:t>2009</w:t>
            </w:r>
          </w:p>
        </w:tc>
        <w:tc>
          <w:tcPr>
            <w:tcW w:w="34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Level 1</w:t>
            </w:r>
          </w:p>
        </w:tc>
        <w:tc>
          <w:tcPr>
            <w:tcW w:w="340" w:type="dxa"/>
            <w:vAlign w:val="bottom"/>
          </w:tcPr>
          <w:p>
            <w:pPr>
              <w:spacing w:after="0"/>
              <w:rPr>
                <w:sz w:val="14"/>
                <w:szCs w:val="14"/>
                <w:color w:val="auto"/>
              </w:rPr>
            </w:pPr>
          </w:p>
        </w:tc>
        <w:tc>
          <w:tcPr>
            <w:tcW w:w="44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4"/>
              </w:rPr>
              <w:t>Level 2</w:t>
            </w:r>
          </w:p>
        </w:tc>
        <w:tc>
          <w:tcPr>
            <w:tcW w:w="340" w:type="dxa"/>
            <w:vAlign w:val="bottom"/>
          </w:tcPr>
          <w:p>
            <w:pPr>
              <w:spacing w:after="0"/>
              <w:rPr>
                <w:sz w:val="14"/>
                <w:szCs w:val="14"/>
                <w:color w:val="auto"/>
              </w:rPr>
            </w:pPr>
          </w:p>
        </w:tc>
        <w:tc>
          <w:tcPr>
            <w:tcW w:w="640" w:type="dxa"/>
            <w:vAlign w:val="bottom"/>
            <w:tcBorders>
              <w:bottom w:val="single" w:sz="8" w:color="auto"/>
            </w:tcBorders>
          </w:tcPr>
          <w:p>
            <w:pPr>
              <w:jc w:val="right"/>
              <w:ind w:right="22"/>
              <w:spacing w:after="0"/>
              <w:rPr>
                <w:sz w:val="20"/>
                <w:szCs w:val="20"/>
                <w:color w:val="auto"/>
              </w:rPr>
            </w:pPr>
            <w:r>
              <w:rPr>
                <w:rFonts w:ascii="Arial" w:cs="Arial" w:eastAsia="Arial" w:hAnsi="Arial"/>
                <w:sz w:val="14"/>
                <w:szCs w:val="14"/>
                <w:b w:val="1"/>
                <w:bCs w:val="1"/>
                <w:color w:val="auto"/>
              </w:rPr>
              <w:t>Level 3</w:t>
            </w:r>
          </w:p>
        </w:tc>
      </w:tr>
      <w:tr>
        <w:trPr>
          <w:trHeight w:val="210"/>
        </w:trPr>
        <w:tc>
          <w:tcPr>
            <w:tcW w:w="78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Cash equivalents:</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r>
      <w:tr>
        <w:trPr>
          <w:trHeight w:val="216"/>
        </w:trPr>
        <w:tc>
          <w:tcPr>
            <w:tcW w:w="7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Commercial paper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381,674</w:t>
            </w:r>
          </w:p>
        </w:tc>
        <w:tc>
          <w:tcPr>
            <w:tcW w:w="1040" w:type="dxa"/>
            <w:vAlign w:val="bottom"/>
            <w:gridSpan w:val="2"/>
            <w:shd w:val="clear" w:color="auto" w:fill="CCEEFF"/>
          </w:tcPr>
          <w:p>
            <w:pPr>
              <w:jc w:val="center"/>
              <w:ind w:left="252"/>
              <w:spacing w:after="0"/>
              <w:rPr>
                <w:sz w:val="20"/>
                <w:szCs w:val="20"/>
                <w:color w:val="auto"/>
              </w:rPr>
            </w:pPr>
            <w:r>
              <w:rPr>
                <w:rFonts w:ascii="Arial" w:cs="Arial" w:eastAsia="Arial" w:hAnsi="Arial"/>
                <w:sz w:val="18"/>
                <w:szCs w:val="18"/>
                <w:color w:val="auto"/>
                <w:w w:val="87"/>
              </w:rPr>
              <w:t>$ 381,674</w:t>
            </w:r>
          </w:p>
        </w:tc>
        <w:tc>
          <w:tcPr>
            <w:tcW w:w="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r>
      <w:tr>
        <w:trPr>
          <w:trHeight w:val="216"/>
        </w:trPr>
        <w:tc>
          <w:tcPr>
            <w:tcW w:w="7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0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40,541</w:t>
            </w:r>
          </w:p>
        </w:tc>
        <w:tc>
          <w:tcPr>
            <w:tcW w:w="340" w:type="dxa"/>
            <w:vAlign w:val="bottom"/>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40,541</w:t>
            </w:r>
          </w:p>
        </w:tc>
      </w:tr>
      <w:tr>
        <w:trPr>
          <w:trHeight w:val="222"/>
        </w:trPr>
        <w:tc>
          <w:tcPr>
            <w:tcW w:w="7860" w:type="dxa"/>
            <w:vAlign w:val="bottom"/>
          </w:tcPr>
          <w:p>
            <w:pPr>
              <w:spacing w:after="0"/>
              <w:rPr>
                <w:sz w:val="20"/>
                <w:szCs w:val="20"/>
                <w:color w:val="auto"/>
              </w:rPr>
            </w:pPr>
            <w:r>
              <w:rPr>
                <w:rFonts w:ascii="Arial" w:cs="Arial" w:eastAsia="Arial" w:hAnsi="Arial"/>
                <w:sz w:val="18"/>
                <w:szCs w:val="18"/>
                <w:color w:val="auto"/>
              </w:rPr>
              <w:t>Total</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422,215</w:t>
            </w:r>
          </w:p>
        </w:tc>
        <w:tc>
          <w:tcPr>
            <w:tcW w:w="1040" w:type="dxa"/>
            <w:vAlign w:val="bottom"/>
            <w:gridSpan w:val="2"/>
          </w:tcPr>
          <w:p>
            <w:pPr>
              <w:jc w:val="center"/>
              <w:ind w:left="252"/>
              <w:spacing w:after="0"/>
              <w:rPr>
                <w:sz w:val="20"/>
                <w:szCs w:val="20"/>
                <w:color w:val="auto"/>
              </w:rPr>
            </w:pPr>
            <w:r>
              <w:rPr>
                <w:rFonts w:ascii="Arial" w:cs="Arial" w:eastAsia="Arial" w:hAnsi="Arial"/>
                <w:sz w:val="18"/>
                <w:szCs w:val="18"/>
                <w:color w:val="auto"/>
                <w:w w:val="87"/>
              </w:rPr>
              <w:t>$ 381,674</w:t>
            </w:r>
          </w:p>
        </w:tc>
        <w:tc>
          <w:tcPr>
            <w:tcW w:w="340" w:type="dxa"/>
            <w:vAlign w:val="bottom"/>
          </w:tcPr>
          <w:p>
            <w:pPr>
              <w:spacing w:after="0"/>
              <w:rPr>
                <w:sz w:val="19"/>
                <w:szCs w:val="19"/>
                <w:color w:val="auto"/>
              </w:rPr>
            </w:pPr>
          </w:p>
        </w:tc>
        <w:tc>
          <w:tcPr>
            <w:tcW w:w="440" w:type="dxa"/>
            <w:vAlign w:val="bottom"/>
          </w:tcPr>
          <w:p>
            <w:pPr>
              <w:spacing w:after="0"/>
              <w:rPr>
                <w:sz w:val="20"/>
                <w:szCs w:val="20"/>
                <w:color w:val="auto"/>
              </w:rPr>
            </w:pPr>
            <w:r>
              <w:rPr>
                <w:rFonts w:ascii="Arial" w:cs="Arial" w:eastAsia="Arial" w:hAnsi="Arial"/>
                <w:sz w:val="18"/>
                <w:szCs w:val="18"/>
                <w:color w:val="auto"/>
              </w:rPr>
              <w:t>$ —</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$ 40,541</w:t>
            </w:r>
          </w:p>
        </w:tc>
      </w:tr>
      <w:tr>
        <w:trPr>
          <w:trHeight w:val="20"/>
        </w:trPr>
        <w:tc>
          <w:tcPr>
            <w:tcW w:w="7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change in fair values for Level 3 items for the year ended January 31, 2009:</w:t>
      </w:r>
    </w:p>
    <w:p>
      <w:pPr>
        <w:spacing w:after="0" w:line="200" w:lineRule="exact"/>
        <w:rPr>
          <w:sz w:val="20"/>
          <w:szCs w:val="20"/>
          <w:color w:val="auto"/>
        </w:rPr>
      </w:pPr>
    </w:p>
    <w:p>
      <w:pPr>
        <w:spacing w:after="0" w:line="223"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720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7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10"/>
        </w:trPr>
        <w:tc>
          <w:tcPr>
            <w:tcW w:w="72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period ended January 31, 2009 (pre-tax):</w:t>
            </w:r>
          </w:p>
        </w:tc>
        <w:tc>
          <w:tcPr>
            <w:tcW w:w="1660" w:type="dxa"/>
            <w:vAlign w:val="bottom"/>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Beginning Balance at February 3, 2008</w:t>
            </w:r>
          </w:p>
        </w:tc>
        <w:tc>
          <w:tcPr>
            <w:tcW w:w="2320" w:type="dxa"/>
            <w:vAlign w:val="bottom"/>
            <w:gridSpan w:val="2"/>
          </w:tcPr>
          <w:p>
            <w:pPr>
              <w:jc w:val="right"/>
              <w:spacing w:after="0"/>
              <w:rPr>
                <w:sz w:val="20"/>
                <w:szCs w:val="20"/>
                <w:color w:val="auto"/>
              </w:rPr>
            </w:pPr>
            <w:r>
              <w:rPr>
                <w:rFonts w:ascii="Arial" w:cs="Arial" w:eastAsia="Arial" w:hAnsi="Arial"/>
                <w:sz w:val="18"/>
                <w:szCs w:val="18"/>
                <w:color w:val="auto"/>
              </w:rPr>
              <w:t>$ 45,628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2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Sales</w:t>
            </w:r>
          </w:p>
        </w:tc>
        <w:tc>
          <w:tcPr>
            <w:tcW w:w="2380" w:type="dxa"/>
            <w:vAlign w:val="bottom"/>
            <w:gridSpan w:val="3"/>
          </w:tcPr>
          <w:p>
            <w:pPr>
              <w:jc w:val="right"/>
              <w:spacing w:after="0"/>
              <w:rPr>
                <w:sz w:val="20"/>
                <w:szCs w:val="20"/>
                <w:color w:val="auto"/>
              </w:rPr>
            </w:pPr>
            <w:r>
              <w:rPr>
                <w:rFonts w:ascii="Arial" w:cs="Arial" w:eastAsia="Arial" w:hAnsi="Arial"/>
                <w:sz w:val="18"/>
                <w:szCs w:val="18"/>
                <w:color w:val="auto"/>
              </w:rPr>
              <w:t>(13,778)</w:t>
            </w: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other comprehensive income (loss)</w:t>
            </w:r>
          </w:p>
        </w:tc>
        <w:tc>
          <w:tcPr>
            <w:tcW w:w="16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(1,309)</w:t>
            </w:r>
          </w:p>
        </w:tc>
        <w:tc>
          <w:tcPr>
            <w:tcW w:w="0" w:type="dxa"/>
            <w:vAlign w:val="bottom"/>
          </w:tcPr>
          <w:p>
            <w:pPr>
              <w:spacing w:after="0"/>
              <w:rPr>
                <w:sz w:val="1"/>
                <w:szCs w:val="1"/>
                <w:color w:val="auto"/>
              </w:rPr>
            </w:pPr>
          </w:p>
        </w:tc>
      </w:tr>
      <w:tr>
        <w:trPr>
          <w:trHeight w:val="221"/>
        </w:trPr>
        <w:tc>
          <w:tcPr>
            <w:tcW w:w="7200" w:type="dxa"/>
            <w:vAlign w:val="bottom"/>
          </w:tcPr>
          <w:p>
            <w:pPr>
              <w:spacing w:after="0"/>
              <w:rPr>
                <w:sz w:val="20"/>
                <w:szCs w:val="20"/>
                <w:color w:val="auto"/>
              </w:rPr>
            </w:pPr>
            <w:r>
              <w:rPr>
                <w:rFonts w:ascii="Arial" w:cs="Arial" w:eastAsia="Arial" w:hAnsi="Arial"/>
                <w:sz w:val="18"/>
                <w:szCs w:val="18"/>
                <w:color w:val="auto"/>
              </w:rPr>
              <w:t>Ending Balance at January 31, 2009</w:t>
            </w:r>
          </w:p>
        </w:tc>
        <w:tc>
          <w:tcPr>
            <w:tcW w:w="1660" w:type="dxa"/>
            <w:vAlign w:val="bottom"/>
          </w:tcPr>
          <w:p>
            <w:pPr>
              <w:spacing w:after="0"/>
              <w:rPr>
                <w:sz w:val="19"/>
                <w:szCs w:val="19"/>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1"/>
              </w:rPr>
              <w:t>$ 40,541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200" w:type="dxa"/>
            <w:vAlign w:val="bottom"/>
            <w:vMerge w:val="restart"/>
          </w:tcPr>
          <w:p>
            <w:pPr>
              <w:ind w:left="4700"/>
              <w:spacing w:after="0"/>
              <w:rPr>
                <w:sz w:val="20"/>
                <w:szCs w:val="20"/>
                <w:color w:val="auto"/>
              </w:rPr>
            </w:pPr>
            <w:r>
              <w:rPr>
                <w:rFonts w:ascii="Arial" w:cs="Arial" w:eastAsia="Arial" w:hAnsi="Arial"/>
                <w:sz w:val="18"/>
                <w:szCs w:val="18"/>
                <w:color w:val="auto"/>
              </w:rPr>
              <w:t>94</w:t>
            </w:r>
          </w:p>
        </w:tc>
        <w:tc>
          <w:tcPr>
            <w:tcW w:w="1660" w:type="dxa"/>
            <w:vAlign w:val="bottom"/>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200" w:type="dxa"/>
            <w:vAlign w:val="bottom"/>
            <w:vMerge w:val="continue"/>
          </w:tcPr>
          <w:p>
            <w:pPr>
              <w:spacing w:after="0"/>
              <w:rPr>
                <w:sz w:val="24"/>
                <w:szCs w:val="24"/>
                <w:color w:val="auto"/>
              </w:rPr>
            </w:pPr>
          </w:p>
        </w:tc>
        <w:tc>
          <w:tcPr>
            <w:tcW w:w="16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Goodwill and Acquired Intangible Assets:</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accordance with the Company’s accounting policy on valuation of goodwill under SFAS 142, the Company performed an annual assessment of goodwill impairment at the beginning of its fourth quarter of fiscal 2009 and 2008, respectively. As a result of this analysis, the Company concluded that no impairment is necessary. Given that the current economic environment and adverse market conditions were considered triggering events under SFAS 142, the Company performed an updated analysis at the end of fiscal 2009 and concluded that there was no impairment.</w:t>
      </w:r>
    </w:p>
    <w:p>
      <w:pPr>
        <w:spacing w:after="0" w:line="11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increase in goodwill during fiscal 2009 was due primarily to $3.1 million of goodwill for contingent consideration recorded from the acquisition of two private companies and another $0.5 million from the acquisition of another private company (see Note 2).</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amounts of intangible assets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4"/>
          </w:tcPr>
          <w:p>
            <w:pPr>
              <w:jc w:val="right"/>
              <w:ind w:right="300"/>
              <w:spacing w:after="0"/>
              <w:rPr>
                <w:sz w:val="20"/>
                <w:szCs w:val="20"/>
                <w:color w:val="auto"/>
              </w:rPr>
            </w:pPr>
            <w:r>
              <w:rPr>
                <w:rFonts w:ascii="Arial" w:cs="Arial" w:eastAsia="Arial" w:hAnsi="Arial"/>
                <w:sz w:val="14"/>
                <w:szCs w:val="14"/>
                <w:b w:val="1"/>
                <w:bCs w:val="1"/>
                <w:color w:val="auto"/>
                <w:w w:val="94"/>
              </w:rPr>
              <w:t>January 31, 2009</w:t>
            </w: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4"/>
          </w:tcPr>
          <w:p>
            <w:pPr>
              <w:jc w:val="center"/>
              <w:ind w:right="100"/>
              <w:spacing w:after="0"/>
              <w:rPr>
                <w:sz w:val="20"/>
                <w:szCs w:val="20"/>
                <w:color w:val="auto"/>
              </w:rPr>
            </w:pPr>
            <w:r>
              <w:rPr>
                <w:rFonts w:ascii="Arial" w:cs="Arial" w:eastAsia="Arial" w:hAnsi="Arial"/>
                <w:sz w:val="14"/>
                <w:szCs w:val="14"/>
                <w:b w:val="1"/>
                <w:bCs w:val="1"/>
                <w:color w:val="auto"/>
                <w:w w:val="90"/>
              </w:rPr>
              <w:t>February 2, 2008</w:t>
            </w:r>
          </w:p>
        </w:tc>
        <w:tc>
          <w:tcPr>
            <w:tcW w:w="14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Gross</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20" w:type="dxa"/>
            <w:vAlign w:val="bottom"/>
          </w:tcPr>
          <w:p>
            <w:pPr>
              <w:spacing w:after="0"/>
              <w:rPr>
                <w:sz w:val="12"/>
                <w:szCs w:val="12"/>
                <w:color w:val="auto"/>
              </w:rPr>
            </w:pPr>
          </w:p>
        </w:tc>
        <w:tc>
          <w:tcPr>
            <w:tcW w:w="720" w:type="dxa"/>
            <w:vAlign w:val="bottom"/>
          </w:tcPr>
          <w:p>
            <w:pPr>
              <w:jc w:val="center"/>
              <w:ind w:right="38"/>
              <w:spacing w:after="0" w:line="149" w:lineRule="exact"/>
              <w:rPr>
                <w:sz w:val="20"/>
                <w:szCs w:val="20"/>
                <w:color w:val="auto"/>
              </w:rPr>
            </w:pPr>
            <w:r>
              <w:rPr>
                <w:rFonts w:ascii="Arial" w:cs="Arial" w:eastAsia="Arial" w:hAnsi="Arial"/>
                <w:sz w:val="14"/>
                <w:szCs w:val="14"/>
                <w:b w:val="1"/>
                <w:bCs w:val="1"/>
                <w:color w:val="auto"/>
                <w:w w:val="88"/>
              </w:rPr>
              <w:t>Net</w:t>
            </w: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jc w:val="center"/>
              <w:ind w:right="78"/>
              <w:spacing w:after="0" w:line="149" w:lineRule="exact"/>
              <w:rPr>
                <w:sz w:val="20"/>
                <w:szCs w:val="20"/>
                <w:color w:val="auto"/>
              </w:rPr>
            </w:pPr>
            <w:r>
              <w:rPr>
                <w:rFonts w:ascii="Arial" w:cs="Arial" w:eastAsia="Arial" w:hAnsi="Arial"/>
                <w:sz w:val="14"/>
                <w:szCs w:val="14"/>
                <w:b w:val="1"/>
                <w:bCs w:val="1"/>
                <w:color w:val="auto"/>
                <w:w w:val="83"/>
              </w:rPr>
              <w:t>Gross</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40" w:type="dxa"/>
            <w:vAlign w:val="bottom"/>
          </w:tcPr>
          <w:p>
            <w:pPr>
              <w:spacing w:after="0"/>
              <w:rPr>
                <w:sz w:val="12"/>
                <w:szCs w:val="12"/>
                <w:color w:val="auto"/>
              </w:rPr>
            </w:pPr>
          </w:p>
        </w:tc>
        <w:tc>
          <w:tcPr>
            <w:tcW w:w="7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4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Carrying</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and</w:t>
            </w:r>
          </w:p>
        </w:tc>
        <w:tc>
          <w:tcPr>
            <w:tcW w:w="120" w:type="dxa"/>
            <w:vAlign w:val="bottom"/>
          </w:tcPr>
          <w:p>
            <w:pPr>
              <w:spacing w:after="0"/>
              <w:rPr>
                <w:sz w:val="12"/>
                <w:szCs w:val="12"/>
                <w:color w:val="auto"/>
              </w:rPr>
            </w:pPr>
          </w:p>
        </w:tc>
        <w:tc>
          <w:tcPr>
            <w:tcW w:w="720" w:type="dxa"/>
            <w:vAlign w:val="bottom"/>
          </w:tcPr>
          <w:p>
            <w:pPr>
              <w:jc w:val="center"/>
              <w:ind w:right="38"/>
              <w:spacing w:after="0" w:line="149" w:lineRule="exact"/>
              <w:rPr>
                <w:sz w:val="20"/>
                <w:szCs w:val="20"/>
                <w:color w:val="auto"/>
              </w:rPr>
            </w:pPr>
            <w:r>
              <w:rPr>
                <w:rFonts w:ascii="Arial" w:cs="Arial" w:eastAsia="Arial" w:hAnsi="Arial"/>
                <w:sz w:val="14"/>
                <w:szCs w:val="14"/>
                <w:b w:val="1"/>
                <w:bCs w:val="1"/>
                <w:color w:val="auto"/>
                <w:w w:val="90"/>
              </w:rPr>
              <w:t>Carrying</w:t>
            </w: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jc w:val="center"/>
              <w:ind w:right="78"/>
              <w:spacing w:after="0" w:line="149" w:lineRule="exact"/>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8"/>
              </w:rPr>
              <w:t>and</w:t>
            </w:r>
          </w:p>
        </w:tc>
        <w:tc>
          <w:tcPr>
            <w:tcW w:w="140" w:type="dxa"/>
            <w:vAlign w:val="bottom"/>
          </w:tcPr>
          <w:p>
            <w:pPr>
              <w:spacing w:after="0"/>
              <w:rPr>
                <w:sz w:val="12"/>
                <w:szCs w:val="12"/>
                <w:color w:val="auto"/>
              </w:rPr>
            </w:pPr>
          </w:p>
        </w:tc>
        <w:tc>
          <w:tcPr>
            <w:tcW w:w="7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61"/>
        </w:trPr>
        <w:tc>
          <w:tcPr>
            <w:tcW w:w="45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98"/>
              <w:spacing w:after="0"/>
              <w:rPr>
                <w:sz w:val="20"/>
                <w:szCs w:val="20"/>
                <w:color w:val="auto"/>
              </w:rPr>
            </w:pPr>
            <w:r>
              <w:rPr>
                <w:rFonts w:ascii="Arial" w:cs="Arial" w:eastAsia="Arial" w:hAnsi="Arial"/>
                <w:sz w:val="14"/>
                <w:szCs w:val="14"/>
                <w:b w:val="1"/>
                <w:bCs w:val="1"/>
                <w:color w:val="auto"/>
                <w:w w:val="85"/>
              </w:rPr>
              <w:t>Amounts</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Write-Offs</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90"/>
              </w:rPr>
              <w:t>Amount</w:t>
            </w:r>
          </w:p>
        </w:tc>
        <w:tc>
          <w:tcPr>
            <w:tcW w:w="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78"/>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center"/>
              <w:ind w:right="20"/>
              <w:spacing w:after="0"/>
              <w:rPr>
                <w:sz w:val="20"/>
                <w:szCs w:val="20"/>
                <w:color w:val="auto"/>
              </w:rPr>
            </w:pPr>
            <w:r>
              <w:rPr>
                <w:rFonts w:ascii="Arial" w:cs="Arial" w:eastAsia="Arial" w:hAnsi="Arial"/>
                <w:sz w:val="14"/>
                <w:szCs w:val="14"/>
                <w:b w:val="1"/>
                <w:bCs w:val="1"/>
                <w:color w:val="auto"/>
                <w:w w:val="91"/>
              </w:rPr>
              <w:t>Write-Offs</w:t>
            </w:r>
          </w:p>
        </w:tc>
        <w:tc>
          <w:tcPr>
            <w:tcW w:w="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58"/>
              <w:spacing w:after="0"/>
              <w:rPr>
                <w:sz w:val="20"/>
                <w:szCs w:val="20"/>
                <w:color w:val="auto"/>
              </w:rPr>
            </w:pPr>
            <w:r>
              <w:rPr>
                <w:rFonts w:ascii="Arial" w:cs="Arial" w:eastAsia="Arial" w:hAnsi="Arial"/>
                <w:sz w:val="14"/>
                <w:szCs w:val="14"/>
                <w:b w:val="1"/>
                <w:bCs w:val="1"/>
                <w:color w:val="auto"/>
                <w:w w:val="90"/>
              </w:rPr>
              <w:t>Amount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714,640</w:t>
            </w:r>
          </w:p>
        </w:tc>
        <w:tc>
          <w:tcPr>
            <w:tcW w:w="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(615,206)</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99,434</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3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(538,765)</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169,633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Core technology</w:t>
            </w: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212,650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(101,990)</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110,660</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212,650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(62,758)</w:t>
            </w:r>
          </w:p>
        </w:tc>
        <w:tc>
          <w:tcPr>
            <w:tcW w:w="1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149,892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(219)</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(130)</w:t>
            </w: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Customer contracts</w:t>
            </w: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183,300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(107,294)</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76,006</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183,300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(70,029)</w:t>
            </w:r>
          </w:p>
        </w:tc>
        <w:tc>
          <w:tcPr>
            <w:tcW w:w="1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113,271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(900)</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(642)</w:t>
            </w: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Non competition</w:t>
            </w: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700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(397)</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303</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700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(165)</w:t>
            </w:r>
          </w:p>
        </w:tc>
        <w:tc>
          <w:tcPr>
            <w:tcW w:w="1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5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intangible assets</w:t>
            </w: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1,112,540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(826,006)</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286,534</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1,106,298</w:t>
            </w:r>
          </w:p>
        </w:tc>
        <w:tc>
          <w:tcPr>
            <w:tcW w:w="3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(672,489)</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433,809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 assessed the recoverability of the acquisition-related intangible assets by determining whether the carrying value could be recovered through their respective estimated undiscounted future net cash flows. In connection with the Company’s business strategy meetings in the fourth quarter of fiscal 2009, the Company determined that the acquisition-related intangibles associated with the acquisition of the UTStarcom Business and the ICAP Business were impaired due to declining revenue of the products acquired and the acquisition-related intangibles for the PicoMobile business were impaired due to a delay in the deployment of the technology within the industry. The Company measured the amount of the impairment by calculating the amount by which the value of the assets exceeded their estimated fair values, which were based on projected discounted future net cash flows. The Company determined the fair value of the acquisition-related intangible assets based on the most current financial forecast available. The discount rate used to discount net cash flows to their present values was 20% which was determined after consideration of the Company’s estimated weighted average cost of capital. The amount of the purchased intangibles written-off in the fourth quarter of fiscal 2009 due to impairment was $15.6 million.</w:t>
      </w:r>
    </w:p>
    <w:p>
      <w:pPr>
        <w:spacing w:after="0" w:line="120" w:lineRule="exact"/>
        <w:rPr>
          <w:sz w:val="20"/>
          <w:szCs w:val="20"/>
          <w:color w:val="auto"/>
        </w:rPr>
      </w:pPr>
    </w:p>
    <w:p>
      <w:pPr>
        <w:jc w:val="center"/>
        <w:ind w:right="40"/>
        <w:spacing w:after="0" w:line="298" w:lineRule="auto"/>
        <w:rPr>
          <w:sz w:val="20"/>
          <w:szCs w:val="20"/>
          <w:color w:val="auto"/>
        </w:rPr>
      </w:pPr>
      <w:r>
        <w:rPr>
          <w:rFonts w:ascii="Arial" w:cs="Arial" w:eastAsia="Arial" w:hAnsi="Arial"/>
          <w:sz w:val="16"/>
          <w:szCs w:val="16"/>
          <w:color w:val="auto"/>
        </w:rPr>
        <w:t>Purchased technology is amortized on a straight-line basis over their estimated useful lives of one to seven years. Core technology is amortized on a straight-line basis over its estimated useful lives of one to eight years. Trade name is amortized on a straight-line basis over its estimated useful life of one to five years. Customer contracts and related relationships are amortized on a straight-line basis over their estimated useful lives of four to seven years. Non-competition is amortized on a straight-line basis over three years. Accumulated amortization and write-off of purchased intangibles increased by $153.5 million in fiscal 2009.</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Based on the identified intangible assets recorded at January 31, 2009, the future amortization expense of identified intangibles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Fiscal year</w:t>
            </w:r>
          </w:p>
        </w:tc>
        <w:tc>
          <w:tcPr>
            <w:tcW w:w="4100" w:type="dxa"/>
            <w:vAlign w:val="bottom"/>
          </w:tcPr>
          <w:p>
            <w:pPr>
              <w:spacing w:after="0"/>
              <w:rPr>
                <w:sz w:val="14"/>
                <w:szCs w:val="14"/>
                <w:color w:val="auto"/>
              </w:rPr>
            </w:pPr>
          </w:p>
        </w:tc>
        <w:tc>
          <w:tcPr>
            <w:tcW w:w="40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75"/>
              <w:spacing w:after="0"/>
              <w:rPr>
                <w:sz w:val="20"/>
                <w:szCs w:val="20"/>
                <w:color w:val="auto"/>
              </w:rPr>
            </w:pPr>
            <w:r>
              <w:rPr>
                <w:rFonts w:ascii="Arial" w:cs="Arial" w:eastAsia="Arial" w:hAnsi="Arial"/>
                <w:sz w:val="14"/>
                <w:szCs w:val="14"/>
                <w:b w:val="1"/>
                <w:bCs w:val="1"/>
                <w:color w:val="auto"/>
                <w:w w:val="90"/>
              </w:rPr>
              <w:t>Amount</w:t>
            </w:r>
          </w:p>
        </w:tc>
      </w:tr>
      <w:tr>
        <w:trPr>
          <w:trHeight w:val="210"/>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2010</w:t>
            </w:r>
          </w:p>
        </w:tc>
        <w:tc>
          <w:tcPr>
            <w:tcW w:w="4100" w:type="dxa"/>
            <w:vAlign w:val="bottom"/>
            <w:shd w:val="clear" w:color="auto" w:fill="CCEEFF"/>
          </w:tcPr>
          <w:p>
            <w:pPr>
              <w:spacing w:after="0"/>
              <w:rPr>
                <w:sz w:val="18"/>
                <w:szCs w:val="18"/>
                <w:color w:val="auto"/>
              </w:rPr>
            </w:pPr>
          </w:p>
        </w:tc>
        <w:tc>
          <w:tcPr>
            <w:tcW w:w="4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105,815</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2011</w:t>
            </w:r>
          </w:p>
        </w:tc>
        <w:tc>
          <w:tcPr>
            <w:tcW w:w="4100" w:type="dxa"/>
            <w:vAlign w:val="bottom"/>
          </w:tcPr>
          <w:p>
            <w:pPr>
              <w:spacing w:after="0"/>
              <w:rPr>
                <w:sz w:val="18"/>
                <w:szCs w:val="18"/>
                <w:color w:val="auto"/>
              </w:rPr>
            </w:pPr>
          </w:p>
        </w:tc>
        <w:tc>
          <w:tcPr>
            <w:tcW w:w="4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79,251</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4100" w:type="dxa"/>
            <w:vAlign w:val="bottom"/>
            <w:shd w:val="clear" w:color="auto" w:fill="CCEEFF"/>
          </w:tcPr>
          <w:p>
            <w:pPr>
              <w:spacing w:after="0"/>
              <w:rPr>
                <w:sz w:val="18"/>
                <w:szCs w:val="18"/>
                <w:color w:val="auto"/>
              </w:rPr>
            </w:pPr>
          </w:p>
        </w:tc>
        <w:tc>
          <w:tcPr>
            <w:tcW w:w="40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42,282</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2013</w:t>
            </w:r>
          </w:p>
        </w:tc>
        <w:tc>
          <w:tcPr>
            <w:tcW w:w="4100" w:type="dxa"/>
            <w:vAlign w:val="bottom"/>
          </w:tcPr>
          <w:p>
            <w:pPr>
              <w:spacing w:after="0"/>
              <w:rPr>
                <w:sz w:val="18"/>
                <w:szCs w:val="18"/>
                <w:color w:val="auto"/>
              </w:rPr>
            </w:pPr>
          </w:p>
        </w:tc>
        <w:tc>
          <w:tcPr>
            <w:tcW w:w="4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35,549</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4100" w:type="dxa"/>
            <w:vAlign w:val="bottom"/>
            <w:shd w:val="clear" w:color="auto" w:fill="CCEEFF"/>
          </w:tcPr>
          <w:p>
            <w:pPr>
              <w:spacing w:after="0"/>
              <w:rPr>
                <w:sz w:val="18"/>
                <w:szCs w:val="18"/>
                <w:color w:val="auto"/>
              </w:rPr>
            </w:pPr>
          </w:p>
        </w:tc>
        <w:tc>
          <w:tcPr>
            <w:tcW w:w="40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22,425</w:t>
            </w:r>
          </w:p>
        </w:tc>
      </w:tr>
      <w:tr>
        <w:trPr>
          <w:trHeight w:val="223"/>
        </w:trPr>
        <w:tc>
          <w:tcPr>
            <w:tcW w:w="476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40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1,212</w:t>
            </w:r>
          </w:p>
        </w:tc>
      </w:tr>
      <w:tr>
        <w:trPr>
          <w:trHeight w:val="216"/>
        </w:trPr>
        <w:tc>
          <w:tcPr>
            <w:tcW w:w="66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4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286,534</w:t>
            </w:r>
          </w:p>
        </w:tc>
      </w:tr>
      <w:tr>
        <w:trPr>
          <w:trHeight w:val="20"/>
        </w:trPr>
        <w:tc>
          <w:tcPr>
            <w:tcW w:w="66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0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Note 7 </w:t>
      </w:r>
      <w:r>
        <w:rPr>
          <w:rFonts w:ascii="Arial" w:cs="Arial" w:eastAsia="Arial" w:hAnsi="Arial"/>
          <w:sz w:val="18"/>
          <w:szCs w:val="18"/>
          <w:color w:val="auto"/>
        </w:rPr>
        <w:t>—</w:t>
      </w:r>
      <w:r>
        <w:rPr>
          <w:rFonts w:ascii="Arial" w:cs="Arial" w:eastAsia="Arial" w:hAnsi="Arial"/>
          <w:sz w:val="18"/>
          <w:szCs w:val="18"/>
          <w:b w:val="1"/>
          <w:bCs w:val="1"/>
          <w:color w:val="auto"/>
        </w:rPr>
        <w:t xml:space="preserve"> Restructuring:</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During the fourth quarter of fiscal 2009, the Company implemented certain cost reduction measures that included reductions in workforce in all functions of the organization worldwide, impacting approximately 200 employees, in order to reduce the Company’s cost structure. As a result, a restructuring charge of $9.7 million was recorded that consisted of $6.6 million of severance and related employee benefits to the terminated employees, approximately $2.7 million of charges related to the impairment of abandoned facilities and $0.4 million of other equipment charges. During the fourth quarter of fiscal 2008, the Company implemented cost-cutting measures that included reductions in workforce in all functions of the organization worldwide in order to reduce the Company’s cost structure. A restructuring charge of $7.9 million was recorded all of which related to severance and benefits to 438 terminated employees. All expenses associated with the Company’s restructuring plans are included in “Restructuring” in the Consolidated Statements of Operations.</w:t>
      </w:r>
    </w:p>
    <w:p>
      <w:pPr>
        <w:spacing w:after="0" w:line="118"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During fiscal 2003, the Company recorded a total of $19.6 million of charges associated with costs of consolidation of its facilities of which $6.0 million related to non-cash charges. In the fourth quarter of fiscal 2009, the Company recorded an additional $0.9 million charge due to a change in the estimated sublease income for the duration of the remaining lease term. As of January 31, 2009, cash payments of $12.5 million, net of sublease income, had been made in connection with these charges. Approximately $2.0 million is accrued for the facilities consolidation charge as of January 31, 2009, of which $1.0 million represents the current portion and is included in accrued liabilities. The long-term portion totaling $1.0 million is payable through 2010, and is included in other long-term liabilities.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following table sets forth an analysis of the components of the restructuring charges and the payments made through January 31, 2009 (in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2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87"/>
              </w:rPr>
              <w:t>Facility Lease</w:t>
            </w: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4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2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3"/>
              </w:rPr>
              <w:t>Costs, Net of</w:t>
            </w: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4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Workforce</w:t>
            </w:r>
          </w:p>
        </w:tc>
        <w:tc>
          <w:tcPr>
            <w:tcW w:w="320" w:type="dxa"/>
            <w:vAlign w:val="bottom"/>
          </w:tcPr>
          <w:p>
            <w:pPr>
              <w:spacing w:after="0"/>
              <w:rPr>
                <w:sz w:val="12"/>
                <w:szCs w:val="12"/>
                <w:color w:val="auto"/>
              </w:rPr>
            </w:pPr>
          </w:p>
        </w:tc>
        <w:tc>
          <w:tcPr>
            <w:tcW w:w="13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Equipment</w:t>
            </w:r>
          </w:p>
        </w:tc>
        <w:tc>
          <w:tcPr>
            <w:tcW w:w="1860" w:type="dxa"/>
            <w:vAlign w:val="bottom"/>
            <w:gridSpan w:val="3"/>
          </w:tcPr>
          <w:p>
            <w:pPr>
              <w:jc w:val="center"/>
              <w:ind w:right="700"/>
              <w:spacing w:after="0" w:line="149" w:lineRule="exact"/>
              <w:rPr>
                <w:sz w:val="20"/>
                <w:szCs w:val="20"/>
                <w:color w:val="auto"/>
              </w:rPr>
            </w:pPr>
            <w:r>
              <w:rPr>
                <w:rFonts w:ascii="Arial" w:cs="Arial" w:eastAsia="Arial" w:hAnsi="Arial"/>
                <w:sz w:val="14"/>
                <w:szCs w:val="14"/>
                <w:b w:val="1"/>
                <w:bCs w:val="1"/>
                <w:color w:val="auto"/>
                <w:w w:val="84"/>
              </w:rPr>
              <w:t>Estimated Sublease</w:t>
            </w: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62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84"/>
              </w:rPr>
              <w:t>Reduction</w:t>
            </w:r>
          </w:p>
        </w:tc>
        <w:tc>
          <w:tcPr>
            <w:tcW w:w="4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w w:val="90"/>
              </w:rPr>
              <w:t>and Other</w:t>
            </w:r>
          </w:p>
        </w:tc>
        <w:tc>
          <w:tcPr>
            <w:tcW w:w="7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85"/>
              </w:rPr>
              <w:t>Income</w:t>
            </w:r>
          </w:p>
        </w:tc>
        <w:tc>
          <w:tcPr>
            <w:tcW w:w="720" w:type="dxa"/>
            <w:vAlign w:val="bottom"/>
          </w:tcPr>
          <w:p>
            <w:pPr>
              <w:spacing w:after="0"/>
              <w:rPr>
                <w:sz w:val="14"/>
                <w:szCs w:val="14"/>
                <w:color w:val="auto"/>
              </w:rPr>
            </w:pPr>
          </w:p>
        </w:tc>
        <w:tc>
          <w:tcPr>
            <w:tcW w:w="560" w:type="dxa"/>
            <w:vAlign w:val="bottom"/>
            <w:tcBorders>
              <w:bottom w:val="single" w:sz="8" w:color="auto"/>
            </w:tcBorders>
          </w:tcPr>
          <w:p>
            <w:pPr>
              <w:jc w:val="right"/>
              <w:ind w:right="54"/>
              <w:spacing w:after="0"/>
              <w:rPr>
                <w:sz w:val="20"/>
                <w:szCs w:val="20"/>
                <w:color w:val="auto"/>
              </w:rPr>
            </w:pPr>
            <w:r>
              <w:rPr>
                <w:rFonts w:ascii="Arial" w:cs="Arial" w:eastAsia="Arial" w:hAnsi="Arial"/>
                <w:sz w:val="14"/>
                <w:szCs w:val="14"/>
                <w:b w:val="1"/>
                <w:bCs w:val="1"/>
                <w:color w:val="auto"/>
              </w:rPr>
              <w:t>Total</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at January 28, 2006</w:t>
            </w:r>
          </w:p>
        </w:tc>
        <w:tc>
          <w:tcPr>
            <w:tcW w:w="2020" w:type="dxa"/>
            <w:vAlign w:val="bottom"/>
            <w:gridSpan w:val="2"/>
            <w:shd w:val="clear" w:color="auto" w:fill="CCEEFF"/>
          </w:tcPr>
          <w:p>
            <w:pPr>
              <w:ind w:left="188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3,578</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$ 3,578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tcPr>
          <w:p>
            <w:pPr>
              <w:ind w:left="420"/>
              <w:spacing w:after="0"/>
              <w:rPr>
                <w:sz w:val="20"/>
                <w:szCs w:val="20"/>
                <w:color w:val="auto"/>
              </w:rPr>
            </w:pPr>
            <w:r>
              <w:rPr>
                <w:rFonts w:ascii="Arial" w:cs="Arial" w:eastAsia="Arial" w:hAnsi="Arial"/>
                <w:sz w:val="18"/>
                <w:szCs w:val="18"/>
                <w:color w:val="auto"/>
              </w:rPr>
              <w:t>Net cash payments</w:t>
            </w:r>
          </w:p>
        </w:tc>
        <w:tc>
          <w:tcPr>
            <w:tcW w:w="1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ind w:left="160"/>
              <w:spacing w:after="0"/>
              <w:rPr>
                <w:sz w:val="20"/>
                <w:szCs w:val="20"/>
                <w:color w:val="auto"/>
              </w:rPr>
            </w:pPr>
            <w:r>
              <w:rPr>
                <w:rFonts w:ascii="Arial" w:cs="Arial" w:eastAsia="Arial" w:hAnsi="Arial"/>
                <w:sz w:val="18"/>
                <w:szCs w:val="18"/>
                <w:color w:val="auto"/>
              </w:rPr>
              <w:t>—</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20" w:type="dxa"/>
            <w:vAlign w:val="bottom"/>
            <w:gridSpan w:val="2"/>
          </w:tcPr>
          <w:p>
            <w:pPr>
              <w:jc w:val="right"/>
              <w:ind w:right="660"/>
              <w:spacing w:after="0"/>
              <w:rPr>
                <w:sz w:val="20"/>
                <w:szCs w:val="20"/>
                <w:color w:val="auto"/>
              </w:rPr>
            </w:pPr>
            <w:r>
              <w:rPr>
                <w:rFonts w:ascii="Arial" w:cs="Arial" w:eastAsia="Arial" w:hAnsi="Arial"/>
                <w:sz w:val="18"/>
                <w:szCs w:val="18"/>
                <w:color w:val="auto"/>
              </w:rPr>
              <w:t>(658)</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(658)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40" w:type="dxa"/>
            <w:vAlign w:val="bottom"/>
          </w:tcPr>
          <w:p>
            <w:pPr>
              <w:spacing w:after="0"/>
              <w:rPr>
                <w:sz w:val="2"/>
                <w:szCs w:val="2"/>
                <w:color w:val="auto"/>
              </w:rPr>
            </w:pPr>
          </w:p>
        </w:tc>
        <w:tc>
          <w:tcPr>
            <w:tcW w:w="18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32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at January 27, 2007</w:t>
            </w:r>
          </w:p>
        </w:tc>
        <w:tc>
          <w:tcPr>
            <w:tcW w:w="1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2,920</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tcPr>
          <w:p>
            <w:pPr>
              <w:ind w:left="420"/>
              <w:spacing w:after="0"/>
              <w:rPr>
                <w:sz w:val="20"/>
                <w:szCs w:val="20"/>
                <w:color w:val="auto"/>
              </w:rPr>
            </w:pPr>
            <w:r>
              <w:rPr>
                <w:rFonts w:ascii="Arial" w:cs="Arial" w:eastAsia="Arial" w:hAnsi="Arial"/>
                <w:sz w:val="18"/>
                <w:szCs w:val="18"/>
                <w:color w:val="auto"/>
              </w:rPr>
              <w:t>Severance and related charges</w:t>
            </w:r>
          </w:p>
        </w:tc>
        <w:tc>
          <w:tcPr>
            <w:tcW w:w="1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80" w:type="dxa"/>
            <w:vAlign w:val="bottom"/>
          </w:tcPr>
          <w:p>
            <w:pPr>
              <w:jc w:val="center"/>
              <w:ind w:left="12"/>
              <w:spacing w:after="0"/>
              <w:rPr>
                <w:sz w:val="20"/>
                <w:szCs w:val="20"/>
                <w:color w:val="auto"/>
              </w:rPr>
            </w:pPr>
            <w:r>
              <w:rPr>
                <w:rFonts w:ascii="Arial" w:cs="Arial" w:eastAsia="Arial" w:hAnsi="Arial"/>
                <w:sz w:val="18"/>
                <w:szCs w:val="18"/>
                <w:color w:val="auto"/>
                <w:w w:val="84"/>
              </w:rPr>
              <w:t>7,856</w:t>
            </w: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720" w:type="dxa"/>
            <w:vAlign w:val="bottom"/>
            <w:gridSpan w:val="2"/>
          </w:tcPr>
          <w:p>
            <w:pPr>
              <w:jc w:val="right"/>
              <w:ind w:right="80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7,856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cash payments</w:t>
            </w:r>
          </w:p>
        </w:tc>
        <w:tc>
          <w:tcPr>
            <w:tcW w:w="1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87"/>
              </w:rPr>
              <w:t>(7,039)</w:t>
            </w: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(1,006)</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(8,045)</w:t>
            </w:r>
          </w:p>
        </w:tc>
        <w:tc>
          <w:tcPr>
            <w:tcW w:w="0" w:type="dxa"/>
            <w:vAlign w:val="bottom"/>
          </w:tcPr>
          <w:p>
            <w:pPr>
              <w:spacing w:after="0"/>
              <w:rPr>
                <w:sz w:val="1"/>
                <w:szCs w:val="1"/>
                <w:color w:val="auto"/>
              </w:rPr>
            </w:pPr>
          </w:p>
        </w:tc>
      </w:tr>
      <w:tr>
        <w:trPr>
          <w:trHeight w:val="20"/>
        </w:trPr>
        <w:tc>
          <w:tcPr>
            <w:tcW w:w="4360" w:type="dxa"/>
            <w:vAlign w:val="bottom"/>
            <w:gridSpan w:val="2"/>
            <w:vMerge w:val="restart"/>
          </w:tcPr>
          <w:p>
            <w:pPr>
              <w:spacing w:after="0"/>
              <w:rPr>
                <w:sz w:val="20"/>
                <w:szCs w:val="20"/>
                <w:color w:val="auto"/>
              </w:rPr>
            </w:pPr>
            <w:r>
              <w:rPr>
                <w:rFonts w:ascii="Arial" w:cs="Arial" w:eastAsia="Arial" w:hAnsi="Arial"/>
                <w:sz w:val="18"/>
                <w:szCs w:val="18"/>
                <w:color w:val="auto"/>
              </w:rPr>
              <w:t>Restructuring liabilities at February 2, 2008</w:t>
            </w:r>
          </w:p>
        </w:tc>
        <w:tc>
          <w:tcPr>
            <w:tcW w:w="18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0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360" w:type="dxa"/>
            <w:vAlign w:val="bottom"/>
            <w:gridSpan w:val="2"/>
            <w:vMerge w:val="continue"/>
          </w:tcPr>
          <w:p>
            <w:pPr>
              <w:spacing w:after="0"/>
              <w:rPr>
                <w:sz w:val="19"/>
                <w:szCs w:val="19"/>
                <w:color w:val="auto"/>
              </w:rPr>
            </w:pPr>
          </w:p>
        </w:tc>
        <w:tc>
          <w:tcPr>
            <w:tcW w:w="18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w w:val="79"/>
              </w:rPr>
              <w:t>817</w:t>
            </w:r>
          </w:p>
        </w:tc>
        <w:tc>
          <w:tcPr>
            <w:tcW w:w="4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40" w:type="dxa"/>
            <w:vAlign w:val="bottom"/>
          </w:tcPr>
          <w:p>
            <w:pPr>
              <w:ind w:left="160"/>
              <w:spacing w:after="0"/>
              <w:rPr>
                <w:sz w:val="20"/>
                <w:szCs w:val="20"/>
                <w:color w:val="auto"/>
              </w:rPr>
            </w:pPr>
            <w:r>
              <w:rPr>
                <w:rFonts w:ascii="Arial" w:cs="Arial" w:eastAsia="Arial" w:hAnsi="Arial"/>
                <w:sz w:val="18"/>
                <w:szCs w:val="18"/>
                <w:color w:val="auto"/>
              </w:rPr>
              <w:t>—</w:t>
            </w:r>
          </w:p>
        </w:tc>
        <w:tc>
          <w:tcPr>
            <w:tcW w:w="7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720" w:type="dxa"/>
            <w:vAlign w:val="bottom"/>
            <w:gridSpan w:val="2"/>
          </w:tcPr>
          <w:p>
            <w:pPr>
              <w:jc w:val="right"/>
              <w:ind w:right="720"/>
              <w:spacing w:after="0"/>
              <w:rPr>
                <w:sz w:val="20"/>
                <w:szCs w:val="20"/>
                <w:color w:val="auto"/>
              </w:rPr>
            </w:pPr>
            <w:r>
              <w:rPr>
                <w:rFonts w:ascii="Arial" w:cs="Arial" w:eastAsia="Arial" w:hAnsi="Arial"/>
                <w:sz w:val="18"/>
                <w:szCs w:val="18"/>
                <w:color w:val="auto"/>
              </w:rPr>
              <w:t>1,914</w:t>
            </w:r>
          </w:p>
        </w:tc>
        <w:tc>
          <w:tcPr>
            <w:tcW w:w="560" w:type="dxa"/>
            <w:vAlign w:val="bottom"/>
          </w:tcPr>
          <w:p>
            <w:pPr>
              <w:jc w:val="right"/>
              <w:spacing w:after="0"/>
              <w:rPr>
                <w:sz w:val="20"/>
                <w:szCs w:val="20"/>
                <w:color w:val="auto"/>
              </w:rPr>
            </w:pPr>
            <w:r>
              <w:rPr>
                <w:rFonts w:ascii="Arial" w:cs="Arial" w:eastAsia="Arial" w:hAnsi="Arial"/>
                <w:sz w:val="18"/>
                <w:szCs w:val="18"/>
                <w:color w:val="auto"/>
              </w:rPr>
              <w:t>2,731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Severance and related charges</w:t>
            </w:r>
          </w:p>
        </w:tc>
        <w:tc>
          <w:tcPr>
            <w:tcW w:w="1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jc w:val="center"/>
              <w:ind w:left="12"/>
              <w:spacing w:after="0"/>
              <w:rPr>
                <w:sz w:val="20"/>
                <w:szCs w:val="20"/>
                <w:color w:val="auto"/>
              </w:rPr>
            </w:pPr>
            <w:r>
              <w:rPr>
                <w:rFonts w:ascii="Arial" w:cs="Arial" w:eastAsia="Arial" w:hAnsi="Arial"/>
                <w:sz w:val="18"/>
                <w:szCs w:val="18"/>
                <w:color w:val="auto"/>
                <w:w w:val="84"/>
              </w:rPr>
              <w:t>6,576</w:t>
            </w:r>
          </w:p>
        </w:tc>
        <w:tc>
          <w:tcPr>
            <w:tcW w:w="4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402</w:t>
            </w:r>
          </w:p>
        </w:tc>
        <w:tc>
          <w:tcPr>
            <w:tcW w:w="14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2,711</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9,689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tcPr>
          <w:p>
            <w:pPr>
              <w:ind w:left="420"/>
              <w:spacing w:after="0"/>
              <w:rPr>
                <w:sz w:val="20"/>
                <w:szCs w:val="20"/>
                <w:color w:val="auto"/>
              </w:rPr>
            </w:pPr>
            <w:r>
              <w:rPr>
                <w:rFonts w:ascii="Arial" w:cs="Arial" w:eastAsia="Arial" w:hAnsi="Arial"/>
                <w:sz w:val="18"/>
                <w:szCs w:val="18"/>
                <w:color w:val="auto"/>
              </w:rPr>
              <w:t>Non-cash adjustment</w:t>
            </w:r>
          </w:p>
        </w:tc>
        <w:tc>
          <w:tcPr>
            <w:tcW w:w="1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640"/>
              <w:spacing w:after="0"/>
              <w:rPr>
                <w:sz w:val="20"/>
                <w:szCs w:val="20"/>
                <w:color w:val="auto"/>
              </w:rPr>
            </w:pPr>
            <w:r>
              <w:rPr>
                <w:rFonts w:ascii="Arial" w:cs="Arial" w:eastAsia="Arial" w:hAnsi="Arial"/>
                <w:sz w:val="18"/>
                <w:szCs w:val="18"/>
                <w:color w:val="auto"/>
              </w:rPr>
              <w:t>(120)</w:t>
            </w:r>
          </w:p>
        </w:tc>
        <w:tc>
          <w:tcPr>
            <w:tcW w:w="140" w:type="dxa"/>
            <w:vAlign w:val="bottom"/>
          </w:tcPr>
          <w:p>
            <w:pPr>
              <w:spacing w:after="0"/>
              <w:rPr>
                <w:sz w:val="18"/>
                <w:szCs w:val="18"/>
                <w:color w:val="auto"/>
              </w:rPr>
            </w:pPr>
          </w:p>
        </w:tc>
        <w:tc>
          <w:tcPr>
            <w:tcW w:w="1720" w:type="dxa"/>
            <w:vAlign w:val="bottom"/>
            <w:gridSpan w:val="2"/>
          </w:tcPr>
          <w:p>
            <w:pPr>
              <w:jc w:val="right"/>
              <w:ind w:right="800"/>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cash payments</w:t>
            </w:r>
          </w:p>
        </w:tc>
        <w:tc>
          <w:tcPr>
            <w:tcW w:w="1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87"/>
              </w:rPr>
              <w:t>(3,485)</w:t>
            </w: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(240)</w:t>
            </w:r>
          </w:p>
        </w:tc>
        <w:tc>
          <w:tcPr>
            <w:tcW w:w="14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(890)</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0"/>
        </w:trPr>
        <w:tc>
          <w:tcPr>
            <w:tcW w:w="4360" w:type="dxa"/>
            <w:vAlign w:val="bottom"/>
            <w:gridSpan w:val="2"/>
            <w:vMerge w:val="restart"/>
          </w:tcPr>
          <w:p>
            <w:pPr>
              <w:spacing w:after="0"/>
              <w:rPr>
                <w:sz w:val="20"/>
                <w:szCs w:val="20"/>
                <w:color w:val="auto"/>
              </w:rPr>
            </w:pPr>
            <w:r>
              <w:rPr>
                <w:rFonts w:ascii="Arial" w:cs="Arial" w:eastAsia="Arial" w:hAnsi="Arial"/>
                <w:sz w:val="18"/>
                <w:szCs w:val="18"/>
                <w:color w:val="auto"/>
              </w:rPr>
              <w:t>Restructuring liabilities at January 31, 2009</w:t>
            </w:r>
          </w:p>
        </w:tc>
        <w:tc>
          <w:tcPr>
            <w:tcW w:w="18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0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60" w:type="dxa"/>
            <w:vAlign w:val="bottom"/>
            <w:gridSpan w:val="2"/>
            <w:vMerge w:val="continue"/>
          </w:tcPr>
          <w:p>
            <w:pPr>
              <w:spacing w:after="0"/>
              <w:rPr>
                <w:sz w:val="19"/>
                <w:szCs w:val="19"/>
                <w:color w:val="auto"/>
              </w:rPr>
            </w:pPr>
          </w:p>
        </w:tc>
        <w:tc>
          <w:tcPr>
            <w:tcW w:w="18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center"/>
              <w:ind w:left="12"/>
              <w:spacing w:after="0"/>
              <w:rPr>
                <w:sz w:val="20"/>
                <w:szCs w:val="20"/>
                <w:color w:val="auto"/>
              </w:rPr>
            </w:pPr>
            <w:r>
              <w:rPr>
                <w:rFonts w:ascii="Arial" w:cs="Arial" w:eastAsia="Arial" w:hAnsi="Arial"/>
                <w:sz w:val="18"/>
                <w:szCs w:val="18"/>
                <w:color w:val="auto"/>
                <w:w w:val="84"/>
              </w:rPr>
              <w:t>3,908</w:t>
            </w:r>
          </w:p>
        </w:tc>
        <w:tc>
          <w:tcPr>
            <w:tcW w:w="4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42</w:t>
            </w:r>
          </w:p>
        </w:tc>
        <w:tc>
          <w:tcPr>
            <w:tcW w:w="70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gridSpan w:val="2"/>
          </w:tcPr>
          <w:p>
            <w:pPr>
              <w:jc w:val="right"/>
              <w:ind w:right="720"/>
              <w:spacing w:after="0"/>
              <w:rPr>
                <w:sz w:val="20"/>
                <w:szCs w:val="20"/>
                <w:color w:val="auto"/>
              </w:rPr>
            </w:pPr>
            <w:r>
              <w:rPr>
                <w:rFonts w:ascii="Arial" w:cs="Arial" w:eastAsia="Arial" w:hAnsi="Arial"/>
                <w:sz w:val="18"/>
                <w:szCs w:val="18"/>
                <w:color w:val="auto"/>
              </w:rPr>
              <w:t>3,735</w:t>
            </w:r>
          </w:p>
        </w:tc>
        <w:tc>
          <w:tcPr>
            <w:tcW w:w="560" w:type="dxa"/>
            <w:vAlign w:val="bottom"/>
          </w:tcPr>
          <w:p>
            <w:pPr>
              <w:jc w:val="right"/>
              <w:spacing w:after="0"/>
              <w:rPr>
                <w:sz w:val="20"/>
                <w:szCs w:val="20"/>
                <w:color w:val="auto"/>
              </w:rPr>
            </w:pPr>
            <w:r>
              <w:rPr>
                <w:rFonts w:ascii="Arial" w:cs="Arial" w:eastAsia="Arial" w:hAnsi="Arial"/>
                <w:sz w:val="18"/>
                <w:szCs w:val="18"/>
                <w:color w:val="auto"/>
                <w:w w:val="89"/>
              </w:rPr>
              <w:t>$ 7,685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40" w:type="dxa"/>
            <w:vAlign w:val="bottom"/>
          </w:tcPr>
          <w:p>
            <w:pPr>
              <w:spacing w:after="0" w:line="20" w:lineRule="exact"/>
              <w:rPr>
                <w:sz w:val="1"/>
                <w:szCs w:val="1"/>
                <w:color w:val="auto"/>
              </w:rPr>
            </w:pPr>
          </w:p>
        </w:tc>
        <w:tc>
          <w:tcPr>
            <w:tcW w:w="1880" w:type="dxa"/>
            <w:vAlign w:val="bottom"/>
            <w:vMerge w:val="restart"/>
          </w:tcPr>
          <w:p>
            <w:pPr>
              <w:jc w:val="right"/>
              <w:ind w:right="352"/>
              <w:spacing w:after="0"/>
              <w:rPr>
                <w:sz w:val="20"/>
                <w:szCs w:val="20"/>
                <w:color w:val="auto"/>
              </w:rPr>
            </w:pPr>
            <w:r>
              <w:rPr>
                <w:rFonts w:ascii="Arial" w:cs="Arial" w:eastAsia="Arial" w:hAnsi="Arial"/>
                <w:sz w:val="18"/>
                <w:szCs w:val="18"/>
                <w:color w:val="auto"/>
              </w:rPr>
              <w:t>96</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340" w:type="dxa"/>
            <w:vAlign w:val="bottom"/>
          </w:tcPr>
          <w:p>
            <w:pPr>
              <w:spacing w:after="0"/>
              <w:rPr>
                <w:sz w:val="24"/>
                <w:szCs w:val="24"/>
                <w:color w:val="auto"/>
              </w:rPr>
            </w:pPr>
          </w:p>
        </w:tc>
        <w:tc>
          <w:tcPr>
            <w:tcW w:w="188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Company anticipates that the restructuring reserve balance for severance and related charges of $4.0 million will be paid out in cash in the first quarter of fiscal 2010. The facility lease charges will paid out through fiscal 2019.</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Term Loans:</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 November 2006, the Company borrowed $400.0 million from a group of lenders in the form of term loans to partially finance the acquisition of the ICAP Business. Debt issuance costs of approximately $5.7 million was being amortized to interest expense over the term of the loan through November 9, 2009. During the fourth quarter of fiscal 2009, the Company made a full repayment on the term loans and concurrently wrote-off $2.0 million of remaining unamortized debt issuance costs to interest expense.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of January 31, 2009, the Company is authorized to issue 992,000,000 shares of $0.002 par value common shares and 8,000,000 shares of $0.002 par value preferred shares.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31, 2009 and February 2, 2008, no shares of preferred stock were outstanding.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had 352,560,400 common shares reserved for issuance thereunder as of January 31, 2009. The Option Plan allows for an annual increase in shares reserved for issuance on the first day of each fiscal year equal to the lesser of (i) 40,000,000 shares, or (ii) 5.0% of the outstanding shares of capital stock on such date. The Option Plan allows for the issuance of incentive and nonqualified stock options to employees and consultants of the Company.</w:t>
      </w:r>
    </w:p>
    <w:p>
      <w:pPr>
        <w:spacing w:after="0" w:line="113"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and the exercised shares remain unvested until vested in accordance with the terms of the grant.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18"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In addition, the Company can also grant stock awards, which may be subjected to vesting. Further, the Company can grant stock unit awards. Stock unit awards are denominated in shares of stock, but may be settled in cash or tradable shares of the Company’s common shares upon vesting, as determined by the Company at the time of grant.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9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In August 1997, the Company adopted the 1997 Directors’ Stock Option Plan (the “Directors’ Plan”). Under the Directors’ Plan, an outside director was granted 30,000 options upon appointment to the Board of Directors. These options vested 20% one year after the vesting commencement date and remaining shares vest one-sixtieth per month over the remaining forty-eight months. An outside director was also granted 6,000 options on the date of each annual meeting of the shareholders. These options vested one-twelfth per month over 12 months after the fourth anniversary of the vesting commencement date. Options granted under the Directors’ Plan may be exercised prior to vesting. The Directors’ Plan was terminated in October 2007.</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w:t>
      </w:r>
    </w:p>
    <w:p>
      <w:pPr>
        <w:spacing w:after="0" w:line="33" w:lineRule="exact"/>
        <w:rPr>
          <w:sz w:val="20"/>
          <w:szCs w:val="20"/>
          <w:color w:val="auto"/>
        </w:rPr>
      </w:pPr>
    </w:p>
    <w:p>
      <w:pPr>
        <w:spacing w:after="0"/>
        <w:rPr>
          <w:sz w:val="20"/>
          <w:szCs w:val="20"/>
          <w:color w:val="auto"/>
        </w:rPr>
      </w:pPr>
      <w:r>
        <w:rPr>
          <w:rFonts w:ascii="Arial" w:cs="Arial" w:eastAsia="Arial" w:hAnsi="Arial"/>
          <w:sz w:val="15"/>
          <w:szCs w:val="15"/>
          <w:color w:val="auto"/>
        </w:rPr>
        <w:t>common shares reserved for issuance thereunder as of January 31, 2009. Under the 2007 Directors’ Plan, an outside director is granted options of 50,000 common</w:t>
      </w:r>
    </w:p>
    <w:p>
      <w:pPr>
        <w:spacing w:after="0" w:line="43" w:lineRule="exact"/>
        <w:rPr>
          <w:sz w:val="20"/>
          <w:szCs w:val="20"/>
          <w:color w:val="auto"/>
        </w:rPr>
      </w:pPr>
    </w:p>
    <w:p>
      <w:pPr>
        <w:ind w:right="140"/>
        <w:spacing w:after="0" w:line="238" w:lineRule="auto"/>
        <w:rPr>
          <w:sz w:val="20"/>
          <w:szCs w:val="20"/>
          <w:color w:val="auto"/>
        </w:rPr>
      </w:pPr>
      <w:r>
        <w:rPr>
          <w:rFonts w:ascii="Arial" w:cs="Arial" w:eastAsia="Arial" w:hAnsi="Arial"/>
          <w:sz w:val="17"/>
          <w:szCs w:val="17"/>
          <w:color w:val="auto"/>
        </w:rPr>
        <w:t>shares upon appointment to the Board of Directors. These options vest 1/3</w:t>
      </w:r>
      <w:r>
        <w:rPr>
          <w:rFonts w:ascii="Arial" w:cs="Arial" w:eastAsia="Arial" w:hAnsi="Arial"/>
          <w:sz w:val="21"/>
          <w:szCs w:val="21"/>
          <w:color w:val="auto"/>
          <w:vertAlign w:val="superscript"/>
        </w:rPr>
        <w:t>rd</w:t>
      </w:r>
      <w:r>
        <w:rPr>
          <w:rFonts w:ascii="Arial" w:cs="Arial" w:eastAsia="Arial" w:hAnsi="Arial"/>
          <w:sz w:val="17"/>
          <w:szCs w:val="17"/>
          <w:color w:val="auto"/>
        </w:rPr>
        <w:t xml:space="preserve"> on the one year anniversary of the date of grant and 1/3</w:t>
      </w:r>
      <w:r>
        <w:rPr>
          <w:rFonts w:ascii="Arial" w:cs="Arial" w:eastAsia="Arial" w:hAnsi="Arial"/>
          <w:sz w:val="21"/>
          <w:szCs w:val="21"/>
          <w:color w:val="auto"/>
          <w:vertAlign w:val="superscript"/>
        </w:rPr>
        <w:t>rd</w:t>
      </w:r>
      <w:r>
        <w:rPr>
          <w:rFonts w:ascii="Arial" w:cs="Arial" w:eastAsia="Arial" w:hAnsi="Arial"/>
          <w:sz w:val="17"/>
          <w:szCs w:val="17"/>
          <w:color w:val="auto"/>
        </w:rPr>
        <w:t xml:space="preserve"> of the shares on each anniversary thereafter. An outside director who has served on the board of directors for the prior six months is also granted options of 12,000 common shares on the date of each annual meeting of the shareholders. These options vest 100% on the one year anniversary of the date of grant.</w:t>
      </w:r>
    </w:p>
    <w:p>
      <w:pPr>
        <w:spacing w:after="0" w:line="183"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49,871,612 common shares reserved for issuance thereunder as of January 31, 2009. The Purchase Plan allows for an annual increase in shares reserved for issuance on January 1 of each year equal to the lesser of (i) 4,000,000 shares or (ii) 1.5% of the outstanding shares of capital stock on such date. Under the Purchase Plan, employees are granted the right to purchase common shares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The Purchase Plan additionally contains a reset and a rollover provision under which if the price on any purchase date is less than the price on the date of original enrollment, then the existing purchase period shall immediately cease upon purchase and a new two-year purchase period shall commence. Effective on May 30, 2007, offering and purchase periods begin on December 8 and June 8 of each year. Included in the Purchase Plan is a limitation on the number of shares that may be purchased in the event that the market price of the Company’s common shares decreases by more than 25% from one purchase date to the next. In the event the share limitation is triggered, the number of shares an employee may purchase on the subsequent purchase date may not exceed 75% of the number the employee could have purchased at 85% of the market price on the earlier purchase date. This limitation was triggered in connection with the June 2008 purchase period, which ended in December 2008. During fiscal 2009, a total of 3,946,932 shares were issued under the Purchase Plan at a weighted-average price of $8.45. During fiscal 2008, a total of 1,303,155 shares were issued under the Purchase Plan at a weighted-average price of $13.30. During fiscal 2007, a total of 895,170 shares were issued under the Purchase Plan at a weighted-average price of $15.21. At January 31, 2009, 33,347,628 shares were available for future issuance under the Purchase Plan.</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Warrants</w:t>
      </w:r>
    </w:p>
    <w:p>
      <w:pPr>
        <w:spacing w:after="0" w:line="9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 connection with an acquisition in June 2003, the Company issued 2,172,732 warrants to purchase common shares at an exercise price of $4.61 per share. The warrants had a five-year life from the date of issuance. The warrant value was included in the purchase accounting of the acquisition. As of January 31, 2009, approximately 2,170,839 warrants had been exercised for a net issuance of 1,730,434 common shares. As of January 31, 2009, there were no warrants outstanding.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Combined Option Plan and Stock Award Activity</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summarizes the activity under the Option Plan, the Directors’ Plan, the 2007 Directors’ Plan and other stock based arrangements (in thousands, except for prices):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5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gridSpan w:val="3"/>
          </w:tcPr>
          <w:p>
            <w:pPr>
              <w:spacing w:after="0"/>
              <w:rPr>
                <w:sz w:val="20"/>
                <w:szCs w:val="20"/>
                <w:color w:val="auto"/>
              </w:rPr>
            </w:pPr>
            <w:r>
              <w:rPr>
                <w:rFonts w:ascii="Arial" w:cs="Arial" w:eastAsia="Arial" w:hAnsi="Arial"/>
                <w:sz w:val="14"/>
                <w:szCs w:val="14"/>
                <w:b w:val="1"/>
                <w:bCs w:val="1"/>
                <w:color w:val="auto"/>
                <w:w w:val="88"/>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5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4"/>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5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0"/>
              </w:rPr>
              <w:t>Exercise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520" w:type="dxa"/>
            <w:vAlign w:val="bottom"/>
          </w:tcPr>
          <w:p>
            <w:pPr>
              <w:spacing w:after="0"/>
              <w:rPr>
                <w:sz w:val="12"/>
                <w:szCs w:val="12"/>
                <w:color w:val="auto"/>
              </w:rPr>
            </w:pPr>
          </w:p>
        </w:tc>
        <w:tc>
          <w:tcPr>
            <w:tcW w:w="1080" w:type="dxa"/>
            <w:vAlign w:val="bottom"/>
            <w:gridSpan w:val="2"/>
          </w:tcPr>
          <w:p>
            <w:pPr>
              <w:jc w:val="right"/>
              <w:ind w:right="600"/>
              <w:spacing w:after="0" w:line="149" w:lineRule="exact"/>
              <w:rPr>
                <w:sz w:val="20"/>
                <w:szCs w:val="20"/>
                <w:color w:val="auto"/>
              </w:rPr>
            </w:pPr>
            <w:r>
              <w:rPr>
                <w:rFonts w:ascii="Arial" w:cs="Arial" w:eastAsia="Arial" w:hAnsi="Arial"/>
                <w:sz w:val="14"/>
                <w:szCs w:val="14"/>
                <w:b w:val="1"/>
                <w:bCs w:val="1"/>
                <w:color w:val="auto"/>
                <w:w w:val="98"/>
              </w:rPr>
              <w:t>Shares</w:t>
            </w:r>
          </w:p>
        </w:tc>
        <w:tc>
          <w:tcPr>
            <w:tcW w:w="102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rPr>
              <w:t>Options</w:t>
            </w:r>
          </w:p>
        </w:tc>
        <w:tc>
          <w:tcPr>
            <w:tcW w:w="220" w:type="dxa"/>
            <w:vAlign w:val="bottom"/>
          </w:tcPr>
          <w:p>
            <w:pPr>
              <w:spacing w:after="0"/>
              <w:rPr>
                <w:sz w:val="12"/>
                <w:szCs w:val="12"/>
                <w:color w:val="auto"/>
              </w:rPr>
            </w:pPr>
          </w:p>
        </w:tc>
        <w:tc>
          <w:tcPr>
            <w:tcW w:w="580" w:type="dxa"/>
            <w:vAlign w:val="bottom"/>
            <w:gridSpan w:val="3"/>
          </w:tcPr>
          <w:p>
            <w:pPr>
              <w:ind w:left="60"/>
              <w:spacing w:after="0" w:line="149" w:lineRule="exact"/>
              <w:rPr>
                <w:sz w:val="20"/>
                <w:szCs w:val="20"/>
                <w:color w:val="auto"/>
              </w:rPr>
            </w:pPr>
            <w:r>
              <w:rPr>
                <w:rFonts w:ascii="Arial" w:cs="Arial" w:eastAsia="Arial" w:hAnsi="Arial"/>
                <w:sz w:val="14"/>
                <w:szCs w:val="14"/>
                <w:b w:val="1"/>
                <w:bCs w:val="1"/>
                <w:color w:val="auto"/>
                <w:w w:val="97"/>
              </w:rPr>
              <w:t>Price of</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520" w:type="dxa"/>
            <w:vAlign w:val="bottom"/>
          </w:tcPr>
          <w:p>
            <w:pPr>
              <w:spacing w:after="0"/>
              <w:rPr>
                <w:sz w:val="14"/>
                <w:szCs w:val="14"/>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7"/>
              </w:rPr>
              <w:t>Available</w:t>
            </w:r>
          </w:p>
        </w:tc>
        <w:tc>
          <w:tcPr>
            <w:tcW w:w="500" w:type="dxa"/>
            <w:vAlign w:val="bottom"/>
          </w:tcPr>
          <w:p>
            <w:pPr>
              <w:spacing w:after="0"/>
              <w:rPr>
                <w:sz w:val="14"/>
                <w:szCs w:val="14"/>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4"/>
              </w:rPr>
              <w:t>Outstanding</w:t>
            </w: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w w:val="90"/>
              </w:rPr>
              <w:t>Options</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65,870</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94,244</w:t>
            </w:r>
          </w:p>
        </w:tc>
        <w:tc>
          <w:tcPr>
            <w:tcW w:w="28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Additional shares authorized</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29,139</w:t>
            </w: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10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9"/>
              </w:rPr>
              <w:t>(32,836)</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32,836</w:t>
            </w:r>
          </w:p>
        </w:tc>
        <w:tc>
          <w:tcPr>
            <w:tcW w:w="28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24.13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4,655</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(4,706)</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15.71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29</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(29)</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22.40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(3,718)</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6.03</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66,857</w:t>
            </w:r>
          </w:p>
        </w:tc>
        <w:tc>
          <w:tcPr>
            <w:tcW w:w="50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118,627</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13.72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Additional shares authorized</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29,381</w:t>
            </w: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10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9"/>
              </w:rPr>
              <w:t>(12,577)</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12,577</w:t>
            </w:r>
          </w:p>
        </w:tc>
        <w:tc>
          <w:tcPr>
            <w:tcW w:w="28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16.21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13,841</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(13,841)</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17.39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51</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(51)</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(8,154)</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6.83</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97,553</w:t>
            </w:r>
          </w:p>
        </w:tc>
        <w:tc>
          <w:tcPr>
            <w:tcW w:w="50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109,158</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14.64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Additional shares authorized</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30,005</w:t>
            </w: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10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9"/>
              </w:rPr>
              <w:t>(25,067)</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25,067</w:t>
            </w:r>
          </w:p>
        </w:tc>
        <w:tc>
          <w:tcPr>
            <w:tcW w:w="28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8,483</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(39,598)</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21.58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10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2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(9,573)</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6.</w:t>
            </w:r>
            <w:r>
              <w:rPr>
                <w:rFonts w:ascii="Arial" w:cs="Arial" w:eastAsia="Arial" w:hAnsi="Arial"/>
                <w:sz w:val="18"/>
                <w:szCs w:val="18"/>
                <w:u w:val="single" w:color="auto"/>
                <w:color w:val="auto"/>
              </w:rPr>
              <w:t>04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110,974</w:t>
            </w:r>
          </w:p>
        </w:tc>
        <w:tc>
          <w:tcPr>
            <w:tcW w:w="50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85,054</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10.81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540" w:type="dxa"/>
            <w:vAlign w:val="bottom"/>
            <w:gridSpan w:val="2"/>
            <w:vMerge w:val="restart"/>
          </w:tcPr>
          <w:p>
            <w:pPr>
              <w:spacing w:after="0"/>
              <w:rPr>
                <w:sz w:val="20"/>
                <w:szCs w:val="20"/>
                <w:color w:val="auto"/>
              </w:rPr>
            </w:pPr>
            <w:r>
              <w:rPr>
                <w:rFonts w:ascii="Arial" w:cs="Arial" w:eastAsia="Arial" w:hAnsi="Arial"/>
                <w:sz w:val="18"/>
                <w:szCs w:val="18"/>
                <w:color w:val="auto"/>
              </w:rPr>
              <w:t>Vested and expected to vest at January 31, 2009</w:t>
            </w:r>
          </w:p>
        </w:tc>
        <w:tc>
          <w:tcPr>
            <w:tcW w:w="58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8540" w:type="dxa"/>
            <w:vAlign w:val="bottom"/>
            <w:gridSpan w:val="2"/>
            <w:vMerge w:val="continue"/>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81,391</w:t>
            </w:r>
          </w:p>
        </w:tc>
        <w:tc>
          <w:tcPr>
            <w:tcW w:w="280" w:type="dxa"/>
            <w:vAlign w:val="bottom"/>
          </w:tcPr>
          <w:p>
            <w:pPr>
              <w:spacing w:after="0"/>
              <w:rPr>
                <w:sz w:val="18"/>
                <w:szCs w:val="18"/>
                <w:color w:val="auto"/>
              </w:rPr>
            </w:pP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w w:val="93"/>
              </w:rPr>
              <w:t>10.80</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January 31, 2009</w:t>
            </w: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48,584</w:t>
            </w:r>
          </w:p>
        </w:tc>
        <w:tc>
          <w:tcPr>
            <w:tcW w:w="28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jc w:val="both"/>
        <w:ind w:right="200" w:firstLine="456"/>
        <w:spacing w:after="0" w:line="259" w:lineRule="auto"/>
        <w:rPr>
          <w:sz w:val="20"/>
          <w:szCs w:val="20"/>
          <w:color w:val="auto"/>
        </w:rPr>
      </w:pPr>
      <w:r>
        <w:rPr>
          <w:rFonts w:ascii="Arial" w:cs="Arial" w:eastAsia="Arial" w:hAnsi="Arial"/>
          <w:sz w:val="18"/>
          <w:szCs w:val="18"/>
          <w:color w:val="auto"/>
        </w:rPr>
        <w:t>Included in the preceding table are options for 2,073,800 common shares granted to the Company’s officers at exercise prices ranging between $6.84 and $24.80 that will become exercisable only upon the achievement of specified annual earnings per share targets or achievement of certain operating performance criteria through fiscal 2014.</w:t>
      </w:r>
    </w:p>
    <w:p>
      <w:pPr>
        <w:spacing w:after="0" w:line="14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Company has granted performance based options to executives contingent upon achieving pro forma earnings per share (“EPS”) targets. Pro forma EPS will be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including purchase accounting</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318" w:lineRule="auto"/>
        <w:rPr>
          <w:sz w:val="20"/>
          <w:szCs w:val="20"/>
          <w:color w:val="auto"/>
        </w:rPr>
      </w:pPr>
      <w:r>
        <w:rPr>
          <w:rFonts w:ascii="Arial" w:cs="Arial" w:eastAsia="Arial" w:hAnsi="Arial"/>
          <w:sz w:val="15"/>
          <w:szCs w:val="15"/>
          <w:color w:val="auto"/>
        </w:rPr>
        <w:t>adjustments for inventory and other write-off related expenses by adding to GAAP EPS amortization and write-off of acquired intangible assets and acquired in-process research and development. Share options were granted at the fair market value on the date of grant and fully vest upon achievement of these earnings per share targets within a four-year period. The contractual lives of the options are 10 years from the date of grant. The fair value of the each performance option grant that is expected to vest under these conditions was estimated on the date of grant using the same option valuation model for options granted under the Company’s Option Plan. If such goals are not met, no compensation expense is recognized and any previously recognized compensation expense is reversed.</w:t>
      </w:r>
    </w:p>
    <w:p>
      <w:pPr>
        <w:spacing w:after="0" w:line="10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In the third quarter of fiscal 2009, the Company estimated that specified annual earnings per share targets for common shares granted to certain officers may not be achieved by fiscal 2010 and fiscal 2011. As a result, the Company reversed $6.7 million of stock-based compensation recorded from inception through November 1, 2008 for these common shares granted to certain officers. The underlying stock options continue to be treated as outstanding until the performance period lapses.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aggregate intrinsic value and weighted average remaining contractual term of options vested and expected to vest at January 31, 2009 was</w:t>
      </w:r>
    </w:p>
    <w:p>
      <w:pPr>
        <w:spacing w:after="0" w:line="38" w:lineRule="exact"/>
        <w:rPr>
          <w:sz w:val="20"/>
          <w:szCs w:val="20"/>
          <w:color w:val="auto"/>
        </w:rPr>
      </w:pPr>
    </w:p>
    <w:p>
      <w:pPr>
        <w:jc w:val="both"/>
        <w:ind w:right="120"/>
        <w:spacing w:after="0" w:line="255" w:lineRule="auto"/>
        <w:rPr>
          <w:sz w:val="20"/>
          <w:szCs w:val="20"/>
          <w:color w:val="auto"/>
        </w:rPr>
      </w:pPr>
      <w:r>
        <w:rPr>
          <w:rFonts w:ascii="Arial" w:cs="Arial" w:eastAsia="Arial" w:hAnsi="Arial"/>
          <w:sz w:val="18"/>
          <w:szCs w:val="18"/>
          <w:color w:val="auto"/>
        </w:rPr>
        <w:t>$51.2 million and 6.0 years, respectively. The aggregate intrinsic value and weighted average remaining contractual term of options exercisable at January 31, 2009 was $45.7 million and 4.2 years, respectively. The aggregate intrinsic value is calculated based on the Company’s closing stock price for all in-the-money options as of January 31, 2009.</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stock-based arrangement as follows (in thousands, except for prices):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11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3"/>
              </w:rPr>
              <w:t>Nonvested</w:t>
            </w:r>
          </w:p>
        </w:tc>
        <w:tc>
          <w:tcPr>
            <w:tcW w:w="360" w:type="dxa"/>
            <w:vAlign w:val="bottom"/>
          </w:tcPr>
          <w:p>
            <w:pPr>
              <w:spacing w:after="0"/>
              <w:rPr>
                <w:sz w:val="14"/>
                <w:szCs w:val="14"/>
                <w:color w:val="auto"/>
              </w:rPr>
            </w:pP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320" w:type="dxa"/>
            <w:vAlign w:val="bottom"/>
          </w:tcPr>
          <w:p>
            <w:pPr>
              <w:spacing w:after="0"/>
              <w:rPr>
                <w:sz w:val="12"/>
                <w:szCs w:val="12"/>
                <w:color w:val="auto"/>
              </w:rPr>
            </w:pPr>
          </w:p>
        </w:tc>
        <w:tc>
          <w:tcPr>
            <w:tcW w:w="114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7"/>
              </w:rPr>
              <w:t>Restricted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320" w:type="dxa"/>
            <w:vAlign w:val="bottom"/>
          </w:tcPr>
          <w:p>
            <w:pPr>
              <w:spacing w:after="0"/>
              <w:rPr>
                <w:sz w:val="12"/>
                <w:szCs w:val="12"/>
                <w:color w:val="auto"/>
              </w:rPr>
            </w:pPr>
          </w:p>
        </w:tc>
        <w:tc>
          <w:tcPr>
            <w:tcW w:w="114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3"/>
              </w:rPr>
              <w:t>Stock</w:t>
            </w:r>
          </w:p>
        </w:tc>
        <w:tc>
          <w:tcPr>
            <w:tcW w:w="360" w:type="dxa"/>
            <w:vAlign w:val="bottom"/>
          </w:tcPr>
          <w:p>
            <w:pPr>
              <w:spacing w:after="0"/>
              <w:rPr>
                <w:sz w:val="12"/>
                <w:szCs w:val="12"/>
                <w:color w:val="auto"/>
              </w:rPr>
            </w:pPr>
          </w:p>
        </w:tc>
        <w:tc>
          <w:tcPr>
            <w:tcW w:w="6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2"/>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11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7"/>
              </w:rPr>
              <w:t>Outstanding</w:t>
            </w:r>
          </w:p>
        </w:tc>
        <w:tc>
          <w:tcPr>
            <w:tcW w:w="360" w:type="dxa"/>
            <w:vAlign w:val="bottom"/>
          </w:tcPr>
          <w:p>
            <w:pPr>
              <w:spacing w:after="0"/>
              <w:rPr>
                <w:sz w:val="14"/>
                <w:szCs w:val="14"/>
                <w:color w:val="auto"/>
              </w:rPr>
            </w:pP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72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center"/>
              <w:ind w:left="257"/>
              <w:spacing w:after="0"/>
              <w:rPr>
                <w:sz w:val="20"/>
                <w:szCs w:val="20"/>
                <w:color w:val="auto"/>
              </w:rPr>
            </w:pPr>
            <w:r>
              <w:rPr>
                <w:rFonts w:ascii="Arial" w:cs="Arial" w:eastAsia="Arial" w:hAnsi="Arial"/>
                <w:sz w:val="18"/>
                <w:szCs w:val="18"/>
                <w:color w:val="auto"/>
                <w:w w:val="84"/>
              </w:rPr>
              <w:t>2,720</w:t>
            </w:r>
          </w:p>
        </w:tc>
        <w:tc>
          <w:tcPr>
            <w:tcW w:w="42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20.10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(12)</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19.</w:t>
            </w:r>
            <w:r>
              <w:rPr>
                <w:rFonts w:ascii="Arial" w:cs="Arial" w:eastAsia="Arial" w:hAnsi="Arial"/>
                <w:sz w:val="18"/>
                <w:szCs w:val="18"/>
                <w:u w:val="single" w:color="auto"/>
                <w:color w:val="auto"/>
              </w:rPr>
              <w:t>79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3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720" w:type="dxa"/>
            <w:vAlign w:val="bottom"/>
            <w:shd w:val="clear" w:color="auto" w:fill="CCEEFF"/>
          </w:tcPr>
          <w:p>
            <w:pPr>
              <w:jc w:val="center"/>
              <w:ind w:left="257"/>
              <w:spacing w:after="0"/>
              <w:rPr>
                <w:sz w:val="20"/>
                <w:szCs w:val="20"/>
                <w:color w:val="auto"/>
              </w:rPr>
            </w:pPr>
            <w:r>
              <w:rPr>
                <w:rFonts w:ascii="Arial" w:cs="Arial" w:eastAsia="Arial" w:hAnsi="Arial"/>
                <w:sz w:val="18"/>
                <w:szCs w:val="18"/>
                <w:color w:val="auto"/>
                <w:w w:val="84"/>
              </w:rPr>
              <w:t>2,708</w:t>
            </w:r>
          </w:p>
        </w:tc>
        <w:tc>
          <w:tcPr>
            <w:tcW w:w="4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center"/>
              <w:ind w:left="257"/>
              <w:spacing w:after="0"/>
              <w:rPr>
                <w:sz w:val="20"/>
                <w:szCs w:val="20"/>
                <w:color w:val="auto"/>
              </w:rPr>
            </w:pPr>
            <w:r>
              <w:rPr>
                <w:rFonts w:ascii="Arial" w:cs="Arial" w:eastAsia="Arial" w:hAnsi="Arial"/>
                <w:sz w:val="18"/>
                <w:szCs w:val="18"/>
                <w:color w:val="auto"/>
                <w:w w:val="84"/>
              </w:rPr>
              <w:t>3,611</w:t>
            </w:r>
          </w:p>
        </w:tc>
        <w:tc>
          <w:tcPr>
            <w:tcW w:w="42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12.10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40" w:type="dxa"/>
            <w:vAlign w:val="bottom"/>
            <w:gridSpan w:val="2"/>
            <w:shd w:val="clear" w:color="auto" w:fill="CCEEFF"/>
          </w:tcPr>
          <w:p>
            <w:pPr>
              <w:jc w:val="center"/>
              <w:ind w:right="80"/>
              <w:spacing w:after="0"/>
              <w:rPr>
                <w:sz w:val="20"/>
                <w:szCs w:val="20"/>
                <w:color w:val="auto"/>
              </w:rPr>
            </w:pPr>
            <w:r>
              <w:rPr>
                <w:rFonts w:ascii="Arial" w:cs="Arial" w:eastAsia="Arial" w:hAnsi="Arial"/>
                <w:sz w:val="18"/>
                <w:szCs w:val="18"/>
                <w:color w:val="auto"/>
                <w:w w:val="87"/>
              </w:rPr>
              <w:t>(3,745)</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(463)</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19.05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3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720" w:type="dxa"/>
            <w:vAlign w:val="bottom"/>
            <w:shd w:val="clear" w:color="auto" w:fill="CCEEFF"/>
          </w:tcPr>
          <w:p>
            <w:pPr>
              <w:jc w:val="center"/>
              <w:ind w:left="257"/>
              <w:spacing w:after="0"/>
              <w:rPr>
                <w:sz w:val="20"/>
                <w:szCs w:val="20"/>
                <w:color w:val="auto"/>
              </w:rPr>
            </w:pPr>
            <w:r>
              <w:rPr>
                <w:rFonts w:ascii="Arial" w:cs="Arial" w:eastAsia="Arial" w:hAnsi="Arial"/>
                <w:sz w:val="18"/>
                <w:szCs w:val="18"/>
                <w:color w:val="auto"/>
                <w:w w:val="84"/>
              </w:rPr>
              <w:t>2,111</w:t>
            </w:r>
          </w:p>
        </w:tc>
        <w:tc>
          <w:tcPr>
            <w:tcW w:w="4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center"/>
              <w:ind w:left="257"/>
              <w:spacing w:after="0"/>
              <w:rPr>
                <w:sz w:val="20"/>
                <w:szCs w:val="20"/>
                <w:color w:val="auto"/>
              </w:rPr>
            </w:pPr>
            <w:r>
              <w:rPr>
                <w:rFonts w:ascii="Arial" w:cs="Arial" w:eastAsia="Arial" w:hAnsi="Arial"/>
                <w:sz w:val="18"/>
                <w:szCs w:val="18"/>
                <w:color w:val="auto"/>
                <w:w w:val="84"/>
              </w:rPr>
              <w:t>5,859</w:t>
            </w:r>
          </w:p>
        </w:tc>
        <w:tc>
          <w:tcPr>
            <w:tcW w:w="42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8.71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40" w:type="dxa"/>
            <w:vAlign w:val="bottom"/>
            <w:gridSpan w:val="2"/>
            <w:shd w:val="clear" w:color="auto" w:fill="CCEEFF"/>
          </w:tcPr>
          <w:p>
            <w:pPr>
              <w:jc w:val="center"/>
              <w:ind w:right="80"/>
              <w:spacing w:after="0"/>
              <w:rPr>
                <w:sz w:val="20"/>
                <w:szCs w:val="20"/>
                <w:color w:val="auto"/>
              </w:rPr>
            </w:pPr>
            <w:r>
              <w:rPr>
                <w:rFonts w:ascii="Arial" w:cs="Arial" w:eastAsia="Arial" w:hAnsi="Arial"/>
                <w:sz w:val="18"/>
                <w:szCs w:val="18"/>
                <w:color w:val="auto"/>
                <w:w w:val="87"/>
              </w:rPr>
              <w:t>(1,135)</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(336)</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3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720" w:type="dxa"/>
            <w:vAlign w:val="bottom"/>
            <w:shd w:val="clear" w:color="auto" w:fill="CCEEFF"/>
          </w:tcPr>
          <w:p>
            <w:pPr>
              <w:jc w:val="center"/>
              <w:ind w:left="257"/>
              <w:spacing w:after="0"/>
              <w:rPr>
                <w:sz w:val="20"/>
                <w:szCs w:val="20"/>
                <w:color w:val="auto"/>
              </w:rPr>
            </w:pPr>
            <w:r>
              <w:rPr>
                <w:rFonts w:ascii="Arial" w:cs="Arial" w:eastAsia="Arial" w:hAnsi="Arial"/>
                <w:sz w:val="18"/>
                <w:szCs w:val="18"/>
                <w:color w:val="auto"/>
                <w:w w:val="84"/>
              </w:rPr>
              <w:t>6,499</w:t>
            </w:r>
          </w:p>
        </w:tc>
        <w:tc>
          <w:tcPr>
            <w:tcW w:w="4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w:t>
            </w:r>
            <w:r>
              <w:rPr>
                <w:rFonts w:ascii="Arial" w:cs="Arial" w:eastAsia="Arial" w:hAnsi="Arial"/>
                <w:sz w:val="18"/>
                <w:szCs w:val="18"/>
                <w:u w:val="single" w:color="auto"/>
                <w:color w:val="auto"/>
              </w:rPr>
              <w:t>58</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3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aggregate intrinsic value and weighted average remaining contractual term of restricted stock vested and expected to vest as of January 31, 2009 was $43.6 million and 1.1 years, respectively. The number of restricted stock that are vested and expected to vest are 5,978,793 shares.</w:t>
      </w:r>
    </w:p>
    <w:p>
      <w:pPr>
        <w:spacing w:after="0" w:line="85"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As of January 31, 2009, compensation costs related to nonvested awards not yet recognized amounted to $269.3 million. The unamortized compensation expense for stock options and restricted stock will be amortized on a straight-line basis and is expected to be recognized over a weighted-average period of 3.1 years and 2.3 years, respectively. Historically, the Company issued new shares to satisfy option exercises.</w:t>
      </w:r>
    </w:p>
    <w:p>
      <w:pPr>
        <w:spacing w:after="0" w:line="9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320"/>
          </w:cols>
          <w:pgMar w:left="240" w:top="459" w:right="3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total intrinsic value of stock options exercised during fiscal 2009, 2008 and 2007 was $65.7 million, $71.1 million and $76.1 million, respectively. 1,135,032 shares and 3,744,722 shares of restricted stock were vested during fiscal 2009 and 2008, respectively. There was no release of vested restricted stock during fiscal 2007.</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Total stock compensation expense for fiscal 2009, 2008 and 2007 are represented by expense categories in the table below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jc w:val="center"/>
              <w:ind w:right="300"/>
              <w:spacing w:after="0"/>
              <w:rPr>
                <w:sz w:val="20"/>
                <w:szCs w:val="20"/>
                <w:color w:val="auto"/>
              </w:rPr>
            </w:pPr>
            <w:r>
              <w:rPr>
                <w:rFonts w:ascii="Arial" w:cs="Arial" w:eastAsia="Arial" w:hAnsi="Arial"/>
                <w:sz w:val="14"/>
                <w:szCs w:val="14"/>
                <w:b w:val="1"/>
                <w:bCs w:val="1"/>
                <w:color w:val="auto"/>
                <w:w w:val="88"/>
              </w:rPr>
              <w:t>Year Ended</w:t>
            </w: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r>
      <w:tr>
        <w:trPr>
          <w:trHeight w:val="129"/>
        </w:trPr>
        <w:tc>
          <w:tcPr>
            <w:tcW w:w="5120" w:type="dxa"/>
            <w:vAlign w:val="bottom"/>
          </w:tcPr>
          <w:p>
            <w:pPr>
              <w:spacing w:after="0"/>
              <w:rPr>
                <w:sz w:val="11"/>
                <w:szCs w:val="11"/>
                <w:color w:val="auto"/>
              </w:rPr>
            </w:pPr>
          </w:p>
        </w:tc>
        <w:tc>
          <w:tcPr>
            <w:tcW w:w="3200" w:type="dxa"/>
            <w:vAlign w:val="bottom"/>
          </w:tcPr>
          <w:p>
            <w:pPr>
              <w:spacing w:after="0"/>
              <w:rPr>
                <w:sz w:val="11"/>
                <w:szCs w:val="11"/>
                <w:color w:val="auto"/>
              </w:rPr>
            </w:pPr>
          </w:p>
        </w:tc>
        <w:tc>
          <w:tcPr>
            <w:tcW w:w="8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31,</w:t>
            </w:r>
          </w:p>
        </w:tc>
        <w:tc>
          <w:tcPr>
            <w:tcW w:w="340" w:type="dxa"/>
            <w:vAlign w:val="bottom"/>
          </w:tcPr>
          <w:p>
            <w:pPr>
              <w:spacing w:after="0"/>
              <w:rPr>
                <w:sz w:val="11"/>
                <w:szCs w:val="11"/>
                <w:color w:val="auto"/>
              </w:rPr>
            </w:pPr>
          </w:p>
        </w:tc>
        <w:tc>
          <w:tcPr>
            <w:tcW w:w="1140" w:type="dxa"/>
            <w:vAlign w:val="bottom"/>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w w:val="90"/>
              </w:rPr>
              <w:t>February 2,</w:t>
            </w:r>
          </w:p>
        </w:tc>
        <w:tc>
          <w:tcPr>
            <w:tcW w:w="8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27,</w:t>
            </w:r>
          </w:p>
        </w:tc>
        <w:tc>
          <w:tcPr>
            <w:tcW w:w="20" w:type="dxa"/>
            <w:vAlign w:val="bottom"/>
          </w:tcPr>
          <w:p>
            <w:pPr>
              <w:spacing w:after="0"/>
              <w:rPr>
                <w:sz w:val="11"/>
                <w:szCs w:val="11"/>
                <w:color w:val="auto"/>
              </w:rPr>
            </w:pPr>
          </w:p>
        </w:tc>
      </w:tr>
      <w:tr>
        <w:trPr>
          <w:trHeight w:val="161"/>
        </w:trPr>
        <w:tc>
          <w:tcPr>
            <w:tcW w:w="51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6"/>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89"/>
              </w:rPr>
              <w:t>2008</w:t>
            </w:r>
          </w:p>
        </w:tc>
        <w:tc>
          <w:tcPr>
            <w:tcW w:w="3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96"/>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4"/>
                <w:szCs w:val="14"/>
                <w:color w:val="auto"/>
              </w:rPr>
            </w:pPr>
          </w:p>
        </w:tc>
      </w:tr>
      <w:tr>
        <w:trPr>
          <w:trHeight w:val="210"/>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11,644</w:t>
            </w:r>
          </w:p>
        </w:tc>
        <w:tc>
          <w:tcPr>
            <w:tcW w:w="50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15,530</w:t>
            </w:r>
          </w:p>
        </w:tc>
        <w:tc>
          <w:tcPr>
            <w:tcW w:w="160" w:type="dxa"/>
            <w:vAlign w:val="bottom"/>
            <w:shd w:val="clear" w:color="auto" w:fill="CCEEFF"/>
          </w:tcPr>
          <w:p>
            <w:pPr>
              <w:jc w:val="right"/>
              <w:ind w:right="6"/>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11,339</w:t>
            </w:r>
          </w:p>
        </w:tc>
        <w:tc>
          <w:tcPr>
            <w:tcW w:w="20" w:type="dxa"/>
            <w:vAlign w:val="bottom"/>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126,895</w:t>
            </w: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w w:val="95"/>
              </w:rPr>
              <w:t>152,249</w:t>
            </w: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121,481</w:t>
            </w:r>
          </w:p>
        </w:tc>
        <w:tc>
          <w:tcPr>
            <w:tcW w:w="20" w:type="dxa"/>
            <w:vAlign w:val="bottom"/>
          </w:tcPr>
          <w:p>
            <w:pPr>
              <w:spacing w:after="0"/>
              <w:rPr>
                <w:sz w:val="18"/>
                <w:szCs w:val="18"/>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25,081</w:t>
            </w: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39,022</w:t>
            </w: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30,452</w:t>
            </w:r>
          </w:p>
        </w:tc>
        <w:tc>
          <w:tcPr>
            <w:tcW w:w="20" w:type="dxa"/>
            <w:vAlign w:val="bottom"/>
          </w:tcPr>
          <w:p>
            <w:pPr>
              <w:spacing w:after="0"/>
              <w:rPr>
                <w:sz w:val="18"/>
                <w:szCs w:val="18"/>
                <w:color w:val="auto"/>
              </w:rPr>
            </w:pPr>
          </w:p>
        </w:tc>
      </w:tr>
      <w:tr>
        <w:trPr>
          <w:trHeight w:val="223"/>
        </w:trPr>
        <w:tc>
          <w:tcPr>
            <w:tcW w:w="51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13,512</w:t>
            </w:r>
          </w:p>
        </w:tc>
        <w:tc>
          <w:tcPr>
            <w:tcW w:w="3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24,179</w:t>
            </w:r>
          </w:p>
        </w:tc>
        <w:tc>
          <w:tcPr>
            <w:tcW w:w="3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28,849</w:t>
            </w:r>
          </w:p>
        </w:tc>
        <w:tc>
          <w:tcPr>
            <w:tcW w:w="20" w:type="dxa"/>
            <w:vAlign w:val="bottom"/>
          </w:tcPr>
          <w:p>
            <w:pPr>
              <w:spacing w:after="0"/>
              <w:rPr>
                <w:sz w:val="19"/>
                <w:szCs w:val="19"/>
                <w:color w:val="auto"/>
              </w:rPr>
            </w:pPr>
          </w:p>
        </w:tc>
      </w:tr>
      <w:tr>
        <w:trPr>
          <w:trHeight w:val="216"/>
        </w:trPr>
        <w:tc>
          <w:tcPr>
            <w:tcW w:w="5120" w:type="dxa"/>
            <w:vAlign w:val="bottom"/>
            <w:shd w:val="clear" w:color="auto" w:fill="CCEEFF"/>
          </w:tcPr>
          <w:p>
            <w:pPr>
              <w:spacing w:after="0"/>
              <w:rPr>
                <w:sz w:val="18"/>
                <w:szCs w:val="18"/>
                <w:color w:val="auto"/>
              </w:rPr>
            </w:pPr>
          </w:p>
        </w:tc>
        <w:tc>
          <w:tcPr>
            <w:tcW w:w="3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177,132</w:t>
            </w:r>
          </w:p>
        </w:tc>
        <w:tc>
          <w:tcPr>
            <w:tcW w:w="50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5"/>
              </w:rPr>
              <w:t>230,980</w:t>
            </w:r>
          </w:p>
        </w:tc>
        <w:tc>
          <w:tcPr>
            <w:tcW w:w="160" w:type="dxa"/>
            <w:vAlign w:val="bottom"/>
            <w:shd w:val="clear" w:color="auto" w:fill="CCEEFF"/>
          </w:tcPr>
          <w:p>
            <w:pPr>
              <w:jc w:val="right"/>
              <w:ind w:right="6"/>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192,121</w:t>
            </w:r>
          </w:p>
        </w:tc>
        <w:tc>
          <w:tcPr>
            <w:tcW w:w="20" w:type="dxa"/>
            <w:vAlign w:val="bottom"/>
          </w:tcPr>
          <w:p>
            <w:pPr>
              <w:spacing w:after="0"/>
              <w:rPr>
                <w:sz w:val="18"/>
                <w:szCs w:val="18"/>
                <w:color w:val="auto"/>
              </w:rPr>
            </w:pPr>
          </w:p>
        </w:tc>
      </w:tr>
      <w:tr>
        <w:trPr>
          <w:trHeight w:val="20"/>
        </w:trPr>
        <w:tc>
          <w:tcPr>
            <w:tcW w:w="5120" w:type="dxa"/>
            <w:vAlign w:val="bottom"/>
          </w:tcPr>
          <w:p>
            <w:pPr>
              <w:spacing w:after="0" w:line="20" w:lineRule="exact"/>
              <w:rPr>
                <w:sz w:val="1"/>
                <w:szCs w:val="1"/>
                <w:color w:val="auto"/>
              </w:rPr>
            </w:pPr>
          </w:p>
        </w:tc>
        <w:tc>
          <w:tcPr>
            <w:tcW w:w="3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Stock-based compensation of $3.6 million and $0.8 million was capitalized in inventory as of January 31, 2009 and February 2, 2008, respectively.</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assumptions were used to calculate the Black-Scholes values for each type of stock instrument: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3"/>
          </w:tcPr>
          <w:p>
            <w:pPr>
              <w:jc w:val="center"/>
              <w:ind w:right="80"/>
              <w:spacing w:after="0"/>
              <w:rPr>
                <w:sz w:val="20"/>
                <w:szCs w:val="20"/>
                <w:color w:val="auto"/>
              </w:rPr>
            </w:pPr>
            <w:r>
              <w:rPr>
                <w:rFonts w:ascii="Arial" w:cs="Arial" w:eastAsia="Arial" w:hAnsi="Arial"/>
                <w:sz w:val="14"/>
                <w:szCs w:val="14"/>
                <w:b w:val="1"/>
                <w:bCs w:val="1"/>
                <w:color w:val="auto"/>
                <w:w w:val="85"/>
              </w:rPr>
              <w:t>Stock Option Plans</w:t>
            </w:r>
          </w:p>
        </w:tc>
        <w:tc>
          <w:tcPr>
            <w:tcW w:w="2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2"/>
          </w:tcPr>
          <w:p>
            <w:pPr>
              <w:jc w:val="center"/>
              <w:ind w:right="420"/>
              <w:spacing w:after="0"/>
              <w:rPr>
                <w:sz w:val="20"/>
                <w:szCs w:val="20"/>
                <w:color w:val="auto"/>
              </w:rPr>
            </w:pPr>
            <w:r>
              <w:rPr>
                <w:rFonts w:ascii="Arial" w:cs="Arial" w:eastAsia="Arial" w:hAnsi="Arial"/>
                <w:sz w:val="14"/>
                <w:szCs w:val="14"/>
                <w:b w:val="1"/>
                <w:bCs w:val="1"/>
                <w:color w:val="auto"/>
                <w:w w:val="90"/>
              </w:rPr>
              <w:t>ESPP</w:t>
            </w:r>
          </w:p>
        </w:tc>
        <w:tc>
          <w:tcPr>
            <w:tcW w:w="2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r>
      <w:tr>
        <w:trPr>
          <w:trHeight w:val="142"/>
        </w:trPr>
        <w:tc>
          <w:tcPr>
            <w:tcW w:w="3720" w:type="dxa"/>
            <w:vAlign w:val="bottom"/>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360" w:type="dxa"/>
            <w:vAlign w:val="bottom"/>
            <w:tcBorders>
              <w:bottom w:val="single" w:sz="8" w:color="auto"/>
            </w:tcBorders>
          </w:tcPr>
          <w:p>
            <w:pPr>
              <w:spacing w:after="0"/>
              <w:rPr>
                <w:sz w:val="12"/>
                <w:szCs w:val="12"/>
                <w:color w:val="auto"/>
              </w:rPr>
            </w:pPr>
          </w:p>
        </w:tc>
        <w:tc>
          <w:tcPr>
            <w:tcW w:w="1140" w:type="dxa"/>
            <w:vAlign w:val="bottom"/>
            <w:tcBorders>
              <w:bottom w:val="single" w:sz="8" w:color="auto"/>
            </w:tcBorders>
            <w:gridSpan w:val="2"/>
          </w:tcPr>
          <w:p>
            <w:pPr>
              <w:jc w:val="center"/>
              <w:ind w:right="420"/>
              <w:spacing w:after="0" w:line="142" w:lineRule="exact"/>
              <w:rPr>
                <w:sz w:val="20"/>
                <w:szCs w:val="20"/>
                <w:color w:val="auto"/>
              </w:rPr>
            </w:pPr>
            <w:r>
              <w:rPr>
                <w:rFonts w:ascii="Arial" w:cs="Arial" w:eastAsia="Arial" w:hAnsi="Arial"/>
                <w:sz w:val="14"/>
                <w:szCs w:val="14"/>
                <w:b w:val="1"/>
                <w:bCs w:val="1"/>
                <w:color w:val="auto"/>
                <w:w w:val="88"/>
              </w:rPr>
              <w:t>Year Ended</w:t>
            </w:r>
          </w:p>
        </w:tc>
        <w:tc>
          <w:tcPr>
            <w:tcW w:w="240" w:type="dxa"/>
            <w:vAlign w:val="bottom"/>
            <w:tcBorders>
              <w:bottom w:val="single" w:sz="8" w:color="auto"/>
            </w:tcBorders>
          </w:tcPr>
          <w:p>
            <w:pPr>
              <w:spacing w:after="0"/>
              <w:rPr>
                <w:sz w:val="12"/>
                <w:szCs w:val="12"/>
                <w:color w:val="auto"/>
              </w:rPr>
            </w:pPr>
          </w:p>
        </w:tc>
        <w:tc>
          <w:tcPr>
            <w:tcW w:w="680" w:type="dxa"/>
            <w:vAlign w:val="bottom"/>
            <w:tcBorders>
              <w:bottom w:val="single" w:sz="8" w:color="auto"/>
            </w:tcBorders>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68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gridSpan w:val="2"/>
          </w:tcPr>
          <w:p>
            <w:pPr>
              <w:jc w:val="center"/>
              <w:ind w:right="420"/>
              <w:spacing w:after="0" w:line="142" w:lineRule="exact"/>
              <w:rPr>
                <w:sz w:val="20"/>
                <w:szCs w:val="20"/>
                <w:color w:val="auto"/>
              </w:rPr>
            </w:pPr>
            <w:r>
              <w:rPr>
                <w:rFonts w:ascii="Arial" w:cs="Arial" w:eastAsia="Arial" w:hAnsi="Arial"/>
                <w:sz w:val="14"/>
                <w:szCs w:val="14"/>
                <w:b w:val="1"/>
                <w:bCs w:val="1"/>
                <w:color w:val="auto"/>
                <w:w w:val="85"/>
              </w:rPr>
              <w:t>Year Ended</w:t>
            </w:r>
          </w:p>
        </w:tc>
        <w:tc>
          <w:tcPr>
            <w:tcW w:w="26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140" w:type="dxa"/>
            <w:vAlign w:val="bottom"/>
          </w:tcPr>
          <w:p>
            <w:pPr>
              <w:spacing w:after="0"/>
              <w:rPr>
                <w:sz w:val="12"/>
                <w:szCs w:val="12"/>
                <w:color w:val="auto"/>
              </w:rPr>
            </w:pPr>
          </w:p>
        </w:tc>
      </w:tr>
      <w:tr>
        <w:trPr>
          <w:trHeight w:val="129"/>
        </w:trPr>
        <w:tc>
          <w:tcPr>
            <w:tcW w:w="3720" w:type="dxa"/>
            <w:vAlign w:val="bottom"/>
          </w:tcPr>
          <w:p>
            <w:pPr>
              <w:spacing w:after="0"/>
              <w:rPr>
                <w:sz w:val="11"/>
                <w:szCs w:val="11"/>
                <w:color w:val="auto"/>
              </w:rPr>
            </w:pPr>
          </w:p>
        </w:tc>
        <w:tc>
          <w:tcPr>
            <w:tcW w:w="1000" w:type="dxa"/>
            <w:vAlign w:val="bottom"/>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5"/>
              </w:rPr>
              <w:t>January 31,</w:t>
            </w:r>
          </w:p>
        </w:tc>
        <w:tc>
          <w:tcPr>
            <w:tcW w:w="360" w:type="dxa"/>
            <w:vAlign w:val="bottom"/>
          </w:tcPr>
          <w:p>
            <w:pPr>
              <w:spacing w:after="0"/>
              <w:rPr>
                <w:sz w:val="11"/>
                <w:szCs w:val="11"/>
                <w:color w:val="auto"/>
              </w:rPr>
            </w:pPr>
          </w:p>
        </w:tc>
        <w:tc>
          <w:tcPr>
            <w:tcW w:w="114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92"/>
              </w:rPr>
              <w:t>February 2,</w:t>
            </w:r>
          </w:p>
        </w:tc>
        <w:tc>
          <w:tcPr>
            <w:tcW w:w="240" w:type="dxa"/>
            <w:vAlign w:val="bottom"/>
          </w:tcPr>
          <w:p>
            <w:pPr>
              <w:spacing w:after="0"/>
              <w:rPr>
                <w:sz w:val="11"/>
                <w:szCs w:val="11"/>
                <w:color w:val="auto"/>
              </w:rPr>
            </w:pPr>
          </w:p>
        </w:tc>
        <w:tc>
          <w:tcPr>
            <w:tcW w:w="68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5"/>
              </w:rPr>
              <w:t>January 27,</w:t>
            </w:r>
          </w:p>
        </w:tc>
        <w:tc>
          <w:tcPr>
            <w:tcW w:w="680" w:type="dxa"/>
            <w:vAlign w:val="bottom"/>
          </w:tcPr>
          <w:p>
            <w:pPr>
              <w:spacing w:after="0"/>
              <w:rPr>
                <w:sz w:val="11"/>
                <w:szCs w:val="11"/>
                <w:color w:val="auto"/>
              </w:rPr>
            </w:pPr>
          </w:p>
        </w:tc>
        <w:tc>
          <w:tcPr>
            <w:tcW w:w="1380" w:type="dxa"/>
            <w:vAlign w:val="bottom"/>
            <w:gridSpan w:val="2"/>
          </w:tcPr>
          <w:p>
            <w:pPr>
              <w:jc w:val="right"/>
              <w:ind w:right="68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120" w:type="dxa"/>
            <w:vAlign w:val="bottom"/>
            <w:gridSpan w:val="2"/>
          </w:tcPr>
          <w:p>
            <w:pPr>
              <w:jc w:val="center"/>
              <w:ind w:right="420"/>
              <w:spacing w:after="0" w:line="129" w:lineRule="exact"/>
              <w:rPr>
                <w:sz w:val="20"/>
                <w:szCs w:val="20"/>
                <w:color w:val="auto"/>
              </w:rPr>
            </w:pPr>
            <w:r>
              <w:rPr>
                <w:rFonts w:ascii="Arial" w:cs="Arial" w:eastAsia="Arial" w:hAnsi="Arial"/>
                <w:sz w:val="14"/>
                <w:szCs w:val="14"/>
                <w:b w:val="1"/>
                <w:bCs w:val="1"/>
                <w:color w:val="auto"/>
                <w:w w:val="92"/>
              </w:rPr>
              <w:t>February 2,</w:t>
            </w:r>
          </w:p>
        </w:tc>
        <w:tc>
          <w:tcPr>
            <w:tcW w:w="260" w:type="dxa"/>
            <w:vAlign w:val="bottom"/>
          </w:tcPr>
          <w:p>
            <w:pPr>
              <w:spacing w:after="0"/>
              <w:rPr>
                <w:sz w:val="11"/>
                <w:szCs w:val="11"/>
                <w:color w:val="auto"/>
              </w:rPr>
            </w:pP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5"/>
              </w:rPr>
              <w:t>January 27,</w:t>
            </w:r>
          </w:p>
        </w:tc>
        <w:tc>
          <w:tcPr>
            <w:tcW w:w="140" w:type="dxa"/>
            <w:vAlign w:val="bottom"/>
          </w:tcPr>
          <w:p>
            <w:pPr>
              <w:spacing w:after="0"/>
              <w:rPr>
                <w:sz w:val="11"/>
                <w:szCs w:val="11"/>
                <w:color w:val="auto"/>
              </w:rPr>
            </w:pPr>
          </w:p>
        </w:tc>
      </w:tr>
      <w:tr>
        <w:trPr>
          <w:trHeight w:val="161"/>
        </w:trPr>
        <w:tc>
          <w:tcPr>
            <w:tcW w:w="3720" w:type="dxa"/>
            <w:vAlign w:val="bottom"/>
          </w:tcPr>
          <w:p>
            <w:pPr>
              <w:spacing w:after="0"/>
              <w:rPr>
                <w:sz w:val="14"/>
                <w:szCs w:val="14"/>
                <w:color w:val="auto"/>
              </w:rPr>
            </w:pPr>
          </w:p>
        </w:tc>
        <w:tc>
          <w:tcPr>
            <w:tcW w:w="70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2008</w:t>
            </w: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2007</w:t>
            </w:r>
          </w:p>
        </w:tc>
        <w:tc>
          <w:tcPr>
            <w:tcW w:w="680" w:type="dxa"/>
            <w:vAlign w:val="bottom"/>
          </w:tcPr>
          <w:p>
            <w:pPr>
              <w:spacing w:after="0"/>
              <w:rPr>
                <w:sz w:val="14"/>
                <w:szCs w:val="14"/>
                <w:color w:val="auto"/>
              </w:rPr>
            </w:pPr>
          </w:p>
        </w:tc>
        <w:tc>
          <w:tcPr>
            <w:tcW w:w="70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2009</w:t>
            </w:r>
          </w:p>
        </w:tc>
        <w:tc>
          <w:tcPr>
            <w:tcW w:w="68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2008</w:t>
            </w:r>
          </w:p>
        </w:tc>
        <w:tc>
          <w:tcPr>
            <w:tcW w:w="4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0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2007</w:t>
            </w:r>
          </w:p>
        </w:tc>
        <w:tc>
          <w:tcPr>
            <w:tcW w:w="140" w:type="dxa"/>
            <w:vAlign w:val="bottom"/>
          </w:tcPr>
          <w:p>
            <w:pPr>
              <w:spacing w:after="0"/>
              <w:rPr>
                <w:sz w:val="14"/>
                <w:szCs w:val="14"/>
                <w:color w:val="auto"/>
              </w:rPr>
            </w:pPr>
          </w:p>
        </w:tc>
      </w:tr>
      <w:tr>
        <w:trPr>
          <w:trHeight w:val="210"/>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4.01</w:t>
            </w:r>
          </w:p>
        </w:tc>
        <w:tc>
          <w:tcPr>
            <w:tcW w:w="15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   7.21</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12.85</w:t>
            </w:r>
          </w:p>
        </w:tc>
        <w:tc>
          <w:tcPr>
            <w:tcW w:w="6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   5.39</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6.06</w:t>
            </w:r>
          </w:p>
        </w:tc>
        <w:tc>
          <w:tcPr>
            <w:tcW w:w="4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   3.56</w:t>
            </w: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Volatility</w:t>
            </w: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44%</w:t>
            </w:r>
          </w:p>
        </w:tc>
        <w:tc>
          <w:tcPr>
            <w:tcW w:w="1500" w:type="dxa"/>
            <w:vAlign w:val="bottom"/>
            <w:gridSpan w:val="3"/>
          </w:tcPr>
          <w:p>
            <w:pPr>
              <w:jc w:val="right"/>
              <w:ind w:right="300"/>
              <w:spacing w:after="0"/>
              <w:rPr>
                <w:sz w:val="20"/>
                <w:szCs w:val="20"/>
                <w:color w:val="auto"/>
              </w:rPr>
            </w:pPr>
            <w:r>
              <w:rPr>
                <w:rFonts w:ascii="Arial" w:cs="Arial" w:eastAsia="Arial" w:hAnsi="Arial"/>
                <w:sz w:val="18"/>
                <w:szCs w:val="18"/>
                <w:color w:val="auto"/>
              </w:rPr>
              <w:t>45%</w:t>
            </w:r>
          </w:p>
        </w:tc>
        <w:tc>
          <w:tcPr>
            <w:tcW w:w="1600" w:type="dxa"/>
            <w:vAlign w:val="bottom"/>
            <w:gridSpan w:val="3"/>
          </w:tcPr>
          <w:p>
            <w:pPr>
              <w:jc w:val="right"/>
              <w:ind w:right="540"/>
              <w:spacing w:after="0"/>
              <w:rPr>
                <w:sz w:val="20"/>
                <w:szCs w:val="20"/>
                <w:color w:val="auto"/>
              </w:rPr>
            </w:pPr>
            <w:r>
              <w:rPr>
                <w:rFonts w:ascii="Arial" w:cs="Arial" w:eastAsia="Arial" w:hAnsi="Arial"/>
                <w:sz w:val="18"/>
                <w:szCs w:val="18"/>
                <w:color w:val="auto"/>
              </w:rPr>
              <w:t>59%</w:t>
            </w:r>
          </w:p>
        </w:tc>
        <w:tc>
          <w:tcPr>
            <w:tcW w:w="1380" w:type="dxa"/>
            <w:vAlign w:val="bottom"/>
            <w:gridSpan w:val="2"/>
          </w:tcPr>
          <w:p>
            <w:pPr>
              <w:jc w:val="right"/>
              <w:ind w:right="540"/>
              <w:spacing w:after="0"/>
              <w:rPr>
                <w:sz w:val="20"/>
                <w:szCs w:val="20"/>
                <w:color w:val="auto"/>
              </w:rPr>
            </w:pPr>
            <w:r>
              <w:rPr>
                <w:rFonts w:ascii="Arial" w:cs="Arial" w:eastAsia="Arial" w:hAnsi="Arial"/>
                <w:sz w:val="18"/>
                <w:szCs w:val="18"/>
                <w:color w:val="auto"/>
              </w:rPr>
              <w:t>45%</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45%</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5.2</w:t>
            </w:r>
          </w:p>
        </w:tc>
        <w:tc>
          <w:tcPr>
            <w:tcW w:w="15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4.9</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6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1.3</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4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1.3</w:t>
            </w: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3.1%</w:t>
            </w:r>
          </w:p>
        </w:tc>
        <w:tc>
          <w:tcPr>
            <w:tcW w:w="1500" w:type="dxa"/>
            <w:vAlign w:val="bottom"/>
            <w:gridSpan w:val="3"/>
          </w:tcPr>
          <w:p>
            <w:pPr>
              <w:jc w:val="right"/>
              <w:ind w:right="300"/>
              <w:spacing w:after="0"/>
              <w:rPr>
                <w:sz w:val="20"/>
                <w:szCs w:val="20"/>
                <w:color w:val="auto"/>
              </w:rPr>
            </w:pPr>
            <w:r>
              <w:rPr>
                <w:rFonts w:ascii="Arial" w:cs="Arial" w:eastAsia="Arial" w:hAnsi="Arial"/>
                <w:sz w:val="18"/>
                <w:szCs w:val="18"/>
                <w:color w:val="auto"/>
              </w:rPr>
              <w:t>4.4%</w:t>
            </w:r>
          </w:p>
        </w:tc>
        <w:tc>
          <w:tcPr>
            <w:tcW w:w="1600" w:type="dxa"/>
            <w:vAlign w:val="bottom"/>
            <w:gridSpan w:val="3"/>
          </w:tcPr>
          <w:p>
            <w:pPr>
              <w:jc w:val="right"/>
              <w:ind w:right="540"/>
              <w:spacing w:after="0"/>
              <w:rPr>
                <w:sz w:val="20"/>
                <w:szCs w:val="20"/>
                <w:color w:val="auto"/>
              </w:rPr>
            </w:pPr>
            <w:r>
              <w:rPr>
                <w:rFonts w:ascii="Arial" w:cs="Arial" w:eastAsia="Arial" w:hAnsi="Arial"/>
                <w:sz w:val="18"/>
                <w:szCs w:val="18"/>
                <w:color w:val="auto"/>
              </w:rPr>
              <w:t>4.7%</w:t>
            </w:r>
          </w:p>
        </w:tc>
        <w:tc>
          <w:tcPr>
            <w:tcW w:w="1380" w:type="dxa"/>
            <w:vAlign w:val="bottom"/>
            <w:gridSpan w:val="2"/>
          </w:tcPr>
          <w:p>
            <w:pPr>
              <w:jc w:val="right"/>
              <w:ind w:right="540"/>
              <w:spacing w:after="0"/>
              <w:rPr>
                <w:sz w:val="20"/>
                <w:szCs w:val="20"/>
                <w:color w:val="auto"/>
              </w:rPr>
            </w:pPr>
            <w:r>
              <w:rPr>
                <w:rFonts w:ascii="Arial" w:cs="Arial" w:eastAsia="Arial" w:hAnsi="Arial"/>
                <w:sz w:val="18"/>
                <w:szCs w:val="18"/>
                <w:color w:val="auto"/>
              </w:rPr>
              <w:t>1.8%</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4.7%</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In December 2006, the options granted to five officers and directors of the Company were reformed to reflect higher exercise prices. There was no incremental compensation cost resulting from the modification.</w:t>
      </w:r>
    </w:p>
    <w:p>
      <w:pPr>
        <w:spacing w:after="0" w:line="132"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 management communicated the trading suspension, which lasted until July 13, 2007 when the Company filed all its delinquent SEC reports, to all option holders. As a result, the exercisability of all outstanding options, including vested awards held by certain separated employees, was modified. The Company recorded incremental compensation costs of $8.7 million representing the excess of the fair value of the modified award over the fair value of the original award immediately before filing of the Company’s delinquent SEC reports, on affected awards in the second quarter of fiscal 2008.</w:t>
      </w:r>
    </w:p>
    <w:p>
      <w:pPr>
        <w:spacing w:after="0" w:line="144"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In connection with the remediation steps from the recommendations of the Board of Directors’ Special Committee Regarding Deriviative Litigation upon completion of the review of the Company’s past stock option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practices during the second quarter of fiscal 2008, the Company’s Chief Executive Officer, Dr. Sehat Sutardja agreed to reduce the number of shares received in his December 26, 2003 option grant by 2,000,000 shares, which is the amount of underlying shares mistakenly awarded by the Executive Compensation Committee in excess of that authorized under the applicable stock option plan. Dr. Sutardja continued employment with the Company as Chief Executive Officer. Additionally, the outstanding options of the Company’s former Chief Operating Officer, Weili Dai, that were unvested as of May 6, 2007 have been cancelled and the exercisability of already vested options have been limited, notwithstanding her continued employment. The cancellations of grants were not accompanied by concurrent replacement grants or other valuable consideration. As a result, the cancellations were considered a repurchase with no consideration and in accordance with SFAS 123R, the Company recorded stock compensation expense of $8.4 million in the second quarter of fiscal 2008 for the remaining unrecognized compensation cost as of the date of the cancellation of the awards.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December 2008, the Company filed a tender offer option exchange program under which outstanding employee stock options (other than options held by executive officers) with exercise prices of $12.00 or greater per share could be exchanged for a specified number of restricted stock units based on a predetermined exchange ratio granted with a new vesting period. If the number of restricted stock units to be granted was less than 150 shares, then employees received cash instead of restricted stock units. On January 23, 2009, the Company accepted for cancellation options to purchase 31.1 million common shares and in exchange granted to eligible employees restricted stock units to purchase 3.4 million shares of the Company’s common shares. As a result of the exchange, the Company recorded stock-based compensation expense of $5.1 million in fiscal 2009 under the provisions of SFAS 123R, primarily related to employees who received cash in lieu of replacement restricted stock units.</w:t>
      </w:r>
    </w:p>
    <w:p>
      <w:pPr>
        <w:spacing w:after="0" w:line="118"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November 2007, the Company filed a tender offer to correct the misdated stock options. The tender offer permitted the Company to give employees the opportunity to correct the §409A United States tax issues with the stock options and therefore exercise stock options without incurring a penalty tax. The tender offer amended certain outstanding options and provided restrictive stock unit grants and/or cash payments as set forth under the Offer to Amend the Exercise Price of Certain Options to employees with misdated options. In the fourth quarter of fiscal 2008, the tender offer was completed and stock compensation expense of $5.2 million was recorded in connection with the granting of restricted stock to compensate employees for the increase in the exercise price in correcting the misdated options.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As a result of the Company’s acquisitions, the Company assumed stock options previously granted by the acquired companies. As of January 31, 2009, a total of 1,714,192 common shares were reserved for issuance upon exercise of outstanding options assumed from the acquisitions. The related options are included in the preceding tables. The options vest over four to five years and have eight to ten year terms.</w:t>
      </w:r>
    </w:p>
    <w:p>
      <w:pPr>
        <w:spacing w:after="0" w:line="107"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The adoption of SFAS 123R resulted in a cumulative benefit from change in accounting principle of $8.8 million, net of tax as of the year ended January 27, 2007, reflecting the net cumulative impact of estimated forfeitures that were previously not included in the determination of historic stock based compensation expense in periods prior to January 28, 2006.</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Income Taxes: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U.S. and non-U.S. components of income before income taxes are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3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5"/>
          </w:tcPr>
          <w:p>
            <w:pPr>
              <w:jc w:val="right"/>
              <w:ind w:right="72"/>
              <w:spacing w:after="0"/>
              <w:rPr>
                <w:sz w:val="20"/>
                <w:szCs w:val="20"/>
                <w:color w:val="auto"/>
              </w:rPr>
            </w:pPr>
            <w:r>
              <w:rPr>
                <w:rFonts w:ascii="Arial" w:cs="Arial" w:eastAsia="Arial" w:hAnsi="Arial"/>
                <w:sz w:val="14"/>
                <w:szCs w:val="14"/>
                <w:b w:val="1"/>
                <w:bCs w:val="1"/>
                <w:color w:val="auto"/>
                <w:w w:val="93"/>
              </w:rPr>
              <w:t>Year Ended</w:t>
            </w:r>
          </w:p>
        </w:tc>
        <w:tc>
          <w:tcPr>
            <w:tcW w:w="3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34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440" w:type="dxa"/>
            <w:vAlign w:val="bottom"/>
          </w:tcPr>
          <w:p>
            <w:pPr>
              <w:spacing w:after="0"/>
              <w:rPr>
                <w:sz w:val="11"/>
                <w:szCs w:val="11"/>
                <w:color w:val="auto"/>
              </w:rPr>
            </w:pPr>
          </w:p>
        </w:tc>
        <w:tc>
          <w:tcPr>
            <w:tcW w:w="880" w:type="dxa"/>
            <w:vAlign w:val="bottom"/>
            <w:gridSpan w:val="5"/>
          </w:tcPr>
          <w:p>
            <w:pPr>
              <w:jc w:val="right"/>
              <w:ind w:right="112"/>
              <w:spacing w:after="0" w:line="129" w:lineRule="exact"/>
              <w:rPr>
                <w:sz w:val="20"/>
                <w:szCs w:val="20"/>
                <w:color w:val="auto"/>
              </w:rPr>
            </w:pPr>
            <w:r>
              <w:rPr>
                <w:rFonts w:ascii="Arial" w:cs="Arial" w:eastAsia="Arial" w:hAnsi="Arial"/>
                <w:sz w:val="14"/>
                <w:szCs w:val="14"/>
                <w:b w:val="1"/>
                <w:bCs w:val="1"/>
                <w:color w:val="auto"/>
                <w:w w:val="90"/>
              </w:rPr>
              <w:t>February 2,</w:t>
            </w:r>
          </w:p>
        </w:tc>
        <w:tc>
          <w:tcPr>
            <w:tcW w:w="360" w:type="dxa"/>
            <w:vAlign w:val="bottom"/>
          </w:tcPr>
          <w:p>
            <w:pPr>
              <w:spacing w:after="0"/>
              <w:rPr>
                <w:sz w:val="11"/>
                <w:szCs w:val="11"/>
                <w:color w:val="auto"/>
              </w:rPr>
            </w:pP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8"/>
              </w:rPr>
              <w:t>January 27,</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3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rPr>
              <w:t>2009</w:t>
            </w:r>
          </w:p>
        </w:tc>
        <w:tc>
          <w:tcPr>
            <w:tcW w:w="80" w:type="dxa"/>
            <w:vAlign w:val="bottom"/>
            <w:tcBorders>
              <w:bottom w:val="single" w:sz="8" w:color="auto"/>
            </w:tcBorders>
          </w:tcPr>
          <w:p>
            <w:pPr>
              <w:spacing w:after="0"/>
              <w:rPr>
                <w:sz w:val="14"/>
                <w:szCs w:val="14"/>
                <w:color w:val="auto"/>
              </w:rPr>
            </w:pPr>
          </w:p>
        </w:tc>
        <w:tc>
          <w:tcPr>
            <w:tcW w:w="44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w w:val="89"/>
              </w:rPr>
              <w:t>2008</w:t>
            </w:r>
          </w:p>
        </w:tc>
        <w:tc>
          <w:tcPr>
            <w:tcW w:w="10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w w:val="96"/>
              </w:rPr>
              <w:t>2007</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U.S. operations</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13,783</w:t>
            </w:r>
          </w:p>
        </w:tc>
        <w:tc>
          <w:tcPr>
            <w:tcW w:w="640" w:type="dxa"/>
            <w:vAlign w:val="bottom"/>
            <w:gridSpan w:val="2"/>
            <w:shd w:val="clear" w:color="auto" w:fill="CCEEFF"/>
          </w:tcPr>
          <w:p>
            <w:pPr>
              <w:jc w:val="right"/>
              <w:ind w:right="46"/>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21,998</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16,728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gridSpan w:val="2"/>
          </w:tcPr>
          <w:p>
            <w:pPr>
              <w:spacing w:after="0"/>
              <w:rPr>
                <w:sz w:val="20"/>
                <w:szCs w:val="20"/>
                <w:color w:val="auto"/>
              </w:rPr>
            </w:pPr>
            <w:r>
              <w:rPr>
                <w:rFonts w:ascii="Arial" w:cs="Arial" w:eastAsia="Arial" w:hAnsi="Arial"/>
                <w:sz w:val="18"/>
                <w:szCs w:val="18"/>
                <w:color w:val="auto"/>
              </w:rPr>
              <w:t>Non-U.S. operations</w:t>
            </w:r>
          </w:p>
        </w:tc>
        <w:tc>
          <w:tcPr>
            <w:tcW w:w="1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157,050</w:t>
            </w:r>
          </w:p>
        </w:tc>
        <w:tc>
          <w:tcPr>
            <w:tcW w:w="440" w:type="dxa"/>
            <w:vAlign w:val="bottom"/>
          </w:tcPr>
          <w:p>
            <w:pPr>
              <w:spacing w:after="0"/>
              <w:rPr>
                <w:sz w:val="18"/>
                <w:szCs w:val="18"/>
                <w:color w:val="auto"/>
              </w:rPr>
            </w:pPr>
          </w:p>
        </w:tc>
        <w:tc>
          <w:tcPr>
            <w:tcW w:w="880" w:type="dxa"/>
            <w:vAlign w:val="bottom"/>
            <w:gridSpan w:val="5"/>
          </w:tcPr>
          <w:p>
            <w:pPr>
              <w:jc w:val="right"/>
              <w:ind w:right="32"/>
              <w:spacing w:after="0"/>
              <w:rPr>
                <w:sz w:val="20"/>
                <w:szCs w:val="20"/>
                <w:color w:val="auto"/>
              </w:rPr>
            </w:pPr>
            <w:r>
              <w:rPr>
                <w:rFonts w:ascii="Arial" w:cs="Arial" w:eastAsia="Arial" w:hAnsi="Arial"/>
                <w:sz w:val="18"/>
                <w:szCs w:val="18"/>
                <w:color w:val="auto"/>
                <w:w w:val="98"/>
              </w:rPr>
              <w:t>(139,986)</w:t>
            </w: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(8,060)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6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60" w:type="dxa"/>
            <w:vAlign w:val="bottom"/>
            <w:tcBorders>
              <w:left w:val="single" w:sz="8" w:color="auto"/>
            </w:tcBorders>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63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4"/>
              </w:rPr>
              <w:t>$ 170,833</w:t>
            </w:r>
          </w:p>
        </w:tc>
        <w:tc>
          <w:tcPr>
            <w:tcW w:w="440" w:type="dxa"/>
            <w:vAlign w:val="bottom"/>
            <w:tcBorders>
              <w:right w:val="single" w:sz="8" w:color="CCEEFF"/>
            </w:tcBorders>
            <w:shd w:val="clear" w:color="auto" w:fill="CCEEFF"/>
          </w:tcPr>
          <w:p>
            <w:pPr>
              <w:spacing w:after="0"/>
              <w:rPr>
                <w:sz w:val="18"/>
                <w:szCs w:val="18"/>
                <w:color w:val="auto"/>
              </w:rPr>
            </w:pPr>
          </w:p>
        </w:tc>
        <w:tc>
          <w:tcPr>
            <w:tcW w:w="880" w:type="dxa"/>
            <w:vAlign w:val="bottom"/>
            <w:gridSpan w:val="5"/>
            <w:shd w:val="clear" w:color="auto" w:fill="CCEEFF"/>
          </w:tcPr>
          <w:p>
            <w:pPr>
              <w:jc w:val="right"/>
              <w:ind w:right="32"/>
              <w:spacing w:after="0"/>
              <w:rPr>
                <w:sz w:val="20"/>
                <w:szCs w:val="20"/>
                <w:color w:val="auto"/>
              </w:rPr>
            </w:pPr>
            <w:r>
              <w:rPr>
                <w:rFonts w:ascii="Arial" w:cs="Arial" w:eastAsia="Arial" w:hAnsi="Arial"/>
                <w:sz w:val="18"/>
                <w:szCs w:val="18"/>
                <w:u w:val="single" w:color="auto"/>
                <w:color w:val="auto"/>
                <w:w w:val="82"/>
              </w:rPr>
              <w:t>$</w:t>
            </w:r>
            <w:r>
              <w:rPr>
                <w:rFonts w:ascii="Arial" w:cs="Arial" w:eastAsia="Arial" w:hAnsi="Arial"/>
                <w:sz w:val="18"/>
                <w:szCs w:val="18"/>
                <w:color w:val="auto"/>
                <w:w w:val="82"/>
              </w:rPr>
              <w:t xml:space="preserve"> (117,988)</w:t>
            </w:r>
          </w:p>
        </w:tc>
        <w:tc>
          <w:tcPr>
            <w:tcW w:w="52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8,668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gridSpan w:val="2"/>
            <w:vMerge w:val="restart"/>
          </w:tcPr>
          <w:p>
            <w:pPr>
              <w:ind w:left="440"/>
              <w:spacing w:after="0"/>
              <w:rPr>
                <w:sz w:val="20"/>
                <w:szCs w:val="20"/>
                <w:color w:val="auto"/>
              </w:rPr>
            </w:pPr>
            <w:r>
              <w:rPr>
                <w:rFonts w:ascii="Arial" w:cs="Arial" w:eastAsia="Arial" w:hAnsi="Arial"/>
                <w:sz w:val="18"/>
                <w:szCs w:val="18"/>
                <w:color w:val="auto"/>
              </w:rPr>
              <w:t>The provision for income taxes consists of the following (in thousands):</w:t>
            </w:r>
          </w:p>
        </w:tc>
        <w:tc>
          <w:tcPr>
            <w:tcW w:w="1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6780" w:type="dxa"/>
            <w:vAlign w:val="bottom"/>
            <w:gridSpan w:val="2"/>
            <w:vMerge w:val="continue"/>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gridSpan w:val="5"/>
          </w:tcPr>
          <w:p>
            <w:pPr>
              <w:spacing w:after="0"/>
              <w:rPr>
                <w:sz w:val="20"/>
                <w:szCs w:val="20"/>
                <w:color w:val="auto"/>
              </w:rPr>
            </w:pPr>
            <w:r>
              <w:rPr>
                <w:rFonts w:ascii="Arial" w:cs="Arial" w:eastAsia="Arial" w:hAnsi="Arial"/>
                <w:sz w:val="14"/>
                <w:szCs w:val="14"/>
                <w:b w:val="1"/>
                <w:bCs w:val="1"/>
                <w:color w:val="auto"/>
              </w:rPr>
              <w:t>Year Ended</w:t>
            </w:r>
          </w:p>
        </w:tc>
        <w:tc>
          <w:tcPr>
            <w:tcW w:w="36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34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90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440" w:type="dxa"/>
            <w:vAlign w:val="bottom"/>
          </w:tcPr>
          <w:p>
            <w:pPr>
              <w:spacing w:after="0"/>
              <w:rPr>
                <w:sz w:val="11"/>
                <w:szCs w:val="11"/>
                <w:color w:val="auto"/>
              </w:rPr>
            </w:pPr>
          </w:p>
        </w:tc>
        <w:tc>
          <w:tcPr>
            <w:tcW w:w="88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360" w:type="dxa"/>
            <w:vAlign w:val="bottom"/>
          </w:tcPr>
          <w:p>
            <w:pPr>
              <w:spacing w:after="0"/>
              <w:rPr>
                <w:sz w:val="11"/>
                <w:szCs w:val="11"/>
                <w:color w:val="auto"/>
              </w:rPr>
            </w:pP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8"/>
              </w:rPr>
              <w:t>January 27,</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3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80" w:type="dxa"/>
            <w:vAlign w:val="bottom"/>
            <w:gridSpan w:val="3"/>
          </w:tcPr>
          <w:p>
            <w:pPr>
              <w:jc w:val="right"/>
              <w:ind w:right="135"/>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96"/>
              </w:rPr>
              <w:t>2007</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Current income tax expense:</w:t>
            </w:r>
          </w:p>
        </w:tc>
        <w:tc>
          <w:tcPr>
            <w:tcW w:w="12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left w:val="single" w:sz="8" w:color="CCEEFF"/>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gridSpan w:val="2"/>
          </w:tcPr>
          <w:p>
            <w:pPr>
              <w:ind w:left="420"/>
              <w:spacing w:after="0"/>
              <w:rPr>
                <w:sz w:val="20"/>
                <w:szCs w:val="20"/>
                <w:color w:val="auto"/>
              </w:rPr>
            </w:pPr>
            <w:r>
              <w:rPr>
                <w:rFonts w:ascii="Arial" w:cs="Arial" w:eastAsia="Arial" w:hAnsi="Arial"/>
                <w:sz w:val="18"/>
                <w:szCs w:val="18"/>
                <w:color w:val="auto"/>
              </w:rPr>
              <w:t>Federal</w:t>
            </w:r>
          </w:p>
        </w:tc>
        <w:tc>
          <w:tcPr>
            <w:tcW w:w="1380" w:type="dxa"/>
            <w:vAlign w:val="bottom"/>
            <w:gridSpan w:val="2"/>
          </w:tcPr>
          <w:p>
            <w:pPr>
              <w:ind w:left="1280"/>
              <w:spacing w:after="0"/>
              <w:rPr>
                <w:sz w:val="20"/>
                <w:szCs w:val="20"/>
                <w:color w:val="auto"/>
              </w:rPr>
            </w:pPr>
            <w:r>
              <w:rPr>
                <w:rFonts w:ascii="Arial" w:cs="Arial" w:eastAsia="Arial" w:hAnsi="Arial"/>
                <w:sz w:val="18"/>
                <w:szCs w:val="18"/>
                <w:color w:val="auto"/>
                <w:w w:val="79"/>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4,231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100"/>
              <w:spacing w:after="0"/>
              <w:rPr>
                <w:sz w:val="20"/>
                <w:szCs w:val="20"/>
                <w:color w:val="auto"/>
              </w:rPr>
            </w:pPr>
            <w:r>
              <w:rPr>
                <w:rFonts w:ascii="Arial" w:cs="Arial" w:eastAsia="Arial" w:hAnsi="Arial"/>
                <w:sz w:val="18"/>
                <w:szCs w:val="18"/>
                <w:color w:val="auto"/>
                <w:w w:val="93"/>
              </w:rPr>
              <w:t>9,832</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w w:val="94"/>
              </w:rPr>
              <w:t>13,858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1,606</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321</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780" w:type="dxa"/>
            <w:vAlign w:val="bottom"/>
            <w:gridSpan w:val="2"/>
          </w:tcPr>
          <w:p>
            <w:pPr>
              <w:ind w:left="420"/>
              <w:spacing w:after="0"/>
              <w:rPr>
                <w:sz w:val="20"/>
                <w:szCs w:val="20"/>
                <w:color w:val="auto"/>
              </w:rPr>
            </w:pPr>
            <w:r>
              <w:rPr>
                <w:rFonts w:ascii="Arial" w:cs="Arial" w:eastAsia="Arial" w:hAnsi="Arial"/>
                <w:sz w:val="18"/>
                <w:szCs w:val="18"/>
                <w:color w:val="auto"/>
              </w:rPr>
              <w:t>Foreign</w:t>
            </w:r>
          </w:p>
        </w:tc>
        <w:tc>
          <w:tcPr>
            <w:tcW w:w="1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35,222</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w:t>
            </w: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4"/>
              </w:rPr>
              <w:t>17,600</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current income tax expense</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41,059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10,222</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31,833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800" w:type="dxa"/>
            <w:vAlign w:val="bottom"/>
            <w:gridSpan w:val="3"/>
          </w:tcPr>
          <w:p>
            <w:pPr>
              <w:spacing w:after="0"/>
              <w:rPr>
                <w:sz w:val="20"/>
                <w:szCs w:val="20"/>
                <w:color w:val="auto"/>
              </w:rPr>
            </w:pPr>
            <w:r>
              <w:rPr>
                <w:rFonts w:ascii="Arial" w:cs="Arial" w:eastAsia="Arial" w:hAnsi="Arial"/>
                <w:sz w:val="18"/>
                <w:szCs w:val="18"/>
                <w:color w:val="auto"/>
              </w:rPr>
              <w:t>Deferred income tax expense (benefit):</w:t>
            </w:r>
          </w:p>
        </w:tc>
        <w:tc>
          <w:tcPr>
            <w:tcW w:w="1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480" w:type="dxa"/>
            <w:vAlign w:val="bottom"/>
            <w:tcBorders>
              <w:top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4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460" w:type="dxa"/>
            <w:vAlign w:val="bottom"/>
            <w:tcBorders>
              <w:top w:val="single" w:sz="8" w:color="auto"/>
            </w:tcBorders>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7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3,793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(2,135)</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gridSpan w:val="2"/>
          </w:tcPr>
          <w:p>
            <w:pPr>
              <w:ind w:left="420"/>
              <w:spacing w:after="0"/>
              <w:rPr>
                <w:sz w:val="20"/>
                <w:szCs w:val="20"/>
                <w:color w:val="auto"/>
              </w:rPr>
            </w:pPr>
            <w:r>
              <w:rPr>
                <w:rFonts w:ascii="Arial" w:cs="Arial" w:eastAsia="Arial" w:hAnsi="Arial"/>
                <w:sz w:val="18"/>
                <w:szCs w:val="18"/>
                <w:color w:val="auto"/>
              </w:rPr>
              <w:t>State</w:t>
            </w:r>
          </w:p>
        </w:tc>
        <w:tc>
          <w:tcPr>
            <w:tcW w:w="1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80"/>
              <w:spacing w:after="0"/>
              <w:rPr>
                <w:sz w:val="20"/>
                <w:szCs w:val="20"/>
                <w:color w:val="auto"/>
              </w:rPr>
            </w:pPr>
            <w:r>
              <w:rPr>
                <w:rFonts w:ascii="Arial" w:cs="Arial" w:eastAsia="Arial" w:hAnsi="Arial"/>
                <w:sz w:val="18"/>
                <w:szCs w:val="18"/>
                <w:color w:val="auto"/>
              </w:rPr>
              <w:t>(523)</w:t>
            </w:r>
          </w:p>
        </w:tc>
        <w:tc>
          <w:tcPr>
            <w:tcW w:w="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(758)</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(1,559)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w w:val="92"/>
              </w:rPr>
              <w:t>(20,738)</w:t>
            </w:r>
          </w:p>
        </w:tc>
        <w:tc>
          <w:tcPr>
            <w:tcW w:w="80" w:type="dxa"/>
            <w:vAlign w:val="bottom"/>
            <w:shd w:val="clear" w:color="auto" w:fill="CCEEFF"/>
          </w:tcPr>
          <w:p>
            <w:pPr>
              <w:spacing w:after="0"/>
              <w:rPr>
                <w:sz w:val="18"/>
                <w:szCs w:val="18"/>
                <w:color w:val="auto"/>
              </w:rPr>
            </w:pPr>
          </w:p>
        </w:tc>
        <w:tc>
          <w:tcPr>
            <w:tcW w:w="118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(10,890)</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6,311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800" w:type="dxa"/>
            <w:vAlign w:val="bottom"/>
            <w:gridSpan w:val="3"/>
            <w:vMerge w:val="restart"/>
          </w:tcPr>
          <w:p>
            <w:pPr>
              <w:spacing w:after="0"/>
              <w:rPr>
                <w:sz w:val="20"/>
                <w:szCs w:val="20"/>
                <w:color w:val="auto"/>
              </w:rPr>
            </w:pPr>
            <w:r>
              <w:rPr>
                <w:rFonts w:ascii="Arial" w:cs="Arial" w:eastAsia="Arial" w:hAnsi="Arial"/>
                <w:sz w:val="18"/>
                <w:szCs w:val="18"/>
                <w:color w:val="auto"/>
              </w:rPr>
              <w:t>Total deferred income tax expense (benefit)</w:t>
            </w:r>
          </w:p>
        </w:tc>
        <w:tc>
          <w:tcPr>
            <w:tcW w:w="1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Borders>
              <w:right w:val="single" w:sz="8" w:color="auto"/>
            </w:tcBorders>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6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800" w:type="dxa"/>
            <w:vAlign w:val="bottom"/>
            <w:gridSpan w:val="3"/>
            <w:vMerge w:val="continue"/>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3"/>
          </w:tcPr>
          <w:p>
            <w:pPr>
              <w:jc w:val="right"/>
              <w:ind w:right="80"/>
              <w:spacing w:after="0"/>
              <w:rPr>
                <w:sz w:val="20"/>
                <w:szCs w:val="20"/>
                <w:color w:val="auto"/>
              </w:rPr>
            </w:pPr>
            <w:r>
              <w:rPr>
                <w:rFonts w:ascii="Arial" w:cs="Arial" w:eastAsia="Arial" w:hAnsi="Arial"/>
                <w:sz w:val="18"/>
                <w:szCs w:val="18"/>
                <w:color w:val="auto"/>
                <w:w w:val="92"/>
              </w:rPr>
              <w:t>(17,468)</w:t>
            </w:r>
          </w:p>
        </w:tc>
        <w:tc>
          <w:tcPr>
            <w:tcW w:w="80" w:type="dxa"/>
            <w:vAlign w:val="bottom"/>
          </w:tcPr>
          <w:p>
            <w:pPr>
              <w:spacing w:after="0"/>
              <w:rPr>
                <w:sz w:val="19"/>
                <w:szCs w:val="19"/>
                <w:color w:val="auto"/>
              </w:rPr>
            </w:pPr>
          </w:p>
        </w:tc>
        <w:tc>
          <w:tcPr>
            <w:tcW w:w="1180" w:type="dxa"/>
            <w:vAlign w:val="bottom"/>
            <w:gridSpan w:val="4"/>
          </w:tcPr>
          <w:p>
            <w:pPr>
              <w:jc w:val="right"/>
              <w:ind w:right="40"/>
              <w:spacing w:after="0"/>
              <w:rPr>
                <w:sz w:val="20"/>
                <w:szCs w:val="20"/>
                <w:color w:val="auto"/>
              </w:rPr>
            </w:pPr>
            <w:r>
              <w:rPr>
                <w:rFonts w:ascii="Arial" w:cs="Arial" w:eastAsia="Arial" w:hAnsi="Arial"/>
                <w:sz w:val="18"/>
                <w:szCs w:val="18"/>
                <w:color w:val="auto"/>
              </w:rPr>
              <w:t>(13,783)</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(2,224)</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40" w:type="dxa"/>
            <w:vAlign w:val="bottom"/>
          </w:tcPr>
          <w:p>
            <w:pPr>
              <w:spacing w:after="0"/>
              <w:rPr>
                <w:sz w:val="2"/>
                <w:szCs w:val="2"/>
                <w:color w:val="auto"/>
              </w:rPr>
            </w:pPr>
          </w:p>
        </w:tc>
        <w:tc>
          <w:tcPr>
            <w:tcW w:w="6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Borders>
              <w:right w:val="single" w:sz="8" w:color="auto"/>
            </w:tcBorders>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60" w:type="dxa"/>
            <w:vAlign w:val="bottom"/>
            <w:tcBorders>
              <w:left w:val="single" w:sz="8" w:color="auto"/>
            </w:tcBorders>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provision (benefit) for income taxes</w:t>
            </w:r>
          </w:p>
        </w:tc>
        <w:tc>
          <w:tcPr>
            <w:tcW w:w="1380" w:type="dxa"/>
            <w:vAlign w:val="bottom"/>
            <w:gridSpan w:val="2"/>
            <w:shd w:val="clear" w:color="auto" w:fill="CCEEFF"/>
          </w:tcPr>
          <w:p>
            <w:pPr>
              <w:ind w:left="1280"/>
              <w:spacing w:after="0"/>
              <w:rPr>
                <w:sz w:val="20"/>
                <w:szCs w:val="20"/>
                <w:color w:val="auto"/>
              </w:rPr>
            </w:pPr>
            <w:r>
              <w:rPr>
                <w:rFonts w:ascii="Arial" w:cs="Arial" w:eastAsia="Arial" w:hAnsi="Arial"/>
                <w:sz w:val="18"/>
                <w:szCs w:val="18"/>
                <w:color w:val="auto"/>
                <w:w w:val="7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23,591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  (3,561)</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29,609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gridSpan w:val="2"/>
            <w:vMerge w:val="restart"/>
          </w:tcPr>
          <w:p>
            <w:pPr>
              <w:ind w:left="440"/>
              <w:spacing w:after="0"/>
              <w:rPr>
                <w:sz w:val="20"/>
                <w:szCs w:val="20"/>
                <w:color w:val="auto"/>
              </w:rPr>
            </w:pPr>
            <w:r>
              <w:rPr>
                <w:rFonts w:ascii="Arial" w:cs="Arial" w:eastAsia="Arial" w:hAnsi="Arial"/>
                <w:sz w:val="18"/>
                <w:szCs w:val="18"/>
                <w:color w:val="auto"/>
              </w:rPr>
              <w:t>Deferred tax assets (liabilities) consist of the following (in thousands):</w:t>
            </w:r>
          </w:p>
        </w:tc>
        <w:tc>
          <w:tcPr>
            <w:tcW w:w="1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6780" w:type="dxa"/>
            <w:vAlign w:val="bottom"/>
            <w:gridSpan w:val="2"/>
            <w:vMerge w:val="continue"/>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20" w:type="dxa"/>
            <w:vAlign w:val="bottom"/>
            <w:gridSpan w:val="6"/>
          </w:tcPr>
          <w:p>
            <w:pPr>
              <w:jc w:val="center"/>
              <w:ind w:right="520"/>
              <w:spacing w:after="0"/>
              <w:rPr>
                <w:sz w:val="20"/>
                <w:szCs w:val="20"/>
                <w:color w:val="auto"/>
              </w:rPr>
            </w:pPr>
            <w:r>
              <w:rPr>
                <w:rFonts w:ascii="Arial" w:cs="Arial" w:eastAsia="Arial" w:hAnsi="Arial"/>
                <w:sz w:val="14"/>
                <w:szCs w:val="14"/>
                <w:b w:val="1"/>
                <w:bCs w:val="1"/>
                <w:color w:val="auto"/>
                <w:w w:val="92"/>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3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2009</w:t>
            </w:r>
          </w:p>
        </w:tc>
        <w:tc>
          <w:tcPr>
            <w:tcW w:w="200" w:type="dxa"/>
            <w:vAlign w:val="bottom"/>
            <w:tcBorders>
              <w:bottom w:val="single" w:sz="8" w:color="auto"/>
            </w:tcBorders>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80" w:type="dxa"/>
            <w:vAlign w:val="bottom"/>
            <w:tcBorders>
              <w:bottom w:val="single" w:sz="8" w:color="auto"/>
            </w:tcBorders>
          </w:tcPr>
          <w:p>
            <w:pPr>
              <w:spacing w:after="0"/>
              <w:rPr>
                <w:sz w:val="14"/>
                <w:szCs w:val="14"/>
                <w:color w:val="auto"/>
              </w:rPr>
            </w:pPr>
          </w:p>
        </w:tc>
        <w:tc>
          <w:tcPr>
            <w:tcW w:w="4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tcBorders>
              <w:left w:val="single" w:sz="8" w:color="CCEEFF"/>
            </w:tcBorders>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340" w:type="dxa"/>
            <w:vAlign w:val="bottom"/>
          </w:tcPr>
          <w:p>
            <w:pPr>
              <w:ind w:left="440"/>
              <w:spacing w:after="0"/>
              <w:rPr>
                <w:sz w:val="20"/>
                <w:szCs w:val="20"/>
                <w:color w:val="auto"/>
              </w:rPr>
            </w:pPr>
            <w:r>
              <w:rPr>
                <w:rFonts w:ascii="Arial" w:cs="Arial" w:eastAsia="Arial" w:hAnsi="Arial"/>
                <w:sz w:val="18"/>
                <w:szCs w:val="18"/>
                <w:color w:val="auto"/>
              </w:rPr>
              <w:t>Federal and California research and other tax credits</w:t>
            </w:r>
          </w:p>
        </w:tc>
        <w:tc>
          <w:tcPr>
            <w:tcW w:w="1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gridSpan w:val="6"/>
          </w:tcPr>
          <w:p>
            <w:pPr>
              <w:jc w:val="right"/>
              <w:spacing w:after="0"/>
              <w:rPr>
                <w:sz w:val="20"/>
                <w:szCs w:val="20"/>
                <w:color w:val="auto"/>
              </w:rPr>
            </w:pPr>
            <w:r>
              <w:rPr>
                <w:rFonts w:ascii="Arial" w:cs="Arial" w:eastAsia="Arial" w:hAnsi="Arial"/>
                <w:sz w:val="18"/>
                <w:szCs w:val="18"/>
                <w:color w:val="auto"/>
              </w:rPr>
              <w:t>$ 131,558</w:t>
            </w:r>
          </w:p>
        </w:tc>
        <w:tc>
          <w:tcPr>
            <w:tcW w:w="6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92,665</w:t>
            </w: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Reserves and accruals</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30,434</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32,083</w:t>
            </w:r>
          </w:p>
        </w:tc>
        <w:tc>
          <w:tcPr>
            <w:tcW w:w="460" w:type="dxa"/>
            <w:vAlign w:val="bottom"/>
            <w:tcBorders>
              <w:left w:val="single" w:sz="8" w:color="CCEEFF"/>
            </w:tcBorders>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340" w:type="dxa"/>
            <w:vAlign w:val="bottom"/>
          </w:tcPr>
          <w:p>
            <w:pPr>
              <w:ind w:left="440"/>
              <w:spacing w:after="0"/>
              <w:rPr>
                <w:sz w:val="20"/>
                <w:szCs w:val="20"/>
                <w:color w:val="auto"/>
              </w:rPr>
            </w:pPr>
            <w:r>
              <w:rPr>
                <w:rFonts w:ascii="Arial" w:cs="Arial" w:eastAsia="Arial" w:hAnsi="Arial"/>
                <w:sz w:val="18"/>
                <w:szCs w:val="18"/>
                <w:color w:val="auto"/>
              </w:rPr>
              <w:t>Stock compensation</w:t>
            </w:r>
          </w:p>
        </w:tc>
        <w:tc>
          <w:tcPr>
            <w:tcW w:w="1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4,195</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4,173</w:t>
            </w: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operating losses</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24,984</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11,956</w:t>
            </w:r>
          </w:p>
        </w:tc>
        <w:tc>
          <w:tcPr>
            <w:tcW w:w="460" w:type="dxa"/>
            <w:vAlign w:val="bottom"/>
            <w:tcBorders>
              <w:left w:val="single" w:sz="8" w:color="CCEEFF"/>
            </w:tcBorders>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6780" w:type="dxa"/>
            <w:vAlign w:val="bottom"/>
            <w:gridSpan w:val="2"/>
          </w:tcPr>
          <w:p>
            <w:pPr>
              <w:ind w:left="440"/>
              <w:spacing w:after="0"/>
              <w:rPr>
                <w:sz w:val="20"/>
                <w:szCs w:val="20"/>
                <w:color w:val="auto"/>
              </w:rPr>
            </w:pPr>
            <w:r>
              <w:rPr>
                <w:rFonts w:ascii="Arial" w:cs="Arial" w:eastAsia="Arial" w:hAnsi="Arial"/>
                <w:sz w:val="18"/>
                <w:szCs w:val="18"/>
                <w:color w:val="auto"/>
              </w:rPr>
              <w:t>Gross deferred tax assets</w:t>
            </w: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5"/>
              </w:rPr>
              <w:t>191,171</w:t>
            </w:r>
          </w:p>
        </w:tc>
        <w:tc>
          <w:tcPr>
            <w:tcW w:w="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gridSpan w:val="3"/>
          </w:tcPr>
          <w:p>
            <w:pPr>
              <w:jc w:val="right"/>
              <w:spacing w:after="0"/>
              <w:rPr>
                <w:sz w:val="20"/>
                <w:szCs w:val="20"/>
                <w:color w:val="auto"/>
              </w:rPr>
            </w:pPr>
            <w:r>
              <w:rPr>
                <w:rFonts w:ascii="Arial" w:cs="Arial" w:eastAsia="Arial" w:hAnsi="Arial"/>
                <w:sz w:val="18"/>
                <w:szCs w:val="18"/>
                <w:color w:val="auto"/>
                <w:w w:val="89"/>
              </w:rPr>
              <w:t>140,877</w:t>
            </w:r>
          </w:p>
        </w:tc>
        <w:tc>
          <w:tcPr>
            <w:tcW w:w="4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95"/>
              <w:spacing w:after="0"/>
              <w:rPr>
                <w:sz w:val="20"/>
                <w:szCs w:val="20"/>
                <w:color w:val="auto"/>
              </w:rPr>
            </w:pPr>
            <w:r>
              <w:rPr>
                <w:rFonts w:ascii="Arial" w:cs="Arial" w:eastAsia="Arial" w:hAnsi="Arial"/>
                <w:sz w:val="18"/>
                <w:szCs w:val="18"/>
                <w:color w:val="auto"/>
                <w:w w:val="88"/>
              </w:rPr>
              <w:t>(134,576)</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5"/>
              </w:rPr>
              <w:t>(96,977)</w:t>
            </w:r>
          </w:p>
        </w:tc>
        <w:tc>
          <w:tcPr>
            <w:tcW w:w="460" w:type="dxa"/>
            <w:vAlign w:val="bottom"/>
            <w:tcBorders>
              <w:left w:val="single" w:sz="8" w:color="CCEEFF"/>
            </w:tcBorders>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6780" w:type="dxa"/>
            <w:vAlign w:val="bottom"/>
            <w:gridSpan w:val="2"/>
          </w:tcPr>
          <w:p>
            <w:pPr>
              <w:ind w:left="440"/>
              <w:spacing w:after="0"/>
              <w:rPr>
                <w:sz w:val="20"/>
                <w:szCs w:val="20"/>
                <w:color w:val="auto"/>
              </w:rPr>
            </w:pPr>
            <w:r>
              <w:rPr>
                <w:rFonts w:ascii="Arial" w:cs="Arial" w:eastAsia="Arial" w:hAnsi="Arial"/>
                <w:sz w:val="18"/>
                <w:szCs w:val="18"/>
                <w:color w:val="auto"/>
              </w:rPr>
              <w:t>Total deferred tax assets</w:t>
            </w: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56,595</w:t>
            </w:r>
          </w:p>
        </w:tc>
        <w:tc>
          <w:tcPr>
            <w:tcW w:w="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gridSpan w:val="3"/>
          </w:tcPr>
          <w:p>
            <w:pPr>
              <w:jc w:val="right"/>
              <w:spacing w:after="0"/>
              <w:rPr>
                <w:sz w:val="20"/>
                <w:szCs w:val="20"/>
                <w:color w:val="auto"/>
              </w:rPr>
            </w:pPr>
            <w:r>
              <w:rPr>
                <w:rFonts w:ascii="Arial" w:cs="Arial" w:eastAsia="Arial" w:hAnsi="Arial"/>
                <w:sz w:val="18"/>
                <w:szCs w:val="18"/>
                <w:color w:val="auto"/>
              </w:rPr>
              <w:t>43,900</w:t>
            </w:r>
          </w:p>
        </w:tc>
        <w:tc>
          <w:tcPr>
            <w:tcW w:w="4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95"/>
              <w:spacing w:after="0"/>
              <w:rPr>
                <w:sz w:val="20"/>
                <w:szCs w:val="20"/>
                <w:color w:val="auto"/>
              </w:rPr>
            </w:pPr>
            <w:r>
              <w:rPr>
                <w:rFonts w:ascii="Arial" w:cs="Arial" w:eastAsia="Arial" w:hAnsi="Arial"/>
                <w:sz w:val="18"/>
                <w:szCs w:val="18"/>
                <w:color w:val="auto"/>
              </w:rPr>
              <w:t>(637)</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(5,410)</w:t>
            </w:r>
          </w:p>
        </w:tc>
        <w:tc>
          <w:tcPr>
            <w:tcW w:w="460" w:type="dxa"/>
            <w:vAlign w:val="bottom"/>
            <w:tcBorders>
              <w:left w:val="single" w:sz="8" w:color="CCEEFF"/>
            </w:tcBorders>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gridSpan w:val="2"/>
            <w:vMerge w:val="restart"/>
          </w:tcPr>
          <w:p>
            <w:pPr>
              <w:ind w:left="440"/>
              <w:spacing w:after="0"/>
              <w:rPr>
                <w:sz w:val="20"/>
                <w:szCs w:val="20"/>
                <w:color w:val="auto"/>
              </w:rPr>
            </w:pPr>
            <w:r>
              <w:rPr>
                <w:rFonts w:ascii="Arial" w:cs="Arial" w:eastAsia="Arial" w:hAnsi="Arial"/>
                <w:sz w:val="18"/>
                <w:szCs w:val="18"/>
                <w:color w:val="auto"/>
              </w:rPr>
              <w:t>Net deferred tax assets</w:t>
            </w:r>
          </w:p>
        </w:tc>
        <w:tc>
          <w:tcPr>
            <w:tcW w:w="1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gridSpan w:val="3"/>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580" w:type="dxa"/>
            <w:vAlign w:val="bottom"/>
            <w:gridSpan w:val="3"/>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780" w:type="dxa"/>
            <w:vAlign w:val="bottom"/>
            <w:gridSpan w:val="2"/>
            <w:vMerge w:val="continue"/>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55,958</w:t>
            </w:r>
          </w:p>
        </w:tc>
        <w:tc>
          <w:tcPr>
            <w:tcW w:w="6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38,490</w:t>
            </w:r>
          </w:p>
        </w:tc>
        <w:tc>
          <w:tcPr>
            <w:tcW w:w="4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3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non-current portion of the deferred tax assets as of January 31, 2009 and February 2, 2008 is $41.6 million and $23.0 million, respectively, and are included with the Other Noncurrent Assets.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420"/>
          </w:cols>
          <w:pgMar w:left="240" w:top="459" w:right="23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January 31, 2009, the Company had net operating loss carryforwards available to offset future taxable income of approximately $128.9 million,</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$3.4 million and $3.8 million for foreign, U.S. federal and state of California purposes, respectively. The federal carryforwards will expire in various fiscal years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between 2010 and 2023, and the California carryforwards will expire at various fiscal years between 2013 and 2020, if not utilized before these years. The foreign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losses have an indefinite carryforward limit. The Company had, for U.S. federal income tax return purposes, research tax credit carryforwards of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$93.8 million that expire through fiscal 2029. As of January 31, 2009, the Company had unused California research and tax credit carryforwards of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$95.1 million which will carryforward indefinitely. Included in the U.S. federal and California carryforward amounts are $34.7 million and $30.8 million,</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respectively, that are attributable to excess tax benefits from stock options. Upon realization, the benefit associated with these credits will increase additional paid-</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in capital. The Company also has unused research tax credits and investment tax credit carryforwards of approximately $8.1 million in other states that expire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through fiscal 2024.</w:t>
      </w:r>
    </w:p>
    <w:p>
      <w:pPr>
        <w:spacing w:after="0" w:line="16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During fiscal 2009, the Company generated research credits for federal and other states far in excess of its current year tax liabilities. Based on the available objective positive and negative evidence, the Company has determined that it is more likely than not the federal and California research credits and certain acquired net operating losses will not be realized and therefore the Company has provided a full valuation allowance against these benefits. Because it is not clear whether any of the research credit carryforward of $188.9 million will ever be used, the Company estimates that the entire amount will go unused. Therefore, the Company increased the valuation allowance by $37.6 million from fiscal 2008 of which $38.4 million is related to research credits and $0.8 million is related to net operating loss utilization.</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During fiscal 2009, deferred tax assets, net of a corresponding valuation allowance increased $17.4 million from the end of fiscal 2008. Of the</w:t>
      </w:r>
    </w:p>
    <w:p>
      <w:pPr>
        <w:spacing w:after="0" w:line="38" w:lineRule="exact"/>
        <w:rPr>
          <w:sz w:val="20"/>
          <w:szCs w:val="20"/>
          <w:color w:val="auto"/>
        </w:rPr>
      </w:pPr>
    </w:p>
    <w:p>
      <w:pPr>
        <w:ind w:right="100"/>
        <w:spacing w:after="0" w:line="292" w:lineRule="auto"/>
        <w:rPr>
          <w:sz w:val="20"/>
          <w:szCs w:val="20"/>
          <w:color w:val="auto"/>
        </w:rPr>
      </w:pPr>
      <w:r>
        <w:rPr>
          <w:rFonts w:ascii="Arial" w:cs="Arial" w:eastAsia="Arial" w:hAnsi="Arial"/>
          <w:sz w:val="16"/>
          <w:szCs w:val="16"/>
          <w:color w:val="auto"/>
        </w:rPr>
        <w:t>$17.4 million increase $13.8 million relates to a net increase in foreign NOLs and the remaining balance of $3.6 million relates to changes in acquisition related deferred tax assets. During fiscal 2009, there was a net increase in federal and California research credits of $33.9 million with a derecognition of $4.7 million of deferred tax related to tax benefits obtained from stock options due to the adoption of SFAS No. 123(R). During fiscal 2008, there was a net increase in federal and California research credits of $40.8 million and approximately $0.5 million of valuation allowance at the end of fiscal 2008 will be allocated to reduce goodwill, other non-current intangible assets, or reserves, when realized, from companies that the Company had acquired.</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6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2"/>
          </w:tcPr>
          <w:p>
            <w:pPr>
              <w:jc w:val="right"/>
              <w:ind w:right="860"/>
              <w:spacing w:after="0"/>
              <w:rPr>
                <w:sz w:val="20"/>
                <w:szCs w:val="20"/>
                <w:color w:val="auto"/>
              </w:rPr>
            </w:pPr>
            <w:r>
              <w:rPr>
                <w:rFonts w:ascii="Arial" w:cs="Arial" w:eastAsia="Arial" w:hAnsi="Arial"/>
                <w:sz w:val="14"/>
                <w:szCs w:val="14"/>
                <w:b w:val="1"/>
                <w:bCs w:val="1"/>
                <w:color w:val="auto"/>
                <w:w w:val="90"/>
              </w:rPr>
              <w:t>Year Ended</w:t>
            </w:r>
          </w:p>
        </w:tc>
        <w:tc>
          <w:tcPr>
            <w:tcW w:w="70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6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1520" w:type="dxa"/>
            <w:vAlign w:val="bottom"/>
            <w:gridSpan w:val="2"/>
          </w:tcPr>
          <w:p>
            <w:pPr>
              <w:jc w:val="right"/>
              <w:ind w:right="8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580" w:type="dxa"/>
            <w:vAlign w:val="bottom"/>
            <w:gridSpan w:val="2"/>
          </w:tcPr>
          <w:p>
            <w:pPr>
              <w:jc w:val="right"/>
              <w:ind w:right="900"/>
              <w:spacing w:after="0" w:line="129" w:lineRule="exact"/>
              <w:rPr>
                <w:sz w:val="20"/>
                <w:szCs w:val="20"/>
                <w:color w:val="auto"/>
              </w:rPr>
            </w:pPr>
            <w:r>
              <w:rPr>
                <w:rFonts w:ascii="Arial" w:cs="Arial" w:eastAsia="Arial" w:hAnsi="Arial"/>
                <w:sz w:val="14"/>
                <w:szCs w:val="14"/>
                <w:b w:val="1"/>
                <w:bCs w:val="1"/>
                <w:color w:val="auto"/>
                <w:w w:val="87"/>
              </w:rPr>
              <w:t>February 2,</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5"/>
              </w:rPr>
              <w:t>January 27,</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6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7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2009</w:t>
            </w:r>
          </w:p>
        </w:tc>
        <w:tc>
          <w:tcPr>
            <w:tcW w:w="820" w:type="dxa"/>
            <w:vAlign w:val="bottom"/>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2008</w:t>
            </w:r>
          </w:p>
        </w:tc>
        <w:tc>
          <w:tcPr>
            <w:tcW w:w="880" w:type="dxa"/>
            <w:vAlign w:val="bottom"/>
          </w:tcPr>
          <w:p>
            <w:pPr>
              <w:spacing w:after="0"/>
              <w:rPr>
                <w:sz w:val="14"/>
                <w:szCs w:val="14"/>
                <w:color w:val="auto"/>
              </w:rPr>
            </w:pPr>
          </w:p>
        </w:tc>
        <w:tc>
          <w:tcPr>
            <w:tcW w:w="7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2007</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Provision at U.S. notional statutory rate</w:t>
            </w:r>
          </w:p>
        </w:tc>
        <w:tc>
          <w:tcPr>
            <w:tcW w:w="464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35.0%</w:t>
            </w:r>
          </w:p>
        </w:tc>
        <w:tc>
          <w:tcPr>
            <w:tcW w:w="15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(35.0)%</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436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4640" w:type="dxa"/>
            <w:vAlign w:val="bottom"/>
            <w:gridSpan w:val="3"/>
          </w:tcPr>
          <w:p>
            <w:pPr>
              <w:jc w:val="right"/>
              <w:ind w:right="820"/>
              <w:spacing w:after="0"/>
              <w:rPr>
                <w:sz w:val="20"/>
                <w:szCs w:val="20"/>
                <w:color w:val="auto"/>
              </w:rPr>
            </w:pPr>
            <w:r>
              <w:rPr>
                <w:rFonts w:ascii="Arial" w:cs="Arial" w:eastAsia="Arial" w:hAnsi="Arial"/>
                <w:sz w:val="18"/>
                <w:szCs w:val="18"/>
                <w:color w:val="auto"/>
              </w:rPr>
              <w:t>36.9</w:t>
            </w:r>
          </w:p>
        </w:tc>
        <w:tc>
          <w:tcPr>
            <w:tcW w:w="700" w:type="dxa"/>
            <w:vAlign w:val="bottom"/>
          </w:tcPr>
          <w:p>
            <w:pPr>
              <w:jc w:val="right"/>
              <w:spacing w:after="0"/>
              <w:rPr>
                <w:sz w:val="20"/>
                <w:szCs w:val="20"/>
                <w:color w:val="auto"/>
              </w:rPr>
            </w:pPr>
            <w:r>
              <w:rPr>
                <w:rFonts w:ascii="Arial" w:cs="Arial" w:eastAsia="Arial" w:hAnsi="Arial"/>
                <w:sz w:val="18"/>
                <w:szCs w:val="18"/>
                <w:color w:val="auto"/>
              </w:rPr>
              <w:t>69.5</w:t>
            </w:r>
          </w:p>
        </w:tc>
        <w:tc>
          <w:tcPr>
            <w:tcW w:w="8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775.0</w:t>
            </w: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Non-deductible officers’ compensation</w:t>
            </w:r>
          </w:p>
        </w:tc>
        <w:tc>
          <w:tcPr>
            <w:tcW w:w="4640" w:type="dxa"/>
            <w:vAlign w:val="bottom"/>
            <w:gridSpan w:val="3"/>
            <w:shd w:val="clear" w:color="auto" w:fill="CCEEFF"/>
          </w:tcPr>
          <w:p>
            <w:pPr>
              <w:jc w:val="right"/>
              <w:ind w:right="820"/>
              <w:spacing w:after="0"/>
              <w:rPr>
                <w:sz w:val="20"/>
                <w:szCs w:val="20"/>
                <w:color w:val="auto"/>
              </w:rPr>
            </w:pPr>
            <w:r>
              <w:rPr>
                <w:rFonts w:ascii="Arial" w:cs="Arial" w:eastAsia="Arial" w:hAnsi="Arial"/>
                <w:sz w:val="18"/>
                <w:szCs w:val="18"/>
                <w:color w:val="auto"/>
              </w:rPr>
              <w:t>0.0</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8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57.0</w:t>
            </w:r>
          </w:p>
        </w:tc>
        <w:tc>
          <w:tcPr>
            <w:tcW w:w="0" w:type="dxa"/>
            <w:vAlign w:val="bottom"/>
          </w:tcPr>
          <w:p>
            <w:pPr>
              <w:spacing w:after="0"/>
              <w:rPr>
                <w:sz w:val="1"/>
                <w:szCs w:val="1"/>
                <w:color w:val="auto"/>
              </w:rPr>
            </w:pPr>
          </w:p>
        </w:tc>
      </w:tr>
      <w:tr>
        <w:trPr>
          <w:trHeight w:val="216"/>
        </w:trPr>
        <w:tc>
          <w:tcPr>
            <w:tcW w:w="4360" w:type="dxa"/>
            <w:vAlign w:val="bottom"/>
          </w:tcPr>
          <w:p>
            <w:pPr>
              <w:spacing w:after="0"/>
              <w:rPr>
                <w:sz w:val="20"/>
                <w:szCs w:val="20"/>
                <w:color w:val="auto"/>
              </w:rPr>
            </w:pPr>
            <w:r>
              <w:rPr>
                <w:rFonts w:ascii="Arial" w:cs="Arial" w:eastAsia="Arial" w:hAnsi="Arial"/>
                <w:sz w:val="18"/>
                <w:szCs w:val="18"/>
                <w:color w:val="auto"/>
              </w:rPr>
              <w:t>Difference in U.S. and non-U.S. tax rates</w:t>
            </w:r>
          </w:p>
        </w:tc>
        <w:tc>
          <w:tcPr>
            <w:tcW w:w="4640" w:type="dxa"/>
            <w:vAlign w:val="bottom"/>
            <w:gridSpan w:val="3"/>
          </w:tcPr>
          <w:p>
            <w:pPr>
              <w:jc w:val="right"/>
              <w:ind w:right="760"/>
              <w:spacing w:after="0"/>
              <w:rPr>
                <w:sz w:val="20"/>
                <w:szCs w:val="20"/>
                <w:color w:val="auto"/>
              </w:rPr>
            </w:pPr>
            <w:r>
              <w:rPr>
                <w:rFonts w:ascii="Arial" w:cs="Arial" w:eastAsia="Arial" w:hAnsi="Arial"/>
                <w:sz w:val="18"/>
                <w:szCs w:val="18"/>
                <w:color w:val="auto"/>
              </w:rPr>
              <w:t>(59.8)</w:t>
            </w:r>
          </w:p>
        </w:tc>
        <w:tc>
          <w:tcPr>
            <w:tcW w:w="1580" w:type="dxa"/>
            <w:vAlign w:val="bottom"/>
            <w:gridSpan w:val="2"/>
          </w:tcPr>
          <w:p>
            <w:pPr>
              <w:jc w:val="right"/>
              <w:ind w:right="840"/>
              <w:spacing w:after="0"/>
              <w:rPr>
                <w:sz w:val="20"/>
                <w:szCs w:val="20"/>
                <w:color w:val="auto"/>
              </w:rPr>
            </w:pPr>
            <w:r>
              <w:rPr>
                <w:rFonts w:ascii="Arial" w:cs="Arial" w:eastAsia="Arial" w:hAnsi="Arial"/>
                <w:sz w:val="18"/>
                <w:szCs w:val="18"/>
                <w:color w:val="auto"/>
              </w:rPr>
              <w:t>(34.8)</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(928.7)</w:t>
            </w: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State taxes, net of federal benefit</w:t>
            </w:r>
          </w:p>
        </w:tc>
        <w:tc>
          <w:tcPr>
            <w:tcW w:w="4640" w:type="dxa"/>
            <w:vAlign w:val="bottom"/>
            <w:gridSpan w:val="3"/>
            <w:shd w:val="clear" w:color="auto" w:fill="CCEEFF"/>
          </w:tcPr>
          <w:p>
            <w:pPr>
              <w:jc w:val="right"/>
              <w:ind w:right="820"/>
              <w:spacing w:after="0"/>
              <w:rPr>
                <w:sz w:val="20"/>
                <w:szCs w:val="20"/>
                <w:color w:val="auto"/>
              </w:rPr>
            </w:pPr>
            <w:r>
              <w:rPr>
                <w:rFonts w:ascii="Arial" w:cs="Arial" w:eastAsia="Arial" w:hAnsi="Arial"/>
                <w:sz w:val="18"/>
                <w:szCs w:val="18"/>
                <w:color w:val="auto"/>
              </w:rPr>
              <w:t>0.6</w:t>
            </w:r>
          </w:p>
        </w:tc>
        <w:tc>
          <w:tcPr>
            <w:tcW w:w="158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(0.1)</w:t>
            </w: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16"/>
        </w:trPr>
        <w:tc>
          <w:tcPr>
            <w:tcW w:w="4360" w:type="dxa"/>
            <w:vAlign w:val="bottom"/>
          </w:tcPr>
          <w:p>
            <w:pPr>
              <w:spacing w:after="0"/>
              <w:rPr>
                <w:sz w:val="20"/>
                <w:szCs w:val="20"/>
                <w:color w:val="auto"/>
              </w:rPr>
            </w:pPr>
            <w:r>
              <w:rPr>
                <w:rFonts w:ascii="Arial" w:cs="Arial" w:eastAsia="Arial" w:hAnsi="Arial"/>
                <w:sz w:val="18"/>
                <w:szCs w:val="18"/>
                <w:color w:val="auto"/>
              </w:rPr>
              <w:t>Generation of general business credits</w:t>
            </w:r>
          </w:p>
        </w:tc>
        <w:tc>
          <w:tcPr>
            <w:tcW w:w="4640" w:type="dxa"/>
            <w:vAlign w:val="bottom"/>
            <w:gridSpan w:val="3"/>
          </w:tcPr>
          <w:p>
            <w:pPr>
              <w:jc w:val="right"/>
              <w:ind w:right="760"/>
              <w:spacing w:after="0"/>
              <w:rPr>
                <w:sz w:val="20"/>
                <w:szCs w:val="20"/>
                <w:color w:val="auto"/>
              </w:rPr>
            </w:pPr>
            <w:r>
              <w:rPr>
                <w:rFonts w:ascii="Arial" w:cs="Arial" w:eastAsia="Arial" w:hAnsi="Arial"/>
                <w:sz w:val="18"/>
                <w:szCs w:val="18"/>
                <w:color w:val="auto"/>
              </w:rPr>
              <w:t>(15.4)</w:t>
            </w:r>
          </w:p>
        </w:tc>
        <w:tc>
          <w:tcPr>
            <w:tcW w:w="1580" w:type="dxa"/>
            <w:vAlign w:val="bottom"/>
            <w:gridSpan w:val="2"/>
          </w:tcPr>
          <w:p>
            <w:pPr>
              <w:jc w:val="right"/>
              <w:ind w:right="840"/>
              <w:spacing w:after="0"/>
              <w:rPr>
                <w:sz w:val="20"/>
                <w:szCs w:val="20"/>
                <w:color w:val="auto"/>
              </w:rPr>
            </w:pPr>
            <w:r>
              <w:rPr>
                <w:rFonts w:ascii="Arial" w:cs="Arial" w:eastAsia="Arial" w:hAnsi="Arial"/>
                <w:sz w:val="18"/>
                <w:szCs w:val="18"/>
                <w:color w:val="auto"/>
              </w:rPr>
              <w:t>(22.3)</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(63.3)</w:t>
            </w: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 net of credit utilization</w:t>
            </w:r>
          </w:p>
        </w:tc>
        <w:tc>
          <w:tcPr>
            <w:tcW w:w="4640" w:type="dxa"/>
            <w:vAlign w:val="bottom"/>
            <w:gridSpan w:val="3"/>
            <w:shd w:val="clear" w:color="auto" w:fill="CCEEFF"/>
          </w:tcPr>
          <w:p>
            <w:pPr>
              <w:jc w:val="right"/>
              <w:ind w:right="820"/>
              <w:spacing w:after="0"/>
              <w:rPr>
                <w:sz w:val="20"/>
                <w:szCs w:val="20"/>
                <w:color w:val="auto"/>
              </w:rPr>
            </w:pPr>
            <w:r>
              <w:rPr>
                <w:rFonts w:ascii="Arial" w:cs="Arial" w:eastAsia="Arial" w:hAnsi="Arial"/>
                <w:sz w:val="18"/>
                <w:szCs w:val="18"/>
                <w:color w:val="auto"/>
              </w:rPr>
              <w:t>13.9</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w:t>
            </w:r>
          </w:p>
        </w:tc>
        <w:tc>
          <w:tcPr>
            <w:tcW w:w="8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69.4</w:t>
            </w:r>
          </w:p>
        </w:tc>
        <w:tc>
          <w:tcPr>
            <w:tcW w:w="0" w:type="dxa"/>
            <w:vAlign w:val="bottom"/>
          </w:tcPr>
          <w:p>
            <w:pPr>
              <w:spacing w:after="0"/>
              <w:rPr>
                <w:sz w:val="1"/>
                <w:szCs w:val="1"/>
                <w:color w:val="auto"/>
              </w:rPr>
            </w:pPr>
          </w:p>
        </w:tc>
      </w:tr>
      <w:tr>
        <w:trPr>
          <w:trHeight w:val="216"/>
        </w:trPr>
        <w:tc>
          <w:tcPr>
            <w:tcW w:w="436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3120" w:type="dxa"/>
            <w:vAlign w:val="bottom"/>
          </w:tcPr>
          <w:p>
            <w:pPr>
              <w:spacing w:after="0"/>
              <w:rPr>
                <w:sz w:val="18"/>
                <w:szCs w:val="18"/>
                <w:color w:val="auto"/>
              </w:rPr>
            </w:pPr>
          </w:p>
        </w:tc>
        <w:tc>
          <w:tcPr>
            <w:tcW w:w="1520" w:type="dxa"/>
            <w:vAlign w:val="bottom"/>
            <w:gridSpan w:val="2"/>
          </w:tcPr>
          <w:p>
            <w:pPr>
              <w:jc w:val="right"/>
              <w:ind w:right="900"/>
              <w:spacing w:after="0"/>
              <w:rPr>
                <w:sz w:val="20"/>
                <w:szCs w:val="20"/>
                <w:color w:val="auto"/>
              </w:rPr>
            </w:pPr>
            <w:r>
              <w:rPr>
                <w:rFonts w:ascii="Arial" w:cs="Arial" w:eastAsia="Arial" w:hAnsi="Arial"/>
                <w:sz w:val="18"/>
                <w:szCs w:val="18"/>
                <w:color w:val="auto"/>
              </w:rPr>
              <w:t>—</w:t>
            </w:r>
          </w:p>
        </w:tc>
        <w:tc>
          <w:tcPr>
            <w:tcW w:w="1580" w:type="dxa"/>
            <w:vAlign w:val="bottom"/>
            <w:gridSpan w:val="2"/>
          </w:tcPr>
          <w:p>
            <w:pPr>
              <w:jc w:val="right"/>
              <w:ind w:right="98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394.7</w:t>
            </w: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3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8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0"/>
        </w:trPr>
        <w:tc>
          <w:tcPr>
            <w:tcW w:w="4360" w:type="dxa"/>
            <w:vAlign w:val="bottom"/>
            <w:vMerge w:val="restart"/>
          </w:tcPr>
          <w:p>
            <w:pPr>
              <w:spacing w:after="0"/>
              <w:rPr>
                <w:sz w:val="20"/>
                <w:szCs w:val="20"/>
                <w:color w:val="auto"/>
              </w:rPr>
            </w:pPr>
            <w:r>
              <w:rPr>
                <w:rFonts w:ascii="Arial" w:cs="Arial" w:eastAsia="Arial" w:hAnsi="Arial"/>
                <w:sz w:val="18"/>
                <w:szCs w:val="18"/>
                <w:color w:val="auto"/>
              </w:rPr>
              <w:t>Effective tax rate</w:t>
            </w:r>
          </w:p>
        </w:tc>
        <w:tc>
          <w:tcPr>
            <w:tcW w:w="31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60" w:type="dxa"/>
            <w:vAlign w:val="bottom"/>
            <w:vMerge w:val="continue"/>
          </w:tcPr>
          <w:p>
            <w:pPr>
              <w:spacing w:after="0"/>
              <w:rPr>
                <w:sz w:val="19"/>
                <w:szCs w:val="19"/>
                <w:color w:val="auto"/>
              </w:rPr>
            </w:pPr>
          </w:p>
        </w:tc>
        <w:tc>
          <w:tcPr>
            <w:tcW w:w="3120" w:type="dxa"/>
            <w:vAlign w:val="bottom"/>
          </w:tcPr>
          <w:p>
            <w:pPr>
              <w:spacing w:after="0"/>
              <w:rPr>
                <w:sz w:val="19"/>
                <w:szCs w:val="19"/>
                <w:color w:val="auto"/>
              </w:rPr>
            </w:pP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rPr>
              <w:t>13.8%</w:t>
            </w:r>
          </w:p>
        </w:tc>
        <w:tc>
          <w:tcPr>
            <w:tcW w:w="1580" w:type="dxa"/>
            <w:vAlign w:val="bottom"/>
            <w:gridSpan w:val="2"/>
          </w:tcPr>
          <w:p>
            <w:pPr>
              <w:jc w:val="right"/>
              <w:ind w:right="680"/>
              <w:spacing w:after="0"/>
              <w:rPr>
                <w:sz w:val="20"/>
                <w:szCs w:val="20"/>
                <w:color w:val="auto"/>
              </w:rPr>
            </w:pPr>
            <w:r>
              <w:rPr>
                <w:rFonts w:ascii="Arial" w:cs="Arial" w:eastAsia="Arial" w:hAnsi="Arial"/>
                <w:sz w:val="18"/>
                <w:szCs w:val="18"/>
                <w:color w:val="auto"/>
              </w:rPr>
              <w:t>(3.0)%</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341.6%</w:t>
            </w:r>
          </w:p>
        </w:tc>
        <w:tc>
          <w:tcPr>
            <w:tcW w:w="0" w:type="dxa"/>
            <w:vAlign w:val="bottom"/>
          </w:tcPr>
          <w:p>
            <w:pPr>
              <w:spacing w:after="0"/>
              <w:rPr>
                <w:sz w:val="1"/>
                <w:szCs w:val="1"/>
                <w:color w:val="auto"/>
              </w:rPr>
            </w:pPr>
          </w:p>
        </w:tc>
      </w:tr>
      <w:tr>
        <w:trPr>
          <w:trHeight w:val="20"/>
        </w:trPr>
        <w:tc>
          <w:tcPr>
            <w:tcW w:w="4360" w:type="dxa"/>
            <w:vAlign w:val="bottom"/>
          </w:tcPr>
          <w:p>
            <w:pPr>
              <w:spacing w:after="0" w:line="20" w:lineRule="exact"/>
              <w:rPr>
                <w:sz w:val="1"/>
                <w:szCs w:val="1"/>
                <w:color w:val="auto"/>
              </w:rPr>
            </w:pPr>
          </w:p>
        </w:tc>
        <w:tc>
          <w:tcPr>
            <w:tcW w:w="3120" w:type="dxa"/>
            <w:vAlign w:val="bottom"/>
            <w:vMerge w:val="restart"/>
          </w:tcPr>
          <w:p>
            <w:pPr>
              <w:jc w:val="right"/>
              <w:ind w:right="1552"/>
              <w:spacing w:after="0"/>
              <w:rPr>
                <w:sz w:val="20"/>
                <w:szCs w:val="20"/>
                <w:color w:val="auto"/>
              </w:rPr>
            </w:pPr>
            <w:r>
              <w:rPr>
                <w:rFonts w:ascii="Arial" w:cs="Arial" w:eastAsia="Arial" w:hAnsi="Arial"/>
                <w:sz w:val="18"/>
                <w:szCs w:val="18"/>
                <w:color w:val="auto"/>
              </w:rPr>
              <w:t>104</w:t>
            </w:r>
          </w:p>
        </w:tc>
        <w:tc>
          <w:tcPr>
            <w:tcW w:w="7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360" w:type="dxa"/>
            <w:vAlign w:val="bottom"/>
          </w:tcPr>
          <w:p>
            <w:pPr>
              <w:spacing w:after="0"/>
              <w:rPr>
                <w:sz w:val="24"/>
                <w:szCs w:val="24"/>
                <w:color w:val="auto"/>
              </w:rPr>
            </w:pPr>
          </w:p>
        </w:tc>
        <w:tc>
          <w:tcPr>
            <w:tcW w:w="3120" w:type="dxa"/>
            <w:vAlign w:val="bottom"/>
            <w:vMerge w:val="continue"/>
          </w:tcPr>
          <w:p>
            <w:pPr>
              <w:spacing w:after="0"/>
              <w:rPr>
                <w:sz w:val="24"/>
                <w:szCs w:val="24"/>
                <w:color w:val="auto"/>
              </w:rPr>
            </w:pPr>
          </w:p>
        </w:tc>
        <w:tc>
          <w:tcPr>
            <w:tcW w:w="7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Company has not provided deferred tax on all non-Bermuda earnings under APB 23 as Bermuda does not have a tax system and, therefore, there would not be an impact to the financial statements due to repatriation of cash from all non-Bermuda subsidiaries.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Uncertain Tax Positions</w:t>
      </w:r>
    </w:p>
    <w:p>
      <w:pPr>
        <w:spacing w:after="0" w:line="9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Effective January 28, 2007, the Company adopted the provisions of FIN 48. FIN 48 clarifies the accounting for uncertainty in income taxes recognized in an enterprise’s financial statements in accordance with SFAS No. 109 and prescribes a recognition threshold of more-likely-than-not to be sustained upon examination. Upon adoption of FIN 48, the Company’s policy to include interest and penalties related to gross unrecognized tax benefits within the Company’s provision for income taxes did not change.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reflects changes in the unrecognized tax benefits since January 28, 2007:</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80" w:type="dxa"/>
            <w:vAlign w:val="bottom"/>
          </w:tcPr>
          <w:p>
            <w:pPr>
              <w:spacing w:after="0"/>
              <w:rPr>
                <w:sz w:val="14"/>
                <w:szCs w:val="14"/>
                <w:color w:val="auto"/>
              </w:rPr>
            </w:pPr>
          </w:p>
        </w:tc>
        <w:tc>
          <w:tcPr>
            <w:tcW w:w="202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Year Ended</w:t>
            </w:r>
          </w:p>
        </w:tc>
      </w:tr>
      <w:tr>
        <w:trPr>
          <w:trHeight w:val="129"/>
        </w:trPr>
        <w:tc>
          <w:tcPr>
            <w:tcW w:w="848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5"/>
              </w:rPr>
              <w:t>January 31,</w:t>
            </w:r>
          </w:p>
        </w:tc>
        <w:tc>
          <w:tcPr>
            <w:tcW w:w="26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60" w:type="dxa"/>
            <w:vAlign w:val="bottom"/>
          </w:tcPr>
          <w:p>
            <w:pPr>
              <w:spacing w:after="0"/>
              <w:rPr>
                <w:sz w:val="11"/>
                <w:szCs w:val="11"/>
                <w:color w:val="auto"/>
              </w:rPr>
            </w:pPr>
          </w:p>
        </w:tc>
      </w:tr>
      <w:tr>
        <w:trPr>
          <w:trHeight w:val="161"/>
        </w:trPr>
        <w:tc>
          <w:tcPr>
            <w:tcW w:w="8480" w:type="dxa"/>
            <w:vAlign w:val="bottom"/>
          </w:tcPr>
          <w:p>
            <w:pPr>
              <w:spacing w:after="0"/>
              <w:rPr>
                <w:sz w:val="14"/>
                <w:szCs w:val="14"/>
                <w:color w:val="auto"/>
              </w:rPr>
            </w:pPr>
          </w:p>
        </w:tc>
        <w:tc>
          <w:tcPr>
            <w:tcW w:w="6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00" w:type="dxa"/>
            <w:vAlign w:val="bottom"/>
            <w:tcBorders>
              <w:bottom w:val="single" w:sz="8" w:color="auto"/>
            </w:tcBorders>
          </w:tcPr>
          <w:p>
            <w:pPr>
              <w:jc w:val="right"/>
              <w:ind w:right="142"/>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r>
      <w:tr>
        <w:trPr>
          <w:trHeight w:val="210"/>
        </w:trPr>
        <w:tc>
          <w:tcPr>
            <w:tcW w:w="8480" w:type="dxa"/>
            <w:vAlign w:val="bottom"/>
            <w:shd w:val="clear" w:color="auto" w:fill="CCEEFF"/>
          </w:tcPr>
          <w:p>
            <w:pPr>
              <w:spacing w:after="0"/>
              <w:rPr>
                <w:sz w:val="20"/>
                <w:szCs w:val="20"/>
                <w:color w:val="auto"/>
              </w:rPr>
            </w:pPr>
            <w:r>
              <w:rPr>
                <w:rFonts w:ascii="Arial" w:cs="Arial" w:eastAsia="Arial" w:hAnsi="Arial"/>
                <w:sz w:val="18"/>
                <w:szCs w:val="18"/>
                <w:color w:val="auto"/>
              </w:rPr>
              <w:t>Unrecognized tax benefits as the beginning of the period</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$ 109,819</w:t>
            </w:r>
          </w:p>
        </w:tc>
        <w:tc>
          <w:tcPr>
            <w:tcW w:w="3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$ 100,807</w:t>
            </w:r>
          </w:p>
        </w:tc>
        <w:tc>
          <w:tcPr>
            <w:tcW w:w="60" w:type="dxa"/>
            <w:vAlign w:val="bottom"/>
            <w:shd w:val="clear" w:color="auto" w:fill="CCEEFF"/>
          </w:tcPr>
          <w:p>
            <w:pPr>
              <w:spacing w:after="0"/>
              <w:rPr>
                <w:sz w:val="18"/>
                <w:szCs w:val="18"/>
                <w:color w:val="auto"/>
              </w:rPr>
            </w:pPr>
          </w:p>
        </w:tc>
      </w:tr>
      <w:tr>
        <w:trPr>
          <w:trHeight w:val="216"/>
        </w:trPr>
        <w:tc>
          <w:tcPr>
            <w:tcW w:w="848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680" w:type="dxa"/>
            <w:vAlign w:val="bottom"/>
          </w:tcPr>
          <w:p>
            <w:pPr>
              <w:jc w:val="right"/>
              <w:spacing w:after="0"/>
              <w:rPr>
                <w:sz w:val="20"/>
                <w:szCs w:val="20"/>
                <w:color w:val="auto"/>
              </w:rPr>
            </w:pPr>
            <w:r>
              <w:rPr>
                <w:rFonts w:ascii="Arial" w:cs="Arial" w:eastAsia="Arial" w:hAnsi="Arial"/>
                <w:sz w:val="18"/>
                <w:szCs w:val="18"/>
                <w:color w:val="auto"/>
              </w:rPr>
              <w:t>3,733</w:t>
            </w: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r>
      <w:tr>
        <w:trPr>
          <w:trHeight w:val="216"/>
        </w:trPr>
        <w:tc>
          <w:tcPr>
            <w:tcW w:w="8480" w:type="dxa"/>
            <w:vAlign w:val="bottom"/>
            <w:shd w:val="clear" w:color="auto" w:fill="CCEEFF"/>
          </w:tcPr>
          <w:p>
            <w:pPr>
              <w:spacing w:after="0"/>
              <w:rPr>
                <w:sz w:val="20"/>
                <w:szCs w:val="20"/>
                <w:color w:val="auto"/>
              </w:rPr>
            </w:pPr>
            <w:r>
              <w:rPr>
                <w:rFonts w:ascii="Arial" w:cs="Arial" w:eastAsia="Arial" w:hAnsi="Arial"/>
                <w:sz w:val="18"/>
                <w:szCs w:val="18"/>
                <w:color w:val="auto"/>
              </w:rPr>
              <w:t>Increases related to current year tax positions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16,997</w:t>
            </w:r>
          </w:p>
        </w:tc>
        <w:tc>
          <w:tcPr>
            <w:tcW w:w="3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12,948</w:t>
            </w:r>
          </w:p>
        </w:tc>
        <w:tc>
          <w:tcPr>
            <w:tcW w:w="60" w:type="dxa"/>
            <w:vAlign w:val="bottom"/>
            <w:shd w:val="clear" w:color="auto" w:fill="CCEEFF"/>
          </w:tcPr>
          <w:p>
            <w:pPr>
              <w:spacing w:after="0"/>
              <w:rPr>
                <w:sz w:val="18"/>
                <w:szCs w:val="18"/>
                <w:color w:val="auto"/>
              </w:rPr>
            </w:pPr>
          </w:p>
        </w:tc>
      </w:tr>
      <w:tr>
        <w:trPr>
          <w:trHeight w:val="216"/>
        </w:trPr>
        <w:tc>
          <w:tcPr>
            <w:tcW w:w="848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(1,407)</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(13,680)</w:t>
            </w:r>
          </w:p>
        </w:tc>
      </w:tr>
      <w:tr>
        <w:trPr>
          <w:trHeight w:val="216"/>
        </w:trPr>
        <w:tc>
          <w:tcPr>
            <w:tcW w:w="848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 loss</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(13,847)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9,744</w:t>
            </w:r>
          </w:p>
        </w:tc>
        <w:tc>
          <w:tcPr>
            <w:tcW w:w="60" w:type="dxa"/>
            <w:vAlign w:val="bottom"/>
            <w:shd w:val="clear" w:color="auto" w:fill="CCEEFF"/>
          </w:tcPr>
          <w:p>
            <w:pPr>
              <w:spacing w:after="0"/>
              <w:rPr>
                <w:sz w:val="18"/>
                <w:szCs w:val="18"/>
                <w:color w:val="auto"/>
              </w:rPr>
            </w:pPr>
          </w:p>
        </w:tc>
      </w:tr>
      <w:tr>
        <w:trPr>
          <w:trHeight w:val="222"/>
        </w:trPr>
        <w:tc>
          <w:tcPr>
            <w:tcW w:w="8480" w:type="dxa"/>
            <w:vAlign w:val="bottom"/>
          </w:tcPr>
          <w:p>
            <w:pPr>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2"/>
              </w:rPr>
              <w:t>$ 115,295</w:t>
            </w:r>
          </w:p>
        </w:tc>
        <w:tc>
          <w:tcPr>
            <w:tcW w:w="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$ 109,819</w:t>
            </w:r>
          </w:p>
        </w:tc>
        <w:tc>
          <w:tcPr>
            <w:tcW w:w="60" w:type="dxa"/>
            <w:vAlign w:val="bottom"/>
          </w:tcPr>
          <w:p>
            <w:pPr>
              <w:spacing w:after="0"/>
              <w:rPr>
                <w:sz w:val="19"/>
                <w:szCs w:val="19"/>
                <w:color w:val="auto"/>
              </w:rPr>
            </w:pPr>
          </w:p>
        </w:tc>
      </w:tr>
      <w:tr>
        <w:trPr>
          <w:trHeight w:val="20"/>
        </w:trPr>
        <w:tc>
          <w:tcPr>
            <w:tcW w:w="848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Included in the balances as of January 31, 2009 and February 2, 2008, respectively, are $105.7 million and $94.7 million of unrecognized tax benefit that would affect the effective income tax rate if recognized.</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amount of interest and penalties accrued as of January 31, 2009 was approximately $22.6 million and $10.8 million, respectively, and as of February 2, 2008, approximately $14.7 million and $9.2 million, respectively.</w:t>
      </w:r>
    </w:p>
    <w:p>
      <w:pPr>
        <w:spacing w:after="0" w:line="132"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previous periods, the Company had recorded unrealized foreign exchange gains and losses related to uncertain tax positions in its provision (benefit) for income taxes in the income statement. In the third quarter of fiscal 2009, the Company began presenting this amount in interest and other income, net. As these amounts were included in the provision (benefit) for income taxes in previous periods, in order to conform the comparative amounts to the current presentation, the Company reclassified $5.9 million and $9.7 million of foreign exchange losses for the years ended January 27, 2007 and February 2, 2008, respectively, related to uncertain tax positions from income tax expense to interest and other income, net.</w:t>
      </w:r>
    </w:p>
    <w:p>
      <w:pPr>
        <w:spacing w:after="0" w:line="116"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color w:val="auto"/>
        </w:rPr>
        <w:t>The Company is subject to taxation in the U.S. and various states and foreign jurisdictions. The material jurisdictions that are subject to potential examination by tax authorities for tax years after fiscal 2001 throughout the world, include such major jurisdictions as Singapore, Japan, Taiwan, China, India, Germany, Israel, Netherlands, Switzerland, the United Kingdom, Canada, Malaysia and the United States. The Company is subject to U.S. income tax examinations beginning with fiscal year 2004.</w:t>
      </w:r>
    </w:p>
    <w:p>
      <w:pPr>
        <w:spacing w:after="0" w:line="143"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During fiscal 2010, the Company will continue to review its tax positions and provide for or reverse unrecognized tax benefits as issues arise. At this time, the Company expects a significant decrease in the unrecognized tax benefits during fiscal 2010 due to the running of the statute of limitations over the next</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400"/>
          </w:cols>
          <w:pgMar w:left="240" w:top="459" w:right="25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12 months. 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the Company that could materially impact its tax liability and/or its effective income tax rate. During fiscal 2009, the Company will continue to accrue for unrecognized tax benefits and will reduce reserves due to the lapse of statute of limitations or settlement of audits.</w:t>
      </w:r>
    </w:p>
    <w:p>
      <w:pPr>
        <w:spacing w:after="0" w:line="12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During the fourth quarter of fiscal 2007, the Internal Revenue Service (the “IRS”) notified the Company’s U.S. subsidiaries that fiscal 2004 through 2006 would be audited and would include an audit of Section 409A mispriced options and payroll tax issues arising out of the conversion of incentive stock options into nonstatutory stock options due to the mispricing of the original option grant (a.k.a., disqualified ISOs).</w:t>
      </w:r>
    </w:p>
    <w:p>
      <w:pPr>
        <w:spacing w:after="0" w:line="10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fiscal 2007, the Company accrued $10.5 million in payroll taxes and gross-ups for disqualified ISOs and $24.2 million of Section 409A liabilities for each of the restated years (including interest and penalties). During fiscal 2008, based on the development of the Company’s IRS payroll tax audits, the Company accrued an additional penalty of $7.2 million related to the conversion of incentive stock options into nonstatutory stock options due to the mispricing of the original option grant. The Company has protested the proposed adjustments.</w:t>
      </w:r>
    </w:p>
    <w:p>
      <w:pPr>
        <w:spacing w:after="0" w:line="14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To settle the undisputed portion of tax liability arising from the disqualified ISOs, the Company paid $7.8 million directly to the IRS, thus avoiding amending any employees’ W-2s. To resolve the Section 409A mispriced options, rather than have employees amend their 2006 personal returns, the Company paid directly to the IRS and the California Franchise Tax Board $20.1 million under IRS program Announcement 2007-18 and its California equivalent. Through the close of fiscal 2009, the Company paid an additional $1.6 million for Section 409A liabilities for offshore employees working for non-US subsidiaries who were also U.S. citizens. No more Section 409A payments or undisputed disqualified ISOs are due to any employee. Therefore, the Company reversed the remaining $5.3 million over accrual in fourth quarter of fiscal year 2009.</w:t>
      </w:r>
    </w:p>
    <w:p>
      <w:pPr>
        <w:spacing w:after="0" w:line="120" w:lineRule="exact"/>
        <w:rPr>
          <w:sz w:val="20"/>
          <w:szCs w:val="20"/>
          <w:color w:val="auto"/>
        </w:rPr>
      </w:pPr>
    </w:p>
    <w:p>
      <w:pPr>
        <w:ind w:right="220" w:firstLine="456"/>
        <w:spacing w:after="0" w:line="291" w:lineRule="auto"/>
        <w:rPr>
          <w:sz w:val="20"/>
          <w:szCs w:val="20"/>
          <w:color w:val="auto"/>
        </w:rPr>
      </w:pPr>
      <w:r>
        <w:rPr>
          <w:rFonts w:ascii="Arial" w:cs="Arial" w:eastAsia="Arial" w:hAnsi="Arial"/>
          <w:sz w:val="16"/>
          <w:szCs w:val="16"/>
          <w:color w:val="auto"/>
        </w:rPr>
        <w:t>The Economic Development Board of Singapore granted Pioneer Status to the Company’s wholly-owned subsidiary in Singapore in July 1999. Initially this tax exemption was to expire after ten years, but the Economic Development Board in June 2006 agreed to extend the term to 15 years through 2014. Fiscal 2009 and 2008 tax savings associated with this tax holiday are approximately $7.9 million and $10.4 million, respectively, which if paid would impact the Company’s earnings per share result by $0.01 and $0.02 per share. In light of the current economic downturn, the Company is in discussion with the Economic Development Board of Singapore to amend part of the Pioneer Status conditions for the future years. The Company expects to come to an agreement which would preserve the 15 year tax exemption status and receive the final amendments from the Economic Development Board of Singapore.</w:t>
      </w:r>
    </w:p>
    <w:p>
      <w:pPr>
        <w:spacing w:after="0" w:line="12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Under Israeli law, including Amendment No. 60 to the law that as published in April 2005, by virtue of the “approved or benefited enterprise” status granted to certain of its enterprises, the Israeli subsidiaries are entitled to various tax benefits. During the period of benefits — 10 to 15 years — commencing in the first year in which the subsidiaries earned taxable income from the approved or benefited enterprises provided the maximum period to which it is restricted by law has not elapsed. Income from the approved or benefited enterprises is subject to reduced tax rates ranging between 0% and 10% or tax exemptions for fiscal years 2008 through 2020. For fiscal 2009 the benefit associated with these Approved Enterprise programs was $4.5 million, which provided an earnings per share benefit of less than $0.01. For fiscal 2008 the benefit associated with these Approved Enterprise programs was $15.0 million, which provided an earnings per share benefit of $0.03.</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400"/>
          </w:cols>
          <w:pgMar w:left="240" w:top="459" w:right="25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During fiscal 2007, the Swiss Federal Department of Economy and the Vaud Cantonal Tax Administration each granted Marvell Switzerland Sarl a total of a ten year tax holiday commencing with its fiscal year beginning January 29, 2006. The fiscal 2009 and 2008 tax savings associated with this tax holiday is approximately $5.1 million and $6.1 million, respectively, which provided an earnings per share benefit of $0.01 and $0.01, respectively.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 sponsors a 401(k) savings and investment plan which allows all employees to participate by making pre-tax contributions to the 401(k) plan ranging from 1% to 20% of eligible earnings subject to a required annual limit. The Company may make discretionary contributions to the 401(k) plan upon approval by the Board of Directors. In fiscal 2005, the Board of Directors approved a resolution to allow the Company to provide an employer match to the 401(k) plan. The employer match will be made on a semi-annual basis and the maximum contribution will be $500 per eligible employee at each semi-annual period ending on July 31 and January 31. The participant must be employed by the Company on the last day of the semi-annual period to qualify for the match. Each semi-annual period will be treated separately, in which a participant must contribute at least $500 per semi-annual period to be eligible to receive a matching contribution. The Company made matching contributions to employees of $2.1 million, $2.1 million and $1.3 million during fiscal 2009, 2008 and 2007, respectively. As of January 31, 2009, the 401(k) plan offers a variety of investment alternatives, representing different asset classes. Employees may not invest in the Company’s common shares through the 401(k) plan.</w:t>
      </w:r>
    </w:p>
    <w:p>
      <w:pPr>
        <w:spacing w:after="0" w:line="12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Under Israeli law, the Company is required to make severance payments to its retired or dismissed Israeli employees and Israeli employees leaving its employment in certain other circumstances. The Company’s severance pay liability to its Israeli employees, which is calculated based on the salary of each employee multiplied by the years of such employee’s employment, is reflected in the Company’s balance sheet in other long-term liabilities on an accrual basis, and is partially funded by the purchase of insurance policies in the name of the employees. The surrender value of the insurance policies is recorded in other noncurrent assets. The severance pay expenses for fiscal 2009, 2008 and 2007 were $14.4 million, $14.4 million and $6.5 million, respectively. The severance pay detail is as follows (in thousands):</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3"/>
          </w:tcPr>
          <w:p>
            <w:pPr>
              <w:jc w:val="right"/>
              <w:ind w:right="600"/>
              <w:spacing w:after="0"/>
              <w:rPr>
                <w:sz w:val="20"/>
                <w:szCs w:val="20"/>
                <w:color w:val="auto"/>
              </w:rPr>
            </w:pPr>
            <w:r>
              <w:rPr>
                <w:rFonts w:ascii="Arial" w:cs="Arial" w:eastAsia="Arial" w:hAnsi="Arial"/>
                <w:sz w:val="14"/>
                <w:szCs w:val="14"/>
                <w:b w:val="1"/>
                <w:bCs w:val="1"/>
                <w:color w:val="auto"/>
                <w:w w:val="90"/>
              </w:rPr>
              <w:t>Year Ended</w:t>
            </w: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80" w:type="dxa"/>
            <w:vAlign w:val="bottom"/>
          </w:tcPr>
          <w:p>
            <w:pPr>
              <w:spacing w:after="0"/>
              <w:rPr>
                <w:sz w:val="11"/>
                <w:szCs w:val="11"/>
                <w:color w:val="auto"/>
              </w:rPr>
            </w:pPr>
          </w:p>
        </w:tc>
        <w:tc>
          <w:tcPr>
            <w:tcW w:w="348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31,</w:t>
            </w:r>
          </w:p>
        </w:tc>
        <w:tc>
          <w:tcPr>
            <w:tcW w:w="560" w:type="dxa"/>
            <w:vAlign w:val="bottom"/>
          </w:tcPr>
          <w:p>
            <w:pPr>
              <w:spacing w:after="0"/>
              <w:rPr>
                <w:sz w:val="11"/>
                <w:szCs w:val="11"/>
                <w:color w:val="auto"/>
              </w:rPr>
            </w:pPr>
          </w:p>
        </w:tc>
        <w:tc>
          <w:tcPr>
            <w:tcW w:w="13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27,</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5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2008</w:t>
            </w:r>
          </w:p>
        </w:tc>
        <w:tc>
          <w:tcPr>
            <w:tcW w:w="6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620" w:type="dxa"/>
            <w:vAlign w:val="bottom"/>
            <w:gridSpan w:val="2"/>
            <w:shd w:val="clear" w:color="auto" w:fill="CCEEFF"/>
          </w:tcPr>
          <w:p>
            <w:pPr>
              <w:ind w:left="34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46,188</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8"/>
              </w:rPr>
              <w:t>49,346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34,118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Less amount funded</w:t>
            </w:r>
          </w:p>
        </w:tc>
        <w:tc>
          <w:tcPr>
            <w:tcW w:w="3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43,121</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80" w:type="dxa"/>
            <w:vAlign w:val="bottom"/>
            <w:gridSpan w:val="2"/>
          </w:tcPr>
          <w:p>
            <w:pPr>
              <w:jc w:val="right"/>
              <w:ind w:right="620"/>
              <w:spacing w:after="0"/>
              <w:rPr>
                <w:sz w:val="20"/>
                <w:szCs w:val="20"/>
                <w:color w:val="auto"/>
              </w:rPr>
            </w:pPr>
            <w:r>
              <w:rPr>
                <w:rFonts w:ascii="Arial" w:cs="Arial" w:eastAsia="Arial" w:hAnsi="Arial"/>
                <w:sz w:val="18"/>
                <w:szCs w:val="18"/>
                <w:color w:val="auto"/>
                <w:w w:val="98"/>
              </w:rPr>
              <w:t>50,235</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32,092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680" w:type="dxa"/>
            <w:vAlign w:val="bottom"/>
          </w:tcPr>
          <w:p>
            <w:pPr>
              <w:spacing w:after="0"/>
              <w:rPr>
                <w:sz w:val="2"/>
                <w:szCs w:val="2"/>
                <w:color w:val="auto"/>
              </w:rPr>
            </w:pPr>
          </w:p>
        </w:tc>
        <w:tc>
          <w:tcPr>
            <w:tcW w:w="34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Unfunded (funded) portion, net accrued severance pay</w:t>
            </w:r>
          </w:p>
        </w:tc>
        <w:tc>
          <w:tcPr>
            <w:tcW w:w="3620" w:type="dxa"/>
            <w:vAlign w:val="bottom"/>
            <w:gridSpan w:val="2"/>
            <w:shd w:val="clear" w:color="auto" w:fill="CCEEFF"/>
          </w:tcPr>
          <w:p>
            <w:pPr>
              <w:ind w:left="34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3,067</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(889)</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80" w:type="dxa"/>
            <w:vAlign w:val="bottom"/>
          </w:tcPr>
          <w:p>
            <w:pPr>
              <w:spacing w:after="0" w:line="20" w:lineRule="exact"/>
              <w:rPr>
                <w:sz w:val="1"/>
                <w:szCs w:val="1"/>
                <w:color w:val="auto"/>
              </w:rPr>
            </w:pPr>
          </w:p>
        </w:tc>
        <w:tc>
          <w:tcPr>
            <w:tcW w:w="3480" w:type="dxa"/>
            <w:vAlign w:val="bottom"/>
            <w:vMerge w:val="restart"/>
          </w:tcPr>
          <w:p>
            <w:pPr>
              <w:jc w:val="right"/>
              <w:ind w:right="2252"/>
              <w:spacing w:after="0"/>
              <w:rPr>
                <w:sz w:val="20"/>
                <w:szCs w:val="20"/>
                <w:color w:val="auto"/>
              </w:rPr>
            </w:pPr>
            <w:r>
              <w:rPr>
                <w:rFonts w:ascii="Arial" w:cs="Arial" w:eastAsia="Arial" w:hAnsi="Arial"/>
                <w:sz w:val="18"/>
                <w:szCs w:val="18"/>
                <w:color w:val="auto"/>
              </w:rPr>
              <w:t>107</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680" w:type="dxa"/>
            <w:vAlign w:val="bottom"/>
          </w:tcPr>
          <w:p>
            <w:pPr>
              <w:spacing w:after="0"/>
              <w:rPr>
                <w:sz w:val="24"/>
                <w:szCs w:val="24"/>
                <w:color w:val="auto"/>
              </w:rPr>
            </w:pPr>
          </w:p>
        </w:tc>
        <w:tc>
          <w:tcPr>
            <w:tcW w:w="348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Company’s products typically carry a standard 90 day warranty with certain exceptions in which the warranty period can range from one to five years. The following table presents changes in the warranty accrual included in accrued liabilities in the Company’s consolidated balance sheet during fiscal 2009, 2008 and 2007, respectively (in thousands):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4"/>
          </w:tcPr>
          <w:p>
            <w:pPr>
              <w:jc w:val="right"/>
              <w:ind w:right="340"/>
              <w:spacing w:after="0"/>
              <w:rPr>
                <w:sz w:val="20"/>
                <w:szCs w:val="20"/>
                <w:color w:val="auto"/>
              </w:rPr>
            </w:pPr>
            <w:r>
              <w:rPr>
                <w:rFonts w:ascii="Arial" w:cs="Arial" w:eastAsia="Arial" w:hAnsi="Arial"/>
                <w:sz w:val="14"/>
                <w:szCs w:val="14"/>
                <w:b w:val="1"/>
                <w:bCs w:val="1"/>
                <w:color w:val="auto"/>
              </w:rPr>
              <w:t>Years Ended</w:t>
            </w:r>
          </w:p>
        </w:tc>
        <w:tc>
          <w:tcPr>
            <w:tcW w:w="3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7900" w:type="dxa"/>
            <w:vAlign w:val="bottom"/>
          </w:tcPr>
          <w:p>
            <w:pPr>
              <w:spacing w:after="0"/>
              <w:rPr>
                <w:sz w:val="11"/>
                <w:szCs w:val="11"/>
                <w:color w:val="auto"/>
              </w:rPr>
            </w:pPr>
          </w:p>
        </w:tc>
        <w:tc>
          <w:tcPr>
            <w:tcW w:w="106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32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32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27,</w:t>
            </w:r>
          </w:p>
        </w:tc>
        <w:tc>
          <w:tcPr>
            <w:tcW w:w="60" w:type="dxa"/>
            <w:vAlign w:val="bottom"/>
          </w:tcPr>
          <w:p>
            <w:pPr>
              <w:spacing w:after="0"/>
              <w:rPr>
                <w:sz w:val="11"/>
                <w:szCs w:val="11"/>
                <w:color w:val="auto"/>
              </w:rPr>
            </w:pPr>
          </w:p>
        </w:tc>
      </w:tr>
      <w:tr>
        <w:trPr>
          <w:trHeight w:val="161"/>
        </w:trPr>
        <w:tc>
          <w:tcPr>
            <w:tcW w:w="79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2009</w:t>
            </w:r>
          </w:p>
        </w:tc>
        <w:tc>
          <w:tcPr>
            <w:tcW w:w="3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2008</w:t>
            </w:r>
          </w:p>
        </w:tc>
        <w:tc>
          <w:tcPr>
            <w:tcW w:w="3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2007</w:t>
            </w:r>
          </w:p>
        </w:tc>
        <w:tc>
          <w:tcPr>
            <w:tcW w:w="60" w:type="dxa"/>
            <w:vAlign w:val="bottom"/>
          </w:tcPr>
          <w:p>
            <w:pPr>
              <w:spacing w:after="0"/>
              <w:rPr>
                <w:sz w:val="14"/>
                <w:szCs w:val="14"/>
                <w:color w:val="auto"/>
              </w:rPr>
            </w:pPr>
          </w:p>
        </w:tc>
      </w:tr>
      <w:tr>
        <w:trPr>
          <w:trHeight w:val="210"/>
        </w:trPr>
        <w:tc>
          <w:tcPr>
            <w:tcW w:w="790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2,532</w:t>
            </w:r>
          </w:p>
        </w:tc>
        <w:tc>
          <w:tcPr>
            <w:tcW w:w="3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2,567</w:t>
            </w:r>
          </w:p>
        </w:tc>
        <w:tc>
          <w:tcPr>
            <w:tcW w:w="3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3,914</w:t>
            </w:r>
          </w:p>
        </w:tc>
        <w:tc>
          <w:tcPr>
            <w:tcW w:w="60" w:type="dxa"/>
            <w:vAlign w:val="bottom"/>
            <w:shd w:val="clear" w:color="auto" w:fill="CCEEFF"/>
          </w:tcPr>
          <w:p>
            <w:pPr>
              <w:spacing w:after="0"/>
              <w:rPr>
                <w:sz w:val="18"/>
                <w:szCs w:val="18"/>
                <w:color w:val="auto"/>
              </w:rPr>
            </w:pPr>
          </w:p>
        </w:tc>
      </w:tr>
      <w:tr>
        <w:trPr>
          <w:trHeight w:val="216"/>
        </w:trPr>
        <w:tc>
          <w:tcPr>
            <w:tcW w:w="7900" w:type="dxa"/>
            <w:vAlign w:val="bottom"/>
          </w:tcPr>
          <w:p>
            <w:pPr>
              <w:ind w:left="440"/>
              <w:spacing w:after="0"/>
              <w:rPr>
                <w:sz w:val="20"/>
                <w:szCs w:val="20"/>
                <w:color w:val="auto"/>
              </w:rPr>
            </w:pPr>
            <w:r>
              <w:rPr>
                <w:rFonts w:ascii="Arial" w:cs="Arial" w:eastAsia="Arial" w:hAnsi="Arial"/>
                <w:sz w:val="18"/>
                <w:szCs w:val="18"/>
                <w:color w:val="auto"/>
              </w:rPr>
              <w:t>Warranties issued</w:t>
            </w: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876</w:t>
            </w:r>
          </w:p>
        </w:tc>
        <w:tc>
          <w:tcPr>
            <w:tcW w:w="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1,493</w:t>
            </w:r>
          </w:p>
        </w:tc>
        <w:tc>
          <w:tcPr>
            <w:tcW w:w="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479</w:t>
            </w:r>
          </w:p>
        </w:tc>
        <w:tc>
          <w:tcPr>
            <w:tcW w:w="60" w:type="dxa"/>
            <w:vAlign w:val="bottom"/>
          </w:tcPr>
          <w:p>
            <w:pPr>
              <w:spacing w:after="0"/>
              <w:rPr>
                <w:sz w:val="18"/>
                <w:szCs w:val="18"/>
                <w:color w:val="auto"/>
              </w:rPr>
            </w:pPr>
          </w:p>
        </w:tc>
      </w:tr>
      <w:tr>
        <w:trPr>
          <w:trHeight w:val="216"/>
        </w:trPr>
        <w:tc>
          <w:tcPr>
            <w:tcW w:w="7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Settlements</w:t>
            </w: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(1,315)</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(1,528)</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(1,826)</w:t>
            </w:r>
          </w:p>
        </w:tc>
      </w:tr>
      <w:tr>
        <w:trPr>
          <w:trHeight w:val="222"/>
        </w:trPr>
        <w:tc>
          <w:tcPr>
            <w:tcW w:w="7900" w:type="dxa"/>
            <w:vAlign w:val="bottom"/>
          </w:tcPr>
          <w:p>
            <w:pPr>
              <w:spacing w:after="0"/>
              <w:rPr>
                <w:sz w:val="20"/>
                <w:szCs w:val="20"/>
                <w:color w:val="auto"/>
              </w:rPr>
            </w:pPr>
            <w:r>
              <w:rPr>
                <w:rFonts w:ascii="Arial" w:cs="Arial" w:eastAsia="Arial" w:hAnsi="Arial"/>
                <w:sz w:val="18"/>
                <w:szCs w:val="18"/>
                <w:color w:val="auto"/>
              </w:rPr>
              <w:t>Ending balance</w:t>
            </w: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2,093</w:t>
            </w:r>
          </w:p>
        </w:tc>
        <w:tc>
          <w:tcPr>
            <w:tcW w:w="3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2,532</w:t>
            </w:r>
          </w:p>
        </w:tc>
        <w:tc>
          <w:tcPr>
            <w:tcW w:w="3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2,567</w:t>
            </w:r>
          </w:p>
        </w:tc>
        <w:tc>
          <w:tcPr>
            <w:tcW w:w="60" w:type="dxa"/>
            <w:vAlign w:val="bottom"/>
          </w:tcPr>
          <w:p>
            <w:pPr>
              <w:spacing w:after="0"/>
              <w:rPr>
                <w:sz w:val="19"/>
                <w:szCs w:val="19"/>
                <w:color w:val="auto"/>
              </w:rPr>
            </w:pPr>
          </w:p>
        </w:tc>
      </w:tr>
      <w:tr>
        <w:trPr>
          <w:trHeight w:val="20"/>
        </w:trPr>
        <w:tc>
          <w:tcPr>
            <w:tcW w:w="79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Company leases some of its facilities under noncancelable operating leases and leases certain property and equipment under capital leases. Future minimum lease payments, net of estimated sublease income under the operating and capital leases as of January 31, 2009, are presented in the following table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gridSpan w:val="3"/>
          </w:tcPr>
          <w:p>
            <w:pPr>
              <w:spacing w:after="0"/>
              <w:rPr>
                <w:sz w:val="20"/>
                <w:szCs w:val="20"/>
                <w:color w:val="auto"/>
              </w:rPr>
            </w:pPr>
            <w:r>
              <w:rPr>
                <w:rFonts w:ascii="Arial" w:cs="Arial" w:eastAsia="Arial" w:hAnsi="Arial"/>
                <w:sz w:val="14"/>
                <w:szCs w:val="14"/>
                <w:b w:val="1"/>
                <w:bCs w:val="1"/>
                <w:color w:val="auto"/>
              </w:rPr>
              <w:t>Estimated</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8"/>
              </w:rPr>
              <w:t>Net</w:t>
            </w:r>
          </w:p>
        </w:tc>
        <w:tc>
          <w:tcPr>
            <w:tcW w:w="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84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840" w:type="dxa"/>
            <w:vAlign w:val="bottom"/>
            <w:gridSpan w:val="3"/>
          </w:tcPr>
          <w:p>
            <w:pPr>
              <w:jc w:val="right"/>
              <w:ind w:right="220"/>
              <w:spacing w:after="0" w:line="149" w:lineRule="exact"/>
              <w:rPr>
                <w:sz w:val="20"/>
                <w:szCs w:val="20"/>
                <w:color w:val="auto"/>
              </w:rPr>
            </w:pPr>
            <w:r>
              <w:rPr>
                <w:rFonts w:ascii="Arial" w:cs="Arial" w:eastAsia="Arial" w:hAnsi="Arial"/>
                <w:sz w:val="14"/>
                <w:szCs w:val="14"/>
                <w:b w:val="1"/>
                <w:bCs w:val="1"/>
                <w:color w:val="auto"/>
                <w:w w:val="90"/>
              </w:rPr>
              <w:t>Operating</w:t>
            </w:r>
          </w:p>
        </w:tc>
        <w:tc>
          <w:tcPr>
            <w:tcW w:w="160" w:type="dxa"/>
            <w:vAlign w:val="bottom"/>
          </w:tcPr>
          <w:p>
            <w:pPr>
              <w:spacing w:after="0"/>
              <w:rPr>
                <w:sz w:val="12"/>
                <w:szCs w:val="12"/>
                <w:color w:val="auto"/>
              </w:rPr>
            </w:pPr>
          </w:p>
        </w:tc>
        <w:tc>
          <w:tcPr>
            <w:tcW w:w="820" w:type="dxa"/>
            <w:vAlign w:val="bottom"/>
            <w:gridSpan w:val="3"/>
          </w:tcPr>
          <w:p>
            <w:pPr>
              <w:jc w:val="right"/>
              <w:ind w:right="280"/>
              <w:spacing w:after="0" w:line="149" w:lineRule="exact"/>
              <w:rPr>
                <w:sz w:val="20"/>
                <w:szCs w:val="20"/>
                <w:color w:val="auto"/>
              </w:rPr>
            </w:pPr>
            <w:r>
              <w:rPr>
                <w:rFonts w:ascii="Arial" w:cs="Arial" w:eastAsia="Arial" w:hAnsi="Arial"/>
                <w:sz w:val="14"/>
                <w:szCs w:val="14"/>
                <w:b w:val="1"/>
                <w:bCs w:val="1"/>
                <w:color w:val="auto"/>
                <w:w w:val="84"/>
              </w:rPr>
              <w:t>Sublease</w:t>
            </w:r>
          </w:p>
        </w:tc>
        <w:tc>
          <w:tcPr>
            <w:tcW w:w="180" w:type="dxa"/>
            <w:vAlign w:val="bottom"/>
          </w:tcPr>
          <w:p>
            <w:pPr>
              <w:spacing w:after="0"/>
              <w:rPr>
                <w:sz w:val="12"/>
                <w:szCs w:val="12"/>
                <w:color w:val="auto"/>
              </w:rPr>
            </w:pPr>
          </w:p>
        </w:tc>
        <w:tc>
          <w:tcPr>
            <w:tcW w:w="10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Operating</w:t>
            </w:r>
          </w:p>
        </w:tc>
        <w:tc>
          <w:tcPr>
            <w:tcW w:w="640" w:type="dxa"/>
            <w:vAlign w:val="bottom"/>
            <w:gridSpan w:val="3"/>
          </w:tcPr>
          <w:p>
            <w:pPr>
              <w:jc w:val="right"/>
              <w:ind w:right="160"/>
              <w:spacing w:after="0" w:line="149" w:lineRule="exact"/>
              <w:rPr>
                <w:sz w:val="20"/>
                <w:szCs w:val="20"/>
                <w:color w:val="auto"/>
              </w:rPr>
            </w:pPr>
            <w:r>
              <w:rPr>
                <w:rFonts w:ascii="Arial" w:cs="Arial" w:eastAsia="Arial" w:hAnsi="Arial"/>
                <w:sz w:val="14"/>
                <w:szCs w:val="14"/>
                <w:b w:val="1"/>
                <w:bCs w:val="1"/>
                <w:color w:val="auto"/>
                <w:w w:val="98"/>
              </w:rPr>
              <w:t>Capital</w:t>
            </w:r>
          </w:p>
        </w:tc>
        <w:tc>
          <w:tcPr>
            <w:tcW w:w="0" w:type="dxa"/>
            <w:vAlign w:val="bottom"/>
          </w:tcPr>
          <w:p>
            <w:pPr>
              <w:spacing w:after="0"/>
              <w:rPr>
                <w:sz w:val="1"/>
                <w:szCs w:val="1"/>
                <w:color w:val="auto"/>
              </w:rPr>
            </w:pPr>
          </w:p>
        </w:tc>
      </w:tr>
      <w:tr>
        <w:trPr>
          <w:trHeight w:val="161"/>
        </w:trPr>
        <w:tc>
          <w:tcPr>
            <w:tcW w:w="560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4"/>
              </w:rPr>
              <w:t>Leases</w:t>
            </w:r>
          </w:p>
        </w:tc>
        <w:tc>
          <w:tcPr>
            <w:tcW w:w="160" w:type="dxa"/>
            <w:vAlign w:val="bottom"/>
          </w:tcPr>
          <w:p>
            <w:pPr>
              <w:spacing w:after="0"/>
              <w:rPr>
                <w:sz w:val="14"/>
                <w:szCs w:val="14"/>
                <w:color w:val="auto"/>
              </w:rPr>
            </w:pPr>
          </w:p>
        </w:tc>
        <w:tc>
          <w:tcPr>
            <w:tcW w:w="82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Income</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79"/>
              </w:rPr>
              <w:t>Leases</w:t>
            </w:r>
          </w:p>
        </w:tc>
        <w:tc>
          <w:tcPr>
            <w:tcW w:w="80" w:type="dxa"/>
            <w:vAlign w:val="bottom"/>
          </w:tcPr>
          <w:p>
            <w:pPr>
              <w:spacing w:after="0"/>
              <w:rPr>
                <w:sz w:val="14"/>
                <w:szCs w:val="14"/>
                <w:color w:val="auto"/>
              </w:rPr>
            </w:pPr>
          </w:p>
        </w:tc>
        <w:tc>
          <w:tcPr>
            <w:tcW w:w="56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75"/>
              </w:rPr>
              <w:t>Leases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2010</w:t>
            </w:r>
          </w:p>
        </w:tc>
        <w:tc>
          <w:tcPr>
            <w:tcW w:w="4840" w:type="dxa"/>
            <w:vAlign w:val="bottom"/>
            <w:shd w:val="clear" w:color="auto" w:fill="CCEEFF"/>
          </w:tcPr>
          <w:p>
            <w:pPr>
              <w:spacing w:after="0"/>
              <w:rPr>
                <w:sz w:val="18"/>
                <w:szCs w:val="18"/>
                <w:color w:val="auto"/>
              </w:rPr>
            </w:pPr>
          </w:p>
        </w:tc>
        <w:tc>
          <w:tcPr>
            <w:tcW w:w="2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40,924</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(706)</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40,218</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2,084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2011</w:t>
            </w:r>
          </w:p>
        </w:tc>
        <w:tc>
          <w:tcPr>
            <w:tcW w:w="4840" w:type="dxa"/>
            <w:vAlign w:val="bottom"/>
          </w:tcPr>
          <w:p>
            <w:pPr>
              <w:spacing w:after="0"/>
              <w:rPr>
                <w:sz w:val="18"/>
                <w:szCs w:val="18"/>
                <w:color w:val="auto"/>
              </w:rPr>
            </w:pPr>
          </w:p>
        </w:tc>
        <w:tc>
          <w:tcPr>
            <w:tcW w:w="2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31,471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160"/>
              <w:spacing w:after="0"/>
              <w:rPr>
                <w:sz w:val="20"/>
                <w:szCs w:val="20"/>
                <w:color w:val="auto"/>
              </w:rPr>
            </w:pPr>
            <w:r>
              <w:rPr>
                <w:rFonts w:ascii="Arial" w:cs="Arial" w:eastAsia="Arial" w:hAnsi="Arial"/>
                <w:sz w:val="18"/>
                <w:szCs w:val="18"/>
                <w:color w:val="auto"/>
              </w:rPr>
              <w:t>(646)</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30,825</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right"/>
              <w:ind w:right="80"/>
              <w:spacing w:after="0"/>
              <w:rPr>
                <w:sz w:val="20"/>
                <w:szCs w:val="20"/>
                <w:color w:val="auto"/>
              </w:rPr>
            </w:pPr>
            <w:r>
              <w:rPr>
                <w:rFonts w:ascii="Arial" w:cs="Arial" w:eastAsia="Arial" w:hAnsi="Arial"/>
                <w:sz w:val="18"/>
                <w:szCs w:val="18"/>
                <w:color w:val="auto"/>
              </w:rPr>
              <w:t>2,084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4840" w:type="dxa"/>
            <w:vAlign w:val="bottom"/>
            <w:shd w:val="clear" w:color="auto" w:fill="CCEEFF"/>
          </w:tcPr>
          <w:p>
            <w:pPr>
              <w:spacing w:after="0"/>
              <w:rPr>
                <w:sz w:val="18"/>
                <w:szCs w:val="18"/>
                <w:color w:val="auto"/>
              </w:rPr>
            </w:pPr>
          </w:p>
        </w:tc>
        <w:tc>
          <w:tcPr>
            <w:tcW w:w="2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19,987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(316)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19,671</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2013</w:t>
            </w:r>
          </w:p>
        </w:tc>
        <w:tc>
          <w:tcPr>
            <w:tcW w:w="4840" w:type="dxa"/>
            <w:vAlign w:val="bottom"/>
          </w:tcPr>
          <w:p>
            <w:pPr>
              <w:spacing w:after="0"/>
              <w:rPr>
                <w:sz w:val="18"/>
                <w:szCs w:val="18"/>
                <w:color w:val="auto"/>
              </w:rPr>
            </w:pPr>
          </w:p>
        </w:tc>
        <w:tc>
          <w:tcPr>
            <w:tcW w:w="2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13,323</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160"/>
              <w:spacing w:after="0"/>
              <w:rPr>
                <w:sz w:val="20"/>
                <w:szCs w:val="20"/>
                <w:color w:val="auto"/>
              </w:rPr>
            </w:pPr>
            <w:r>
              <w:rPr>
                <w:rFonts w:ascii="Arial" w:cs="Arial" w:eastAsia="Arial" w:hAnsi="Arial"/>
                <w:sz w:val="18"/>
                <w:szCs w:val="18"/>
                <w:color w:val="auto"/>
              </w:rPr>
              <w:t>(316)</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13,007</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4840" w:type="dxa"/>
            <w:vAlign w:val="bottom"/>
            <w:shd w:val="clear" w:color="auto" w:fill="CCEEFF"/>
          </w:tcPr>
          <w:p>
            <w:pPr>
              <w:spacing w:after="0"/>
              <w:rPr>
                <w:sz w:val="18"/>
                <w:szCs w:val="18"/>
                <w:color w:val="auto"/>
              </w:rPr>
            </w:pPr>
          </w:p>
        </w:tc>
        <w:tc>
          <w:tcPr>
            <w:tcW w:w="2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2,160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(316)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1,844</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80"/>
              <w:spacing w:after="0"/>
              <w:rPr>
                <w:sz w:val="20"/>
                <w:szCs w:val="20"/>
                <w:color w:val="auto"/>
              </w:rPr>
            </w:pPr>
            <w:r>
              <w:rPr>
                <w:rFonts w:ascii="Arial" w:cs="Arial" w:eastAsia="Arial" w:hAnsi="Arial"/>
                <w:sz w:val="18"/>
                <w:szCs w:val="18"/>
                <w:color w:val="auto"/>
              </w:rPr>
              <w:t>9,652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160"/>
              <w:spacing w:after="0"/>
              <w:rPr>
                <w:sz w:val="20"/>
                <w:szCs w:val="20"/>
                <w:color w:val="auto"/>
              </w:rPr>
            </w:pPr>
            <w:r>
              <w:rPr>
                <w:rFonts w:ascii="Arial" w:cs="Arial" w:eastAsia="Arial" w:hAnsi="Arial"/>
                <w:sz w:val="18"/>
                <w:szCs w:val="18"/>
                <w:color w:val="auto"/>
              </w:rPr>
              <w:t>(895)</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8,757</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40" w:type="dxa"/>
            <w:vAlign w:val="bottom"/>
          </w:tcPr>
          <w:p>
            <w:pPr>
              <w:spacing w:after="0"/>
              <w:rPr>
                <w:sz w:val="2"/>
                <w:szCs w:val="2"/>
                <w:color w:val="auto"/>
              </w:rPr>
            </w:pPr>
          </w:p>
        </w:tc>
        <w:tc>
          <w:tcPr>
            <w:tcW w:w="4840" w:type="dxa"/>
            <w:vAlign w:val="bottom"/>
          </w:tcPr>
          <w:p>
            <w:pPr>
              <w:spacing w:after="0"/>
              <w:rPr>
                <w:sz w:val="2"/>
                <w:szCs w:val="2"/>
                <w:color w:val="auto"/>
              </w:rPr>
            </w:pPr>
          </w:p>
        </w:tc>
        <w:tc>
          <w:tcPr>
            <w:tcW w:w="2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2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2"/>
              </w:rPr>
              <w:t>117,517</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1"/>
              </w:rPr>
              <w:t>(3,195)</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6"/>
              </w:rPr>
              <w:t>114,322</w:t>
            </w: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4,690</w:t>
            </w:r>
          </w:p>
        </w:tc>
        <w:tc>
          <w:tcPr>
            <w:tcW w:w="0" w:type="dxa"/>
            <w:vAlign w:val="bottom"/>
          </w:tcPr>
          <w:p>
            <w:pPr>
              <w:spacing w:after="0"/>
              <w:rPr>
                <w:sz w:val="1"/>
                <w:szCs w:val="1"/>
                <w:color w:val="auto"/>
              </w:rPr>
            </w:pPr>
          </w:p>
        </w:tc>
      </w:tr>
      <w:tr>
        <w:trPr>
          <w:trHeight w:val="20"/>
        </w:trPr>
        <w:tc>
          <w:tcPr>
            <w:tcW w:w="5600" w:type="dxa"/>
            <w:vAlign w:val="bottom"/>
            <w:gridSpan w:val="3"/>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2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(452)</w:t>
            </w:r>
          </w:p>
        </w:tc>
        <w:tc>
          <w:tcPr>
            <w:tcW w:w="0" w:type="dxa"/>
            <w:vAlign w:val="bottom"/>
          </w:tcPr>
          <w:p>
            <w:pPr>
              <w:spacing w:after="0" w:line="20" w:lineRule="exact"/>
              <w:rPr>
                <w:sz w:val="1"/>
                <w:szCs w:val="1"/>
                <w:color w:val="auto"/>
              </w:rPr>
            </w:pPr>
          </w:p>
        </w:tc>
      </w:tr>
      <w:tr>
        <w:trPr>
          <w:trHeight w:val="217"/>
        </w:trPr>
        <w:tc>
          <w:tcPr>
            <w:tcW w:w="5600" w:type="dxa"/>
            <w:vAlign w:val="bottom"/>
            <w:gridSpan w:val="3"/>
            <w:vMerge w:val="continue"/>
          </w:tcPr>
          <w:p>
            <w:pPr>
              <w:spacing w:after="0"/>
              <w:rPr>
                <w:sz w:val="18"/>
                <w:szCs w:val="18"/>
                <w:color w:val="auto"/>
              </w:rPr>
            </w:pPr>
          </w:p>
        </w:tc>
        <w:tc>
          <w:tcPr>
            <w:tcW w:w="2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Present value of future minimum lease payments</w:t>
            </w:r>
          </w:p>
        </w:tc>
        <w:tc>
          <w:tcPr>
            <w:tcW w:w="2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4,238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580" w:type="dxa"/>
            <w:vAlign w:val="bottom"/>
            <w:gridSpan w:val="2"/>
          </w:tcPr>
          <w:p>
            <w:pPr>
              <w:spacing w:after="0"/>
              <w:rPr>
                <w:sz w:val="20"/>
                <w:szCs w:val="20"/>
                <w:color w:val="auto"/>
              </w:rPr>
            </w:pPr>
            <w:r>
              <w:rPr>
                <w:rFonts w:ascii="Arial" w:cs="Arial" w:eastAsia="Arial" w:hAnsi="Arial"/>
                <w:sz w:val="18"/>
                <w:szCs w:val="18"/>
                <w:color w:val="auto"/>
              </w:rPr>
              <w:t>Less: current portion</w:t>
            </w:r>
          </w:p>
        </w:tc>
        <w:tc>
          <w:tcPr>
            <w:tcW w:w="2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1"/>
              </w:rPr>
              <w:t>(1,787)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lease obligations</w:t>
            </w:r>
          </w:p>
        </w:tc>
        <w:tc>
          <w:tcPr>
            <w:tcW w:w="2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780" w:firstLine="456"/>
        <w:spacing w:after="0" w:line="268" w:lineRule="auto"/>
        <w:rPr>
          <w:sz w:val="20"/>
          <w:szCs w:val="20"/>
          <w:color w:val="auto"/>
        </w:rPr>
      </w:pPr>
      <w:r>
        <w:rPr>
          <w:rFonts w:ascii="Arial" w:cs="Arial" w:eastAsia="Arial" w:hAnsi="Arial"/>
          <w:sz w:val="18"/>
          <w:szCs w:val="18"/>
          <w:color w:val="auto"/>
        </w:rPr>
        <w:t>Rent expense, net of sublease income on the operating leases for fiscal 2009, 2008 and 2007 was approximately $21.1 million, $18.0 million and $10.1 million, respectively.</w:t>
      </w:r>
    </w:p>
    <w:p>
      <w:pPr>
        <w:spacing w:after="0" w:line="132"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 October 2001, the Company entered into a lease agreement for a building in Sunnyvale, California consisting of approximately 213,000 square feet. The lease commenced on January 1, 2002 and was amended in the third quarter of fiscal 2006 to end December 31, 2005. During the first quarter of fiscal 2003, the Company consolidated its three existing facilities in California into this new building. The leases on two of the Company’s former facilities expired in February 2002 and June 2005, respectively, but the Company has an ongoing, non-cancelable lease for the remaining facility. As a result, the Company recorded a facilities consolidation</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charge and obtained a sublease for the remaining facility (see Note 7). The future minimum lease payments at January 31, 2009 for the remaining unoccupied facility net of sublease income aggregated $4.5 million and are included in the above lease commitment table.</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operating lease commitments are lease payments for computer aided software license agreements and airplane lease commitments.</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Commitments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addition to the above commitments and contingencies, $113.5 million of unrecognized tax benefits has been recorded as liabilities in accordance with FIN 48. As of January 31, 2009, the Company had a recorded liability for potential interest and penalties of $22.6 million and $10.8 million, respectively. During the next 12 months, the Company believes that audit resolutions and the expiration of statute of limitations could potentially reduce the Company’s unrecognized tax benefit by up to $34.8 million. However, this amount can change because the Company continues to have ongoing negotiations with various tax authorities throughout the year. At this time, the Company is unable to make a reasonably reliable estimate of the amount of payments in individual years beyond 12 months due to uncertainties in the timing of tax audit outcomes.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including paying for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However,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jc w:val="both"/>
        <w:ind w:right="600" w:firstLine="456"/>
        <w:spacing w:after="0" w:line="259"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January 31, 2009, these foundries had incurred approximately $40.8 million of manufacturing expenses on the Company’s outstanding purchase orders.</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until December 31, 2015. As of January 31, 2009, payments totaling $174.2 million (included in prepaid expenses and other current assets and other noncurrent assets) have been made and approximately $151.4 million of the prepayment has been utilized as of January 31, 2009. At January 31, 2009, there were no outstanding commitments under the agreement.</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380"/>
          </w:cols>
          <w:pgMar w:left="240" w:top="459" w:right="2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780" w:firstLine="456"/>
        <w:spacing w:after="0" w:line="268" w:lineRule="auto"/>
        <w:rPr>
          <w:sz w:val="20"/>
          <w:szCs w:val="20"/>
          <w:color w:val="auto"/>
        </w:rPr>
      </w:pPr>
      <w:r>
        <w:rPr>
          <w:rFonts w:ascii="Arial" w:cs="Arial" w:eastAsia="Arial" w:hAnsi="Arial"/>
          <w:sz w:val="18"/>
          <w:szCs w:val="18"/>
          <w:color w:val="auto"/>
        </w:rPr>
        <w:t>As of January 31, 2009, the Company had approximately $21.8 million of other outstanding non-cancelable purchase orders for capital purchase obligations.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(the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w:t>
      </w:r>
    </w:p>
    <w:p>
      <w:pPr>
        <w:spacing w:after="0" w:line="13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parties have reached a global settlement of the litigation and have so advised the Court. Under the settlement, which remains subject to Court approval, the insurers would pay the full amount of settlement share allocated to the Company, and the Company would bear no financial liability. The Company, as well as the officer and director defendants who were previously dismissed from the action pursuant to tolling agreements, would receive complete dismissals from the case. Unless further extended by the Court, plaintiffs have a deadline of April 1, 2009 to file their motion for preliminary settlement approval. It is uncertain whether the settlement will receive final Court approval. If the settlement does not receive final Court approval, and litigation against the Company continues, the Company believes it has meritorious defenses and intends to defend the action vigorously.</w:t>
      </w:r>
    </w:p>
    <w:p>
      <w:pPr>
        <w:spacing w:after="0" w:line="120"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i w:val="1"/>
          <w:iCs w:val="1"/>
          <w:color w:val="auto"/>
        </w:rPr>
        <w:t xml:space="preserve">Section 16(b) Litigation. </w:t>
      </w:r>
      <w:r>
        <w:rPr>
          <w:rFonts w:ascii="Arial" w:cs="Arial" w:eastAsia="Arial" w:hAnsi="Arial"/>
          <w:sz w:val="18"/>
          <w:szCs w:val="18"/>
          <w:color w:val="auto"/>
        </w:rPr>
        <w:t>On October 9, 2007, a purported shareholder of the Company filed a complaint for violation of Section 16(b) of the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Act, which prohibits short swing trading, against the Company’s IPO underwriters. The complaint </w:t>
      </w:r>
      <w:r>
        <w:rPr>
          <w:rFonts w:ascii="Arial" w:cs="Arial" w:eastAsia="Arial" w:hAnsi="Arial"/>
          <w:sz w:val="18"/>
          <w:szCs w:val="18"/>
          <w:i w:val="1"/>
          <w:iCs w:val="1"/>
          <w:color w:val="auto"/>
        </w:rPr>
        <w:t>Vanessa Simmonds v. The Goldman Sachs Group, et al.</w:t>
      </w:r>
      <w:r>
        <w:rPr>
          <w:rFonts w:ascii="Arial" w:cs="Arial" w:eastAsia="Arial" w:hAnsi="Arial"/>
          <w:sz w:val="18"/>
          <w:szCs w:val="18"/>
          <w:color w:val="auto"/>
        </w:rPr>
        <w:t>, Case No. C07-1632 filed in District Court for the Western District of Washington, seeks the recovery of short-swing profits. The Company is named as a nominal defendant. No recovery is sought from the Company. Numerous similar suits were filed by the same plaintiff against other underwriters relating to other issuers. After a hearing on motions to</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400"/>
          </w:cols>
          <w:pgMar w:left="240" w:top="459" w:right="2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dismiss filed by the underwriter defendants and some of the issuer defendants (excluding the Company) on January 16, 2009, the district court ordered dismissal of all claims against the moving issuer defendants without prejudice. The court also ordered dismissal of all claims against the underwriter defendants with prejudice. The plaintiffs may file appeals to those orders. No discovery has taken place.</w:t>
      </w:r>
    </w:p>
    <w:p>
      <w:pPr>
        <w:spacing w:after="0" w:line="14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21" w:lineRule="exact"/>
        <w:rPr>
          <w:sz w:val="20"/>
          <w:szCs w:val="20"/>
          <w:color w:val="auto"/>
        </w:rPr>
      </w:pPr>
    </w:p>
    <w:p>
      <w:pPr>
        <w:ind w:firstLine="456"/>
        <w:spacing w:after="0" w:line="287" w:lineRule="auto"/>
        <w:rPr>
          <w:sz w:val="20"/>
          <w:szCs w:val="20"/>
          <w:color w:val="auto"/>
        </w:rPr>
      </w:pPr>
      <w:r>
        <w:rPr>
          <w:rFonts w:ascii="Arial" w:cs="Arial" w:eastAsia="Arial" w:hAnsi="Arial"/>
          <w:sz w:val="15"/>
          <w:szCs w:val="15"/>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5"/>
          <w:szCs w:val="15"/>
          <w:i w:val="1"/>
          <w:iCs w:val="1"/>
          <w:color w:val="auto"/>
        </w:rPr>
        <w:t>Rico v. Mitsubishi Motors Corp</w:t>
      </w:r>
      <w:r>
        <w:rPr>
          <w:rFonts w:ascii="Arial" w:cs="Arial" w:eastAsia="Arial" w:hAnsi="Arial"/>
          <w:sz w:val="15"/>
          <w:szCs w:val="15"/>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5"/>
          <w:szCs w:val="15"/>
          <w:i w:val="1"/>
          <w:iCs w:val="1"/>
          <w:color w:val="auto"/>
        </w:rPr>
        <w:t>Rico v. Mitsubishi</w:t>
      </w:r>
      <w:r>
        <w:rPr>
          <w:rFonts w:ascii="Arial" w:cs="Arial" w:eastAsia="Arial" w:hAnsi="Arial"/>
          <w:sz w:val="15"/>
          <w:szCs w:val="15"/>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w:t>
      </w:r>
    </w:p>
    <w:p>
      <w:pPr>
        <w:spacing w:after="0" w:line="1" w:lineRule="exact"/>
        <w:rPr>
          <w:sz w:val="20"/>
          <w:szCs w:val="20"/>
          <w:color w:val="auto"/>
        </w:rPr>
      </w:pPr>
    </w:p>
    <w:p>
      <w:pPr>
        <w:jc w:val="both"/>
        <w:ind w:right="360"/>
        <w:spacing w:after="0" w:line="225" w:lineRule="auto"/>
        <w:rPr>
          <w:sz w:val="20"/>
          <w:szCs w:val="20"/>
          <w:color w:val="auto"/>
        </w:rPr>
      </w:pPr>
      <w:r>
        <w:rPr>
          <w:rFonts w:ascii="Arial" w:cs="Arial" w:eastAsia="Arial" w:hAnsi="Arial"/>
          <w:sz w:val="18"/>
          <w:szCs w:val="18"/>
          <w:color w:val="auto"/>
        </w:rPr>
        <w:t xml:space="preserve">closely than is necessary to determine it is privileged. </w:t>
      </w:r>
      <w:r>
        <w:rPr>
          <w:rFonts w:ascii="Arial" w:cs="Arial" w:eastAsia="Arial" w:hAnsi="Arial"/>
          <w:sz w:val="18"/>
          <w:szCs w:val="18"/>
          <w:i w:val="1"/>
          <w:iCs w:val="1"/>
          <w:color w:val="auto"/>
        </w:rPr>
        <w:t>Rico v. Mitsubishi Motors Corp.</w:t>
      </w:r>
      <w:r>
        <w:rPr>
          <w:rFonts w:ascii="Arial" w:cs="Arial" w:eastAsia="Arial" w:hAnsi="Arial"/>
          <w:sz w:val="18"/>
          <w:szCs w:val="18"/>
          <w:color w:val="auto"/>
        </w:rPr>
        <w:t xml:space="preserve"> (2007) 42 Cal.4</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807. Following its decision in </w:t>
      </w:r>
      <w:r>
        <w:rPr>
          <w:rFonts w:ascii="Arial" w:cs="Arial" w:eastAsia="Arial" w:hAnsi="Arial"/>
          <w:sz w:val="18"/>
          <w:szCs w:val="18"/>
          <w:i w:val="1"/>
          <w:iCs w:val="1"/>
          <w:color w:val="auto"/>
        </w:rPr>
        <w:t>Rico v. Mitsubishi</w:t>
      </w:r>
      <w:r>
        <w:rPr>
          <w:rFonts w:ascii="Arial" w:cs="Arial" w:eastAsia="Arial" w:hAnsi="Arial"/>
          <w:sz w:val="18"/>
          <w:szCs w:val="18"/>
          <w:color w:val="auto"/>
        </w:rPr>
        <w:t>, on April 23, 2008, the California Supreme Court issued an order dismissing the Company’s petition for review. As a result the decision of the Court of Appeal, which remains unpublished, became final.</w:t>
      </w:r>
    </w:p>
    <w:p>
      <w:pPr>
        <w:spacing w:after="0" w:line="185"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case is now proceeding in the trial court. On January 13, 2009, the Court granted a motion disqualifying the Company’s counsel and the Company engaged new counsel. The trial date was continued from</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380"/>
          </w:cols>
          <w:pgMar w:left="240" w:top="459" w:right="27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March 2, 2009 to May 4, 2009. The claims against the three Company officers have been dropped. The parties are engaged in extensive discovery. Motions for summary judgment and/or summary adjudication filed by the parties were heard on February 3, 2009 and were all denied except for Jasmine’s motions directed to the Company’s declaratory judgment claims, which were granted. The Company intends to vigorously assert its cross-claims and defenses in the trial court.</w:t>
      </w:r>
    </w:p>
    <w:p>
      <w:pPr>
        <w:spacing w:after="0" w:line="107" w:lineRule="exact"/>
        <w:rPr>
          <w:sz w:val="20"/>
          <w:szCs w:val="20"/>
          <w:color w:val="auto"/>
        </w:rPr>
      </w:pPr>
    </w:p>
    <w:p>
      <w:pPr>
        <w:ind w:right="180" w:firstLine="456"/>
        <w:spacing w:after="0" w:line="254" w:lineRule="auto"/>
        <w:rPr>
          <w:sz w:val="20"/>
          <w:szCs w:val="20"/>
          <w:color w:val="auto"/>
        </w:rPr>
      </w:pPr>
      <w:r>
        <w:rPr>
          <w:rFonts w:ascii="Arial" w:cs="Arial" w:eastAsia="Arial" w:hAnsi="Arial"/>
          <w:sz w:val="18"/>
          <w:szCs w:val="18"/>
          <w:i w:val="1"/>
          <w:iCs w:val="1"/>
          <w:color w:val="auto"/>
        </w:rPr>
        <w:t xml:space="preserve">CSIRO Litigation. </w:t>
      </w:r>
      <w:r>
        <w:rPr>
          <w:rFonts w:ascii="Arial" w:cs="Arial" w:eastAsia="Arial" w:hAnsi="Arial"/>
          <w:sz w:val="18"/>
          <w:szCs w:val="18"/>
          <w:color w:val="auto"/>
        </w:rPr>
        <w:t>As of January 2007, Australia’s Commonwealth Scientific and Industrial Research Organisation (“CSIRO”) was involved in several</w:t>
      </w:r>
      <w:r>
        <w:rPr>
          <w:rFonts w:ascii="Arial" w:cs="Arial" w:eastAsia="Arial" w:hAnsi="Arial"/>
          <w:sz w:val="18"/>
          <w:szCs w:val="18"/>
          <w:i w:val="1"/>
          <w:iCs w:val="1"/>
          <w:color w:val="auto"/>
        </w:rPr>
        <w:t xml:space="preserve"> </w:t>
      </w:r>
      <w:r>
        <w:rPr>
          <w:rFonts w:ascii="Arial" w:cs="Arial" w:eastAsia="Arial" w:hAnsi="Arial"/>
          <w:sz w:val="18"/>
          <w:szCs w:val="18"/>
          <w:color w:val="auto"/>
        </w:rPr>
        <w:t>patent litigations in the Eastern District of Texas (the “Non-Marvell CSIRO Litigations”),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indemnification from the Company. In response to these demands for indemnification, the Company has acknowledged the demands and incurred costs in response to them.</w:t>
      </w:r>
    </w:p>
    <w:p>
      <w:pPr>
        <w:spacing w:after="0" w:line="144"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(the “Marvell CSIRO Litigation”) seeking a declaratory judgment against CSIRO that the ‘069 Patent is invalid and unenforceable and that the Company and its customers do not infringe the ‘069 Patent. The complaint also seeks damages and a license for the Company and its customers on reasonable and non-discriminatory terms in the event the Company’s 802.11a/g/n wireless LAN products are found to infringe and the ‘069 Patent is found to be valid and enforceable.</w:t>
      </w:r>
    </w:p>
    <w:p>
      <w:pPr>
        <w:spacing w:after="0" w:line="113"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On December 5, 2007, CSIRO filed its answer to the Company’s complaint, as well as counterclaims against the Company for willful and deliberate infringement of the ‘069 Patent. CSIRO’s counterclaims included a claim for monetary damages, including triple damages based on its allegation of willful and deliberate infringement, attorneys’ fees and injunctive relief. On April 10, 2008, the Company filed a First Amended Complaint and First Amended Reply to CSIRO’s Answer and Counterclaims. On April 23, 2008, CSIRO filed its Answer and Counterclaims to the First Amended Complaint. On May 12, 2008, the Company filed a Reply and Affirmative Defenses to CSIRO’s amended counterclaims.</w:t>
      </w:r>
    </w:p>
    <w:p>
      <w:pPr>
        <w:spacing w:after="0" w:line="11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On May 22, 2008, the Company filed a motion for summary judgment seeking to invalidate the ‘069 Patent on indefiniteness grounds. The motion was denied on August 14, 2008.</w:t>
      </w:r>
    </w:p>
    <w:p>
      <w:pPr>
        <w:spacing w:after="0" w:line="132"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claim construction hearing was held on June 26, 2008 and the claim construction order was issued on August 14, 2008. The Court held Case Management Conference on December 16, 2008 to discuss combining for trial the various pending CSIRO litigations on the ‘069 Patent. On December 23, 2008, the Court issued an order combining into a single trial the liability phases for all of the Non-Marvell CSIRO Litigations. This combined trial is scheduled to commence on April 13, 2009. The Court also ordered that it would hold four separate damages trials for the Non-Marvell CSIRO Litigations, spaced one month apart, starting in June 2009. The trial for the Marvell CSIRO Litigation is scheduled to commence on May 10, 2010.</w:t>
      </w:r>
    </w:p>
    <w:p>
      <w:pPr>
        <w:spacing w:after="0" w:line="1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June 22,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named the Company as a nominal defendant and a number of the Company’s current and former directors and officers as defendants. Each lawsuit sought to recover damages purportedly sustained by the Company in connection with its option granting processes, and sought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400"/>
          </w:cols>
          <w:pgMar w:left="240" w:top="459" w:right="25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i w:val="1"/>
          <w:iCs w:val="1"/>
          <w:color w:val="auto"/>
        </w:rPr>
        <w:t>Litigation</w:t>
      </w:r>
      <w:r>
        <w:rPr>
          <w:rFonts w:ascii="Arial" w:cs="Arial" w:eastAsia="Arial" w:hAnsi="Arial"/>
          <w:sz w:val="16"/>
          <w:szCs w:val="16"/>
          <w:color w:val="auto"/>
        </w:rPr>
        <w:t>. The plaintiffs filed an amended and consolidated complaint on November 1, 2006. On or about March 5, 2008, the parties entered into a memorandum</w:t>
      </w:r>
      <w:r>
        <w:rPr>
          <w:rFonts w:ascii="Arial" w:cs="Arial" w:eastAsia="Arial" w:hAnsi="Arial"/>
          <w:sz w:val="16"/>
          <w:szCs w:val="16"/>
          <w:i w:val="1"/>
          <w:iCs w:val="1"/>
          <w:color w:val="auto"/>
        </w:rPr>
        <w:t xml:space="preserve"> </w:t>
      </w:r>
      <w:r>
        <w:rPr>
          <w:rFonts w:ascii="Arial" w:cs="Arial" w:eastAsia="Arial" w:hAnsi="Arial"/>
          <w:sz w:val="16"/>
          <w:szCs w:val="16"/>
          <w:color w:val="auto"/>
        </w:rPr>
        <w:t>of understanding that tentatively settles and resolves the consolidated action. The terms of the memorandum of understanding include certain corporate governance enhancements and an agreement by the Company to pay up to $16 million in plaintiffs’ attorneys’ fees, an amount less than the $24.5 million that the Company received from a settlement with its directors’ and officers’ liability insurers. This tentative settlement of the consolidated derivative actions requires court approval before it becomes final. The Company accrued the $16 million settlement amount in the fourth quarter of fiscal 2008. On March 20, 2009, the parties submitted formal settlement documentation to the Court seeking preliminary and thereafter final approval for the settlement, at which time payment of the settlement amount will be made. The Court will consider preliminary approval of the settlement in May 2009, and, if preliminary approval is granted, is expected to consider whether to grant final approval of the settlement in the third calendar quarter of 2009. The Company recorded the insurance settlement amount as restricted cash at the time it was received in the first quarter of fiscal 2009.</w:t>
      </w:r>
    </w:p>
    <w:p>
      <w:pPr>
        <w:spacing w:after="0" w:line="12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i w:val="1"/>
          <w:iCs w:val="1"/>
          <w:color w:val="auto"/>
        </w:rPr>
        <w:t xml:space="preserve">Class Action Securities Litigation. </w:t>
      </w:r>
      <w:r>
        <w:rPr>
          <w:rFonts w:ascii="Arial" w:cs="Arial" w:eastAsia="Arial" w:hAnsi="Arial"/>
          <w:sz w:val="16"/>
          <w:szCs w:val="16"/>
          <w:color w:val="auto"/>
        </w:rPr>
        <w:t>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the Company and certain of its current and former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the Company’s common shares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 class action complaint. On October 18, 2007, the Company filed a motion to dismiss the consolidated class action complaint. On September 29, 2008, the District Court issued an order granting in part and denying in part Marvell’s motion to dismiss the consolidated class action complaint. The District Court gave the plaintiffs thirty days to amend their complaint. Plaintiffs elected not to amend the complaint and instead have chosen to proceed with the claims that the court did not dismiss. The Company filed its answer to the complaint on January 12, 2009. Discovery has recently commenced.</w:t>
      </w:r>
    </w:p>
    <w:p>
      <w:pPr>
        <w:spacing w:after="0" w:line="12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the Company received a letter of informal inquiry from the SEC requesting certain documents</w:t>
      </w:r>
      <w:r>
        <w:rPr>
          <w:rFonts w:ascii="Arial" w:cs="Arial" w:eastAsia="Arial" w:hAnsi="Arial"/>
          <w:sz w:val="16"/>
          <w:szCs w:val="16"/>
          <w:i w:val="1"/>
          <w:iCs w:val="1"/>
          <w:color w:val="auto"/>
        </w:rPr>
        <w:t xml:space="preserve"> </w:t>
      </w:r>
      <w:r>
        <w:rPr>
          <w:rFonts w:ascii="Arial" w:cs="Arial" w:eastAsia="Arial" w:hAnsi="Arial"/>
          <w:sz w:val="16"/>
          <w:szCs w:val="16"/>
          <w:color w:val="auto"/>
        </w:rPr>
        <w:t>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was conducting a formal investigation into this matter. On June 8, 2007 and July 3, 2007, the Company received document subpoenas from the SEC. On October 11, 2007, the Company received a “Wells Notice” from the staff of the SEC. Weili Dai, Vice President of Sales for Communications and Consumer Business of Marvell Semiconductor, Inc. (“MSI”), who is not an officer or director of the Company, also received a “Wells” notice. The SEC staff also advised the Company that it is not at this time recommending enforcement action against any of the Company’s current officers or directors. The “Wells” notices indicated that the staff intended to recommend to the staff of the SEC that it bring civil actions against the recipients for injunctive relief and civil monetary penalties. The Company responded in writing to the “Wells Notice” and sought to reach a resolution of this matter before any action was filed.</w:t>
      </w:r>
    </w:p>
    <w:p>
      <w:pPr>
        <w:spacing w:after="0" w:line="12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On May 8, 2008, the Company announced that it had reached an agreement with the SEC to settle this matter. Without admitting or denying the allegations in the SEC’s complaint, the Company agreed to settle the charges by consenting to a permanent injunction against any future violations of various provisions of the federal securities laws. The Company also agreed to pay a civil penalty of $10 million in connection with the settlement.</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400"/>
          </w:cols>
          <w:pgMar w:left="240" w:top="459" w:right="25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0"/>
        <w:spacing w:after="0" w:line="291" w:lineRule="auto"/>
        <w:rPr>
          <w:sz w:val="20"/>
          <w:szCs w:val="20"/>
          <w:color w:val="auto"/>
        </w:rPr>
      </w:pPr>
      <w:r>
        <w:rPr>
          <w:rFonts w:ascii="Arial" w:cs="Arial" w:eastAsia="Arial" w:hAnsi="Arial"/>
          <w:sz w:val="16"/>
          <w:szCs w:val="16"/>
          <w:color w:val="auto"/>
        </w:rPr>
        <w:t xml:space="preserve">On May 8, 2008, the SEC filed a complaint captioned </w:t>
      </w:r>
      <w:r>
        <w:rPr>
          <w:rFonts w:ascii="Arial" w:cs="Arial" w:eastAsia="Arial" w:hAnsi="Arial"/>
          <w:sz w:val="16"/>
          <w:szCs w:val="16"/>
          <w:i w:val="1"/>
          <w:iCs w:val="1"/>
          <w:color w:val="auto"/>
        </w:rPr>
        <w:t>SEC v. Marvell Technology Group, Ltd., et al</w:t>
      </w:r>
      <w:r>
        <w:rPr>
          <w:rFonts w:ascii="Arial" w:cs="Arial" w:eastAsia="Arial" w:hAnsi="Arial"/>
          <w:sz w:val="16"/>
          <w:szCs w:val="16"/>
          <w:color w:val="auto"/>
        </w:rPr>
        <w:t>., Case No. CV-08-2367-HRL, in the United States District Court for the Northern District of California. The Company’s consent to entry of final judgment was also filed on May 8, 2008. In a related agreement, Ms. Dai also entered into a settlement with the SEC. Without admitting or denying the allegations in the SEC’s complaint, Ms. Dai consented to a permanent injunction against any future violations of various provisions of the federal securities laws, agreed not to serve as a director or officer of a public company for a period of five years, and agreed to pay a civil penalty of $500,000. The Court entered the final judgment against Ms. Dai on June 16, 2008 and against the Company on July 1, 2008. The Company accrued the $10 million civil penalty in the first quarter of fiscal 2009 and paid it to the SEC on July 8, 2008.</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This settlement concluded the SEC’s formal investigation of the Company with respect to the Company’s historic stock option granting practices.</w:t>
      </w:r>
    </w:p>
    <w:p>
      <w:pPr>
        <w:spacing w:after="0" w:line="194"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MSI received a letter from Wi-LAN, Inc. (“Wi-LAN”) accusing MSI of infringing five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and one Canadian patent allegedly owned by Wi-LAN. On October 31, 2007, Wi-LAN sued two groups of system and chip manufacturers in the United States District Court for the Eastern District of Texas, in both cases naming MSI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20" w:lineRule="exact"/>
        <w:rPr>
          <w:sz w:val="20"/>
          <w:szCs w:val="20"/>
          <w:color w:val="auto"/>
        </w:rPr>
      </w:pPr>
    </w:p>
    <w:p>
      <w:pPr>
        <w:ind w:right="20" w:firstLine="456"/>
        <w:spacing w:after="0" w:line="314" w:lineRule="auto"/>
        <w:rPr>
          <w:sz w:val="20"/>
          <w:szCs w:val="20"/>
          <w:color w:val="auto"/>
        </w:rPr>
      </w:pPr>
      <w:r>
        <w:rPr>
          <w:rFonts w:ascii="Arial" w:cs="Arial" w:eastAsia="Arial" w:hAnsi="Arial"/>
          <w:sz w:val="15"/>
          <w:szCs w:val="15"/>
          <w:color w:val="auto"/>
        </w:rPr>
        <w:t>On May 27, 2008, defendants in both cases jointly moved to consolidate the co-pending related cases and permit claims involving suppliers of the products to be litigated first. Wi-LAN filed its opposition on June 18, 2008. On September 10, 2008, the Court granted the defendant’s motion to consolidate both actions but denied as premature having the defendant suppliers’ case proceed first. On December 12, 2008, Wi-LAN filed a motion for leave to file a supplemental first amended complaint to add a fourth patent, U.S. Pat. No. 6,549,759 (the “‘759 Patent”). Defendants opposed this motion on January 23, 2009. The Court issued an order on February 3, 2009, granting Wi-LAN’s motion to add the ‘759 Patent. The Claim Construction Hearing is scheduled for September 1, 2010, and the trial is set to begin on January 4, 2011. MSI believes it does not infringe the asserted Wi-LAN patents and will vigorously defend itself in these matters.</w:t>
      </w:r>
    </w:p>
    <w:p>
      <w:pPr>
        <w:spacing w:after="0" w:line="10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MSI also asked in the alternative that the Court find the patents invalid. Wi-LAN has filed a motion to dismiss, and the Company filed its opposition to that motion on June 9, 2008. On June 19, 2008, Marvell settled this declaratory judgment action. This settlement does not affect or in any way involve the ongoing litigations brought by Wi-LAN in the Eastern District of Texas.</w:t>
      </w:r>
    </w:p>
    <w:p>
      <w:pPr>
        <w:spacing w:after="0" w:line="144"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On December 10, 2008, MSI and Marvell Asia Pte. Ltd. (“MAPL”) filed a complaint against Wi-LAN in the United States District Court for the Northern District of California asking the Court to find that MSI and MAPL do not infringe the ‘759 Patent that Wi-LAN asserted against the Company’s products. The ‘759 Patent allegedly relates to products compliant with IEEE 802.11, 802.16 and/or Bluetooth standards. MSI and MAPL also asked, in the alternative, that the Court find the patents are invalid and unenforceable.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420"/>
          </w:cols>
          <w:pgMar w:left="240" w:top="459" w:right="23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SFAS No. 131, “Disclosures about Segments of an Enterprise and Related Information (“SFAS 131”), establishes standards for the way that public business enterprises report information about operating segments in annual consolidated financial statements and requires that those enterprises report selected information about operating segments in interim financial reports. SFAS 131 also establishes standards for related disclosures about products and services, geographic areas and major customers. The Company operates in one reportable segment — the design, development and sale of integrated circuits.</w:t>
      </w:r>
    </w:p>
    <w:p>
      <w:pPr>
        <w:spacing w:after="0" w:line="11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The fact that the Company operates in only one reportable segment is based on the following factors. The Company uses a highly integrated approach in developing its products in that discrete technologies developed by the Company are frequently integrated across many of its products. The Chief Operating Decision Maker, as defined by SFAS 131, makes financial decisions for the Company based on the consolidated financial performance and not necessarily based on any discrete financial information. The sale of integrated circuits represents the only material source of revenue for the Company. Finally, substantially all of the Company’s integrated circuits are manufactured under similar manufacturing processes.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Chief Executive Officer has been identified as the Chief Operating Decision Maker.</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115</w:t>
      </w:r>
    </w:p>
    <w:p>
      <w:pPr>
        <w:sectPr>
          <w:pgSz w:w="11900" w:h="16838" w:orient="portrait"/>
          <w:cols w:equalWidth="0" w:num="1">
            <w:col w:w="11420"/>
          </w:cols>
          <w:pgMar w:left="240" w:top="459" w:right="2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8"/>
              </w:rPr>
              <w:t>Year Ended</w:t>
            </w: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right"/>
              <w:ind w:right="35"/>
              <w:spacing w:after="0" w:line="129" w:lineRule="exact"/>
              <w:rPr>
                <w:sz w:val="20"/>
                <w:szCs w:val="20"/>
                <w:color w:val="auto"/>
              </w:rPr>
            </w:pPr>
            <w:r>
              <w:rPr>
                <w:rFonts w:ascii="Arial" w:cs="Arial" w:eastAsia="Arial" w:hAnsi="Arial"/>
                <w:sz w:val="14"/>
                <w:szCs w:val="14"/>
                <w:b w:val="1"/>
                <w:bCs w:val="1"/>
                <w:color w:val="auto"/>
                <w:w w:val="88"/>
              </w:rPr>
              <w:t>January 31,</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center"/>
              <w:ind w:right="36"/>
              <w:spacing w:after="0" w:line="129" w:lineRule="exact"/>
              <w:rPr>
                <w:sz w:val="20"/>
                <w:szCs w:val="20"/>
                <w:color w:val="auto"/>
              </w:rPr>
            </w:pPr>
            <w:r>
              <w:rPr>
                <w:rFonts w:ascii="Arial" w:cs="Arial" w:eastAsia="Arial" w:hAnsi="Arial"/>
                <w:sz w:val="14"/>
                <w:szCs w:val="14"/>
                <w:b w:val="1"/>
                <w:bCs w:val="1"/>
                <w:color w:val="auto"/>
                <w:w w:val="92"/>
              </w:rPr>
              <w:t>February 2,</w:t>
            </w: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jc w:val="right"/>
              <w:ind w:right="35"/>
              <w:spacing w:after="0" w:line="129" w:lineRule="exact"/>
              <w:rPr>
                <w:sz w:val="20"/>
                <w:szCs w:val="20"/>
                <w:color w:val="auto"/>
              </w:rPr>
            </w:pPr>
            <w:r>
              <w:rPr>
                <w:rFonts w:ascii="Arial" w:cs="Arial" w:eastAsia="Arial" w:hAnsi="Arial"/>
                <w:sz w:val="14"/>
                <w:szCs w:val="14"/>
                <w:b w:val="1"/>
                <w:bCs w:val="1"/>
                <w:color w:val="auto"/>
                <w:w w:val="88"/>
              </w:rPr>
              <w:t>January 27,</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980" w:type="dxa"/>
            <w:vAlign w:val="bottom"/>
            <w:gridSpan w:val="3"/>
          </w:tcPr>
          <w:p>
            <w:pPr>
              <w:spacing w:after="0"/>
              <w:rPr>
                <w:sz w:val="20"/>
                <w:szCs w:val="20"/>
                <w:color w:val="auto"/>
              </w:rPr>
            </w:pPr>
            <w:r>
              <w:rPr>
                <w:rFonts w:ascii="Arial" w:cs="Arial" w:eastAsia="Arial" w:hAnsi="Arial"/>
                <w:sz w:val="14"/>
                <w:szCs w:val="14"/>
                <w:b w:val="1"/>
                <w:bCs w:val="1"/>
                <w:color w:val="auto"/>
              </w:rPr>
              <w:t>Net Revenue:</w:t>
            </w:r>
          </w:p>
        </w:tc>
        <w:tc>
          <w:tcPr>
            <w:tcW w:w="100" w:type="dxa"/>
            <w:vAlign w:val="bottom"/>
          </w:tcPr>
          <w:p>
            <w:pPr>
              <w:spacing w:after="0"/>
              <w:rPr>
                <w:sz w:val="14"/>
                <w:szCs w:val="14"/>
                <w:color w:val="auto"/>
              </w:rPr>
            </w:pPr>
          </w:p>
        </w:tc>
        <w:tc>
          <w:tcPr>
            <w:tcW w:w="820" w:type="dxa"/>
            <w:vAlign w:val="bottom"/>
          </w:tcPr>
          <w:p>
            <w:pPr>
              <w:jc w:val="right"/>
              <w:ind w:right="235"/>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jc w:val="center"/>
              <w:ind w:right="36"/>
              <w:spacing w:after="0"/>
              <w:rPr>
                <w:sz w:val="20"/>
                <w:szCs w:val="20"/>
                <w:color w:val="auto"/>
              </w:rPr>
            </w:pPr>
            <w:r>
              <w:rPr>
                <w:rFonts w:ascii="Arial" w:cs="Arial" w:eastAsia="Arial" w:hAnsi="Arial"/>
                <w:sz w:val="14"/>
                <w:szCs w:val="14"/>
                <w:b w:val="1"/>
                <w:bCs w:val="1"/>
                <w:color w:val="auto"/>
                <w:w w:val="83"/>
              </w:rPr>
              <w:t>2008</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jc w:val="right"/>
              <w:ind w:right="255"/>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7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20" w:type="dxa"/>
            <w:vAlign w:val="bottom"/>
            <w:shd w:val="clear" w:color="auto" w:fill="CCEEFF"/>
          </w:tcPr>
          <w:p>
            <w:pPr>
              <w:spacing w:after="0"/>
              <w:rPr>
                <w:sz w:val="20"/>
                <w:szCs w:val="20"/>
                <w:color w:val="auto"/>
              </w:rPr>
            </w:pPr>
            <w:r>
              <w:rPr>
                <w:rFonts w:ascii="Arial" w:cs="Arial" w:eastAsia="Arial" w:hAnsi="Arial"/>
                <w:sz w:val="18"/>
                <w:szCs w:val="18"/>
                <w:color w:val="auto"/>
              </w:rPr>
              <w:t>Canada</w:t>
            </w:r>
          </w:p>
        </w:tc>
        <w:tc>
          <w:tcPr>
            <w:tcW w:w="7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141,926</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286,570</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38,185</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China</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674,637</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666,084</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495,683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Japan</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376,409</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354,432</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245,753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Korea</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215,080</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232,610</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226,652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Malaysia</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305,033</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254,905</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290,499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Philippines</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155,172</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135,907</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171,692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Singapore</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150,384</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158,736</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200,884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Taiwan</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194,824</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262,842</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163,459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Thailand</w:t>
            </w: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417,319</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329,501</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173,744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tcPr>
          <w:p>
            <w:pPr>
              <w:spacing w:after="0"/>
              <w:rPr>
                <w:sz w:val="20"/>
                <w:szCs w:val="20"/>
                <w:color w:val="auto"/>
              </w:rPr>
            </w:pPr>
            <w:r>
              <w:rPr>
                <w:rFonts w:ascii="Arial" w:cs="Arial" w:eastAsia="Arial" w:hAnsi="Arial"/>
                <w:sz w:val="18"/>
                <w:szCs w:val="18"/>
                <w:color w:val="auto"/>
              </w:rPr>
              <w:t>United States</w:t>
            </w: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149,914</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118,869</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107,204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Others</w:t>
            </w:r>
          </w:p>
        </w:tc>
        <w:tc>
          <w:tcPr>
            <w:tcW w:w="10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169,865</w:t>
            </w:r>
          </w:p>
        </w:tc>
        <w:tc>
          <w:tcPr>
            <w:tcW w:w="3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94,237</w:t>
            </w:r>
          </w:p>
        </w:tc>
        <w:tc>
          <w:tcPr>
            <w:tcW w:w="3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123,798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1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2,950,563</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2,894,693</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2,237,553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b w:val="1"/>
                <w:bCs w:val="1"/>
                <w:color w:val="auto"/>
                <w:w w:val="90"/>
              </w:rPr>
              <w:t>January 31,</w:t>
            </w:r>
          </w:p>
        </w:tc>
        <w:tc>
          <w:tcPr>
            <w:tcW w:w="500" w:type="dxa"/>
            <w:vAlign w:val="bottom"/>
          </w:tcPr>
          <w:p>
            <w:pPr>
              <w:spacing w:after="0"/>
              <w:rPr>
                <w:sz w:val="14"/>
                <w:szCs w:val="14"/>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92"/>
              </w:rPr>
              <w:t>February 2,</w:t>
            </w:r>
          </w:p>
        </w:tc>
      </w:tr>
      <w:tr>
        <w:trPr>
          <w:trHeight w:val="161"/>
        </w:trPr>
        <w:tc>
          <w:tcPr>
            <w:tcW w:w="460" w:type="dxa"/>
            <w:vAlign w:val="bottom"/>
          </w:tcPr>
          <w:p>
            <w:pPr>
              <w:spacing w:after="0"/>
              <w:rPr>
                <w:sz w:val="14"/>
                <w:szCs w:val="14"/>
                <w:color w:val="auto"/>
              </w:rPr>
            </w:pPr>
          </w:p>
        </w:tc>
        <w:tc>
          <w:tcPr>
            <w:tcW w:w="12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0"/>
              </w:rPr>
              <w:t>Long-lived Assets*:</w:t>
            </w:r>
          </w:p>
        </w:tc>
        <w:tc>
          <w:tcPr>
            <w:tcW w:w="7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2009</w:t>
            </w:r>
          </w:p>
        </w:tc>
        <w:tc>
          <w:tcPr>
            <w:tcW w:w="5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r>
      <w:tr>
        <w:trPr>
          <w:trHeight w:val="210"/>
        </w:trPr>
        <w:tc>
          <w:tcPr>
            <w:tcW w:w="460" w:type="dxa"/>
            <w:vAlign w:val="bottom"/>
          </w:tcPr>
          <w:p>
            <w:pPr>
              <w:spacing w:after="0"/>
              <w:rPr>
                <w:sz w:val="18"/>
                <w:szCs w:val="18"/>
                <w:color w:val="auto"/>
              </w:rPr>
            </w:pPr>
          </w:p>
        </w:tc>
        <w:tc>
          <w:tcPr>
            <w:tcW w:w="1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Bermuda</w:t>
            </w:r>
          </w:p>
        </w:tc>
        <w:tc>
          <w:tcPr>
            <w:tcW w:w="7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8,295</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12,622</w:t>
            </w:r>
          </w:p>
        </w:tc>
        <w:tc>
          <w:tcPr>
            <w:tcW w:w="2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1200" w:type="dxa"/>
            <w:vAlign w:val="bottom"/>
            <w:gridSpan w:val="2"/>
          </w:tcPr>
          <w:p>
            <w:pPr>
              <w:spacing w:after="0"/>
              <w:rPr>
                <w:sz w:val="20"/>
                <w:szCs w:val="20"/>
                <w:color w:val="auto"/>
              </w:rPr>
            </w:pPr>
            <w:r>
              <w:rPr>
                <w:rFonts w:ascii="Arial" w:cs="Arial" w:eastAsia="Arial" w:hAnsi="Arial"/>
                <w:sz w:val="18"/>
                <w:szCs w:val="18"/>
                <w:color w:val="auto"/>
              </w:rPr>
              <w:t>Israel</w:t>
            </w:r>
          </w:p>
        </w:tc>
        <w:tc>
          <w:tcPr>
            <w:tcW w:w="7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29,061</w:t>
            </w: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36,089</w:t>
            </w:r>
          </w:p>
        </w:tc>
        <w:tc>
          <w:tcPr>
            <w:tcW w:w="2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1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Singapore</w:t>
            </w:r>
          </w:p>
        </w:tc>
        <w:tc>
          <w:tcPr>
            <w:tcW w:w="7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61,552</w:t>
            </w: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54,118</w:t>
            </w:r>
          </w:p>
        </w:tc>
        <w:tc>
          <w:tcPr>
            <w:tcW w:w="2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1200" w:type="dxa"/>
            <w:vAlign w:val="bottom"/>
            <w:gridSpan w:val="2"/>
          </w:tcPr>
          <w:p>
            <w:pPr>
              <w:spacing w:after="0"/>
              <w:rPr>
                <w:sz w:val="20"/>
                <w:szCs w:val="20"/>
                <w:color w:val="auto"/>
              </w:rPr>
            </w:pPr>
            <w:r>
              <w:rPr>
                <w:rFonts w:ascii="Arial" w:cs="Arial" w:eastAsia="Arial" w:hAnsi="Arial"/>
                <w:sz w:val="18"/>
                <w:szCs w:val="18"/>
                <w:color w:val="auto"/>
              </w:rPr>
              <w:t>United States</w:t>
            </w:r>
          </w:p>
        </w:tc>
        <w:tc>
          <w:tcPr>
            <w:tcW w:w="7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234,241</w:t>
            </w: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258,974</w:t>
            </w:r>
          </w:p>
        </w:tc>
        <w:tc>
          <w:tcPr>
            <w:tcW w:w="2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1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Others</w:t>
            </w:r>
          </w:p>
        </w:tc>
        <w:tc>
          <w:tcPr>
            <w:tcW w:w="72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71,078</w:t>
            </w:r>
          </w:p>
        </w:tc>
        <w:tc>
          <w:tcPr>
            <w:tcW w:w="5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70,999</w:t>
            </w:r>
          </w:p>
        </w:tc>
        <w:tc>
          <w:tcPr>
            <w:tcW w:w="20" w:type="dxa"/>
            <w:vAlign w:val="bottom"/>
          </w:tcPr>
          <w:p>
            <w:pPr>
              <w:spacing w:after="0"/>
              <w:rPr>
                <w:sz w:val="18"/>
                <w:szCs w:val="18"/>
                <w:color w:val="auto"/>
              </w:rPr>
            </w:pPr>
          </w:p>
        </w:tc>
      </w:tr>
      <w:tr>
        <w:trPr>
          <w:trHeight w:val="222"/>
        </w:trPr>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404,227</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w w:val="92"/>
              </w:rPr>
              <w:t>432,802</w:t>
            </w:r>
          </w:p>
        </w:tc>
      </w:tr>
      <w:tr>
        <w:trPr>
          <w:trHeight w:val="20"/>
        </w:trPr>
        <w:tc>
          <w:tcPr>
            <w:tcW w:w="4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7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700" w:type="dxa"/>
            <w:vAlign w:val="bottom"/>
            <w:tcBorders>
              <w:bottom w:val="single" w:sz="8" w:color="auto"/>
            </w:tcBorders>
          </w:tcPr>
          <w:p>
            <w:pPr>
              <w:spacing w:after="0"/>
              <w:rPr>
                <w:sz w:val="8"/>
                <w:szCs w:val="8"/>
                <w:color w:val="auto"/>
              </w:rPr>
            </w:pPr>
          </w:p>
        </w:tc>
        <w:tc>
          <w:tcPr>
            <w:tcW w:w="500" w:type="dxa"/>
            <w:vAlign w:val="bottom"/>
          </w:tcPr>
          <w:p>
            <w:pPr>
              <w:spacing w:after="0"/>
              <w:rPr>
                <w:sz w:val="8"/>
                <w:szCs w:val="8"/>
                <w:color w:val="auto"/>
              </w:rPr>
            </w:pPr>
          </w:p>
        </w:tc>
        <w:tc>
          <w:tcPr>
            <w:tcW w:w="7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 w:type="dxa"/>
            <w:vAlign w:val="bottom"/>
          </w:tcPr>
          <w:p>
            <w:pPr>
              <w:spacing w:after="0"/>
              <w:rPr>
                <w:sz w:val="8"/>
                <w:szCs w:val="8"/>
                <w:color w:val="auto"/>
              </w:rPr>
            </w:pPr>
          </w:p>
        </w:tc>
      </w:tr>
    </w:tbl>
    <w:p>
      <w:pPr>
        <w:spacing w:after="0" w:line="19" w:lineRule="exact"/>
        <w:rPr>
          <w:sz w:val="20"/>
          <w:szCs w:val="20"/>
          <w:color w:val="auto"/>
        </w:rPr>
      </w:pPr>
    </w:p>
    <w:p>
      <w:pPr>
        <w:ind w:left="460" w:right="2700" w:hanging="452"/>
        <w:spacing w:after="0" w:line="516" w:lineRule="auto"/>
        <w:tabs>
          <w:tab w:leader="none" w:pos="2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Long-lived assets consist of property and equipment and certain other assets, and exclude goodwill and intangible assets. The following table presents net revenue for groups of similar products (in thousands):</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8"/>
              </w:rPr>
              <w:t>Year Ended</w:t>
            </w: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80" w:type="dxa"/>
            <w:vAlign w:val="bottom"/>
          </w:tcPr>
          <w:p>
            <w:pPr>
              <w:spacing w:after="0"/>
              <w:rPr>
                <w:sz w:val="11"/>
                <w:szCs w:val="11"/>
                <w:color w:val="auto"/>
              </w:rPr>
            </w:pPr>
          </w:p>
        </w:tc>
        <w:tc>
          <w:tcPr>
            <w:tcW w:w="30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right"/>
              <w:ind w:right="40"/>
              <w:spacing w:after="0" w:line="129" w:lineRule="exact"/>
              <w:rPr>
                <w:sz w:val="20"/>
                <w:szCs w:val="20"/>
                <w:color w:val="auto"/>
              </w:rPr>
            </w:pPr>
            <w:r>
              <w:rPr>
                <w:rFonts w:ascii="Arial" w:cs="Arial" w:eastAsia="Arial" w:hAnsi="Arial"/>
                <w:sz w:val="14"/>
                <w:szCs w:val="14"/>
                <w:b w:val="1"/>
                <w:bCs w:val="1"/>
                <w:color w:val="auto"/>
                <w:w w:val="88"/>
              </w:rPr>
              <w:t>January 31,</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center"/>
              <w:ind w:right="42"/>
              <w:spacing w:after="0" w:line="129" w:lineRule="exact"/>
              <w:rPr>
                <w:sz w:val="20"/>
                <w:szCs w:val="20"/>
                <w:color w:val="auto"/>
              </w:rPr>
            </w:pPr>
            <w:r>
              <w:rPr>
                <w:rFonts w:ascii="Arial" w:cs="Arial" w:eastAsia="Arial" w:hAnsi="Arial"/>
                <w:sz w:val="14"/>
                <w:szCs w:val="14"/>
                <w:b w:val="1"/>
                <w:bCs w:val="1"/>
                <w:color w:val="auto"/>
                <w:w w:val="92"/>
              </w:rPr>
              <w:t>February 2,</w:t>
            </w: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jc w:val="right"/>
              <w:ind w:right="40"/>
              <w:spacing w:after="0" w:line="129" w:lineRule="exact"/>
              <w:rPr>
                <w:sz w:val="20"/>
                <w:szCs w:val="20"/>
                <w:color w:val="auto"/>
              </w:rPr>
            </w:pPr>
            <w:r>
              <w:rPr>
                <w:rFonts w:ascii="Arial" w:cs="Arial" w:eastAsia="Arial" w:hAnsi="Arial"/>
                <w:sz w:val="14"/>
                <w:szCs w:val="14"/>
                <w:b w:val="1"/>
                <w:bCs w:val="1"/>
                <w:color w:val="auto"/>
                <w:w w:val="88"/>
              </w:rPr>
              <w:t>January 27,</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20" w:type="dxa"/>
            <w:vAlign w:val="bottom"/>
            <w:gridSpan w:val="3"/>
          </w:tcPr>
          <w:p>
            <w:pPr>
              <w:spacing w:after="0"/>
              <w:rPr>
                <w:sz w:val="20"/>
                <w:szCs w:val="20"/>
                <w:color w:val="auto"/>
              </w:rPr>
            </w:pPr>
            <w:r>
              <w:rPr>
                <w:rFonts w:ascii="Arial" w:cs="Arial" w:eastAsia="Arial" w:hAnsi="Arial"/>
                <w:sz w:val="14"/>
                <w:szCs w:val="14"/>
                <w:b w:val="1"/>
                <w:bCs w:val="1"/>
                <w:color w:val="auto"/>
              </w:rPr>
              <w:t>Net Revenue:</w:t>
            </w:r>
          </w:p>
        </w:tc>
        <w:tc>
          <w:tcPr>
            <w:tcW w:w="3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jc w:val="right"/>
              <w:ind w:right="240"/>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jc w:val="center"/>
              <w:ind w:right="42"/>
              <w:spacing w:after="0"/>
              <w:rPr>
                <w:sz w:val="20"/>
                <w:szCs w:val="20"/>
                <w:color w:val="auto"/>
              </w:rPr>
            </w:pPr>
            <w:r>
              <w:rPr>
                <w:rFonts w:ascii="Arial" w:cs="Arial" w:eastAsia="Arial" w:hAnsi="Arial"/>
                <w:sz w:val="14"/>
                <w:szCs w:val="14"/>
                <w:b w:val="1"/>
                <w:bCs w:val="1"/>
                <w:color w:val="auto"/>
                <w:w w:val="83"/>
              </w:rPr>
              <w:t>2008</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jc w:val="right"/>
              <w:ind w:right="260"/>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Storage products</w:t>
            </w:r>
          </w:p>
        </w:tc>
        <w:tc>
          <w:tcPr>
            <w:tcW w:w="3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1,462,723</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1,340,109</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1,253,383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00" w:type="dxa"/>
            <w:vAlign w:val="bottom"/>
            <w:gridSpan w:val="2"/>
          </w:tcPr>
          <w:p>
            <w:pPr>
              <w:spacing w:after="0"/>
              <w:rPr>
                <w:sz w:val="20"/>
                <w:szCs w:val="20"/>
                <w:color w:val="auto"/>
              </w:rPr>
            </w:pPr>
            <w:r>
              <w:rPr>
                <w:rFonts w:ascii="Arial" w:cs="Arial" w:eastAsia="Arial" w:hAnsi="Arial"/>
                <w:sz w:val="18"/>
                <w:szCs w:val="18"/>
                <w:color w:val="auto"/>
              </w:rPr>
              <w:t>Communications products</w:t>
            </w:r>
          </w:p>
        </w:tc>
        <w:tc>
          <w:tcPr>
            <w:tcW w:w="30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1,487,840</w:t>
            </w:r>
          </w:p>
        </w:tc>
        <w:tc>
          <w:tcPr>
            <w:tcW w:w="3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1,554,584</w:t>
            </w:r>
          </w:p>
        </w:tc>
        <w:tc>
          <w:tcPr>
            <w:tcW w:w="3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984,170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4080" w:type="dxa"/>
            <w:vAlign w:val="bottom"/>
            <w:shd w:val="clear" w:color="auto" w:fill="CCEEFF"/>
          </w:tcPr>
          <w:p>
            <w:pPr>
              <w:spacing w:after="0"/>
              <w:rPr>
                <w:sz w:val="18"/>
                <w:szCs w:val="18"/>
                <w:color w:val="auto"/>
              </w:rPr>
            </w:pPr>
          </w:p>
        </w:tc>
        <w:tc>
          <w:tcPr>
            <w:tcW w:w="3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2,950,563</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2,894,693</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2,237,553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fiscal 2009, 2008 and 2007, the Company incurred approximately none, $0.1 million and $1.0 million, respectively, of expenses from an unrelated third party entity, ACM Aviation, Inc. (“ACM Aviation”), for charter aircraft services provided to MSI for Estopia Air LLC (“Estopia Air”). The aircraft provided by ACM Aviation to the Company for such services was owned by Estopia Air. The Company’s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116</w:t>
      </w:r>
    </w:p>
    <w:p>
      <w:pPr>
        <w:sectPr>
          <w:pgSz w:w="11900" w:h="16838" w:orient="portrait"/>
          <w:cols w:equalWidth="0" w:num="1">
            <w:col w:w="11420"/>
          </w:cols>
          <w:pgMar w:left="240" w:top="459" w:right="23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56" w:lineRule="auto"/>
        <w:rPr>
          <w:sz w:val="20"/>
          <w:szCs w:val="20"/>
          <w:color w:val="auto"/>
        </w:rPr>
      </w:pPr>
      <w:r>
        <w:rPr>
          <w:rFonts w:ascii="Arial" w:cs="Arial" w:eastAsia="Arial" w:hAnsi="Arial"/>
          <w:sz w:val="18"/>
          <w:szCs w:val="18"/>
          <w:color w:val="auto"/>
        </w:rPr>
        <w:t>Chairman, President and Chief Executive Officer, Dr. Sehat Sutardja, and the Vice President of Sales for Communications and Consumer Business of MSI, Weili Dai, through their control and ownership of Estopia Air, owned the aircraft provided by ACM Aviation. Dr. Sutardja and Weili Dai are husband and wife. Expenses were incurred for business travel use of the aircraft at a cost determined to be at fair market value. The charter aircraft was sold by Estopia Air in September 2007.</w:t>
      </w:r>
    </w:p>
    <w:p>
      <w:pPr>
        <w:spacing w:after="0" w:line="143" w:lineRule="exact"/>
        <w:rPr>
          <w:sz w:val="20"/>
          <w:szCs w:val="20"/>
          <w:color w:val="auto"/>
        </w:rPr>
      </w:pPr>
    </w:p>
    <w:p>
      <w:pPr>
        <w:ind w:right="260" w:firstLine="456"/>
        <w:spacing w:after="0" w:line="283" w:lineRule="auto"/>
        <w:rPr>
          <w:sz w:val="20"/>
          <w:szCs w:val="20"/>
          <w:color w:val="auto"/>
        </w:rPr>
      </w:pPr>
      <w:r>
        <w:rPr>
          <w:rFonts w:ascii="Arial" w:cs="Arial" w:eastAsia="Arial" w:hAnsi="Arial"/>
          <w:sz w:val="16"/>
          <w:szCs w:val="16"/>
          <w:color w:val="auto"/>
        </w:rPr>
        <w:t>On August 19, 2005, the Company, through its subsidiaries MSI and Marvell International Ltd., entered into a License and Manufacturing Services Agreement with C2 Microsystems, Inc. (the “C2Micro License Agreement”). The C2Micro License Agreement has substantially similar terms as other license and manufacturing services agreements with other third parties for similar technology. The Company recognized $2.6 million of revenue under the C2Micro License Agreement during fiscal 2009. The Company recognized $1.3 million of revenue under the C2Micro License Agreement during fiscal 2008. The Company recognized $0.3 million and deferred $25,000 of revenue from the C2Micro License Agreement during fiscal 2007. As of January 31, 2009, the Company had a receivable of $1.4 million from C2Microsystems, $0.7 million of which was reserved in the allowance for bad debts and doubtful accounts.</w:t>
      </w:r>
    </w:p>
    <w:p>
      <w:pPr>
        <w:spacing w:after="0" w:line="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Dr. Sehat Sutardja and Weili Dai, through their ownership and control of Estopia LLC, are indirect shareholders of C2 Microsystems. Kuo Wei (Herbert) Chang, a member of the Company’s Board of Directors, is a member of the board of directors of C2 Microsystems, and through his ownership and control of C-Squared venture entities, is also an indirect shareholder of C2 Microsystems. Dr. Pantas Sutardja, the Company’s Vice President, Chief Technology Officer and Chief Research and Development Officer, is also a shareholder of C2 Microsystems.</w:t>
      </w:r>
    </w:p>
    <w:p>
      <w:pPr>
        <w:spacing w:after="0" w:line="144"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On January 8, 2007, the Company, through its subsidiary Marvell International Ltd., entered into a Library/IP/Software Evaluation License Agreement (the “Evaluation License Agreement”) with VeriSilicon Holdings Co., Ltd. The Evaluation License Agreement has no consideration. The Company incurred</w:t>
      </w:r>
    </w:p>
    <w:p>
      <w:pPr>
        <w:ind w:right="20"/>
        <w:spacing w:after="0" w:line="295" w:lineRule="auto"/>
        <w:rPr>
          <w:sz w:val="20"/>
          <w:szCs w:val="20"/>
          <w:color w:val="auto"/>
        </w:rPr>
      </w:pPr>
      <w:r>
        <w:rPr>
          <w:rFonts w:ascii="Arial" w:cs="Arial" w:eastAsia="Arial" w:hAnsi="Arial"/>
          <w:sz w:val="16"/>
          <w:szCs w:val="16"/>
          <w:color w:val="auto"/>
        </w:rPr>
        <w:t>$0.2 million and $0.3 million of royalty expense from VeriSilicon under a core license agreement assumed from its acquisition of the UTStarcom Business during fiscal 2009 and fiscal 2008, respectively. This core license agreement had been assumed by VeriSilicon after its acquisition of certain assets from LSI. In addition, the Company incurred none and $37,500 of maintenance expense from VeriSilicon during fiscal 2009 and fiscal 2008, respectively. Weili Dai’s brother (and Dr. Sehat Sutardja’s brother-in-law) is the Chairman, President and Chief Executive Officer of VeriSilicon. Ms. Dai is also a shareholder of VeriSilicon.</w:t>
      </w:r>
    </w:p>
    <w:p>
      <w:pPr>
        <w:spacing w:after="0" w:line="115" w:lineRule="exact"/>
        <w:rPr>
          <w:sz w:val="20"/>
          <w:szCs w:val="20"/>
          <w:color w:val="auto"/>
        </w:rPr>
      </w:pPr>
    </w:p>
    <w:p>
      <w:pPr>
        <w:ind w:right="140" w:firstLine="456"/>
        <w:spacing w:after="0" w:line="287" w:lineRule="auto"/>
        <w:rPr>
          <w:sz w:val="20"/>
          <w:szCs w:val="20"/>
          <w:color w:val="auto"/>
        </w:rPr>
      </w:pPr>
      <w:r>
        <w:rPr>
          <w:rFonts w:ascii="Arial" w:cs="Arial" w:eastAsia="Arial" w:hAnsi="Arial"/>
          <w:sz w:val="16"/>
          <w:szCs w:val="16"/>
          <w:color w:val="auto"/>
        </w:rPr>
        <w:t>On October 31, 2007, the Company entered into a License Agreement with Vivante Corporation (the “Vivante Agreement”). The Vivante Agreement has substantially similar terms as other license agreements with other third parties for similar technology. The Company recorded $0.5 million of expense during fiscal 2008 in connection with the Vivante Agreement. On August 5, 2008, the Company entered into a Technology License Agreement with Vivante. This Technology License Agreement, as amended, also has substantially similar terms as the Company would expect to obtain for license agreements with other third parties for similar technology. On January 13, 2009, the Company entered into an agreement with Vivante to disclose certain cell libraries to Vivante at no additional cost. The Company recorded $2.0 million for the license fee and $0.2 million of maintenance during fiscal 2009 in connection with this Technology License Agreement.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2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On September 28, 2007, the Company, through its subsidiary Marvell International Ltd., entered into a Master Technology Agreement with Sonics, Inc., pursuant to which the Company licensed technology from</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117</w:t>
      </w:r>
    </w:p>
    <w:p>
      <w:pPr>
        <w:sectPr>
          <w:pgSz w:w="11900" w:h="16838" w:orient="portrait"/>
          <w:cols w:equalWidth="0" w:num="1">
            <w:col w:w="11420"/>
          </w:cols>
          <w:pgMar w:left="240" w:top="459" w:right="23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Sonics. The Master Technology Agreement has substantially similar terms as other license agreements with other third parties. The Company paid $0.1 million for maintenance during fiscal 2009 and $2.1 million under the Master Technology Agreement for the license and related maintenance during fiscal 2008. Kuo Wei (Herbert) Chang, member of the Company’s Board of Directors and Mike Sophie, former member of the Company’s Board of Directors, both serve as members of the board of directors of Sonics and each has a direct and/or indirect ownership interest in the equity of Sonics.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Subsequent Events:</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On March 5, 2009, in response to the deteriorating economic environment the Company announced the implementation of a plan to lower the Company’s overall costs and expenses. As a result of this plan and combined with certain cost reduction measures taken in the fourth quarter of fiscal 2009, the Company plans to reduce its global workforce by approximately 15%, or approximately 850 employees. The Company estimates that the restructuring charges associated with the reduction in force and consolidation of facilities specifically identified to date will be approximately $20 million, including approximately $14 million related to severance and other employee benefit payments and approximately $6 million related to facility consolidation. The Company expects the expense reduction actions in the plan to be implemented through calendar year 2009. This estimate includes restructuring charges recorded in the fourth quarter of fiscal 2009 of approximately $9.7 million, comprised of $6.6 million of severance and other employee benefit payments and $3.1 million of facilities consolidation and equipment charges. The Company estimates that the restructuring measures taken to date will result in approximately $15 million in cash payments in calendar year 2009 and the remainder will be a non-cash accounting-related charge associated with facilities consolidation.</w:t>
      </w:r>
    </w:p>
    <w:p>
      <w:pPr>
        <w:spacing w:after="0" w:line="120"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On March 6, 2009, Carnegie Mellon University filed a complaint in the United States District Court for the Western District of Pennsylvania naming MSI and the Company and alleging patent infringement. Carnegie Mellon has asserted two patents purportedly relating to hard disk drive products that incorporate read-channel integrated circuits. Because this action was only recently filed, MSI and the Company have not yet answered the complaint. The Company is in the process of reviewing these patents and hiring counsel to defend us in this action. This action is in the very early stages, however, the Company intends to contest this action vigorously, but is unable to predict the outcome of this action.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118</w:t>
      </w:r>
    </w:p>
    <w:p>
      <w:pPr>
        <w:sectPr>
          <w:pgSz w:w="11900" w:h="16838" w:orient="portrait"/>
          <w:cols w:equalWidth="0" w:num="1">
            <w:col w:w="11420"/>
          </w:cols>
          <w:pgMar w:left="240" w:top="459" w:right="23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Supplementary Data (Unaudited)</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31, 2009.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60" w:type="dxa"/>
            <w:vAlign w:val="bottom"/>
            <w:tcBorders>
              <w:bottom w:val="single" w:sz="8" w:color="auto"/>
            </w:tcBorders>
            <w:gridSpan w:val="5"/>
          </w:tcPr>
          <w:p>
            <w:pPr>
              <w:jc w:val="right"/>
              <w:ind w:right="960"/>
              <w:spacing w:after="0"/>
              <w:rPr>
                <w:sz w:val="20"/>
                <w:szCs w:val="20"/>
                <w:color w:val="auto"/>
              </w:rPr>
            </w:pPr>
            <w:r>
              <w:rPr>
                <w:rFonts w:ascii="Arial" w:cs="Arial" w:eastAsia="Arial" w:hAnsi="Arial"/>
                <w:sz w:val="14"/>
                <w:szCs w:val="14"/>
                <w:b w:val="1"/>
                <w:bCs w:val="1"/>
                <w:color w:val="auto"/>
              </w:rPr>
              <w:t>Fiscal 2009</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4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w w:val="92"/>
              </w:rPr>
              <w:t>First</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tcPr>
          <w:p>
            <w:pPr>
              <w:jc w:val="center"/>
              <w:ind w:right="520"/>
              <w:spacing w:after="0" w:line="129" w:lineRule="exact"/>
              <w:rPr>
                <w:sz w:val="20"/>
                <w:szCs w:val="20"/>
                <w:color w:val="auto"/>
              </w:rPr>
            </w:pPr>
            <w:r>
              <w:rPr>
                <w:rFonts w:ascii="Arial" w:cs="Arial" w:eastAsia="Arial" w:hAnsi="Arial"/>
                <w:sz w:val="14"/>
                <w:szCs w:val="14"/>
                <w:b w:val="1"/>
                <w:bCs w:val="1"/>
                <w:color w:val="auto"/>
                <w:w w:val="82"/>
              </w:rPr>
              <w:t>Second</w:t>
            </w:r>
          </w:p>
        </w:tc>
        <w:tc>
          <w:tcPr>
            <w:tcW w:w="100" w:type="dxa"/>
            <w:vAlign w:val="bottom"/>
          </w:tcPr>
          <w:p>
            <w:pPr>
              <w:spacing w:after="0"/>
              <w:rPr>
                <w:sz w:val="11"/>
                <w:szCs w:val="11"/>
                <w:color w:val="auto"/>
              </w:rPr>
            </w:pPr>
          </w:p>
        </w:tc>
        <w:tc>
          <w:tcPr>
            <w:tcW w:w="980" w:type="dxa"/>
            <w:vAlign w:val="bottom"/>
            <w:gridSpan w:val="2"/>
          </w:tcPr>
          <w:p>
            <w:pPr>
              <w:jc w:val="center"/>
              <w:ind w:right="520"/>
              <w:spacing w:after="0" w:line="129" w:lineRule="exact"/>
              <w:rPr>
                <w:sz w:val="20"/>
                <w:szCs w:val="20"/>
                <w:color w:val="auto"/>
              </w:rPr>
            </w:pPr>
            <w:r>
              <w:rPr>
                <w:rFonts w:ascii="Arial" w:cs="Arial" w:eastAsia="Arial" w:hAnsi="Arial"/>
                <w:sz w:val="14"/>
                <w:szCs w:val="14"/>
                <w:b w:val="1"/>
                <w:bCs w:val="1"/>
                <w:color w:val="auto"/>
                <w:w w:val="97"/>
              </w:rPr>
              <w:t>Third</w:t>
            </w:r>
          </w:p>
        </w:tc>
        <w:tc>
          <w:tcPr>
            <w:tcW w:w="100" w:type="dxa"/>
            <w:vAlign w:val="bottom"/>
          </w:tcPr>
          <w:p>
            <w:pPr>
              <w:spacing w:after="0"/>
              <w:rPr>
                <w:sz w:val="11"/>
                <w:szCs w:val="11"/>
                <w:color w:val="auto"/>
              </w:rPr>
            </w:pPr>
          </w:p>
        </w:tc>
        <w:tc>
          <w:tcPr>
            <w:tcW w:w="580" w:type="dxa"/>
            <w:vAlign w:val="bottom"/>
          </w:tcPr>
          <w:p>
            <w:pPr>
              <w:jc w:val="center"/>
              <w:ind w:right="18"/>
              <w:spacing w:after="0" w:line="129" w:lineRule="exact"/>
              <w:rPr>
                <w:sz w:val="20"/>
                <w:szCs w:val="20"/>
                <w:color w:val="auto"/>
              </w:rPr>
            </w:pPr>
            <w:r>
              <w:rPr>
                <w:rFonts w:ascii="Arial" w:cs="Arial" w:eastAsia="Arial" w:hAnsi="Arial"/>
                <w:sz w:val="14"/>
                <w:szCs w:val="14"/>
                <w:b w:val="1"/>
                <w:bCs w:val="1"/>
                <w:color w:val="auto"/>
                <w:w w:val="90"/>
              </w:rPr>
              <w:t>Fourth</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90"/>
              </w:rPr>
              <w:t>Quarter</w:t>
            </w:r>
          </w:p>
        </w:tc>
        <w:tc>
          <w:tcPr>
            <w:tcW w:w="60" w:type="dxa"/>
            <w:vAlign w:val="bottom"/>
          </w:tcPr>
          <w:p>
            <w:pPr>
              <w:spacing w:after="0"/>
              <w:rPr>
                <w:sz w:val="14"/>
                <w:szCs w:val="14"/>
                <w:color w:val="auto"/>
              </w:rPr>
            </w:pPr>
          </w:p>
        </w:tc>
        <w:tc>
          <w:tcPr>
            <w:tcW w:w="34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(In</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21"/>
              <w:spacing w:after="0"/>
              <w:rPr>
                <w:sz w:val="20"/>
                <w:szCs w:val="20"/>
                <w:color w:val="auto"/>
              </w:rPr>
            </w:pPr>
            <w:r>
              <w:rPr>
                <w:rFonts w:ascii="Arial" w:cs="Arial" w:eastAsia="Arial" w:hAnsi="Arial"/>
                <w:sz w:val="14"/>
                <w:szCs w:val="14"/>
                <w:b w:val="1"/>
                <w:bCs w:val="1"/>
                <w:color w:val="auto"/>
                <w:w w:val="94"/>
              </w:rPr>
              <w:t>Quarter</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4"/>
              </w:rPr>
              <w:t>Quarter</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4"/>
              </w:rPr>
              <w:t>Quarter</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40" w:type="dxa"/>
            <w:vAlign w:val="bottom"/>
            <w:vMerge w:val="continue"/>
          </w:tcPr>
          <w:p>
            <w:pPr>
              <w:spacing w:after="0"/>
              <w:rPr>
                <w:sz w:val="12"/>
                <w:szCs w:val="12"/>
                <w:color w:val="auto"/>
              </w:rPr>
            </w:pPr>
          </w:p>
        </w:tc>
        <w:tc>
          <w:tcPr>
            <w:tcW w:w="2160" w:type="dxa"/>
            <w:vAlign w:val="bottom"/>
            <w:gridSpan w:val="6"/>
          </w:tcPr>
          <w:p>
            <w:pPr>
              <w:spacing w:after="0" w:line="142" w:lineRule="exact"/>
              <w:rPr>
                <w:sz w:val="20"/>
                <w:szCs w:val="20"/>
                <w:color w:val="auto"/>
              </w:rPr>
            </w:pPr>
            <w:r>
              <w:rPr>
                <w:rFonts w:ascii="Arial" w:cs="Arial" w:eastAsia="Arial" w:hAnsi="Arial"/>
                <w:sz w:val="14"/>
                <w:szCs w:val="14"/>
                <w:b w:val="1"/>
                <w:bCs w:val="1"/>
                <w:color w:val="auto"/>
                <w:w w:val="83"/>
              </w:rPr>
              <w:t>thousands, except per share amounts)</w:t>
            </w: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804,075</w:t>
            </w:r>
          </w:p>
        </w:tc>
        <w:tc>
          <w:tcPr>
            <w:tcW w:w="1420" w:type="dxa"/>
            <w:vAlign w:val="bottom"/>
            <w:gridSpan w:val="4"/>
            <w:shd w:val="clear" w:color="auto" w:fill="CCEEFF"/>
          </w:tcPr>
          <w:p>
            <w:pPr>
              <w:jc w:val="right"/>
              <w:ind w:right="400"/>
              <w:spacing w:after="0"/>
              <w:rPr>
                <w:sz w:val="20"/>
                <w:szCs w:val="20"/>
                <w:color w:val="auto"/>
              </w:rPr>
            </w:pPr>
            <w:r>
              <w:rPr>
                <w:rFonts w:ascii="Arial" w:cs="Arial" w:eastAsia="Arial" w:hAnsi="Arial"/>
                <w:sz w:val="18"/>
                <w:szCs w:val="18"/>
                <w:color w:val="auto"/>
              </w:rPr>
              <w:t>$842,575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791,046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512,867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spacing w:after="0"/>
              <w:rPr>
                <w:sz w:val="20"/>
                <w:szCs w:val="20"/>
                <w:color w:val="auto"/>
              </w:rPr>
            </w:pPr>
            <w:r>
              <w:rPr>
                <w:rFonts w:ascii="Arial" w:cs="Arial" w:eastAsia="Arial" w:hAnsi="Arial"/>
                <w:sz w:val="18"/>
                <w:szCs w:val="18"/>
                <w:color w:val="auto"/>
              </w:rPr>
              <w:t>Gross profit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415,233</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436,662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411,909</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260,135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(1)</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69,939</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71,367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70,946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(65,010)</w:t>
            </w:r>
          </w:p>
        </w:tc>
        <w:tc>
          <w:tcPr>
            <w:tcW w:w="0" w:type="dxa"/>
            <w:vAlign w:val="bottom"/>
          </w:tcPr>
          <w:p>
            <w:pPr>
              <w:spacing w:after="0"/>
              <w:rPr>
                <w:sz w:val="1"/>
                <w:szCs w:val="1"/>
                <w:color w:val="auto"/>
              </w:rPr>
            </w:pPr>
          </w:p>
        </w:tc>
      </w:tr>
      <w:tr>
        <w:trPr>
          <w:trHeight w:val="216"/>
        </w:trPr>
        <w:tc>
          <w:tcPr>
            <w:tcW w:w="744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0.12</w:t>
            </w: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0.12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22"/>
        </w:trPr>
        <w:tc>
          <w:tcPr>
            <w:tcW w:w="744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0.11</w:t>
            </w:r>
          </w:p>
        </w:tc>
        <w:tc>
          <w:tcPr>
            <w:tcW w:w="440" w:type="dxa"/>
            <w:vAlign w:val="bottom"/>
            <w:gridSpan w:val="2"/>
          </w:tcPr>
          <w:p>
            <w:pPr>
              <w:ind w:left="340"/>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0.11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0.11</w:t>
            </w:r>
          </w:p>
        </w:tc>
        <w:tc>
          <w:tcPr>
            <w:tcW w:w="4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358"/>
        </w:trPr>
        <w:tc>
          <w:tcPr>
            <w:tcW w:w="744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60" w:type="dxa"/>
            <w:vAlign w:val="bottom"/>
            <w:tcBorders>
              <w:bottom w:val="single" w:sz="8" w:color="auto"/>
            </w:tcBorders>
            <w:gridSpan w:val="5"/>
          </w:tcPr>
          <w:p>
            <w:pPr>
              <w:jc w:val="right"/>
              <w:ind w:right="960"/>
              <w:spacing w:after="0"/>
              <w:rPr>
                <w:sz w:val="20"/>
                <w:szCs w:val="20"/>
                <w:color w:val="auto"/>
              </w:rPr>
            </w:pPr>
            <w:r>
              <w:rPr>
                <w:rFonts w:ascii="Arial" w:cs="Arial" w:eastAsia="Arial" w:hAnsi="Arial"/>
                <w:sz w:val="14"/>
                <w:szCs w:val="14"/>
                <w:b w:val="1"/>
                <w:bCs w:val="1"/>
                <w:color w:val="auto"/>
              </w:rPr>
              <w:t>Fiscal 2008</w:t>
            </w: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4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w w:val="92"/>
              </w:rPr>
              <w:t>First</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tcPr>
          <w:p>
            <w:pPr>
              <w:jc w:val="center"/>
              <w:ind w:right="520"/>
              <w:spacing w:after="0" w:line="129" w:lineRule="exact"/>
              <w:rPr>
                <w:sz w:val="20"/>
                <w:szCs w:val="20"/>
                <w:color w:val="auto"/>
              </w:rPr>
            </w:pPr>
            <w:r>
              <w:rPr>
                <w:rFonts w:ascii="Arial" w:cs="Arial" w:eastAsia="Arial" w:hAnsi="Arial"/>
                <w:sz w:val="14"/>
                <w:szCs w:val="14"/>
                <w:b w:val="1"/>
                <w:bCs w:val="1"/>
                <w:color w:val="auto"/>
                <w:w w:val="82"/>
              </w:rPr>
              <w:t>Second</w:t>
            </w:r>
          </w:p>
        </w:tc>
        <w:tc>
          <w:tcPr>
            <w:tcW w:w="100" w:type="dxa"/>
            <w:vAlign w:val="bottom"/>
          </w:tcPr>
          <w:p>
            <w:pPr>
              <w:spacing w:after="0"/>
              <w:rPr>
                <w:sz w:val="11"/>
                <w:szCs w:val="11"/>
                <w:color w:val="auto"/>
              </w:rPr>
            </w:pPr>
          </w:p>
        </w:tc>
        <w:tc>
          <w:tcPr>
            <w:tcW w:w="980" w:type="dxa"/>
            <w:vAlign w:val="bottom"/>
            <w:gridSpan w:val="2"/>
          </w:tcPr>
          <w:p>
            <w:pPr>
              <w:jc w:val="center"/>
              <w:ind w:right="520"/>
              <w:spacing w:after="0" w:line="129" w:lineRule="exact"/>
              <w:rPr>
                <w:sz w:val="20"/>
                <w:szCs w:val="20"/>
                <w:color w:val="auto"/>
              </w:rPr>
            </w:pPr>
            <w:r>
              <w:rPr>
                <w:rFonts w:ascii="Arial" w:cs="Arial" w:eastAsia="Arial" w:hAnsi="Arial"/>
                <w:sz w:val="14"/>
                <w:szCs w:val="14"/>
                <w:b w:val="1"/>
                <w:bCs w:val="1"/>
                <w:color w:val="auto"/>
                <w:w w:val="97"/>
              </w:rPr>
              <w:t>Third</w:t>
            </w:r>
          </w:p>
        </w:tc>
        <w:tc>
          <w:tcPr>
            <w:tcW w:w="100" w:type="dxa"/>
            <w:vAlign w:val="bottom"/>
          </w:tcPr>
          <w:p>
            <w:pPr>
              <w:spacing w:after="0"/>
              <w:rPr>
                <w:sz w:val="11"/>
                <w:szCs w:val="11"/>
                <w:color w:val="auto"/>
              </w:rPr>
            </w:pPr>
          </w:p>
        </w:tc>
        <w:tc>
          <w:tcPr>
            <w:tcW w:w="580" w:type="dxa"/>
            <w:vAlign w:val="bottom"/>
          </w:tcPr>
          <w:p>
            <w:pPr>
              <w:jc w:val="center"/>
              <w:ind w:right="18"/>
              <w:spacing w:after="0" w:line="129" w:lineRule="exact"/>
              <w:rPr>
                <w:sz w:val="20"/>
                <w:szCs w:val="20"/>
                <w:color w:val="auto"/>
              </w:rPr>
            </w:pPr>
            <w:r>
              <w:rPr>
                <w:rFonts w:ascii="Arial" w:cs="Arial" w:eastAsia="Arial" w:hAnsi="Arial"/>
                <w:sz w:val="14"/>
                <w:szCs w:val="14"/>
                <w:b w:val="1"/>
                <w:bCs w:val="1"/>
                <w:color w:val="auto"/>
                <w:w w:val="90"/>
              </w:rPr>
              <w:t>Fourth</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90"/>
              </w:rPr>
              <w:t>Quarter</w:t>
            </w:r>
          </w:p>
        </w:tc>
        <w:tc>
          <w:tcPr>
            <w:tcW w:w="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21"/>
              <w:spacing w:after="0"/>
              <w:rPr>
                <w:sz w:val="20"/>
                <w:szCs w:val="20"/>
                <w:color w:val="auto"/>
              </w:rPr>
            </w:pPr>
            <w:r>
              <w:rPr>
                <w:rFonts w:ascii="Arial" w:cs="Arial" w:eastAsia="Arial" w:hAnsi="Arial"/>
                <w:sz w:val="14"/>
                <w:szCs w:val="14"/>
                <w:b w:val="1"/>
                <w:bCs w:val="1"/>
                <w:color w:val="auto"/>
                <w:w w:val="94"/>
              </w:rPr>
              <w:t>Quarter</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4"/>
              </w:rPr>
              <w:t>Quarter</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4"/>
              </w:rPr>
              <w:t>Quarter</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40" w:type="dxa"/>
            <w:vAlign w:val="bottom"/>
          </w:tcPr>
          <w:p>
            <w:pPr>
              <w:ind w:left="20"/>
              <w:spacing w:after="0" w:line="142" w:lineRule="exact"/>
              <w:rPr>
                <w:sz w:val="20"/>
                <w:szCs w:val="20"/>
                <w:color w:val="auto"/>
              </w:rPr>
            </w:pPr>
            <w:r>
              <w:rPr>
                <w:rFonts w:ascii="Arial" w:cs="Arial" w:eastAsia="Arial" w:hAnsi="Arial"/>
                <w:sz w:val="14"/>
                <w:szCs w:val="14"/>
                <w:b w:val="1"/>
                <w:bCs w:val="1"/>
                <w:color w:val="auto"/>
              </w:rPr>
              <w:t>(In</w:t>
            </w:r>
          </w:p>
        </w:tc>
        <w:tc>
          <w:tcPr>
            <w:tcW w:w="2160" w:type="dxa"/>
            <w:vAlign w:val="bottom"/>
            <w:gridSpan w:val="6"/>
          </w:tcPr>
          <w:p>
            <w:pPr>
              <w:spacing w:after="0" w:line="142" w:lineRule="exact"/>
              <w:rPr>
                <w:sz w:val="20"/>
                <w:szCs w:val="20"/>
                <w:color w:val="auto"/>
              </w:rPr>
            </w:pPr>
            <w:r>
              <w:rPr>
                <w:rFonts w:ascii="Arial" w:cs="Arial" w:eastAsia="Arial" w:hAnsi="Arial"/>
                <w:sz w:val="14"/>
                <w:szCs w:val="14"/>
                <w:b w:val="1"/>
                <w:bCs w:val="1"/>
                <w:color w:val="auto"/>
                <w:w w:val="83"/>
              </w:rPr>
              <w:t>thousands, except per share amounts)</w:t>
            </w: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635,050</w:t>
            </w:r>
          </w:p>
        </w:tc>
        <w:tc>
          <w:tcPr>
            <w:tcW w:w="1420" w:type="dxa"/>
            <w:vAlign w:val="bottom"/>
            <w:gridSpan w:val="4"/>
            <w:shd w:val="clear" w:color="auto" w:fill="CCEEFF"/>
          </w:tcPr>
          <w:p>
            <w:pPr>
              <w:jc w:val="right"/>
              <w:ind w:right="400"/>
              <w:spacing w:after="0"/>
              <w:rPr>
                <w:sz w:val="20"/>
                <w:szCs w:val="20"/>
                <w:color w:val="auto"/>
              </w:rPr>
            </w:pPr>
            <w:r>
              <w:rPr>
                <w:rFonts w:ascii="Arial" w:cs="Arial" w:eastAsia="Arial" w:hAnsi="Arial"/>
                <w:sz w:val="18"/>
                <w:szCs w:val="18"/>
                <w:color w:val="auto"/>
              </w:rPr>
              <w:t>$ 656,711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758,246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844,686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spacing w:after="0"/>
              <w:rPr>
                <w:sz w:val="20"/>
                <w:szCs w:val="20"/>
                <w:color w:val="auto"/>
              </w:rPr>
            </w:pPr>
            <w:r>
              <w:rPr>
                <w:rFonts w:ascii="Arial" w:cs="Arial" w:eastAsia="Arial" w:hAnsi="Arial"/>
                <w:sz w:val="18"/>
                <w:szCs w:val="18"/>
                <w:color w:val="auto"/>
              </w:rPr>
              <w:t>Gross profit</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307,633</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321,181</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362,037</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406,046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Net (loss) income (2)</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(52,828)</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2"/>
              </w:rPr>
              <w:t>(56,456)</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(6,436)</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spacing w:after="0"/>
              <w:rPr>
                <w:sz w:val="20"/>
                <w:szCs w:val="20"/>
                <w:color w:val="auto"/>
              </w:rPr>
            </w:pPr>
            <w:r>
              <w:rPr>
                <w:rFonts w:ascii="Arial" w:cs="Arial" w:eastAsia="Arial" w:hAnsi="Arial"/>
                <w:sz w:val="18"/>
                <w:szCs w:val="18"/>
                <w:color w:val="auto"/>
              </w:rPr>
              <w:t>Net (loss) income per share:</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(0.09)</w:t>
            </w: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(0.10)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(0.01)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44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(0.09)</w:t>
            </w:r>
          </w:p>
        </w:tc>
        <w:tc>
          <w:tcPr>
            <w:tcW w:w="440" w:type="dxa"/>
            <w:vAlign w:val="bottom"/>
            <w:gridSpan w:val="2"/>
          </w:tcPr>
          <w:p>
            <w:pPr>
              <w:ind w:left="340"/>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(0.10)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(0.01)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0.00</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20" w:hanging="452"/>
        <w:spacing w:after="0" w:line="251"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Includes $24.5 million payment from the Company’s directors and officers liability insurers in connection with pending securities litigation including the tentative settlement of shareholder derivative litigation settlement in the first quarter of fiscal 2009, $10.0 million settlement with the SEC in connection with the SEC’s investigation into the Company’s historic stock option granting practices in the first quarter of fiscal 2009, $15.6 million intangible asset write-off in the fourth quarter of fiscal 2009, reversal of $5.3 million of remaining payroll related tax liabilities initially recorded in prior year in connection with the stock option backdating and $14.9 million income tax benefit arising out of a favorable tax ruling in a non-U.S. jurisdiction in the fourth quarter of fiscal 2009.</w:t>
      </w:r>
    </w:p>
    <w:p>
      <w:pPr>
        <w:spacing w:after="0" w:line="4" w:lineRule="exact"/>
        <w:rPr>
          <w:rFonts w:ascii="Arial" w:cs="Arial" w:eastAsia="Arial" w:hAnsi="Arial"/>
          <w:sz w:val="18"/>
          <w:szCs w:val="18"/>
          <w:color w:val="auto"/>
        </w:rPr>
      </w:pPr>
    </w:p>
    <w:p>
      <w:pPr>
        <w:ind w:left="460" w:hanging="452"/>
        <w:spacing w:after="0" w:line="290"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Includes gain of $5.1 million from sale of asset under construction in the second quarter of fiscal 2008, income tax benefit of $15.4 million related to the reversals of tax reserves after conclusion of a foreign tax audit in the third quarter of fiscal 2008, accrual of $16.0 million expense related to anticipated payments pursuant to a tentative settlement in the fourth quarter of fiscal 2008, interest and penalties of $7.2 million associated with payroll tax on certain stock option exercises included in the respective operating costs and expenses in the fourth quarter of fiscal 2008, $7.2 million intangible asset write-off in the fourth quarter of fiscal 2008, other income of $22.1 million related to the true-up of credits under a supply agreement in the fourth quarter of fiscal 2008 and an income tax benefit of $7.3 million related to the recognition of tax net operating losses which were considered to be realizable.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119</w:t>
      </w:r>
    </w:p>
    <w:p>
      <w:pPr>
        <w:sectPr>
          <w:pgSz w:w="11900" w:h="16838" w:orient="portrait"/>
          <w:cols w:equalWidth="0" w:num="1">
            <w:col w:w="11420"/>
          </w:cols>
          <w:pgMar w:left="240" w:top="459" w:right="23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as of January 31, 2009.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January 31, 2009,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right="40" w:firstLine="456"/>
        <w:spacing w:after="0" w:line="318" w:lineRule="auto"/>
        <w:rPr>
          <w:sz w:val="20"/>
          <w:szCs w:val="20"/>
          <w:color w:val="auto"/>
        </w:rPr>
      </w:pPr>
      <w:r>
        <w:rPr>
          <w:rFonts w:ascii="Arial" w:cs="Arial" w:eastAsia="Arial" w:hAnsi="Arial"/>
          <w:sz w:val="15"/>
          <w:szCs w:val="15"/>
          <w:color w:val="auto"/>
        </w:rPr>
        <w:t>Management is responsible for establishing and maintaining adequate internal control over financial reporting as defined in Rule 13a-15(f) under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0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January 31, 2009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w:t>
      </w:r>
      <w:r>
        <w:rPr>
          <w:rFonts w:ascii="Arial" w:cs="Arial" w:eastAsia="Arial" w:hAnsi="Arial"/>
          <w:sz w:val="16"/>
          <w:szCs w:val="16"/>
          <w:color w:val="auto"/>
        </w:rPr>
        <w:t>issued by the Committee of Sponsoring Organizations of the Treadway Commission, or COSO. Based on our evaluation,</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has concluded that we maintained effective control over financial reporting as of January 31, 2009 based on the COSO criteria.</w:t>
      </w:r>
    </w:p>
    <w:p>
      <w:pPr>
        <w:spacing w:after="0" w:line="10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January 31, 2009 has been audited by PricewaterhouseCoopers LLP, an independent registered public accounting firm, as stated in their report included in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of Fiscal 2008 Material Weakness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management report on internal control over financial reporting for the fiscal year ended February 2, 2008 described the following material weakness in our internal control over financial reporting:</w:t>
      </w:r>
    </w:p>
    <w:p>
      <w:pPr>
        <w:spacing w:after="0" w:line="51" w:lineRule="exact"/>
        <w:rPr>
          <w:sz w:val="20"/>
          <w:szCs w:val="20"/>
          <w:color w:val="auto"/>
        </w:rPr>
      </w:pPr>
    </w:p>
    <w:p>
      <w:pPr>
        <w:ind w:left="460"/>
        <w:spacing w:after="0"/>
        <w:tabs>
          <w:tab w:leader="none" w:pos="2120" w:val="left"/>
        </w:tabs>
        <w:rPr>
          <w:sz w:val="20"/>
          <w:szCs w:val="20"/>
          <w:color w:val="auto"/>
        </w:rPr>
      </w:pPr>
      <w:r>
        <w:rPr>
          <w:rFonts w:ascii="Arial" w:cs="Arial" w:eastAsia="Arial" w:hAnsi="Arial"/>
          <w:sz w:val="18"/>
          <w:szCs w:val="18"/>
          <w:i w:val="1"/>
          <w:iCs w:val="1"/>
          <w:color w:val="auto"/>
        </w:rPr>
        <w:t>Control environment.</w:t>
      </w:r>
      <w:r>
        <w:rPr>
          <w:sz w:val="20"/>
          <w:szCs w:val="20"/>
          <w:color w:val="auto"/>
        </w:rPr>
        <w:tab/>
      </w:r>
      <w:r>
        <w:rPr>
          <w:rFonts w:ascii="Arial" w:cs="Arial" w:eastAsia="Arial" w:hAnsi="Arial"/>
          <w:sz w:val="16"/>
          <w:szCs w:val="16"/>
          <w:color w:val="auto"/>
        </w:rPr>
        <w:t>We did not maintain an effective control environment based on criteria established in the COSO framework. Specifically:</w:t>
      </w:r>
    </w:p>
    <w:p>
      <w:pPr>
        <w:spacing w:after="0" w:line="15" w:lineRule="exact"/>
        <w:rPr>
          <w:sz w:val="20"/>
          <w:szCs w:val="20"/>
          <w:color w:val="auto"/>
        </w:rPr>
      </w:pPr>
    </w:p>
    <w:p>
      <w:pPr>
        <w:ind w:right="140" w:firstLine="8"/>
        <w:spacing w:after="0" w:line="292" w:lineRule="auto"/>
        <w:tabs>
          <w:tab w:leader="none" w:pos="249"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internal control deficiencies were not remediated in a timely manner as our management did not exercise the necessary rigor and commitment to internal control over financial reporting and senior management was unable to timely implement the planned remediation actions of the control deficiencies identified in fiscal 2007; (2) we did not maintain a sufficient complement of personnel with a level of accounting knowledge, experience and training in the application of generally accepted accounting principles commensurate with our financial reporting requirements; and (3) we did not maintain effective, timely and sufficient communication within our finance department and between our finance department and our other departments.</w:t>
      </w:r>
    </w:p>
    <w:p>
      <w:pPr>
        <w:spacing w:after="0" w:line="117"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Throughout the first three quarters of fiscal 2009, we were engaged in the implementation and testing of remedial measures to address this material weakness. In the fourth quarter of fiscal 2009, we completed testing 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120</w:t>
      </w:r>
    </w:p>
    <w:p>
      <w:pPr>
        <w:sectPr>
          <w:pgSz w:w="11900" w:h="16838" w:orient="portrait"/>
          <w:cols w:equalWidth="0" w:num="1">
            <w:col w:w="11400"/>
          </w:cols>
          <w:pgMar w:left="240" w:top="459" w:right="25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20"/>
        <w:spacing w:after="0" w:line="370" w:lineRule="auto"/>
        <w:rPr>
          <w:sz w:val="20"/>
          <w:szCs w:val="20"/>
          <w:color w:val="auto"/>
        </w:rPr>
      </w:pPr>
      <w:r>
        <w:rPr>
          <w:rFonts w:ascii="Arial" w:cs="Arial" w:eastAsia="Arial" w:hAnsi="Arial"/>
          <w:sz w:val="15"/>
          <w:szCs w:val="15"/>
          <w:color w:val="auto"/>
        </w:rPr>
        <w:t>the design and operating effectiveness of our internal controls to demonstrate their operating effectiveness over a period of time sufficient to support our conclusion that, as of January 31, 2009, we had remediated the previously reported material weakness in our internal control over financial reporting.</w:t>
      </w:r>
    </w:p>
    <w:p>
      <w:pPr>
        <w:spacing w:after="0" w:line="6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During fiscal 2009, we implemented the following remedial actions in our internal control over financial reporting to address the previously reported material weakness:</w:t>
      </w:r>
    </w:p>
    <w:p>
      <w:pPr>
        <w:spacing w:after="0" w:line="51" w:lineRule="exact"/>
        <w:rPr>
          <w:sz w:val="20"/>
          <w:szCs w:val="20"/>
          <w:color w:val="auto"/>
        </w:rPr>
      </w:pPr>
    </w:p>
    <w:p>
      <w:pPr>
        <w:ind w:right="200" w:firstLine="464"/>
        <w:spacing w:after="0" w:line="253" w:lineRule="auto"/>
        <w:tabs>
          <w:tab w:leader="none" w:pos="702" w:val="left"/>
        </w:tabs>
        <w:numPr>
          <w:ilvl w:val="0"/>
          <w:numId w:val="19"/>
        </w:numPr>
        <w:rPr>
          <w:rFonts w:ascii="Arial" w:cs="Arial" w:eastAsia="Arial" w:hAnsi="Arial"/>
          <w:sz w:val="18"/>
          <w:szCs w:val="18"/>
          <w:color w:val="auto"/>
        </w:rPr>
      </w:pPr>
      <w:r>
        <w:rPr>
          <w:rFonts w:ascii="Arial" w:cs="Arial" w:eastAsia="Arial" w:hAnsi="Arial"/>
          <w:sz w:val="18"/>
          <w:szCs w:val="18"/>
          <w:color w:val="auto"/>
        </w:rPr>
        <w:t>We completed our remediation activities during fiscal 2009 with rigor and commitment and these remediation activities specifically address internal control deficiencies that were identified as of February 2, 2008. These remediation activities included the implementation of additional internal controls and the enhancement of certain existing internal controls in order to strengthen the control over the monthly close and financial reporting processes. These remediation activities also included a process that, throughout fiscal 2009, tracked and monitored remediation progress and results systematically against an established remediation timeline, until all remediation activities were completed. In addition, we proactively identified opportunities for control improvements and implemented such improvements. We also reassessed internal controls in financial reporting over other processes that may be susceptible to potential material misstatements.</w:t>
      </w:r>
    </w:p>
    <w:p>
      <w:pPr>
        <w:spacing w:after="0" w:line="147" w:lineRule="exact"/>
        <w:rPr>
          <w:rFonts w:ascii="Arial" w:cs="Arial" w:eastAsia="Arial" w:hAnsi="Arial"/>
          <w:sz w:val="18"/>
          <w:szCs w:val="18"/>
          <w:color w:val="auto"/>
        </w:rPr>
      </w:pPr>
    </w:p>
    <w:p>
      <w:pPr>
        <w:ind w:right="320" w:firstLine="464"/>
        <w:spacing w:after="0" w:line="291" w:lineRule="auto"/>
        <w:tabs>
          <w:tab w:leader="none" w:pos="705" w:val="left"/>
        </w:tabs>
        <w:numPr>
          <w:ilvl w:val="0"/>
          <w:numId w:val="19"/>
        </w:numPr>
        <w:rPr>
          <w:rFonts w:ascii="Arial" w:cs="Arial" w:eastAsia="Arial" w:hAnsi="Arial"/>
          <w:sz w:val="16"/>
          <w:szCs w:val="16"/>
          <w:color w:val="auto"/>
        </w:rPr>
      </w:pPr>
      <w:r>
        <w:rPr>
          <w:rFonts w:ascii="Arial" w:cs="Arial" w:eastAsia="Arial" w:hAnsi="Arial"/>
          <w:sz w:val="16"/>
          <w:szCs w:val="16"/>
          <w:color w:val="auto"/>
        </w:rPr>
        <w:t>We hired a permanent Chief Financial Officer effective June 23, 2008 and a permanent General Counsel effective October 30, 2008. The permanent Chief Financial Officer is serving as the Interim Chief Operating Officer until the search for a permanent Chief Operating Officer is concluded. We have completed the recruitment activities for the Compliance Director and we expect to fill that position in the near future. The Compliance Director will report directly to the Audit Committee of our Board of Directors. Until the position is filled, we engaged external resources to support and assist in our compliance efforts. We have strengthened our controls over the monthly closing and financial reporting processes by hiring personnel with knowledge, experience and training in the application of U.S. generally accepted accounting principles commensurate with our financial reporting requirements.</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May 2007, our Board of Directors decided to implement the recommendation of our Board of Directors’ Special Committee Regarding Derivative Litigation that Dr. Sehat Sutardja remain Chief Executive Officer and a member of our Board of Directors, but step down as Chairman of the Board in favor of a non-executive Chairman. This non-executive Chairman was to be selected from a group of new independent directors appointed to fill the then-three vacancies on our Board of Directors. Since that time, we have added two new independent directors, Dr. Juergen Gromer and John G. Kassakian, to our Board of Directors, and our Board of Directors continues to search for additional independent directors. Our Board of Directors is evaluating the roles of independent directors in the governance of the Board, and our Board of Directors will designate an independent director either as non-executive Chairman or non-executive Lead Director (if it retains an executive Chairman) once it has completed its search for additional new independent directors.</w:t>
      </w:r>
    </w:p>
    <w:p>
      <w:pPr>
        <w:spacing w:after="0" w:line="118" w:lineRule="exact"/>
        <w:rPr>
          <w:sz w:val="20"/>
          <w:szCs w:val="20"/>
          <w:color w:val="auto"/>
        </w:rPr>
      </w:pPr>
    </w:p>
    <w:p>
      <w:pPr>
        <w:ind w:right="240" w:firstLine="464"/>
        <w:spacing w:after="0" w:line="259" w:lineRule="auto"/>
        <w:tabs>
          <w:tab w:leader="none" w:pos="702" w:val="left"/>
        </w:tabs>
        <w:numPr>
          <w:ilvl w:val="0"/>
          <w:numId w:val="20"/>
        </w:numPr>
        <w:rPr>
          <w:rFonts w:ascii="Arial" w:cs="Arial" w:eastAsia="Arial" w:hAnsi="Arial"/>
          <w:sz w:val="18"/>
          <w:szCs w:val="18"/>
          <w:color w:val="auto"/>
        </w:rPr>
      </w:pPr>
      <w:r>
        <w:rPr>
          <w:rFonts w:ascii="Arial" w:cs="Arial" w:eastAsia="Arial" w:hAnsi="Arial"/>
          <w:sz w:val="18"/>
          <w:szCs w:val="18"/>
          <w:color w:val="auto"/>
        </w:rPr>
        <w:t>We have made significant improvements in communication, both within our finance department and between finance and other departments, through the implementation of formalized inter-departmental and intra-departmental information exchanges on a recurring basis, and enhancements to the design of certain internal controls to enable a more detailed review process to occur on a timely basis.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Our actions to remediate the material weakness as described above, collectively, represent changes in our internal control over financial reporting that occurred during the quarter ended January 31, 2009 that have materially affected, or are reasonably likely to materially affect, our internal control over financial reporting.</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121</w:t>
      </w:r>
    </w:p>
    <w:p>
      <w:pPr>
        <w:sectPr>
          <w:pgSz w:w="11900" w:h="16838" w:orient="portrait"/>
          <w:cols w:equalWidth="0" w:num="1">
            <w:col w:w="11420"/>
          </w:cols>
          <w:pgMar w:left="240" w:top="459" w:right="23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Executive Officers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information required by Items 401 and 407(c)(3) of Regulation S-K with respect to our directors, director nominees and corporate governance is incorporated by reference to the information set forth in our definitive proxy statement in connection with our 2009 annual general meeting of shareholders, or the 2009 Proxy Statement, which will be filed with the SEC no later than 120 days after January 31, 2009. The information regarding our current executive officers required by this item is also included in Part I, Item 1 hereof under the caption “Executive Officers of the Registrant” and incorporated by reference herein.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2009 Proxy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180" w:firstLine="456"/>
        <w:spacing w:after="0" w:line="253" w:lineRule="auto"/>
        <w:rPr>
          <w:sz w:val="20"/>
          <w:szCs w:val="20"/>
          <w:color w:val="auto"/>
        </w:rPr>
      </w:pPr>
      <w:r>
        <w:rPr>
          <w:rFonts w:ascii="Arial" w:cs="Arial" w:eastAsia="Arial" w:hAnsi="Arial"/>
          <w:sz w:val="18"/>
          <w:szCs w:val="18"/>
          <w:color w:val="auto"/>
        </w:rPr>
        <w:t>We have adopted a Code of Ethics and Business Conduct for Employees, Officers and Directors that applies to all of our directors, officers (including our Chief Executive Officer (our principal executive officer), Chief Financial Officer (our principal financial and accounting officer), Corporate Controller and any person performing similar functions) and employees. This Code of Ethics was most recently amended as of December 11, 2008.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www.marvell.com. None of the material on this website is part of this Annual Report on Form 10-K or is incorporated by reference herein.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6"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The information required by Items 407(d)(4) and (d)(5) of Regulation S-K concerning our Audit Committee and audit committee financial expert is incorporated by reference herein to the information set forth in the section titled “Board of Directors and Committees of the Board” in our 2009 Proxy Statement.</w:t>
      </w:r>
    </w:p>
    <w:p>
      <w:pPr>
        <w:spacing w:after="0" w:line="20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information required by Items 402, 407(e)(4) and 407(e)(5) of Regulation S-K is incorporated by reference herein to the information set forth under the caption “Executive Compensation,” and “Executive Compensation Committee Interlocks and Insider Participation” in our 2009 Proxy Statement.</w:t>
      </w:r>
    </w:p>
    <w:p>
      <w:pPr>
        <w:spacing w:after="0" w:line="20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Stockholders Matters</w:t>
      </w:r>
    </w:p>
    <w:p>
      <w:pPr>
        <w:spacing w:after="0" w:line="9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2009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122</w:t>
      </w:r>
    </w:p>
    <w:p>
      <w:pPr>
        <w:sectPr>
          <w:pgSz w:w="11900" w:h="16838" w:orient="portrait"/>
          <w:cols w:equalWidth="0" w:num="1">
            <w:col w:w="11420"/>
          </w:cols>
          <w:pgMar w:left="240" w:top="459" w:right="23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31, 2009:</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9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1"/>
              </w:rPr>
              <w:t>(c)</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3"/>
              </w:rPr>
              <w:t>(a)</w:t>
            </w: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Available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9"/>
              </w:rPr>
              <w:t>(b)</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Future Issuance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5"/>
              </w:rPr>
              <w:t>Securities to Be</w:t>
            </w:r>
          </w:p>
        </w:tc>
        <w:tc>
          <w:tcPr>
            <w:tcW w:w="120" w:type="dxa"/>
            <w:vAlign w:val="bottom"/>
          </w:tcPr>
          <w:p>
            <w:pPr>
              <w:spacing w:after="0"/>
              <w:rPr>
                <w:sz w:val="12"/>
                <w:szCs w:val="12"/>
                <w:color w:val="auto"/>
              </w:rPr>
            </w:pPr>
          </w:p>
        </w:tc>
        <w:tc>
          <w:tcPr>
            <w:tcW w:w="154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5"/>
              </w:rPr>
              <w:t>Weighted-</w:t>
            </w: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1"/>
              </w:rPr>
              <w:t>under Equity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5"/>
              </w:rPr>
              <w:t>Issued Upon</w:t>
            </w:r>
          </w:p>
        </w:tc>
        <w:tc>
          <w:tcPr>
            <w:tcW w:w="16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Exercise</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2"/>
              </w:rPr>
              <w:t>Exercise of</w:t>
            </w:r>
          </w:p>
        </w:tc>
        <w:tc>
          <w:tcPr>
            <w:tcW w:w="12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5"/>
              </w:rPr>
              <w:t>Price of</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Plans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120" w:type="dxa"/>
            <w:vAlign w:val="bottom"/>
          </w:tcPr>
          <w:p>
            <w:pPr>
              <w:spacing w:after="0"/>
              <w:rPr>
                <w:sz w:val="12"/>
                <w:szCs w:val="12"/>
                <w:color w:val="auto"/>
              </w:rPr>
            </w:pPr>
          </w:p>
        </w:tc>
        <w:tc>
          <w:tcPr>
            <w:tcW w:w="1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9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(Excluding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7"/>
              </w:rPr>
              <w:t>Options,</w:t>
            </w:r>
          </w:p>
        </w:tc>
        <w:tc>
          <w:tcPr>
            <w:tcW w:w="120" w:type="dxa"/>
            <w:vAlign w:val="bottom"/>
          </w:tcPr>
          <w:p>
            <w:pPr>
              <w:spacing w:after="0"/>
              <w:rPr>
                <w:sz w:val="12"/>
                <w:szCs w:val="12"/>
                <w:color w:val="auto"/>
              </w:rPr>
            </w:pPr>
          </w:p>
        </w:tc>
        <w:tc>
          <w:tcPr>
            <w:tcW w:w="154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Options,</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15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1"/>
              </w:rPr>
              <w:t>Warrants and</w:t>
            </w:r>
          </w:p>
        </w:tc>
        <w:tc>
          <w:tcPr>
            <w:tcW w:w="1660" w:type="dxa"/>
            <w:vAlign w:val="bottom"/>
            <w:gridSpan w:val="3"/>
          </w:tcPr>
          <w:p>
            <w:pPr>
              <w:jc w:val="center"/>
              <w:ind w:right="66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Reflected in</w:t>
            </w:r>
          </w:p>
        </w:tc>
        <w:tc>
          <w:tcPr>
            <w:tcW w:w="0" w:type="dxa"/>
            <w:vAlign w:val="bottom"/>
          </w:tcPr>
          <w:p>
            <w:pPr>
              <w:spacing w:after="0"/>
              <w:rPr>
                <w:sz w:val="1"/>
                <w:szCs w:val="1"/>
                <w:color w:val="auto"/>
              </w:rPr>
            </w:pPr>
          </w:p>
        </w:tc>
      </w:tr>
      <w:tr>
        <w:trPr>
          <w:trHeight w:val="161"/>
        </w:trPr>
        <w:tc>
          <w:tcPr>
            <w:tcW w:w="7260" w:type="dxa"/>
            <w:vAlign w:val="bottom"/>
            <w:gridSpan w:val="4"/>
          </w:tcPr>
          <w:p>
            <w:pPr>
              <w:spacing w:after="0"/>
              <w:rPr>
                <w:sz w:val="20"/>
                <w:szCs w:val="20"/>
                <w:color w:val="auto"/>
              </w:rPr>
            </w:pPr>
            <w:r>
              <w:rPr>
                <w:rFonts w:ascii="Arial" w:cs="Arial" w:eastAsia="Arial" w:hAnsi="Arial"/>
                <w:sz w:val="14"/>
                <w:szCs w:val="14"/>
                <w:b w:val="1"/>
                <w:bCs w:val="1"/>
                <w:color w:val="auto"/>
              </w:rPr>
              <w:t>Plan Category</w:t>
            </w:r>
          </w:p>
        </w:tc>
        <w:tc>
          <w:tcPr>
            <w:tcW w:w="156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89"/>
              </w:rPr>
              <w:t>Rights (1)</w:t>
            </w:r>
          </w:p>
        </w:tc>
        <w:tc>
          <w:tcPr>
            <w:tcW w:w="120" w:type="dxa"/>
            <w:vAlign w:val="bottom"/>
          </w:tcPr>
          <w:p>
            <w:pPr>
              <w:spacing w:after="0"/>
              <w:rPr>
                <w:sz w:val="14"/>
                <w:szCs w:val="14"/>
                <w:color w:val="auto"/>
              </w:rPr>
            </w:pPr>
          </w:p>
        </w:tc>
        <w:tc>
          <w:tcPr>
            <w:tcW w:w="15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6"/>
              </w:rPr>
              <w:t>Rights (2)</w:t>
            </w:r>
          </w:p>
        </w:tc>
        <w:tc>
          <w:tcPr>
            <w:tcW w:w="9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9"/>
              </w:rPr>
              <w:t>Column (a))</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2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Equity compensation plans approved by security holders (3)(4)</w:t>
            </w:r>
          </w:p>
        </w:tc>
        <w:tc>
          <w:tcPr>
            <w:tcW w:w="15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7"/>
              </w:rPr>
              <w:t>91,267,250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5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10.96</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132,616,926</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gridSpan w:val="3"/>
          </w:tcPr>
          <w:p>
            <w:pPr>
              <w:spacing w:after="0"/>
              <w:rPr>
                <w:sz w:val="20"/>
                <w:szCs w:val="20"/>
                <w:color w:val="auto"/>
              </w:rPr>
            </w:pPr>
            <w:r>
              <w:rPr>
                <w:rFonts w:ascii="Arial" w:cs="Arial" w:eastAsia="Arial" w:hAnsi="Arial"/>
                <w:sz w:val="18"/>
                <w:szCs w:val="18"/>
                <w:color w:val="auto"/>
              </w:rPr>
              <w:t>Equity compensation plans not approved by security holders (5)</w:t>
            </w:r>
          </w:p>
        </w:tc>
        <w:tc>
          <w:tcPr>
            <w:tcW w:w="1560" w:type="dxa"/>
            <w:vAlign w:val="bottom"/>
            <w:gridSpan w:val="2"/>
          </w:tcPr>
          <w:p>
            <w:pPr>
              <w:jc w:val="right"/>
              <w:ind w:right="660"/>
              <w:spacing w:after="0"/>
              <w:rPr>
                <w:sz w:val="20"/>
                <w:szCs w:val="20"/>
                <w:color w:val="auto"/>
              </w:rPr>
            </w:pPr>
            <w:r>
              <w:rPr>
                <w:rFonts w:ascii="Arial" w:cs="Arial" w:eastAsia="Arial" w:hAnsi="Arial"/>
                <w:sz w:val="18"/>
                <w:szCs w:val="18"/>
                <w:color w:val="auto"/>
              </w:rPr>
              <w:t>226,799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540" w:type="dxa"/>
            <w:vAlign w:val="bottom"/>
            <w:gridSpan w:val="2"/>
          </w:tcPr>
          <w:p>
            <w:pPr>
              <w:jc w:val="right"/>
              <w:ind w:right="660"/>
              <w:spacing w:after="0"/>
              <w:rPr>
                <w:sz w:val="20"/>
                <w:szCs w:val="20"/>
                <w:color w:val="auto"/>
              </w:rPr>
            </w:pPr>
            <w:r>
              <w:rPr>
                <w:rFonts w:ascii="Arial" w:cs="Arial" w:eastAsia="Arial" w:hAnsi="Arial"/>
                <w:sz w:val="18"/>
                <w:szCs w:val="18"/>
                <w:color w:val="auto"/>
              </w:rPr>
              <w:t>0.12</w:t>
            </w:r>
          </w:p>
        </w:tc>
        <w:tc>
          <w:tcPr>
            <w:tcW w:w="940" w:type="dxa"/>
            <w:vAlign w:val="bottom"/>
          </w:tcPr>
          <w:p>
            <w:pPr>
              <w:jc w:val="right"/>
              <w:ind w:right="9"/>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60" w:type="dxa"/>
            <w:vAlign w:val="bottom"/>
          </w:tcPr>
          <w:p>
            <w:pPr>
              <w:spacing w:after="0"/>
              <w:rPr>
                <w:sz w:val="2"/>
                <w:szCs w:val="2"/>
                <w:color w:val="auto"/>
              </w:rPr>
            </w:pPr>
          </w:p>
        </w:tc>
        <w:tc>
          <w:tcPr>
            <w:tcW w:w="280" w:type="dxa"/>
            <w:vAlign w:val="bottom"/>
          </w:tcPr>
          <w:p>
            <w:pPr>
              <w:spacing w:after="0"/>
              <w:rPr>
                <w:sz w:val="2"/>
                <w:szCs w:val="2"/>
                <w:color w:val="auto"/>
              </w:rPr>
            </w:pPr>
          </w:p>
        </w:tc>
        <w:tc>
          <w:tcPr>
            <w:tcW w:w="6100" w:type="dxa"/>
            <w:vAlign w:val="bottom"/>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120" w:type="dxa"/>
            <w:vAlign w:val="bottom"/>
          </w:tcPr>
          <w:p>
            <w:pPr>
              <w:spacing w:after="0"/>
              <w:rPr>
                <w:sz w:val="2"/>
                <w:szCs w:val="2"/>
                <w:color w:val="auto"/>
              </w:rPr>
            </w:pPr>
          </w:p>
        </w:tc>
        <w:tc>
          <w:tcPr>
            <w:tcW w:w="880" w:type="dxa"/>
            <w:vAlign w:val="bottom"/>
          </w:tcPr>
          <w:p>
            <w:pPr>
              <w:spacing w:after="0"/>
              <w:rPr>
                <w:sz w:val="2"/>
                <w:szCs w:val="2"/>
                <w:color w:val="auto"/>
              </w:rPr>
            </w:pPr>
          </w:p>
        </w:tc>
        <w:tc>
          <w:tcPr>
            <w:tcW w:w="660" w:type="dxa"/>
            <w:vAlign w:val="bottom"/>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Total</w:t>
            </w:r>
          </w:p>
        </w:tc>
        <w:tc>
          <w:tcPr>
            <w:tcW w:w="15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w w:val="97"/>
              </w:rPr>
              <w:t>91,494,049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5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10.93</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132,616,926</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860" w:type="dxa"/>
            <w:vAlign w:val="bottom"/>
            <w:tcBorders>
              <w:bottom w:val="single" w:sz="8" w:color="auto"/>
            </w:tcBorders>
          </w:tcPr>
          <w:p>
            <w:pPr>
              <w:spacing w:after="0"/>
              <w:rPr>
                <w:sz w:val="8"/>
                <w:szCs w:val="8"/>
                <w:color w:val="auto"/>
              </w:rPr>
            </w:pPr>
          </w:p>
        </w:tc>
        <w:tc>
          <w:tcPr>
            <w:tcW w:w="280" w:type="dxa"/>
            <w:vAlign w:val="bottom"/>
            <w:tcBorders>
              <w:bottom w:val="single" w:sz="8" w:color="auto"/>
            </w:tcBorders>
          </w:tcPr>
          <w:p>
            <w:pPr>
              <w:spacing w:after="0"/>
              <w:rPr>
                <w:sz w:val="8"/>
                <w:szCs w:val="8"/>
                <w:color w:val="auto"/>
              </w:rPr>
            </w:pPr>
          </w:p>
        </w:tc>
        <w:tc>
          <w:tcPr>
            <w:tcW w:w="6100" w:type="dxa"/>
            <w:vAlign w:val="bottom"/>
          </w:tcPr>
          <w:p>
            <w:pPr>
              <w:spacing w:after="0"/>
              <w:rPr>
                <w:sz w:val="8"/>
                <w:szCs w:val="8"/>
                <w:color w:val="auto"/>
              </w:rPr>
            </w:pPr>
          </w:p>
        </w:tc>
        <w:tc>
          <w:tcPr>
            <w:tcW w:w="900" w:type="dxa"/>
            <w:vAlign w:val="bottom"/>
          </w:tcPr>
          <w:p>
            <w:pPr>
              <w:spacing w:after="0"/>
              <w:rPr>
                <w:sz w:val="8"/>
                <w:szCs w:val="8"/>
                <w:color w:val="auto"/>
              </w:rPr>
            </w:pPr>
          </w:p>
        </w:tc>
        <w:tc>
          <w:tcPr>
            <w:tcW w:w="6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80" w:type="dxa"/>
            <w:vAlign w:val="bottom"/>
          </w:tcPr>
          <w:p>
            <w:pPr>
              <w:spacing w:after="0"/>
              <w:rPr>
                <w:sz w:val="8"/>
                <w:szCs w:val="8"/>
                <w:color w:val="auto"/>
              </w:rPr>
            </w:pPr>
          </w:p>
        </w:tc>
        <w:tc>
          <w:tcPr>
            <w:tcW w:w="660" w:type="dxa"/>
            <w:vAlign w:val="bottom"/>
          </w:tcPr>
          <w:p>
            <w:pPr>
              <w:spacing w:after="0"/>
              <w:rPr>
                <w:sz w:val="8"/>
                <w:szCs w:val="8"/>
                <w:color w:val="auto"/>
              </w:rPr>
            </w:pPr>
          </w:p>
        </w:tc>
        <w:tc>
          <w:tcPr>
            <w:tcW w:w="94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00" w:hanging="452"/>
        <w:spacing w:after="0" w:line="254"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31, 2009).</w:t>
      </w:r>
    </w:p>
    <w:p>
      <w:pPr>
        <w:ind w:left="460" w:hanging="452"/>
        <w:spacing w:after="0"/>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 xml:space="preserve">The weighted average exercise price calculation does not take into account any restricted stock units as they have a de </w:t>
      </w:r>
      <w:r>
        <w:rPr>
          <w:rFonts w:ascii="Arial" w:cs="Arial" w:eastAsia="Arial" w:hAnsi="Arial"/>
          <w:sz w:val="16"/>
          <w:szCs w:val="16"/>
          <w:i w:val="1"/>
          <w:iCs w:val="1"/>
          <w:color w:val="auto"/>
        </w:rPr>
        <w:t>minimis</w:t>
      </w:r>
      <w:r>
        <w:rPr>
          <w:rFonts w:ascii="Arial" w:cs="Arial" w:eastAsia="Arial" w:hAnsi="Arial"/>
          <w:sz w:val="16"/>
          <w:szCs w:val="16"/>
          <w:color w:val="auto"/>
        </w:rPr>
        <w:t xml:space="preserve"> purchase price.</w:t>
      </w:r>
    </w:p>
    <w:p>
      <w:pPr>
        <w:spacing w:after="0" w:line="32" w:lineRule="exact"/>
        <w:rPr>
          <w:rFonts w:ascii="Arial" w:cs="Arial" w:eastAsia="Arial" w:hAnsi="Arial"/>
          <w:sz w:val="16"/>
          <w:szCs w:val="16"/>
          <w:color w:val="auto"/>
        </w:rPr>
      </w:pPr>
    </w:p>
    <w:p>
      <w:pPr>
        <w:ind w:left="460" w:right="260" w:hanging="452"/>
        <w:spacing w:after="0" w:line="281"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Includes our Amended and Restated 1995 Stock Option Plan, or 1995 Plan, our 1997 Directors’ Stock Option Plan, our Amended 2000 Employee Stock Purchase Plan, or 2000 ESPP, our 2007 Directors’ Stock Option Plan and common shares reserved for issuance under option plans we assumed in connection with our acquisition of Galileo Technology Ltd. No further options will be awarded under the Galileo option plans.</w:t>
      </w:r>
    </w:p>
    <w:p>
      <w:pPr>
        <w:spacing w:after="0" w:line="2" w:lineRule="exact"/>
        <w:rPr>
          <w:rFonts w:ascii="Arial" w:cs="Arial" w:eastAsia="Arial" w:hAnsi="Arial"/>
          <w:sz w:val="16"/>
          <w:szCs w:val="16"/>
          <w:color w:val="auto"/>
        </w:rPr>
      </w:pPr>
    </w:p>
    <w:p>
      <w:pPr>
        <w:ind w:left="460" w:hanging="452"/>
        <w:spacing w:after="0"/>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number of shares reserved for grant under the 1995 Plan is subject to an annual increase in shares reserved for issuance equal to the lesser of</w:t>
      </w:r>
    </w:p>
    <w:p>
      <w:pPr>
        <w:spacing w:after="0" w:line="32" w:lineRule="exact"/>
        <w:rPr>
          <w:rFonts w:ascii="Arial" w:cs="Arial" w:eastAsia="Arial" w:hAnsi="Arial"/>
          <w:sz w:val="16"/>
          <w:szCs w:val="16"/>
          <w:color w:val="auto"/>
        </w:rPr>
      </w:pPr>
    </w:p>
    <w:p>
      <w:pPr>
        <w:ind w:left="460" w:right="80"/>
        <w:spacing w:after="0" w:line="281" w:lineRule="auto"/>
        <w:rPr>
          <w:rFonts w:ascii="Arial" w:cs="Arial" w:eastAsia="Arial" w:hAnsi="Arial"/>
          <w:sz w:val="16"/>
          <w:szCs w:val="16"/>
          <w:color w:val="auto"/>
        </w:rPr>
      </w:pPr>
      <w:r>
        <w:rPr>
          <w:rFonts w:ascii="Arial" w:cs="Arial" w:eastAsia="Arial" w:hAnsi="Arial"/>
          <w:sz w:val="16"/>
          <w:szCs w:val="16"/>
          <w:color w:val="auto"/>
        </w:rPr>
        <w:t>(a) 40,000,000 shares or (b) 5.0% of the outstanding shares of capital stock on such date. The number of shares reserved for issuance under our 2000 ESPP includes an annual increase in shares reserved for issuance equal to the lesser of (a) 8,000,000 shares or (b) 1.5% of the outstanding shares of our capital stock. Stock options, restricted stock, restricted stock units or stock appreciation rights may be awarded under our 1995 Plan.</w:t>
      </w:r>
    </w:p>
    <w:p>
      <w:pPr>
        <w:spacing w:after="0" w:line="2" w:lineRule="exact"/>
        <w:rPr>
          <w:rFonts w:ascii="Arial" w:cs="Arial" w:eastAsia="Arial" w:hAnsi="Arial"/>
          <w:sz w:val="16"/>
          <w:szCs w:val="16"/>
          <w:color w:val="auto"/>
        </w:rPr>
      </w:pPr>
    </w:p>
    <w:p>
      <w:pPr>
        <w:ind w:left="460" w:right="180" w:hanging="452"/>
        <w:spacing w:after="0" w:line="295"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Consists of 84,406 common shares reserved for issuance under options we granted to former option holders of SysKonnect GmbH in connection with our acquisition of SysKonnect GmbH, 131,581 common shares reserved for issuance under options granted by the Company to former option holders of RADLAN Computer Communications Ltd. in connection with our acquisition of RADLAN Computer Communications Ltd. and 10,812 common shares reserved for issuance under options we granted to former option holders of Asica, Inc. in connection with our acquisition of Asica, Inc.</w:t>
      </w:r>
    </w:p>
    <w:p>
      <w:pPr>
        <w:spacing w:after="0" w:line="2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2009 Proxy Statement.</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2009 Proxy Statement.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123</w:t>
      </w:r>
    </w:p>
    <w:p>
      <w:pPr>
        <w:sectPr>
          <w:pgSz w:w="11900" w:h="16838" w:orient="portrait"/>
          <w:cols w:equalWidth="0" w:num="1">
            <w:col w:w="11420"/>
          </w:cols>
          <w:pgMar w:left="240" w:top="459" w:right="23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2009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124</w:t>
      </w:r>
    </w:p>
    <w:p>
      <w:pPr>
        <w:sectPr>
          <w:pgSz w:w="11900" w:h="16838" w:orient="portrait"/>
          <w:cols w:equalWidth="0" w:num="1">
            <w:col w:w="11400"/>
          </w:cols>
          <w:pgMar w:left="240" w:top="459" w:right="25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and Financial Statement Schedules</w:t>
      </w:r>
    </w:p>
    <w:p>
      <w:pPr>
        <w:spacing w:after="0" w:line="96" w:lineRule="exact"/>
        <w:rPr>
          <w:sz w:val="20"/>
          <w:szCs w:val="20"/>
          <w:color w:val="auto"/>
        </w:rPr>
      </w:pPr>
    </w:p>
    <w:p>
      <w:pPr>
        <w:ind w:left="900" w:hanging="446"/>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8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6180" w:type="dxa"/>
            <w:vAlign w:val="bottom"/>
            <w:gridSpan w:val="3"/>
            <w:vMerge w:val="restart"/>
          </w:tcPr>
          <w:p>
            <w:pPr>
              <w:spacing w:after="0"/>
              <w:rPr>
                <w:rFonts w:ascii="Arial" w:cs="Arial" w:eastAsia="Arial" w:hAnsi="Arial"/>
                <w:sz w:val="18"/>
                <w:szCs w:val="18"/>
                <w:color w:val="0000EE"/>
              </w:rPr>
            </w:pPr>
            <w:hyperlink w:anchor="page71">
              <w:r>
                <w:rPr>
                  <w:rFonts w:ascii="Arial" w:cs="Arial" w:eastAsia="Arial" w:hAnsi="Arial"/>
                  <w:sz w:val="18"/>
                  <w:szCs w:val="18"/>
                  <w:color w:val="0000EE"/>
                </w:rPr>
                <w:t>Consolidated Balance Sheets as of January 31, 2009 and February 2, 2008</w:t>
              </w:r>
            </w:hyperlink>
          </w:p>
        </w:tc>
        <w:tc>
          <w:tcPr>
            <w:tcW w:w="2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82"/>
              </w:rPr>
              <w:t>Reference</w:t>
            </w:r>
          </w:p>
        </w:tc>
        <w:tc>
          <w:tcPr>
            <w:tcW w:w="0" w:type="dxa"/>
            <w:vAlign w:val="bottom"/>
          </w:tcPr>
          <w:p>
            <w:pPr>
              <w:spacing w:after="0"/>
              <w:rPr>
                <w:sz w:val="1"/>
                <w:szCs w:val="1"/>
                <w:color w:val="auto"/>
              </w:rPr>
            </w:pPr>
          </w:p>
        </w:tc>
      </w:tr>
      <w:tr>
        <w:trPr>
          <w:trHeight w:val="169"/>
        </w:trPr>
        <w:tc>
          <w:tcPr>
            <w:tcW w:w="6180" w:type="dxa"/>
            <w:vAlign w:val="bottom"/>
            <w:gridSpan w:val="3"/>
            <w:vMerge w:val="continue"/>
          </w:tcPr>
          <w:p>
            <w:pPr>
              <w:spacing w:after="0"/>
              <w:rPr>
                <w:sz w:val="14"/>
                <w:szCs w:val="14"/>
                <w:color w:val="auto"/>
              </w:rPr>
            </w:pPr>
          </w:p>
        </w:tc>
        <w:tc>
          <w:tcPr>
            <w:tcW w:w="2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5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70</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3080" w:type="dxa"/>
            <w:vAlign w:val="bottom"/>
            <w:shd w:val="clear" w:color="auto" w:fill="0000EE"/>
          </w:tcPr>
          <w:p>
            <w:pPr>
              <w:spacing w:after="0" w:line="20" w:lineRule="exact"/>
              <w:rPr>
                <w:sz w:val="1"/>
                <w:szCs w:val="1"/>
                <w:color w:val="auto"/>
              </w:rPr>
            </w:pPr>
          </w:p>
        </w:tc>
        <w:tc>
          <w:tcPr>
            <w:tcW w:w="2140" w:type="dxa"/>
            <w:vAlign w:val="bottom"/>
            <w:shd w:val="clear" w:color="auto" w:fill="0000EE"/>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180" w:type="dxa"/>
            <w:vAlign w:val="bottom"/>
            <w:gridSpan w:val="3"/>
          </w:tcPr>
          <w:p>
            <w:pPr>
              <w:spacing w:after="0" w:line="196" w:lineRule="exact"/>
              <w:rPr>
                <w:rFonts w:ascii="Arial" w:cs="Arial" w:eastAsia="Arial" w:hAnsi="Arial"/>
                <w:sz w:val="18"/>
                <w:szCs w:val="18"/>
                <w:color w:val="0000EE"/>
                <w:w w:val="87"/>
              </w:rPr>
            </w:pPr>
            <w:hyperlink w:anchor="page72">
              <w:r>
                <w:rPr>
                  <w:rFonts w:ascii="Arial" w:cs="Arial" w:eastAsia="Arial" w:hAnsi="Arial"/>
                  <w:sz w:val="18"/>
                  <w:szCs w:val="18"/>
                  <w:color w:val="0000EE"/>
                  <w:w w:val="87"/>
                </w:rPr>
                <w:t>Consolidated Statements of Operations for the years ended January 31, 2009, February</w:t>
              </w:r>
            </w:hyperlink>
          </w:p>
        </w:tc>
        <w:tc>
          <w:tcPr>
            <w:tcW w:w="4660" w:type="dxa"/>
            <w:vAlign w:val="bottom"/>
            <w:gridSpan w:val="4"/>
          </w:tcPr>
          <w:p>
            <w:pPr>
              <w:ind w:left="20"/>
              <w:spacing w:after="0" w:line="196" w:lineRule="exact"/>
              <w:rPr>
                <w:rFonts w:ascii="Arial" w:cs="Arial" w:eastAsia="Arial" w:hAnsi="Arial"/>
                <w:sz w:val="18"/>
                <w:szCs w:val="18"/>
                <w:color w:val="0000EE"/>
              </w:rPr>
            </w:pPr>
            <w:hyperlink w:anchor="page72">
              <w:r>
                <w:rPr>
                  <w:rFonts w:ascii="Arial" w:cs="Arial" w:eastAsia="Arial" w:hAnsi="Arial"/>
                  <w:sz w:val="18"/>
                  <w:szCs w:val="18"/>
                  <w:color w:val="0000EE"/>
                </w:rPr>
                <w:t>2, 2008 and January 27, 2007</w:t>
              </w:r>
            </w:hyperlink>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0"/>
        </w:trPr>
        <w:tc>
          <w:tcPr>
            <w:tcW w:w="3080" w:type="dxa"/>
            <w:vAlign w:val="bottom"/>
            <w:shd w:val="clear" w:color="auto" w:fill="0000EE"/>
          </w:tcPr>
          <w:p>
            <w:pPr>
              <w:spacing w:after="0" w:line="20" w:lineRule="exact"/>
              <w:rPr>
                <w:sz w:val="1"/>
                <w:szCs w:val="1"/>
                <w:color w:val="auto"/>
              </w:rPr>
            </w:pPr>
          </w:p>
        </w:tc>
        <w:tc>
          <w:tcPr>
            <w:tcW w:w="518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840" w:type="dxa"/>
            <w:vAlign w:val="bottom"/>
            <w:gridSpan w:val="7"/>
          </w:tcPr>
          <w:p>
            <w:pPr>
              <w:spacing w:after="0" w:line="196" w:lineRule="exact"/>
              <w:rPr>
                <w:rFonts w:ascii="Arial" w:cs="Arial" w:eastAsia="Arial" w:hAnsi="Arial"/>
                <w:sz w:val="18"/>
                <w:szCs w:val="18"/>
                <w:color w:val="0000EE"/>
              </w:rPr>
            </w:pPr>
            <w:hyperlink w:anchor="page73">
              <w:r>
                <w:rPr>
                  <w:rFonts w:ascii="Arial" w:cs="Arial" w:eastAsia="Arial" w:hAnsi="Arial"/>
                  <w:sz w:val="18"/>
                  <w:szCs w:val="18"/>
                  <w:color w:val="0000EE"/>
                </w:rPr>
                <w:t>Consolidated Statements of Shareholders’ Equity for the years ended January 31, 2009, February 2, 2008 and January 27, 2007</w:t>
              </w:r>
            </w:hyperlink>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3"/>
          </w:tcPr>
          <w:p>
            <w:pPr>
              <w:spacing w:after="0" w:line="196" w:lineRule="exact"/>
              <w:rPr>
                <w:rFonts w:ascii="Arial" w:cs="Arial" w:eastAsia="Arial" w:hAnsi="Arial"/>
                <w:sz w:val="18"/>
                <w:szCs w:val="18"/>
                <w:color w:val="0000EE"/>
                <w:w w:val="87"/>
              </w:rPr>
            </w:pPr>
            <w:hyperlink w:anchor="page74">
              <w:r>
                <w:rPr>
                  <w:rFonts w:ascii="Arial" w:cs="Arial" w:eastAsia="Arial" w:hAnsi="Arial"/>
                  <w:sz w:val="18"/>
                  <w:szCs w:val="18"/>
                  <w:color w:val="0000EE"/>
                  <w:w w:val="87"/>
                </w:rPr>
                <w:t>Consolidated Statements of Cash Flows for the years ended January 31, 2009, February</w:t>
              </w:r>
            </w:hyperlink>
          </w:p>
        </w:tc>
        <w:tc>
          <w:tcPr>
            <w:tcW w:w="2800" w:type="dxa"/>
            <w:vAlign w:val="bottom"/>
            <w:tcBorders>
              <w:top w:val="single" w:sz="8" w:color="0000EE"/>
            </w:tcBorders>
            <w:gridSpan w:val="3"/>
          </w:tcPr>
          <w:p>
            <w:pPr>
              <w:ind w:left="60"/>
              <w:spacing w:after="0" w:line="196" w:lineRule="exact"/>
              <w:rPr>
                <w:rFonts w:ascii="Arial" w:cs="Arial" w:eastAsia="Arial" w:hAnsi="Arial"/>
                <w:sz w:val="18"/>
                <w:szCs w:val="18"/>
                <w:color w:val="0000EE"/>
              </w:rPr>
            </w:pPr>
            <w:hyperlink w:anchor="page74">
              <w:r>
                <w:rPr>
                  <w:rFonts w:ascii="Arial" w:cs="Arial" w:eastAsia="Arial" w:hAnsi="Arial"/>
                  <w:sz w:val="18"/>
                  <w:szCs w:val="18"/>
                  <w:color w:val="0000EE"/>
                </w:rPr>
                <w:t>2, 2008 and January 27, 2007</w:t>
              </w:r>
            </w:hyperlink>
          </w:p>
        </w:tc>
        <w:tc>
          <w:tcPr>
            <w:tcW w:w="1860" w:type="dxa"/>
            <w:vAlign w:val="bottom"/>
          </w:tcPr>
          <w:p>
            <w:pPr>
              <w:spacing w:after="0"/>
              <w:rPr>
                <w:sz w:val="17"/>
                <w:szCs w:val="17"/>
                <w:color w:val="auto"/>
              </w:rPr>
            </w:pPr>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75">
              <w:r>
                <w:rPr>
                  <w:rFonts w:ascii="Arial" w:cs="Arial" w:eastAsia="Arial" w:hAnsi="Arial"/>
                  <w:sz w:val="18"/>
                  <w:szCs w:val="18"/>
                  <w:color w:val="0000EE"/>
                </w:rPr>
                <w:t>Notes to Consolidated Financial Statements</w:t>
              </w:r>
            </w:hyperlink>
          </w:p>
        </w:tc>
        <w:tc>
          <w:tcPr>
            <w:tcW w:w="208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1860" w:type="dxa"/>
            <w:vAlign w:val="bottom"/>
          </w:tcPr>
          <w:p>
            <w:pPr>
              <w:spacing w:after="0"/>
              <w:rPr>
                <w:sz w:val="17"/>
                <w:szCs w:val="17"/>
                <w:color w:val="auto"/>
              </w:rPr>
            </w:pPr>
          </w:p>
        </w:tc>
        <w:tc>
          <w:tcPr>
            <w:tcW w:w="6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0"/>
        </w:trPr>
        <w:tc>
          <w:tcPr>
            <w:tcW w:w="3080" w:type="dxa"/>
            <w:vAlign w:val="bottom"/>
            <w:shd w:val="clear" w:color="auto" w:fill="0000EE"/>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02" w:lineRule="exact"/>
        <w:rPr>
          <w:sz w:val="20"/>
          <w:szCs w:val="20"/>
          <w:color w:val="auto"/>
        </w:rPr>
      </w:pPr>
    </w:p>
    <w:p>
      <w:pPr>
        <w:ind w:left="900" w:hanging="446"/>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i w:val="1"/>
          <w:iCs w:val="1"/>
          <w:color w:val="auto"/>
        </w:rPr>
        <w:t>Financial Statement Schedules:</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Item 15(b) below.</w:t>
      </w:r>
    </w:p>
    <w:p>
      <w:pPr>
        <w:spacing w:after="0" w:line="293" w:lineRule="exact"/>
        <w:rPr>
          <w:sz w:val="20"/>
          <w:szCs w:val="20"/>
          <w:color w:val="auto"/>
        </w:rPr>
      </w:pPr>
    </w:p>
    <w:p>
      <w:pPr>
        <w:ind w:left="900" w:hanging="446"/>
        <w:spacing w:after="0"/>
        <w:tabs>
          <w:tab w:leader="none" w:pos="900"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195"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60" w:type="dxa"/>
            <w:vAlign w:val="bottom"/>
          </w:tcPr>
          <w:p>
            <w:pPr>
              <w:spacing w:after="0"/>
              <w:rPr>
                <w:sz w:val="14"/>
                <w:szCs w:val="14"/>
                <w:color w:val="auto"/>
              </w:rPr>
            </w:pPr>
          </w:p>
        </w:tc>
      </w:tr>
      <w:tr>
        <w:trPr>
          <w:trHeight w:val="161"/>
        </w:trPr>
        <w:tc>
          <w:tcPr>
            <w:tcW w:w="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996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80" w:type="dxa"/>
            <w:vAlign w:val="bottom"/>
          </w:tcPr>
          <w:p>
            <w:pPr>
              <w:spacing w:after="0"/>
              <w:rPr>
                <w:sz w:val="17"/>
                <w:szCs w:val="17"/>
                <w:color w:val="auto"/>
              </w:rPr>
            </w:pPr>
          </w:p>
        </w:tc>
        <w:tc>
          <w:tcPr>
            <w:tcW w:w="460" w:type="dxa"/>
            <w:vAlign w:val="bottom"/>
            <w:tcBorders>
              <w:top w:val="single" w:sz="8" w:color="auto"/>
            </w:tcBorders>
          </w:tcPr>
          <w:p>
            <w:pPr>
              <w:jc w:val="center"/>
              <w:ind w:right="126"/>
              <w:spacing w:after="0" w:line="201" w:lineRule="exact"/>
              <w:rPr>
                <w:sz w:val="20"/>
                <w:szCs w:val="20"/>
                <w:color w:val="auto"/>
              </w:rPr>
            </w:pPr>
            <w:r>
              <w:rPr>
                <w:rFonts w:ascii="Arial" w:cs="Arial" w:eastAsia="Arial" w:hAnsi="Arial"/>
                <w:sz w:val="18"/>
                <w:szCs w:val="18"/>
                <w:color w:val="auto"/>
                <w:w w:val="87"/>
              </w:rPr>
              <w:t>2.1</w:t>
            </w:r>
          </w:p>
        </w:tc>
        <w:tc>
          <w:tcPr>
            <w:tcW w:w="74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89"/>
              </w:rPr>
              <w:t>Purchase</w:t>
            </w:r>
          </w:p>
        </w:tc>
        <w:tc>
          <w:tcPr>
            <w:tcW w:w="9260" w:type="dxa"/>
            <w:vAlign w:val="bottom"/>
          </w:tcPr>
          <w:p>
            <w:pPr>
              <w:jc w:val="right"/>
              <w:ind w:right="312"/>
              <w:spacing w:after="0" w:line="201" w:lineRule="exact"/>
              <w:rPr>
                <w:sz w:val="20"/>
                <w:szCs w:val="20"/>
                <w:color w:val="auto"/>
              </w:rPr>
            </w:pPr>
            <w:r>
              <w:rPr>
                <w:rFonts w:ascii="Arial" w:cs="Arial" w:eastAsia="Arial" w:hAnsi="Arial"/>
                <w:sz w:val="18"/>
                <w:szCs w:val="18"/>
                <w:color w:val="auto"/>
                <w:w w:val="87"/>
              </w:rPr>
              <w:t>and Sale Agreement dated as of February 17, 2006, by and among Avago Technologies Limited, Avago Technologies Imaging</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0"/>
              </w:rPr>
              <w:t>Holding (Labuan) Corporation, other sellers and Marvell Technology Group Ltd. and Marvell International Technology Ltd.,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3"/>
              </w:rPr>
              <w:t>reference to Exhibit 2.1 of the registrant’s Annual Report on Form 10-K for the year ended January 28, 2006 as filed on April 13, 2006</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2.2</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88"/>
              </w:rPr>
              <w:t>Asset Purchase Agreement dated as of June 26, 2006 by and between Intel Corporation and Marvell Technology Group Ltd.,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reference to Exhibit 2.1 of the registrant’s Current Report on Form 8-K as filed on November 14, 2006</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3.1</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88"/>
              </w:rPr>
              <w:t>Memorandum of Association of the registrant, incorporated by reference to Exhibit 3.1 of the registrant’s Registration Statement on Form S-1</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3.2</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3"/>
              </w:rPr>
              <w:t>Second Amended and Restated Bye-laws of the registrant, incorporated by reference to Appendix A of the registrant’s Definitive Proxy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Statement as filed on May 21, 2001</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3.3</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4.1</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0"/>
              </w:rPr>
              <w:t>Specimen common stock certificate of the registrant, incorporated by reference to Exhibit 4.1 of the registrant’s Registration Statement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Form S-1/A (file no. 333-33086) as filed on May 5, 2000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2"/>
              </w:rPr>
              <w:t>1997 Directors’ Stock Option Plan, incorporated by reference to Exhibit 10.2 of the registrant’s Registration Statement on Form S-1 (file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00" w:type="dxa"/>
            <w:vAlign w:val="bottom"/>
            <w:gridSpan w:val="3"/>
          </w:tcPr>
          <w:p>
            <w:pPr>
              <w:jc w:val="right"/>
              <w:ind w:right="5412"/>
              <w:spacing w:after="0"/>
              <w:rPr>
                <w:sz w:val="20"/>
                <w:szCs w:val="20"/>
                <w:color w:val="auto"/>
              </w:rPr>
            </w:pPr>
            <w:r>
              <w:rPr>
                <w:rFonts w:ascii="Arial" w:cs="Arial" w:eastAsia="Arial" w:hAnsi="Arial"/>
                <w:sz w:val="18"/>
                <w:szCs w:val="18"/>
                <w:color w:val="auto"/>
              </w:rPr>
              <w:t>125</w:t>
            </w:r>
          </w:p>
        </w:tc>
      </w:tr>
    </w:tbl>
    <w:p>
      <w:pPr>
        <w:sectPr>
          <w:pgSz w:w="11900" w:h="16838" w:orient="portrait"/>
          <w:cols w:equalWidth="0" w:num="1">
            <w:col w:w="11420"/>
          </w:cols>
          <w:pgMar w:left="240" w:top="459" w:right="23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120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300" w:type="dxa"/>
            <w:vAlign w:val="bottom"/>
          </w:tcPr>
          <w:p>
            <w:pPr>
              <w:spacing w:after="0"/>
              <w:rPr>
                <w:sz w:val="14"/>
                <w:szCs w:val="14"/>
                <w:color w:val="auto"/>
              </w:rPr>
            </w:pPr>
          </w:p>
        </w:tc>
      </w:tr>
      <w:tr>
        <w:trPr>
          <w:trHeight w:val="161"/>
        </w:trPr>
        <w:tc>
          <w:tcPr>
            <w:tcW w:w="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00" w:type="dxa"/>
            <w:vAlign w:val="bottom"/>
          </w:tcPr>
          <w:p>
            <w:pPr>
              <w:spacing w:after="0"/>
              <w:rPr>
                <w:sz w:val="14"/>
                <w:szCs w:val="14"/>
                <w:color w:val="auto"/>
              </w:rPr>
            </w:pPr>
          </w:p>
        </w:tc>
      </w:tr>
      <w:tr>
        <w:trPr>
          <w:trHeight w:val="201"/>
        </w:trPr>
        <w:tc>
          <w:tcPr>
            <w:tcW w:w="540" w:type="dxa"/>
            <w:vAlign w:val="bottom"/>
            <w:gridSpan w:val="2"/>
          </w:tcPr>
          <w:p>
            <w:pPr>
              <w:spacing w:after="0" w:line="201" w:lineRule="exact"/>
              <w:rPr>
                <w:sz w:val="20"/>
                <w:szCs w:val="20"/>
                <w:color w:val="auto"/>
              </w:rPr>
            </w:pPr>
            <w:r>
              <w:rPr>
                <w:rFonts w:ascii="Arial" w:cs="Arial" w:eastAsia="Arial" w:hAnsi="Arial"/>
                <w:sz w:val="18"/>
                <w:szCs w:val="18"/>
                <w:color w:val="auto"/>
              </w:rPr>
              <w:t>10.2#</w:t>
            </w:r>
          </w:p>
        </w:tc>
        <w:tc>
          <w:tcPr>
            <w:tcW w:w="740" w:type="dxa"/>
            <w:vAlign w:val="bottom"/>
          </w:tcPr>
          <w:p>
            <w:pPr>
              <w:spacing w:after="0"/>
              <w:rPr>
                <w:sz w:val="17"/>
                <w:szCs w:val="17"/>
                <w:color w:val="auto"/>
              </w:rPr>
            </w:pPr>
          </w:p>
        </w:tc>
        <w:tc>
          <w:tcPr>
            <w:tcW w:w="10000" w:type="dxa"/>
            <w:vAlign w:val="bottom"/>
            <w:gridSpan w:val="2"/>
          </w:tcPr>
          <w:p>
            <w:pPr>
              <w:spacing w:after="0" w:line="201" w:lineRule="exact"/>
              <w:rPr>
                <w:sz w:val="20"/>
                <w:szCs w:val="20"/>
                <w:color w:val="auto"/>
              </w:rPr>
            </w:pPr>
            <w:r>
              <w:rPr>
                <w:rFonts w:ascii="Arial" w:cs="Arial" w:eastAsia="Arial" w:hAnsi="Arial"/>
                <w:sz w:val="18"/>
                <w:szCs w:val="18"/>
                <w:color w:val="auto"/>
                <w:w w:val="90"/>
              </w:rPr>
              <w:t>Form of Notice of Option Grants, Nonstatutory Stock Option Agreement, Exercise Notice and Restricted Stock Purchase Agreement for use</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under the 1997 Directors’ Stock Option Plan, incorporated by reference to Exhibit 10.7 of the registrant’s Registration Statement on Form S-8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as filed on January 11,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10.3</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Galileo Technology Ltd. 1997 Employees’ Stock Option Plan, incorporated by reference to Exhibit 10.4 of the registrant’s Annual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10.4</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5"/>
              </w:rPr>
              <w:t>Galileo Technology Ltd. 1997 GTI Stock Option Plan, incorporated by reference to Exhibit 10.5 of the registrant’s Annual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10.5#</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Amended 2000 Employee Stock Purchase Plan, incorporated by reference to Exhibit 10.19 of the registrant’s quarterly report on Form 10-Q</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 the period ended August 2, 2003 as filed on September 15, 2003</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10.6#</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Amendment to the Amended 2000 Employee Stock Purchase Plan, incorporated by reference to Exhibit 10.5 of the registrant’s Registration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Statement on Form S-8 as filed on June 20,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10.7#</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2000 Employee Stock Purchase Plan Form of Subscription Agreement, incorporated by reference to Exhibit 10.5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Registration Statement on Form S-8 as filed on January 11,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10.8#</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Amended and Restated 1995 Stock Option Plan, incorporated by reference to Exhibit 10.24 of the registrant’s quarterly report on 10-Q for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period ended July 30, 2005 as filed on September 8, 2005</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rPr>
              <w:t>10.9#</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Restricted Stock Agreement, incorporated by reference to Exhibit 10.20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10.10#</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Form of Option Agreement for use with the Amended and Restated 1995 Stock Option Plan, incorporated by reference to Exhibit 10.21 of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registrant’s Annual Report on Form 10-K for the year ended January 28, 2006 as filed on April 13, 2006</w:t>
            </w:r>
          </w:p>
        </w:tc>
      </w:tr>
      <w:tr>
        <w:trPr>
          <w:trHeight w:val="318"/>
        </w:trPr>
        <w:tc>
          <w:tcPr>
            <w:tcW w:w="1280" w:type="dxa"/>
            <w:vAlign w:val="bottom"/>
            <w:gridSpan w:val="3"/>
          </w:tcPr>
          <w:p>
            <w:pPr>
              <w:spacing w:after="0"/>
              <w:rPr>
                <w:sz w:val="20"/>
                <w:szCs w:val="20"/>
                <w:color w:val="auto"/>
              </w:rPr>
            </w:pPr>
            <w:r>
              <w:rPr>
                <w:rFonts w:ascii="Arial" w:cs="Arial" w:eastAsia="Arial" w:hAnsi="Arial"/>
                <w:sz w:val="18"/>
                <w:szCs w:val="18"/>
                <w:color w:val="auto"/>
              </w:rPr>
              <w:t>10.10.1#</w:t>
            </w: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Stock Option Plan, incorporated by reference to Exhibit 10.1 of the registrant’s Current Report on Form 8-K as filed on December 17, 2008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Form of Restricted Stock Unit Agreement, incorporated by reference to Exhibit 10.34 of the registrant’s Annual Report on Form 10-K for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year ended January 27, 2007 as filed on July 2, 2007</w:t>
            </w:r>
          </w:p>
        </w:tc>
      </w:tr>
      <w:tr>
        <w:trPr>
          <w:trHeight w:val="318"/>
        </w:trPr>
        <w:tc>
          <w:tcPr>
            <w:tcW w:w="1280" w:type="dxa"/>
            <w:vAlign w:val="bottom"/>
            <w:gridSpan w:val="3"/>
          </w:tcPr>
          <w:p>
            <w:pPr>
              <w:spacing w:after="0"/>
              <w:rPr>
                <w:sz w:val="20"/>
                <w:szCs w:val="20"/>
                <w:color w:val="auto"/>
              </w:rPr>
            </w:pPr>
            <w:r>
              <w:rPr>
                <w:rFonts w:ascii="Arial" w:cs="Arial" w:eastAsia="Arial" w:hAnsi="Arial"/>
                <w:sz w:val="18"/>
                <w:szCs w:val="18"/>
                <w:color w:val="auto"/>
              </w:rPr>
              <w:t>10.11.1#</w:t>
            </w: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Option Plan, incorporated by reference to Exhibit 10.2 of the registrant’s Current Report on Form 8-K as filed on December 17, 2008 (for</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Performance-Based Vesting Option Agreement, incorporated by reference to Exhibit 10.23 of the registrant’s Current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Form 8-K as filed on May 30, 2006</w:t>
            </w:r>
          </w:p>
        </w:tc>
      </w:tr>
      <w:tr>
        <w:trPr>
          <w:trHeight w:val="318"/>
        </w:trPr>
        <w:tc>
          <w:tcPr>
            <w:tcW w:w="1280" w:type="dxa"/>
            <w:vAlign w:val="bottom"/>
            <w:gridSpan w:val="3"/>
          </w:tcPr>
          <w:p>
            <w:pPr>
              <w:jc w:val="center"/>
              <w:ind w:right="640"/>
              <w:spacing w:after="0"/>
              <w:rPr>
                <w:sz w:val="20"/>
                <w:szCs w:val="20"/>
                <w:color w:val="auto"/>
              </w:rPr>
            </w:pPr>
            <w:r>
              <w:rPr>
                <w:rFonts w:ascii="Arial" w:cs="Arial" w:eastAsia="Arial" w:hAnsi="Arial"/>
                <w:sz w:val="18"/>
                <w:szCs w:val="18"/>
                <w:color w:val="auto"/>
                <w:w w:val="87"/>
              </w:rPr>
              <w:t>10.13#</w:t>
            </w: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Form of Notice of Grant of Stock Options (performance-based vesting), incorporated by reference to Exhibit 10.1 of the registrant’s Current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Report on Form 8-K as filed on January 2, 2008</w:t>
            </w:r>
          </w:p>
        </w:tc>
      </w:tr>
      <w:tr>
        <w:trPr>
          <w:trHeight w:val="318"/>
        </w:trPr>
        <w:tc>
          <w:tcPr>
            <w:tcW w:w="1280" w:type="dxa"/>
            <w:vAlign w:val="bottom"/>
            <w:gridSpan w:val="3"/>
          </w:tcPr>
          <w:p>
            <w:pPr>
              <w:jc w:val="center"/>
              <w:ind w:right="640"/>
              <w:spacing w:after="0"/>
              <w:rPr>
                <w:sz w:val="20"/>
                <w:szCs w:val="20"/>
                <w:color w:val="auto"/>
              </w:rPr>
            </w:pPr>
            <w:r>
              <w:rPr>
                <w:rFonts w:ascii="Arial" w:cs="Arial" w:eastAsia="Arial" w:hAnsi="Arial"/>
                <w:sz w:val="18"/>
                <w:szCs w:val="18"/>
                <w:color w:val="auto"/>
                <w:w w:val="87"/>
              </w:rPr>
              <w:t>10.14#</w:t>
            </w: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Form of Notice of Grant of Stock Options — Performance-Based, for use with the Amended and Restated 1995 Stock Option Plan,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00" w:type="dxa"/>
            <w:vAlign w:val="bottom"/>
            <w:gridSpan w:val="2"/>
          </w:tcPr>
          <w:p>
            <w:pPr>
              <w:ind w:left="4200"/>
              <w:spacing w:after="0"/>
              <w:rPr>
                <w:sz w:val="20"/>
                <w:szCs w:val="20"/>
                <w:color w:val="auto"/>
              </w:rPr>
            </w:pPr>
            <w:r>
              <w:rPr>
                <w:rFonts w:ascii="Arial" w:cs="Arial" w:eastAsia="Arial" w:hAnsi="Arial"/>
                <w:sz w:val="18"/>
                <w:szCs w:val="18"/>
                <w:color w:val="auto"/>
              </w:rPr>
              <w:t>126</w:t>
            </w:r>
          </w:p>
        </w:tc>
      </w:tr>
    </w:tbl>
    <w:p>
      <w:pPr>
        <w:sectPr>
          <w:pgSz w:w="11900" w:h="16838" w:orient="portrait"/>
          <w:cols w:equalWidth="0" w:num="1">
            <w:col w:w="11380"/>
          </w:cols>
          <w:pgMar w:left="240" w:top="459" w:right="27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p>
      <w:pPr>
        <w:ind w:left="140"/>
        <w:spacing w:after="0"/>
        <w:rPr>
          <w:sz w:val="20"/>
          <w:szCs w:val="20"/>
          <w:color w:val="auto"/>
        </w:rPr>
      </w:pPr>
      <w:r>
        <w:rPr>
          <w:rFonts w:ascii="Arial" w:cs="Arial" w:eastAsia="Arial" w:hAnsi="Arial"/>
          <w:sz w:val="14"/>
          <w:szCs w:val="14"/>
          <w:b w:val="1"/>
          <w:bCs w:val="1"/>
          <w:color w:val="auto"/>
        </w:rPr>
        <w:t>Exhibit</w:t>
      </w:r>
    </w:p>
    <w:p>
      <w:pPr>
        <w:spacing w:after="0" w:line="1" w:lineRule="exact"/>
        <w:rPr>
          <w:sz w:val="20"/>
          <w:szCs w:val="20"/>
          <w:color w:val="auto"/>
        </w:rPr>
      </w:pPr>
    </w:p>
    <w:p>
      <w:pPr>
        <w:ind w:left="260"/>
        <w:spacing w:after="0"/>
        <w:tabs>
          <w:tab w:leader="none" w:pos="114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82550</wp:posOffset>
            </wp:positionH>
            <wp:positionV relativeFrom="paragraph">
              <wp:posOffset>-7620</wp:posOffset>
            </wp:positionV>
            <wp:extent cx="291465"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ind w:left="1160" w:right="680" w:hanging="1037"/>
        <w:spacing w:after="0" w:line="321" w:lineRule="auto"/>
        <w:tabs>
          <w:tab w:leader="none" w:pos="1140" w:val="left"/>
        </w:tabs>
        <w:rPr>
          <w:sz w:val="20"/>
          <w:szCs w:val="20"/>
          <w:color w:val="auto"/>
        </w:rPr>
      </w:pPr>
      <w:r>
        <w:rPr>
          <w:rFonts w:ascii="Arial" w:cs="Arial" w:eastAsia="Arial" w:hAnsi="Arial"/>
          <w:sz w:val="18"/>
          <w:szCs w:val="18"/>
          <w:color w:val="auto"/>
        </w:rPr>
        <w:t>10.15#</w:t>
      </w:r>
      <w:r>
        <w:rPr>
          <w:sz w:val="20"/>
          <w:szCs w:val="20"/>
          <w:color w:val="auto"/>
        </w:rPr>
        <w:tab/>
      </w:r>
      <w:r>
        <w:rPr>
          <w:rFonts w:ascii="Arial" w:cs="Arial" w:eastAsia="Arial" w:hAnsi="Arial"/>
          <w:sz w:val="16"/>
          <w:szCs w:val="16"/>
          <w:color w:val="auto"/>
        </w:rPr>
        <w:t>Reformation of Stock Option Agreement dated December 27, 2006 by and between Sehat Sutardja and Marvell Technology Group Ltd., incorporated by reference to Exhibit 10.1 of the registrant’s Current Report on Form 8-K as filed on January 4, 2007</w:t>
      </w:r>
    </w:p>
    <w:p>
      <w:pPr>
        <w:spacing w:after="0" w:line="40" w:lineRule="exact"/>
        <w:rPr>
          <w:sz w:val="20"/>
          <w:szCs w:val="20"/>
          <w:color w:val="auto"/>
        </w:rPr>
      </w:pPr>
    </w:p>
    <w:p>
      <w:pPr>
        <w:ind w:left="1160" w:right="100" w:hanging="1037"/>
        <w:spacing w:after="0" w:line="268" w:lineRule="auto"/>
        <w:tabs>
          <w:tab w:leader="none" w:pos="1140" w:val="left"/>
        </w:tabs>
        <w:rPr>
          <w:sz w:val="20"/>
          <w:szCs w:val="20"/>
          <w:color w:val="auto"/>
        </w:rPr>
      </w:pPr>
      <w:r>
        <w:rPr>
          <w:rFonts w:ascii="Arial" w:cs="Arial" w:eastAsia="Arial" w:hAnsi="Arial"/>
          <w:sz w:val="18"/>
          <w:szCs w:val="18"/>
          <w:color w:val="auto"/>
        </w:rPr>
        <w:t>10.16#</w:t>
      </w:r>
      <w:r>
        <w:rPr>
          <w:sz w:val="20"/>
          <w:szCs w:val="20"/>
          <w:color w:val="auto"/>
        </w:rPr>
        <w:tab/>
      </w:r>
      <w:r>
        <w:rPr>
          <w:rFonts w:ascii="Arial" w:cs="Arial" w:eastAsia="Arial" w:hAnsi="Arial"/>
          <w:sz w:val="18"/>
          <w:szCs w:val="18"/>
          <w:color w:val="auto"/>
        </w:rPr>
        <w:t>Reformation of Stock Option Agreement dated December 27, 2006 by and between Weili Dai and Marvell Technology Group Ltd., incorporated by reference to Exhibit 10.2 of the registrant’s Current Report on Form 8-K as filed on January 4, 2007</w:t>
      </w:r>
    </w:p>
    <w:p>
      <w:pPr>
        <w:spacing w:after="0" w:line="78" w:lineRule="exact"/>
        <w:rPr>
          <w:sz w:val="20"/>
          <w:szCs w:val="20"/>
          <w:color w:val="auto"/>
        </w:rPr>
      </w:pPr>
    </w:p>
    <w:p>
      <w:pPr>
        <w:ind w:left="1160" w:right="600" w:hanging="1037"/>
        <w:spacing w:after="0" w:line="332" w:lineRule="auto"/>
        <w:tabs>
          <w:tab w:leader="none" w:pos="1140" w:val="left"/>
        </w:tabs>
        <w:rPr>
          <w:sz w:val="20"/>
          <w:szCs w:val="20"/>
          <w:color w:val="auto"/>
        </w:rPr>
      </w:pPr>
      <w:r>
        <w:rPr>
          <w:rFonts w:ascii="Arial" w:cs="Arial" w:eastAsia="Arial" w:hAnsi="Arial"/>
          <w:sz w:val="18"/>
          <w:szCs w:val="18"/>
          <w:color w:val="auto"/>
        </w:rPr>
        <w:t>10.17#</w:t>
      </w:r>
      <w:r>
        <w:rPr>
          <w:sz w:val="20"/>
          <w:szCs w:val="20"/>
          <w:color w:val="auto"/>
        </w:rPr>
        <w:tab/>
      </w:r>
      <w:r>
        <w:rPr>
          <w:rFonts w:ascii="Arial" w:cs="Arial" w:eastAsia="Arial" w:hAnsi="Arial"/>
          <w:sz w:val="16"/>
          <w:szCs w:val="16"/>
          <w:color w:val="auto"/>
        </w:rPr>
        <w:t>Reformation of Stock Option Agreement dated December 28, 2006 by and between Pantas Sutardja and Marvell Technology Group Ltd., incorporated by reference to Exhibit 10.3 of the registrant’s Current Report on Form 8-K as filed on January 4, 2007</w:t>
      </w:r>
    </w:p>
    <w:p>
      <w:pPr>
        <w:spacing w:after="0" w:line="31" w:lineRule="exact"/>
        <w:rPr>
          <w:sz w:val="20"/>
          <w:szCs w:val="20"/>
          <w:color w:val="auto"/>
        </w:rPr>
      </w:pPr>
    </w:p>
    <w:p>
      <w:pPr>
        <w:ind w:left="1160" w:right="620" w:hanging="1037"/>
        <w:spacing w:after="0" w:line="332" w:lineRule="auto"/>
        <w:tabs>
          <w:tab w:leader="none" w:pos="1140" w:val="left"/>
        </w:tabs>
        <w:rPr>
          <w:sz w:val="20"/>
          <w:szCs w:val="20"/>
          <w:color w:val="auto"/>
        </w:rPr>
      </w:pPr>
      <w:r>
        <w:rPr>
          <w:rFonts w:ascii="Arial" w:cs="Arial" w:eastAsia="Arial" w:hAnsi="Arial"/>
          <w:sz w:val="18"/>
          <w:szCs w:val="18"/>
          <w:color w:val="auto"/>
        </w:rPr>
        <w:t>10.18#</w:t>
      </w:r>
      <w:r>
        <w:rPr>
          <w:sz w:val="20"/>
          <w:szCs w:val="20"/>
          <w:color w:val="auto"/>
        </w:rPr>
        <w:tab/>
      </w:r>
      <w:r>
        <w:rPr>
          <w:rFonts w:ascii="Arial" w:cs="Arial" w:eastAsia="Arial" w:hAnsi="Arial"/>
          <w:sz w:val="16"/>
          <w:szCs w:val="16"/>
          <w:color w:val="auto"/>
        </w:rPr>
        <w:t>Reformation of Stock Option Agreement dated December 28, 2006 by and between George Hervey and Marvell Technology Group Ltd., incorporated by reference to Exhibit 10.4 of the registrant’s Current Report on Form 8-K as filed on January 4, 2007</w:t>
      </w:r>
    </w:p>
    <w:p>
      <w:pPr>
        <w:spacing w:after="0" w:line="31" w:lineRule="exact"/>
        <w:rPr>
          <w:sz w:val="20"/>
          <w:szCs w:val="20"/>
          <w:color w:val="auto"/>
        </w:rPr>
      </w:pPr>
    </w:p>
    <w:p>
      <w:pPr>
        <w:ind w:left="1160" w:right="260" w:hanging="1037"/>
        <w:spacing w:after="0" w:line="268" w:lineRule="auto"/>
        <w:tabs>
          <w:tab w:leader="none" w:pos="1140" w:val="left"/>
        </w:tabs>
        <w:rPr>
          <w:sz w:val="20"/>
          <w:szCs w:val="20"/>
          <w:color w:val="auto"/>
        </w:rPr>
      </w:pPr>
      <w:r>
        <w:rPr>
          <w:rFonts w:ascii="Arial" w:cs="Arial" w:eastAsia="Arial" w:hAnsi="Arial"/>
          <w:sz w:val="18"/>
          <w:szCs w:val="18"/>
          <w:color w:val="auto"/>
        </w:rPr>
        <w:t>10.19#</w:t>
      </w:r>
      <w:r>
        <w:rPr>
          <w:sz w:val="20"/>
          <w:szCs w:val="20"/>
          <w:color w:val="auto"/>
        </w:rPr>
        <w:tab/>
      </w:r>
      <w:r>
        <w:rPr>
          <w:rFonts w:ascii="Arial" w:cs="Arial" w:eastAsia="Arial" w:hAnsi="Arial"/>
          <w:sz w:val="18"/>
          <w:szCs w:val="18"/>
          <w:color w:val="auto"/>
        </w:rPr>
        <w:t>Reformation of Stock Option Agreement dated May 6, 2007 between Marvell Technology Group Ltd. and Dr. Sehat Sutardja, incorporated by reference to Exhibit 10.1 of the registrant’s Current Report on Form 8-K as filed on May 8, 2007</w:t>
      </w:r>
    </w:p>
    <w:p>
      <w:pPr>
        <w:spacing w:after="0" w:line="78" w:lineRule="exact"/>
        <w:rPr>
          <w:sz w:val="20"/>
          <w:szCs w:val="20"/>
          <w:color w:val="auto"/>
        </w:rPr>
      </w:pPr>
    </w:p>
    <w:p>
      <w:pPr>
        <w:ind w:left="1160" w:right="20" w:hanging="1037"/>
        <w:spacing w:after="0" w:line="268" w:lineRule="auto"/>
        <w:tabs>
          <w:tab w:leader="none" w:pos="1140" w:val="left"/>
        </w:tabs>
        <w:rPr>
          <w:sz w:val="20"/>
          <w:szCs w:val="20"/>
          <w:color w:val="auto"/>
        </w:rPr>
      </w:pPr>
      <w:r>
        <w:rPr>
          <w:rFonts w:ascii="Arial" w:cs="Arial" w:eastAsia="Arial" w:hAnsi="Arial"/>
          <w:sz w:val="18"/>
          <w:szCs w:val="18"/>
          <w:color w:val="auto"/>
        </w:rPr>
        <w:t>10.20#</w:t>
      </w:r>
      <w:r>
        <w:rPr>
          <w:sz w:val="20"/>
          <w:szCs w:val="20"/>
          <w:color w:val="auto"/>
        </w:rPr>
        <w:tab/>
      </w:r>
      <w:r>
        <w:rPr>
          <w:rFonts w:ascii="Arial" w:cs="Arial" w:eastAsia="Arial" w:hAnsi="Arial"/>
          <w:sz w:val="18"/>
          <w:szCs w:val="18"/>
          <w:color w:val="auto"/>
        </w:rPr>
        <w:t>Amendment of Stock Option Agreement dated May 6, 2007 between Marvell Technology Group Ltd. and Weili Dai, incorporated by reference to Exhibit 10.2 of the registrant’s Current Report on Form 8-K as filed on May 8, 2007</w:t>
      </w:r>
    </w:p>
    <w:p>
      <w:pPr>
        <w:spacing w:after="0" w:line="78" w:lineRule="exact"/>
        <w:rPr>
          <w:sz w:val="20"/>
          <w:szCs w:val="20"/>
          <w:color w:val="auto"/>
        </w:rPr>
      </w:pPr>
    </w:p>
    <w:p>
      <w:pPr>
        <w:ind w:left="1160" w:hanging="1037"/>
        <w:spacing w:after="0" w:line="268" w:lineRule="auto"/>
        <w:tabs>
          <w:tab w:leader="none" w:pos="1140" w:val="left"/>
        </w:tabs>
        <w:rPr>
          <w:sz w:val="20"/>
          <w:szCs w:val="20"/>
          <w:color w:val="auto"/>
        </w:rPr>
      </w:pPr>
      <w:r>
        <w:rPr>
          <w:rFonts w:ascii="Arial" w:cs="Arial" w:eastAsia="Arial" w:hAnsi="Arial"/>
          <w:sz w:val="18"/>
          <w:szCs w:val="18"/>
          <w:color w:val="auto"/>
        </w:rPr>
        <w:t>10.21#</w:t>
      </w:r>
      <w:r>
        <w:rPr>
          <w:sz w:val="20"/>
          <w:szCs w:val="20"/>
          <w:color w:val="auto"/>
        </w:rPr>
        <w:tab/>
      </w:r>
      <w:r>
        <w:rPr>
          <w:rFonts w:ascii="Arial" w:cs="Arial" w:eastAsia="Arial" w:hAnsi="Arial"/>
          <w:sz w:val="18"/>
          <w:szCs w:val="18"/>
          <w:color w:val="auto"/>
        </w:rPr>
        <w:t>Amendment of Stock Option between the Registrant and Michael Rashkin dated December 31, 2007, incorporated by reference to Exhibit 10.2 of the registrant’s Current Report on Form 8-K as filed on January 2, 2008</w:t>
      </w:r>
    </w:p>
    <w:p>
      <w:pPr>
        <w:spacing w:after="0" w:line="78" w:lineRule="exact"/>
        <w:rPr>
          <w:sz w:val="20"/>
          <w:szCs w:val="20"/>
          <w:color w:val="auto"/>
        </w:rPr>
      </w:pPr>
    </w:p>
    <w:p>
      <w:pPr>
        <w:ind w:left="1160" w:right="400" w:hanging="1037"/>
        <w:spacing w:after="0" w:line="268" w:lineRule="auto"/>
        <w:tabs>
          <w:tab w:leader="none" w:pos="1140" w:val="left"/>
        </w:tabs>
        <w:rPr>
          <w:sz w:val="20"/>
          <w:szCs w:val="20"/>
          <w:color w:val="auto"/>
        </w:rPr>
      </w:pPr>
      <w:r>
        <w:rPr>
          <w:rFonts w:ascii="Arial" w:cs="Arial" w:eastAsia="Arial" w:hAnsi="Arial"/>
          <w:sz w:val="18"/>
          <w:szCs w:val="18"/>
          <w:color w:val="auto"/>
        </w:rPr>
        <w:t>10.22#</w:t>
      </w:r>
      <w:r>
        <w:rPr>
          <w:sz w:val="20"/>
          <w:szCs w:val="20"/>
          <w:color w:val="auto"/>
        </w:rPr>
        <w:tab/>
      </w:r>
      <w:r>
        <w:rPr>
          <w:rFonts w:ascii="Arial" w:cs="Arial" w:eastAsia="Arial" w:hAnsi="Arial"/>
          <w:sz w:val="18"/>
          <w:szCs w:val="18"/>
          <w:color w:val="auto"/>
        </w:rPr>
        <w:t>2007 Director Stock Incentive Plan, as amended and restated, incorporated by reference to Exhibit 10.1 of the registrant’s Current Report on Form 8-K as filed on October 25, 2007</w:t>
      </w:r>
    </w:p>
    <w:p>
      <w:pPr>
        <w:spacing w:after="0" w:line="78" w:lineRule="exact"/>
        <w:rPr>
          <w:sz w:val="20"/>
          <w:szCs w:val="20"/>
          <w:color w:val="auto"/>
        </w:rPr>
      </w:pPr>
    </w:p>
    <w:p>
      <w:pPr>
        <w:ind w:left="1160" w:right="860" w:hanging="1037"/>
        <w:spacing w:after="0" w:line="268" w:lineRule="auto"/>
        <w:tabs>
          <w:tab w:leader="none" w:pos="1140" w:val="left"/>
        </w:tabs>
        <w:rPr>
          <w:sz w:val="20"/>
          <w:szCs w:val="20"/>
          <w:color w:val="auto"/>
        </w:rPr>
      </w:pPr>
      <w:r>
        <w:rPr>
          <w:rFonts w:ascii="Arial" w:cs="Arial" w:eastAsia="Arial" w:hAnsi="Arial"/>
          <w:sz w:val="18"/>
          <w:szCs w:val="18"/>
          <w:color w:val="auto"/>
        </w:rPr>
        <w:t>10.23#</w:t>
      </w:r>
      <w:r>
        <w:rPr>
          <w:sz w:val="20"/>
          <w:szCs w:val="20"/>
          <w:color w:val="auto"/>
        </w:rPr>
        <w:tab/>
      </w:r>
      <w:r>
        <w:rPr>
          <w:rFonts w:ascii="Arial" w:cs="Arial" w:eastAsia="Arial" w:hAnsi="Arial"/>
          <w:sz w:val="18"/>
          <w:szCs w:val="18"/>
          <w:color w:val="auto"/>
        </w:rPr>
        <w:t>Form of Stock Option Agreement for use under the 2007 Director Stock Incentive Plan — Initial Award, incorporated by reference to Exhibit 10.2 of the registrant’s Current Report on Form 8-K as filed on October 25, 2007</w:t>
      </w:r>
    </w:p>
    <w:p>
      <w:pPr>
        <w:spacing w:after="0" w:line="78" w:lineRule="exact"/>
        <w:rPr>
          <w:sz w:val="20"/>
          <w:szCs w:val="20"/>
          <w:color w:val="auto"/>
        </w:rPr>
      </w:pPr>
    </w:p>
    <w:p>
      <w:pPr>
        <w:ind w:left="1160" w:right="760" w:hanging="1037"/>
        <w:spacing w:after="0" w:line="268" w:lineRule="auto"/>
        <w:tabs>
          <w:tab w:leader="none" w:pos="1140" w:val="left"/>
        </w:tabs>
        <w:rPr>
          <w:sz w:val="20"/>
          <w:szCs w:val="20"/>
          <w:color w:val="auto"/>
        </w:rPr>
      </w:pPr>
      <w:r>
        <w:rPr>
          <w:rFonts w:ascii="Arial" w:cs="Arial" w:eastAsia="Arial" w:hAnsi="Arial"/>
          <w:sz w:val="18"/>
          <w:szCs w:val="18"/>
          <w:color w:val="auto"/>
        </w:rPr>
        <w:t>10.24#</w:t>
      </w:r>
      <w:r>
        <w:rPr>
          <w:sz w:val="20"/>
          <w:szCs w:val="20"/>
          <w:color w:val="auto"/>
        </w:rPr>
        <w:tab/>
      </w:r>
      <w:r>
        <w:rPr>
          <w:rFonts w:ascii="Arial" w:cs="Arial" w:eastAsia="Arial" w:hAnsi="Arial"/>
          <w:sz w:val="18"/>
          <w:szCs w:val="18"/>
          <w:color w:val="auto"/>
        </w:rPr>
        <w:t>Form of Stock Option Agreement for use under the 2007 Director Stock Incentive Plan — Annual Award, incorporated by reference to Exhibit 10.3 of the registrant’s Current Report on Form 8-K as filed on October 25, 2007</w:t>
      </w:r>
    </w:p>
    <w:p>
      <w:pPr>
        <w:spacing w:after="0" w:line="78" w:lineRule="exact"/>
        <w:rPr>
          <w:sz w:val="20"/>
          <w:szCs w:val="20"/>
          <w:color w:val="auto"/>
        </w:rPr>
      </w:pPr>
    </w:p>
    <w:p>
      <w:pPr>
        <w:ind w:left="1160" w:right="80" w:hanging="1037"/>
        <w:spacing w:after="0" w:line="268" w:lineRule="auto"/>
        <w:tabs>
          <w:tab w:leader="none" w:pos="1140" w:val="left"/>
        </w:tabs>
        <w:rPr>
          <w:sz w:val="20"/>
          <w:szCs w:val="20"/>
          <w:color w:val="auto"/>
        </w:rPr>
      </w:pPr>
      <w:r>
        <w:rPr>
          <w:rFonts w:ascii="Arial" w:cs="Arial" w:eastAsia="Arial" w:hAnsi="Arial"/>
          <w:sz w:val="18"/>
          <w:szCs w:val="18"/>
          <w:color w:val="auto"/>
        </w:rPr>
        <w:t>10.25#</w:t>
      </w:r>
      <w:r>
        <w:rPr>
          <w:sz w:val="20"/>
          <w:szCs w:val="20"/>
          <w:color w:val="auto"/>
        </w:rPr>
        <w:tab/>
      </w:r>
      <w:r>
        <w:rPr>
          <w:rFonts w:ascii="Arial" w:cs="Arial" w:eastAsia="Arial" w:hAnsi="Arial"/>
          <w:sz w:val="18"/>
          <w:szCs w:val="18"/>
          <w:color w:val="auto"/>
        </w:rPr>
        <w:t>Employment Offer Letter dated January 17, 2008 between the Registrant and George de Urioste, incorporated by reference to Exhibit 10.1 of the registrant’s Current Report on Form 8-K as filed on January 23, 2008</w:t>
      </w:r>
    </w:p>
    <w:p>
      <w:pPr>
        <w:spacing w:after="0" w:line="78" w:lineRule="exact"/>
        <w:rPr>
          <w:sz w:val="20"/>
          <w:szCs w:val="20"/>
          <w:color w:val="auto"/>
        </w:rPr>
      </w:pPr>
    </w:p>
    <w:p>
      <w:pPr>
        <w:ind w:left="1160" w:right="200" w:hanging="1037"/>
        <w:spacing w:after="0" w:line="268" w:lineRule="auto"/>
        <w:tabs>
          <w:tab w:leader="none" w:pos="1140" w:val="left"/>
        </w:tabs>
        <w:rPr>
          <w:sz w:val="20"/>
          <w:szCs w:val="20"/>
          <w:color w:val="auto"/>
        </w:rPr>
      </w:pPr>
      <w:r>
        <w:rPr>
          <w:rFonts w:ascii="Arial" w:cs="Arial" w:eastAsia="Arial" w:hAnsi="Arial"/>
          <w:sz w:val="18"/>
          <w:szCs w:val="18"/>
          <w:color w:val="auto"/>
        </w:rPr>
        <w:t>10.26#</w:t>
      </w:r>
      <w:r>
        <w:rPr>
          <w:sz w:val="20"/>
          <w:szCs w:val="20"/>
          <w:color w:val="auto"/>
        </w:rPr>
        <w:tab/>
      </w:r>
      <w:r>
        <w:rPr>
          <w:rFonts w:ascii="Arial" w:cs="Arial" w:eastAsia="Arial" w:hAnsi="Arial"/>
          <w:sz w:val="18"/>
          <w:szCs w:val="18"/>
          <w:color w:val="auto"/>
        </w:rPr>
        <w:t>Employment Offer Letter executed on May 29, 2008 between the Company and Clyde Hosein, incorporated by reference to Exhibit 10.1 of the registrant’s Current Report on Form 8-K as filed on May 30, 2008</w:t>
      </w:r>
    </w:p>
    <w:p>
      <w:pPr>
        <w:spacing w:after="0" w:line="78" w:lineRule="exact"/>
        <w:rPr>
          <w:sz w:val="20"/>
          <w:szCs w:val="20"/>
          <w:color w:val="auto"/>
        </w:rPr>
      </w:pPr>
    </w:p>
    <w:p>
      <w:pPr>
        <w:ind w:left="1160" w:right="160" w:hanging="1037"/>
        <w:spacing w:after="0" w:line="268" w:lineRule="auto"/>
        <w:tabs>
          <w:tab w:leader="none" w:pos="1140" w:val="left"/>
        </w:tabs>
        <w:rPr>
          <w:sz w:val="20"/>
          <w:szCs w:val="20"/>
          <w:color w:val="auto"/>
        </w:rPr>
      </w:pPr>
      <w:r>
        <w:rPr>
          <w:rFonts w:ascii="Arial" w:cs="Arial" w:eastAsia="Arial" w:hAnsi="Arial"/>
          <w:sz w:val="18"/>
          <w:szCs w:val="18"/>
          <w:color w:val="auto"/>
        </w:rPr>
        <w:t>10.27#</w:t>
      </w:r>
      <w:r>
        <w:rPr>
          <w:sz w:val="20"/>
          <w:szCs w:val="20"/>
          <w:color w:val="auto"/>
        </w:rPr>
        <w:tab/>
      </w:r>
      <w:r>
        <w:rPr>
          <w:rFonts w:ascii="Arial" w:cs="Arial" w:eastAsia="Arial" w:hAnsi="Arial"/>
          <w:sz w:val="18"/>
          <w:szCs w:val="18"/>
          <w:color w:val="auto"/>
        </w:rPr>
        <w:t>Policy for Non-Business Use of Corporate Aircraft, incorporated by reference to Exhibit 10.1 of the registrant’s Current Report on Form 8-K as filed on May 23, 2008</w:t>
      </w:r>
    </w:p>
    <w:p>
      <w:pPr>
        <w:spacing w:after="0" w:line="78" w:lineRule="exact"/>
        <w:rPr>
          <w:sz w:val="20"/>
          <w:szCs w:val="20"/>
          <w:color w:val="auto"/>
        </w:rPr>
      </w:pPr>
    </w:p>
    <w:p>
      <w:pPr>
        <w:ind w:left="1160" w:right="20" w:hanging="1037"/>
        <w:spacing w:after="0" w:line="268" w:lineRule="auto"/>
        <w:tabs>
          <w:tab w:leader="none" w:pos="1140" w:val="left"/>
        </w:tabs>
        <w:rPr>
          <w:sz w:val="20"/>
          <w:szCs w:val="20"/>
          <w:color w:val="auto"/>
        </w:rPr>
      </w:pPr>
      <w:r>
        <w:rPr>
          <w:rFonts w:ascii="Arial" w:cs="Arial" w:eastAsia="Arial" w:hAnsi="Arial"/>
          <w:sz w:val="18"/>
          <w:szCs w:val="18"/>
          <w:color w:val="auto"/>
        </w:rPr>
        <w:t>10.28#</w:t>
      </w:r>
      <w:r>
        <w:rPr>
          <w:sz w:val="20"/>
          <w:szCs w:val="20"/>
          <w:color w:val="auto"/>
        </w:rPr>
        <w:tab/>
      </w:r>
      <w:r>
        <w:rPr>
          <w:rFonts w:ascii="Arial" w:cs="Arial" w:eastAsia="Arial" w:hAnsi="Arial"/>
          <w:sz w:val="18"/>
          <w:szCs w:val="18"/>
          <w:color w:val="auto"/>
        </w:rPr>
        <w:t>Description of vice president focal bonus plan, incorporated by reference to Exhibit 10.36 of the registrant’s Annual Report on Form 10-K for the year ended January 27, 2007 as filed on July 2, 2007</w:t>
      </w:r>
    </w:p>
    <w:p>
      <w:pPr>
        <w:spacing w:after="0" w:line="78" w:lineRule="exact"/>
        <w:rPr>
          <w:sz w:val="20"/>
          <w:szCs w:val="20"/>
          <w:color w:val="auto"/>
        </w:rPr>
      </w:pPr>
    </w:p>
    <w:p>
      <w:pPr>
        <w:ind w:left="1160" w:hanging="1037"/>
        <w:spacing w:after="0" w:line="332" w:lineRule="auto"/>
        <w:tabs>
          <w:tab w:leader="none" w:pos="1140" w:val="left"/>
        </w:tabs>
        <w:rPr>
          <w:sz w:val="20"/>
          <w:szCs w:val="20"/>
          <w:color w:val="auto"/>
        </w:rPr>
      </w:pPr>
      <w:r>
        <w:rPr>
          <w:rFonts w:ascii="Arial" w:cs="Arial" w:eastAsia="Arial" w:hAnsi="Arial"/>
          <w:sz w:val="18"/>
          <w:szCs w:val="18"/>
          <w:color w:val="auto"/>
        </w:rPr>
        <w:t>10.29#</w:t>
      </w:r>
      <w:r>
        <w:rPr>
          <w:sz w:val="20"/>
          <w:szCs w:val="20"/>
          <w:color w:val="auto"/>
        </w:rPr>
        <w:tab/>
      </w:r>
      <w:r>
        <w:rPr>
          <w:rFonts w:ascii="Arial" w:cs="Arial" w:eastAsia="Arial" w:hAnsi="Arial"/>
          <w:sz w:val="16"/>
          <w:szCs w:val="16"/>
          <w:color w:val="auto"/>
        </w:rPr>
        <w:t>Description of Indemnification Rights for certain current and former directors, officers and employees, incorporated by reference to Exhibit 10.37 of the registrant’s Quarterly Report on Form 10-Q for the period ended July 28, 2007 as filed on September 6, 2007</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127</w:t>
      </w:r>
    </w:p>
    <w:p>
      <w:pPr>
        <w:sectPr>
          <w:pgSz w:w="11900" w:h="16838" w:orient="portrait"/>
          <w:cols w:equalWidth="0" w:num="1">
            <w:col w:w="11400"/>
          </w:cols>
          <w:pgMar w:left="240" w:top="459" w:right="25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700" w:type="dxa"/>
            <w:vAlign w:val="bottom"/>
          </w:tcPr>
          <w:p>
            <w:pPr>
              <w:spacing w:after="0"/>
              <w:rPr>
                <w:sz w:val="14"/>
                <w:szCs w:val="14"/>
                <w:color w:val="auto"/>
              </w:rPr>
            </w:pPr>
          </w:p>
        </w:tc>
        <w:tc>
          <w:tcPr>
            <w:tcW w:w="9440" w:type="dxa"/>
            <w:vAlign w:val="bottom"/>
          </w:tcPr>
          <w:p>
            <w:pPr>
              <w:spacing w:after="0"/>
              <w:rPr>
                <w:sz w:val="14"/>
                <w:szCs w:val="14"/>
                <w:color w:val="auto"/>
              </w:rPr>
            </w:pPr>
          </w:p>
        </w:tc>
      </w:tr>
      <w:tr>
        <w:trPr>
          <w:trHeight w:val="161"/>
        </w:trPr>
        <w:tc>
          <w:tcPr>
            <w:tcW w:w="20" w:type="dxa"/>
            <w:vAlign w:val="bottom"/>
          </w:tcPr>
          <w:p>
            <w:pPr>
              <w:spacing w:after="0"/>
              <w:rPr>
                <w:sz w:val="14"/>
                <w:szCs w:val="14"/>
                <w:color w:val="auto"/>
              </w:rPr>
            </w:pPr>
          </w:p>
        </w:tc>
        <w:tc>
          <w:tcPr>
            <w:tcW w:w="1020" w:type="dxa"/>
            <w:vAlign w:val="bottom"/>
            <w:gridSpan w:val="2"/>
          </w:tcPr>
          <w:p>
            <w:pPr>
              <w:jc w:val="center"/>
              <w:ind w:right="580"/>
              <w:spacing w:after="0"/>
              <w:rPr>
                <w:sz w:val="20"/>
                <w:szCs w:val="20"/>
                <w:color w:val="auto"/>
              </w:rPr>
            </w:pPr>
            <w:r>
              <w:rPr>
                <w:rFonts w:ascii="Arial" w:cs="Arial" w:eastAsia="Arial" w:hAnsi="Arial"/>
                <w:sz w:val="14"/>
                <w:szCs w:val="14"/>
                <w:b w:val="1"/>
                <w:bCs w:val="1"/>
                <w:color w:val="auto"/>
                <w:w w:val="88"/>
              </w:rPr>
              <w:t>No.</w:t>
            </w:r>
          </w:p>
        </w:tc>
        <w:tc>
          <w:tcPr>
            <w:tcW w:w="1014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6"/>
              </w:rPr>
              <w:t>10.30#</w:t>
            </w:r>
          </w:p>
        </w:tc>
        <w:tc>
          <w:tcPr>
            <w:tcW w:w="58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Form of</w:t>
            </w:r>
          </w:p>
        </w:tc>
        <w:tc>
          <w:tcPr>
            <w:tcW w:w="9440" w:type="dxa"/>
            <w:vAlign w:val="bottom"/>
          </w:tcPr>
          <w:p>
            <w:pPr>
              <w:spacing w:after="0" w:line="201" w:lineRule="exact"/>
              <w:rPr>
                <w:sz w:val="20"/>
                <w:szCs w:val="20"/>
                <w:color w:val="auto"/>
              </w:rPr>
            </w:pPr>
            <w:r>
              <w:rPr>
                <w:rFonts w:ascii="Arial" w:cs="Arial" w:eastAsia="Arial" w:hAnsi="Arial"/>
                <w:sz w:val="18"/>
                <w:szCs w:val="18"/>
                <w:color w:val="auto"/>
                <w:w w:val="89"/>
              </w:rPr>
              <w:t>Indemnification Agreement with Directors and Executive Officers, incorporated by reference to Exhibit 10.1 of the registrant’s Current</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rPr>
              <w:t>Report on Form 8-K as filed on October 10,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92"/>
              </w:rPr>
              <w:t>10.31*</w:t>
            </w:r>
          </w:p>
        </w:tc>
        <w:tc>
          <w:tcPr>
            <w:tcW w:w="10140" w:type="dxa"/>
            <w:vAlign w:val="bottom"/>
            <w:gridSpan w:val="2"/>
          </w:tcPr>
          <w:p>
            <w:pPr>
              <w:spacing w:after="0"/>
              <w:rPr>
                <w:sz w:val="20"/>
                <w:szCs w:val="20"/>
                <w:color w:val="auto"/>
              </w:rPr>
            </w:pPr>
            <w:r>
              <w:rPr>
                <w:rFonts w:ascii="Arial" w:cs="Arial" w:eastAsia="Arial" w:hAnsi="Arial"/>
                <w:sz w:val="18"/>
                <w:szCs w:val="18"/>
                <w:color w:val="auto"/>
              </w:rPr>
              <w:t>Supply Agreement for the Fabrication and Purchase of Semiconductor Products dated June 13, 2002 by and between Marvell</w:t>
            </w: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w w:val="89"/>
              </w:rPr>
              <w:t>Semiconductor, Inc., Marvell Asia Pte Ltd. and Western Digital Technologies, Inc., incorporated by reference to Exhibit 10.16 of the registrant’s</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rPr>
              <w:t>Quarterly Report on Form 10-Q for the period ended August 3, 2002 as filed on September 17, 2002</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21.1</w:t>
            </w:r>
          </w:p>
        </w:tc>
        <w:tc>
          <w:tcPr>
            <w:tcW w:w="580" w:type="dxa"/>
            <w:vAlign w:val="bottom"/>
          </w:tcPr>
          <w:p>
            <w:pPr>
              <w:spacing w:after="0"/>
              <w:rPr>
                <w:sz w:val="24"/>
                <w:szCs w:val="24"/>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23.1</w:t>
            </w:r>
          </w:p>
        </w:tc>
        <w:tc>
          <w:tcPr>
            <w:tcW w:w="580" w:type="dxa"/>
            <w:vAlign w:val="bottom"/>
          </w:tcPr>
          <w:p>
            <w:pPr>
              <w:spacing w:after="0"/>
              <w:rPr>
                <w:sz w:val="24"/>
                <w:szCs w:val="24"/>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24.1</w:t>
            </w:r>
          </w:p>
        </w:tc>
        <w:tc>
          <w:tcPr>
            <w:tcW w:w="580" w:type="dxa"/>
            <w:vAlign w:val="bottom"/>
          </w:tcPr>
          <w:p>
            <w:pPr>
              <w:spacing w:after="0"/>
              <w:rPr>
                <w:sz w:val="24"/>
                <w:szCs w:val="24"/>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rPr>
              <w:t>Power of Attorney (see page 129 of this report)</w:t>
            </w:r>
          </w:p>
        </w:tc>
      </w:tr>
      <w:tr>
        <w:trPr>
          <w:trHeight w:val="318"/>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31.1</w:t>
            </w:r>
          </w:p>
        </w:tc>
        <w:tc>
          <w:tcPr>
            <w:tcW w:w="580" w:type="dxa"/>
            <w:vAlign w:val="bottom"/>
          </w:tcPr>
          <w:p>
            <w:pPr>
              <w:spacing w:after="0"/>
              <w:rPr>
                <w:sz w:val="24"/>
                <w:szCs w:val="24"/>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w w:val="90"/>
              </w:rPr>
              <w:t>Certification of Chief Executive Officer pursuant to 18 U.S.C. Section 1350, as adopted pursuant to Section 302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440" w:type="dxa"/>
            <w:vAlign w:val="bottom"/>
          </w:tcPr>
          <w:p>
            <w:pPr>
              <w:spacing w:after="0"/>
              <w:rPr>
                <w:sz w:val="19"/>
                <w:szCs w:val="19"/>
                <w:color w:val="auto"/>
              </w:rPr>
            </w:pPr>
          </w:p>
        </w:tc>
      </w:tr>
      <w:tr>
        <w:trPr>
          <w:trHeight w:val="318"/>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31.2</w:t>
            </w:r>
          </w:p>
        </w:tc>
        <w:tc>
          <w:tcPr>
            <w:tcW w:w="580" w:type="dxa"/>
            <w:vAlign w:val="bottom"/>
          </w:tcPr>
          <w:p>
            <w:pPr>
              <w:spacing w:after="0"/>
              <w:rPr>
                <w:sz w:val="24"/>
                <w:szCs w:val="24"/>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w w:val="90"/>
              </w:rPr>
              <w:t>Certification of Chief Financial Officer pursuant to 18 U.S.C. Section 1350, as adopted pursuant to Section 302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440" w:type="dxa"/>
            <w:vAlign w:val="bottom"/>
          </w:tcPr>
          <w:p>
            <w:pPr>
              <w:spacing w:after="0"/>
              <w:rPr>
                <w:sz w:val="19"/>
                <w:szCs w:val="19"/>
                <w:color w:val="auto"/>
              </w:rPr>
            </w:pPr>
          </w:p>
        </w:tc>
      </w:tr>
      <w:tr>
        <w:trPr>
          <w:trHeight w:val="318"/>
        </w:trPr>
        <w:tc>
          <w:tcPr>
            <w:tcW w:w="460" w:type="dxa"/>
            <w:vAlign w:val="bottom"/>
            <w:gridSpan w:val="2"/>
          </w:tcPr>
          <w:p>
            <w:pPr>
              <w:jc w:val="center"/>
              <w:spacing w:after="0"/>
              <w:rPr>
                <w:sz w:val="20"/>
                <w:szCs w:val="20"/>
                <w:color w:val="auto"/>
              </w:rPr>
            </w:pPr>
            <w:r>
              <w:rPr>
                <w:rFonts w:ascii="Arial" w:cs="Arial" w:eastAsia="Arial" w:hAnsi="Arial"/>
                <w:sz w:val="18"/>
                <w:szCs w:val="18"/>
                <w:color w:val="auto"/>
                <w:w w:val="87"/>
              </w:rPr>
              <w:t>32.1~</w:t>
            </w:r>
          </w:p>
        </w:tc>
        <w:tc>
          <w:tcPr>
            <w:tcW w:w="580" w:type="dxa"/>
            <w:vAlign w:val="bottom"/>
          </w:tcPr>
          <w:p>
            <w:pPr>
              <w:spacing w:after="0"/>
              <w:rPr>
                <w:sz w:val="24"/>
                <w:szCs w:val="24"/>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w w:val="90"/>
              </w:rPr>
              <w:t>Certification of Chief Executive Officer pursuant to 18 U.S.C. Section 1350, as adopted pursuant to Section 906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440" w:type="dxa"/>
            <w:vAlign w:val="bottom"/>
          </w:tcPr>
          <w:p>
            <w:pPr>
              <w:spacing w:after="0"/>
              <w:rPr>
                <w:sz w:val="19"/>
                <w:szCs w:val="19"/>
                <w:color w:val="auto"/>
              </w:rPr>
            </w:pPr>
          </w:p>
        </w:tc>
      </w:tr>
      <w:tr>
        <w:trPr>
          <w:trHeight w:val="318"/>
        </w:trPr>
        <w:tc>
          <w:tcPr>
            <w:tcW w:w="460" w:type="dxa"/>
            <w:vAlign w:val="bottom"/>
            <w:gridSpan w:val="2"/>
          </w:tcPr>
          <w:p>
            <w:pPr>
              <w:jc w:val="center"/>
              <w:spacing w:after="0"/>
              <w:rPr>
                <w:sz w:val="20"/>
                <w:szCs w:val="20"/>
                <w:color w:val="auto"/>
              </w:rPr>
            </w:pPr>
            <w:r>
              <w:rPr>
                <w:rFonts w:ascii="Arial" w:cs="Arial" w:eastAsia="Arial" w:hAnsi="Arial"/>
                <w:sz w:val="18"/>
                <w:szCs w:val="18"/>
                <w:color w:val="auto"/>
                <w:w w:val="87"/>
              </w:rPr>
              <w:t>32.2~</w:t>
            </w:r>
          </w:p>
        </w:tc>
        <w:tc>
          <w:tcPr>
            <w:tcW w:w="580" w:type="dxa"/>
            <w:vAlign w:val="bottom"/>
          </w:tcPr>
          <w:p>
            <w:pPr>
              <w:spacing w:after="0"/>
              <w:rPr>
                <w:sz w:val="24"/>
                <w:szCs w:val="24"/>
                <w:color w:val="auto"/>
              </w:rPr>
            </w:pPr>
          </w:p>
        </w:tc>
        <w:tc>
          <w:tcPr>
            <w:tcW w:w="10140" w:type="dxa"/>
            <w:vAlign w:val="bottom"/>
            <w:gridSpan w:val="2"/>
          </w:tcPr>
          <w:p>
            <w:pPr>
              <w:spacing w:after="0"/>
              <w:rPr>
                <w:sz w:val="20"/>
                <w:szCs w:val="20"/>
                <w:color w:val="auto"/>
              </w:rPr>
            </w:pPr>
            <w:r>
              <w:rPr>
                <w:rFonts w:ascii="Arial" w:cs="Arial" w:eastAsia="Arial" w:hAnsi="Arial"/>
                <w:sz w:val="18"/>
                <w:szCs w:val="18"/>
                <w:color w:val="auto"/>
                <w:w w:val="90"/>
              </w:rPr>
              <w:t>Certification of Chief Financial Officer pursuant to 18 U.S.C. Section 1350, as adopted pursuant to Section 906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44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right="240" w:firstLine="8"/>
        <w:spacing w:after="0" w:line="281" w:lineRule="auto"/>
        <w:tabs>
          <w:tab w:leader="none" w:pos="446" w:val="left"/>
        </w:tabs>
        <w:numPr>
          <w:ilvl w:val="0"/>
          <w:numId w:val="28"/>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 ~ In accordance with Item 601(b)(32)(ii) of Regulation S-K and SEC Release No. 33-8238 and 34-47986, Final Rule: Management’s Reports on Internal</w:t>
      </w:r>
    </w:p>
    <w:p>
      <w:pPr>
        <w:spacing w:after="0" w:line="1" w:lineRule="exact"/>
        <w:rPr>
          <w:rFonts w:ascii="Arial" w:cs="Arial" w:eastAsia="Arial" w:hAnsi="Arial"/>
          <w:sz w:val="16"/>
          <w:szCs w:val="16"/>
          <w:color w:val="auto"/>
        </w:rPr>
      </w:pPr>
    </w:p>
    <w:p>
      <w:pPr>
        <w:ind w:left="460" w:right="40"/>
        <w:spacing w:after="0" w:line="254" w:lineRule="auto"/>
        <w:rPr>
          <w:rFonts w:ascii="Arial" w:cs="Arial" w:eastAsia="Arial" w:hAnsi="Arial"/>
          <w:sz w:val="16"/>
          <w:szCs w:val="16"/>
          <w:color w:val="auto"/>
        </w:rPr>
      </w:pPr>
      <w:r>
        <w:rPr>
          <w:rFonts w:ascii="Arial" w:cs="Arial" w:eastAsia="Arial" w:hAnsi="Arial"/>
          <w:sz w:val="18"/>
          <w:szCs w:val="18"/>
          <w:color w:val="auto"/>
        </w:rPr>
        <w:t>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65" w:lineRule="exact"/>
        <w:rPr>
          <w:sz w:val="20"/>
          <w:szCs w:val="20"/>
          <w:color w:val="auto"/>
        </w:rPr>
      </w:pPr>
    </w:p>
    <w:p>
      <w:pPr>
        <w:ind w:left="460" w:right="1440" w:hanging="6"/>
        <w:spacing w:after="0" w:line="362" w:lineRule="auto"/>
        <w:tabs>
          <w:tab w:leader="none" w:pos="895" w:val="left"/>
        </w:tabs>
        <w:numPr>
          <w:ilvl w:val="0"/>
          <w:numId w:val="29"/>
        </w:numPr>
        <w:rPr>
          <w:rFonts w:ascii="Arial" w:cs="Arial" w:eastAsia="Arial" w:hAnsi="Arial"/>
          <w:sz w:val="18"/>
          <w:szCs w:val="18"/>
          <w:color w:val="auto"/>
        </w:rPr>
      </w:pPr>
      <w:r>
        <w:rPr>
          <w:rFonts w:ascii="Arial" w:cs="Arial" w:eastAsia="Arial" w:hAnsi="Arial"/>
          <w:sz w:val="18"/>
          <w:szCs w:val="18"/>
          <w:i w:val="1"/>
          <w:iCs w:val="1"/>
          <w:color w:val="auto"/>
        </w:rPr>
        <w:t xml:space="preserve">Financial Statements Required by Regulation S-X which are excluded from the annual report to Shareholders by Rule 14a-3(b). </w:t>
      </w:r>
      <w:r>
        <w:rPr>
          <w:rFonts w:ascii="Arial" w:cs="Arial" w:eastAsia="Arial" w:hAnsi="Arial"/>
          <w:sz w:val="18"/>
          <w:szCs w:val="18"/>
          <w:color w:val="auto"/>
        </w:rPr>
        <w:t>Not applicable.</w:t>
      </w:r>
    </w:p>
    <w:p>
      <w:pPr>
        <w:spacing w:after="0" w:line="3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128</w:t>
      </w:r>
    </w:p>
    <w:p>
      <w:pPr>
        <w:sectPr>
          <w:pgSz w:w="11900" w:h="16838" w:orient="portrait"/>
          <w:cols w:equalWidth="0" w:num="1">
            <w:col w:w="11300"/>
          </w:cols>
          <w:pgMar w:left="240" w:top="459" w:right="359"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6240" w:val="left"/>
          <w:tab w:leader="none" w:pos="7900" w:val="left"/>
          <w:tab w:leader="none" w:pos="8240" w:val="left"/>
        </w:tabs>
        <w:rPr>
          <w:sz w:val="20"/>
          <w:szCs w:val="20"/>
          <w:color w:val="auto"/>
        </w:rPr>
      </w:pPr>
      <w:r>
        <w:rPr>
          <w:rFonts w:ascii="Arial" w:cs="Arial" w:eastAsia="Arial" w:hAnsi="Arial"/>
          <w:sz w:val="18"/>
          <w:szCs w:val="18"/>
          <w:color w:val="auto"/>
        </w:rPr>
        <w:t>Dated: March 31, 2009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10795</wp:posOffset>
            </wp:positionV>
            <wp:extent cx="311277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jc w:val="center"/>
        <w:ind w:left="662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620"/>
        <w:spacing w:after="0"/>
        <w:rPr>
          <w:sz w:val="20"/>
          <w:szCs w:val="20"/>
          <w:color w:val="auto"/>
        </w:rPr>
      </w:pPr>
      <w:r>
        <w:rPr>
          <w:rFonts w:ascii="Arial" w:cs="Arial" w:eastAsia="Arial" w:hAnsi="Arial"/>
          <w:sz w:val="14"/>
          <w:szCs w:val="14"/>
          <w:b w:val="1"/>
          <w:bCs w:val="1"/>
          <w:i w:val="1"/>
          <w:iCs w:val="1"/>
          <w:color w:val="auto"/>
        </w:rPr>
        <w:t>President and Chief Executive Officer</w:t>
      </w:r>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Clyde R. Hosein, and each of them individually, as his attorney-in-fact, each with full power of substitution, for him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80" w:type="dxa"/>
            <w:vAlign w:val="bottom"/>
          </w:tcPr>
          <w:p>
            <w:pPr>
              <w:jc w:val="center"/>
              <w:spacing w:after="0"/>
              <w:rPr>
                <w:sz w:val="20"/>
                <w:szCs w:val="20"/>
                <w:color w:val="auto"/>
              </w:rPr>
            </w:pPr>
            <w:r>
              <w:rPr>
                <w:rFonts w:ascii="Arial" w:cs="Arial" w:eastAsia="Arial" w:hAnsi="Arial"/>
                <w:sz w:val="14"/>
                <w:szCs w:val="14"/>
                <w:b w:val="1"/>
                <w:bCs w:val="1"/>
                <w:color w:val="auto"/>
                <w:w w:val="88"/>
              </w:rPr>
              <w:t>Name and Signature</w:t>
            </w:r>
          </w:p>
        </w:tc>
        <w:tc>
          <w:tcPr>
            <w:tcW w:w="188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2400" w:type="dxa"/>
            <w:vAlign w:val="bottom"/>
            <w:gridSpan w:val="2"/>
          </w:tcPr>
          <w:p>
            <w:pPr>
              <w:jc w:val="center"/>
              <w:ind w:right="2140"/>
              <w:spacing w:after="0"/>
              <w:rPr>
                <w:sz w:val="20"/>
                <w:szCs w:val="20"/>
                <w:color w:val="auto"/>
              </w:rPr>
            </w:pPr>
            <w:r>
              <w:rPr>
                <w:rFonts w:ascii="Arial" w:cs="Arial" w:eastAsia="Arial" w:hAnsi="Arial"/>
                <w:sz w:val="14"/>
                <w:szCs w:val="14"/>
                <w:b w:val="1"/>
                <w:bCs w:val="1"/>
                <w:color w:val="auto"/>
                <w:w w:val="90"/>
              </w:rPr>
              <w:t>Title</w:t>
            </w:r>
          </w:p>
        </w:tc>
        <w:tc>
          <w:tcPr>
            <w:tcW w:w="760" w:type="dxa"/>
            <w:vAlign w:val="bottom"/>
          </w:tcPr>
          <w:p>
            <w:pPr>
              <w:spacing w:after="0"/>
              <w:rPr>
                <w:sz w:val="14"/>
                <w:szCs w:val="14"/>
                <w:color w:val="auto"/>
              </w:rPr>
            </w:pPr>
          </w:p>
        </w:tc>
        <w:tc>
          <w:tcPr>
            <w:tcW w:w="72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Date</w:t>
            </w:r>
          </w:p>
        </w:tc>
      </w:tr>
      <w:tr>
        <w:trPr>
          <w:trHeight w:val="20"/>
        </w:trPr>
        <w:tc>
          <w:tcPr>
            <w:tcW w:w="17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r>
      <w:tr>
        <w:trPr>
          <w:trHeight w:val="424"/>
        </w:trPr>
        <w:tc>
          <w:tcPr>
            <w:tcW w:w="1760" w:type="dxa"/>
            <w:vAlign w:val="bottom"/>
            <w:tcBorders>
              <w:bottom w:val="single" w:sz="8" w:color="auto"/>
            </w:tcBorders>
          </w:tcPr>
          <w:p>
            <w:pPr>
              <w:ind w:left="1580"/>
              <w:spacing w:after="0"/>
              <w:rPr>
                <w:sz w:val="20"/>
                <w:szCs w:val="20"/>
                <w:color w:val="auto"/>
              </w:rPr>
            </w:pPr>
            <w:r>
              <w:rPr>
                <w:rFonts w:ascii="Arial" w:cs="Arial" w:eastAsia="Arial" w:hAnsi="Arial"/>
                <w:sz w:val="18"/>
                <w:szCs w:val="18"/>
                <w:color w:val="auto"/>
                <w:w w:val="83"/>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S</w:t>
            </w:r>
            <w:r>
              <w:rPr>
                <w:rFonts w:ascii="Arial" w:cs="Arial" w:eastAsia="Arial" w:hAnsi="Arial"/>
                <w:sz w:val="14"/>
                <w:szCs w:val="14"/>
                <w:color w:val="auto"/>
                <w:w w:val="96"/>
              </w:rPr>
              <w:t>EHAT</w:t>
            </w:r>
            <w:r>
              <w:rPr>
                <w:rFonts w:ascii="Arial" w:cs="Arial" w:eastAsia="Arial" w:hAnsi="Arial"/>
                <w:sz w:val="18"/>
                <w:szCs w:val="18"/>
                <w:color w:val="auto"/>
                <w:w w:val="96"/>
              </w:rPr>
              <w:t xml:space="preserve"> S</w:t>
            </w:r>
            <w:r>
              <w:rPr>
                <w:rFonts w:ascii="Arial" w:cs="Arial" w:eastAsia="Arial" w:hAnsi="Arial"/>
                <w:sz w:val="14"/>
                <w:szCs w:val="14"/>
                <w:color w:val="auto"/>
                <w:w w:val="96"/>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8"/>
              </w:rPr>
              <w:t>Chairman of the Board, President and Chief Executive</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31, 2009</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8"/>
              </w:rPr>
              <w:t>Dr. Sehat Sutardja</w:t>
            </w:r>
          </w:p>
        </w:tc>
        <w:tc>
          <w:tcPr>
            <w:tcW w:w="4440" w:type="dxa"/>
            <w:vAlign w:val="bottom"/>
            <w:gridSpan w:val="3"/>
          </w:tcPr>
          <w:p>
            <w:pPr>
              <w:jc w:val="center"/>
              <w:ind w:right="100"/>
              <w:spacing w:after="0" w:line="202" w:lineRule="exact"/>
              <w:rPr>
                <w:sz w:val="20"/>
                <w:szCs w:val="20"/>
                <w:color w:val="auto"/>
              </w:rPr>
            </w:pPr>
            <w:r>
              <w:rPr>
                <w:rFonts w:ascii="Arial" w:cs="Arial" w:eastAsia="Arial" w:hAnsi="Arial"/>
                <w:sz w:val="18"/>
                <w:szCs w:val="18"/>
                <w:color w:val="auto"/>
                <w:w w:val="92"/>
              </w:rPr>
              <w:t>Officer (Principal Executive Officer)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760" w:type="dxa"/>
            <w:vAlign w:val="bottom"/>
            <w:tcBorders>
              <w:bottom w:val="single" w:sz="8" w:color="auto"/>
            </w:tcBorders>
          </w:tcPr>
          <w:p>
            <w:pPr>
              <w:ind w:left="1560"/>
              <w:spacing w:after="0"/>
              <w:rPr>
                <w:sz w:val="20"/>
                <w:szCs w:val="20"/>
                <w:color w:val="auto"/>
              </w:rPr>
            </w:pPr>
            <w:r>
              <w:rPr>
                <w:rFonts w:ascii="Arial" w:cs="Arial" w:eastAsia="Arial" w:hAnsi="Arial"/>
                <w:sz w:val="18"/>
                <w:szCs w:val="18"/>
                <w:color w:val="auto"/>
                <w:w w:val="94"/>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C</w:t>
            </w:r>
            <w:r>
              <w:rPr>
                <w:rFonts w:ascii="Arial" w:cs="Arial" w:eastAsia="Arial" w:hAnsi="Arial"/>
                <w:sz w:val="14"/>
                <w:szCs w:val="14"/>
                <w:color w:val="auto"/>
                <w:w w:val="96"/>
              </w:rPr>
              <w:t>LYDE</w:t>
            </w:r>
            <w:r>
              <w:rPr>
                <w:rFonts w:ascii="Arial" w:cs="Arial" w:eastAsia="Arial" w:hAnsi="Arial"/>
                <w:sz w:val="18"/>
                <w:szCs w:val="18"/>
                <w:color w:val="auto"/>
                <w:w w:val="96"/>
              </w:rPr>
              <w:t xml:space="preserve"> R. H</w:t>
            </w:r>
            <w:r>
              <w:rPr>
                <w:rFonts w:ascii="Arial" w:cs="Arial" w:eastAsia="Arial" w:hAnsi="Arial"/>
                <w:sz w:val="14"/>
                <w:szCs w:val="14"/>
                <w:color w:val="auto"/>
                <w:w w:val="96"/>
              </w:rPr>
              <w:t>OSEIN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Chief Financial Officer, Interim Chief Operating</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31, 2009</w:t>
            </w:r>
          </w:p>
        </w:tc>
      </w:tr>
      <w:tr>
        <w:trPr>
          <w:trHeight w:val="190"/>
        </w:trPr>
        <w:tc>
          <w:tcPr>
            <w:tcW w:w="17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6"/>
              </w:rPr>
              <w:t>Clyde R. Hosein</w:t>
            </w:r>
          </w:p>
        </w:tc>
        <w:tc>
          <w:tcPr>
            <w:tcW w:w="4440" w:type="dxa"/>
            <w:vAlign w:val="bottom"/>
            <w:gridSpan w:val="3"/>
          </w:tcPr>
          <w:p>
            <w:pPr>
              <w:jc w:val="center"/>
              <w:ind w:right="120"/>
              <w:spacing w:after="0" w:line="190" w:lineRule="exact"/>
              <w:rPr>
                <w:sz w:val="20"/>
                <w:szCs w:val="20"/>
                <w:color w:val="auto"/>
              </w:rPr>
            </w:pPr>
            <w:r>
              <w:rPr>
                <w:rFonts w:ascii="Arial" w:cs="Arial" w:eastAsia="Arial" w:hAnsi="Arial"/>
                <w:sz w:val="18"/>
                <w:szCs w:val="18"/>
                <w:color w:val="auto"/>
                <w:w w:val="89"/>
              </w:rPr>
              <w:t>Officer and Secretary (Principal Financial and</w:t>
            </w:r>
          </w:p>
        </w:tc>
        <w:tc>
          <w:tcPr>
            <w:tcW w:w="7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20" w:type="dxa"/>
            <w:vAlign w:val="bottom"/>
          </w:tcPr>
          <w:p>
            <w:pPr>
              <w:spacing w:after="0"/>
              <w:rPr>
                <w:sz w:val="16"/>
                <w:szCs w:val="16"/>
                <w:color w:val="auto"/>
              </w:rPr>
            </w:pPr>
          </w:p>
        </w:tc>
      </w:tr>
      <w:tr>
        <w:trPr>
          <w:trHeight w:val="222"/>
        </w:trPr>
        <w:tc>
          <w:tcPr>
            <w:tcW w:w="17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1880" w:type="dxa"/>
            <w:vAlign w:val="bottom"/>
          </w:tcPr>
          <w:p>
            <w:pPr>
              <w:spacing w:after="0"/>
              <w:rPr>
                <w:sz w:val="19"/>
                <w:szCs w:val="19"/>
                <w:color w:val="auto"/>
              </w:rPr>
            </w:pP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2"/>
              </w:rPr>
              <w:t>Accounting Officer)</w:t>
            </w:r>
          </w:p>
        </w:tc>
        <w:tc>
          <w:tcPr>
            <w:tcW w:w="7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20" w:type="dxa"/>
            <w:vAlign w:val="bottom"/>
          </w:tcPr>
          <w:p>
            <w:pPr>
              <w:spacing w:after="0"/>
              <w:rPr>
                <w:sz w:val="19"/>
                <w:szCs w:val="19"/>
                <w:color w:val="auto"/>
              </w:rPr>
            </w:pPr>
          </w:p>
        </w:tc>
      </w:tr>
      <w:tr>
        <w:trPr>
          <w:trHeight w:val="432"/>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8"/>
              </w:rPr>
              <w:t>P</w:t>
            </w:r>
            <w:r>
              <w:rPr>
                <w:rFonts w:ascii="Arial" w:cs="Arial" w:eastAsia="Arial" w:hAnsi="Arial"/>
                <w:sz w:val="14"/>
                <w:szCs w:val="14"/>
                <w:color w:val="auto"/>
                <w:w w:val="98"/>
              </w:rPr>
              <w:t>ANTAS</w:t>
            </w:r>
            <w:r>
              <w:rPr>
                <w:rFonts w:ascii="Arial" w:cs="Arial" w:eastAsia="Arial" w:hAnsi="Arial"/>
                <w:sz w:val="18"/>
                <w:szCs w:val="18"/>
                <w:color w:val="auto"/>
                <w:w w:val="98"/>
              </w:rPr>
              <w:t xml:space="preserve"> S</w:t>
            </w:r>
            <w:r>
              <w:rPr>
                <w:rFonts w:ascii="Arial" w:cs="Arial" w:eastAsia="Arial" w:hAnsi="Arial"/>
                <w:sz w:val="14"/>
                <w:szCs w:val="14"/>
                <w:color w:val="auto"/>
                <w:w w:val="98"/>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9"/>
              </w:rPr>
              <w:t>Vice President, Chief Technology Officer, Chief</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2009</w:t>
            </w:r>
          </w:p>
        </w:tc>
      </w:tr>
      <w:tr>
        <w:trPr>
          <w:trHeight w:val="202"/>
        </w:trPr>
        <w:tc>
          <w:tcPr>
            <w:tcW w:w="1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9"/>
              </w:rPr>
              <w:t>Dr. Pantas Sutardja</w:t>
            </w:r>
          </w:p>
        </w:tc>
        <w:tc>
          <w:tcPr>
            <w:tcW w:w="4440" w:type="dxa"/>
            <w:vAlign w:val="bottom"/>
            <w:gridSpan w:val="3"/>
          </w:tcPr>
          <w:p>
            <w:pPr>
              <w:jc w:val="center"/>
              <w:ind w:right="120"/>
              <w:spacing w:after="0" w:line="202" w:lineRule="exact"/>
              <w:rPr>
                <w:sz w:val="20"/>
                <w:szCs w:val="20"/>
                <w:color w:val="auto"/>
              </w:rPr>
            </w:pPr>
            <w:r>
              <w:rPr>
                <w:rFonts w:ascii="Arial" w:cs="Arial" w:eastAsia="Arial" w:hAnsi="Arial"/>
                <w:sz w:val="18"/>
                <w:szCs w:val="18"/>
                <w:color w:val="auto"/>
                <w:w w:val="88"/>
              </w:rPr>
              <w:t>Research and Development Officer and Director</w:t>
            </w:r>
          </w:p>
        </w:tc>
        <w:tc>
          <w:tcPr>
            <w:tcW w:w="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7"/>
        </w:trPr>
        <w:tc>
          <w:tcPr>
            <w:tcW w:w="1760" w:type="dxa"/>
            <w:vAlign w:val="bottom"/>
            <w:tcBorders>
              <w:bottom w:val="single" w:sz="8" w:color="auto"/>
            </w:tcBorders>
          </w:tcPr>
          <w:p>
            <w:pPr>
              <w:ind w:left="1580"/>
              <w:spacing w:after="0"/>
              <w:rPr>
                <w:sz w:val="20"/>
                <w:szCs w:val="20"/>
                <w:color w:val="auto"/>
              </w:rPr>
            </w:pPr>
            <w:r>
              <w:rPr>
                <w:rFonts w:ascii="Arial" w:cs="Arial" w:eastAsia="Arial" w:hAnsi="Arial"/>
                <w:sz w:val="18"/>
                <w:szCs w:val="18"/>
                <w:color w:val="auto"/>
                <w:w w:val="83"/>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8"/>
              </w:rPr>
              <w:t>H</w:t>
            </w:r>
            <w:r>
              <w:rPr>
                <w:rFonts w:ascii="Arial" w:cs="Arial" w:eastAsia="Arial" w:hAnsi="Arial"/>
                <w:sz w:val="14"/>
                <w:szCs w:val="14"/>
                <w:color w:val="auto"/>
                <w:w w:val="98"/>
              </w:rPr>
              <w:t>ERBERT</w:t>
            </w:r>
            <w:r>
              <w:rPr>
                <w:rFonts w:ascii="Arial" w:cs="Arial" w:eastAsia="Arial" w:hAnsi="Arial"/>
                <w:sz w:val="18"/>
                <w:szCs w:val="18"/>
                <w:color w:val="auto"/>
                <w:w w:val="98"/>
              </w:rPr>
              <w:t xml:space="preserve"> C</w:t>
            </w:r>
            <w:r>
              <w:rPr>
                <w:rFonts w:ascii="Arial" w:cs="Arial" w:eastAsia="Arial" w:hAnsi="Arial"/>
                <w:sz w:val="14"/>
                <w:szCs w:val="14"/>
                <w:color w:val="auto"/>
                <w:w w:val="98"/>
              </w:rPr>
              <w:t>HANG</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2009</w:t>
            </w:r>
          </w:p>
        </w:tc>
      </w:tr>
      <w:tr>
        <w:trPr>
          <w:trHeight w:val="169"/>
        </w:trPr>
        <w:tc>
          <w:tcPr>
            <w:tcW w:w="1760" w:type="dxa"/>
            <w:vAlign w:val="bottom"/>
          </w:tcPr>
          <w:p>
            <w:pPr>
              <w:spacing w:after="0"/>
              <w:rPr>
                <w:sz w:val="14"/>
                <w:szCs w:val="14"/>
                <w:color w:val="auto"/>
              </w:rPr>
            </w:pPr>
          </w:p>
        </w:tc>
        <w:tc>
          <w:tcPr>
            <w:tcW w:w="3280" w:type="dxa"/>
            <w:vAlign w:val="bottom"/>
            <w:gridSpan w:val="3"/>
          </w:tcPr>
          <w:p>
            <w:pPr>
              <w:spacing w:after="0"/>
              <w:rPr>
                <w:sz w:val="20"/>
                <w:szCs w:val="20"/>
                <w:color w:val="auto"/>
              </w:rPr>
            </w:pPr>
            <w:r>
              <w:rPr>
                <w:rFonts w:ascii="Arial" w:cs="Arial" w:eastAsia="Arial" w:hAnsi="Arial"/>
                <w:sz w:val="14"/>
                <w:szCs w:val="14"/>
                <w:b w:val="1"/>
                <w:bCs w:val="1"/>
                <w:color w:val="auto"/>
              </w:rPr>
              <w:t>Kuo Wei (Herbert) Chang</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20"/>
              <w:spacing w:after="0"/>
              <w:rPr>
                <w:sz w:val="20"/>
                <w:szCs w:val="20"/>
                <w:color w:val="auto"/>
              </w:rPr>
            </w:pPr>
            <w:r>
              <w:rPr>
                <w:rFonts w:ascii="Arial" w:cs="Arial" w:eastAsia="Arial" w:hAnsi="Arial"/>
                <w:sz w:val="18"/>
                <w:szCs w:val="18"/>
                <w:color w:val="auto"/>
                <w:w w:val="97"/>
              </w:rPr>
              <w:t>J</w:t>
            </w:r>
            <w:r>
              <w:rPr>
                <w:rFonts w:ascii="Arial" w:cs="Arial" w:eastAsia="Arial" w:hAnsi="Arial"/>
                <w:sz w:val="14"/>
                <w:szCs w:val="14"/>
                <w:color w:val="auto"/>
                <w:w w:val="97"/>
              </w:rPr>
              <w:t>UERGEN</w:t>
            </w:r>
            <w:r>
              <w:rPr>
                <w:rFonts w:ascii="Arial" w:cs="Arial" w:eastAsia="Arial" w:hAnsi="Arial"/>
                <w:sz w:val="18"/>
                <w:szCs w:val="18"/>
                <w:color w:val="auto"/>
                <w:w w:val="97"/>
              </w:rPr>
              <w:t xml:space="preserve"> G</w:t>
            </w:r>
            <w:r>
              <w:rPr>
                <w:rFonts w:ascii="Arial" w:cs="Arial" w:eastAsia="Arial" w:hAnsi="Arial"/>
                <w:sz w:val="14"/>
                <w:szCs w:val="14"/>
                <w:color w:val="auto"/>
                <w:w w:val="97"/>
              </w:rPr>
              <w:t>ROMER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2009</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7"/>
              </w:rPr>
              <w:t>Dr. Juergen Gromer</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44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9"/>
              </w:rPr>
              <w:t>J</w:t>
            </w:r>
            <w:r>
              <w:rPr>
                <w:rFonts w:ascii="Arial" w:cs="Arial" w:eastAsia="Arial" w:hAnsi="Arial"/>
                <w:sz w:val="14"/>
                <w:szCs w:val="14"/>
                <w:color w:val="auto"/>
                <w:w w:val="99"/>
              </w:rPr>
              <w:t>OHN</w:t>
            </w:r>
            <w:r>
              <w:rPr>
                <w:rFonts w:ascii="Arial" w:cs="Arial" w:eastAsia="Arial" w:hAnsi="Arial"/>
                <w:sz w:val="18"/>
                <w:szCs w:val="18"/>
                <w:color w:val="auto"/>
                <w:w w:val="99"/>
              </w:rPr>
              <w:t xml:space="preserve"> G. K</w:t>
            </w:r>
            <w:r>
              <w:rPr>
                <w:rFonts w:ascii="Arial" w:cs="Arial" w:eastAsia="Arial" w:hAnsi="Arial"/>
                <w:sz w:val="14"/>
                <w:szCs w:val="14"/>
                <w:color w:val="auto"/>
                <w:w w:val="99"/>
              </w:rPr>
              <w:t>ASSAKIAN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29, 2009</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86"/>
              </w:rPr>
              <w:t>John G. Kassakian</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20"/>
              <w:spacing w:after="0"/>
              <w:rPr>
                <w:sz w:val="20"/>
                <w:szCs w:val="20"/>
                <w:color w:val="auto"/>
              </w:rPr>
            </w:pPr>
            <w:r>
              <w:rPr>
                <w:rFonts w:ascii="Arial" w:cs="Arial" w:eastAsia="Arial" w:hAnsi="Arial"/>
                <w:sz w:val="18"/>
                <w:szCs w:val="18"/>
                <w:color w:val="auto"/>
                <w:w w:val="98"/>
              </w:rPr>
              <w:t>A</w:t>
            </w:r>
            <w:r>
              <w:rPr>
                <w:rFonts w:ascii="Arial" w:cs="Arial" w:eastAsia="Arial" w:hAnsi="Arial"/>
                <w:sz w:val="14"/>
                <w:szCs w:val="14"/>
                <w:color w:val="auto"/>
                <w:w w:val="98"/>
              </w:rPr>
              <w:t>RTURO</w:t>
            </w:r>
            <w:r>
              <w:rPr>
                <w:rFonts w:ascii="Arial" w:cs="Arial" w:eastAsia="Arial" w:hAnsi="Arial"/>
                <w:sz w:val="18"/>
                <w:szCs w:val="18"/>
                <w:color w:val="auto"/>
                <w:w w:val="98"/>
              </w:rPr>
              <w:t xml:space="preserve"> K</w:t>
            </w:r>
            <w:r>
              <w:rPr>
                <w:rFonts w:ascii="Arial" w:cs="Arial" w:eastAsia="Arial" w:hAnsi="Arial"/>
                <w:sz w:val="14"/>
                <w:szCs w:val="14"/>
                <w:color w:val="auto"/>
                <w:w w:val="98"/>
              </w:rPr>
              <w:t>RUEGER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80" w:type="dxa"/>
            <w:vAlign w:val="bottom"/>
            <w:gridSpan w:val="3"/>
          </w:tcPr>
          <w:p>
            <w:pPr>
              <w:jc w:val="center"/>
              <w:ind w:left="272"/>
              <w:spacing w:after="0"/>
              <w:rPr>
                <w:sz w:val="20"/>
                <w:szCs w:val="20"/>
                <w:color w:val="auto"/>
              </w:rPr>
            </w:pPr>
            <w:r>
              <w:rPr>
                <w:rFonts w:ascii="Arial" w:cs="Arial" w:eastAsia="Arial" w:hAnsi="Arial"/>
                <w:sz w:val="18"/>
                <w:szCs w:val="18"/>
                <w:color w:val="auto"/>
                <w:w w:val="89"/>
              </w:rPr>
              <w:t>March 30, 2009</w:t>
            </w:r>
          </w:p>
        </w:tc>
      </w:tr>
      <w:tr>
        <w:trPr>
          <w:trHeight w:val="169"/>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4"/>
                <w:szCs w:val="14"/>
                <w:b w:val="1"/>
                <w:bCs w:val="1"/>
                <w:color w:val="auto"/>
                <w:w w:val="91"/>
              </w:rPr>
              <w:t>Arturo Krueger</w:t>
            </w:r>
          </w:p>
        </w:tc>
        <w:tc>
          <w:tcPr>
            <w:tcW w:w="2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350"/>
        </w:trPr>
        <w:tc>
          <w:tcPr>
            <w:tcW w:w="1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2040" w:type="dxa"/>
            <w:vAlign w:val="bottom"/>
          </w:tcPr>
          <w:p>
            <w:pPr>
              <w:jc w:val="right"/>
              <w:ind w:right="1152"/>
              <w:spacing w:after="0"/>
              <w:rPr>
                <w:sz w:val="20"/>
                <w:szCs w:val="20"/>
                <w:color w:val="auto"/>
              </w:rPr>
            </w:pPr>
            <w:r>
              <w:rPr>
                <w:rFonts w:ascii="Arial" w:cs="Arial" w:eastAsia="Arial" w:hAnsi="Arial"/>
                <w:sz w:val="18"/>
                <w:szCs w:val="18"/>
                <w:color w:val="auto"/>
              </w:rPr>
              <w:t>129</w:t>
            </w:r>
          </w:p>
        </w:tc>
        <w:tc>
          <w:tcPr>
            <w:tcW w:w="26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00" w:type="dxa"/>
        <w:tblCellMar>
          <w:top w:w="0" w:type="dxa"/>
          <w:left w:w="0" w:type="dxa"/>
          <w:bottom w:w="0" w:type="dxa"/>
          <w:right w:w="0" w:type="dxa"/>
        </w:tblCellMar>
      </w:tblPr>
      <w:tr>
        <w:trPr>
          <w:trHeight w:val="228"/>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280" w:type="dxa"/>
            <w:vAlign w:val="bottom"/>
          </w:tcPr>
          <w:p>
            <w:pPr>
              <w:jc w:val="center"/>
              <w:ind w:right="1912"/>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8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280" w:type="dxa"/>
            <w:vAlign w:val="bottom"/>
          </w:tcPr>
          <w:p>
            <w:pPr>
              <w:spacing w:after="0"/>
              <w:rPr>
                <w:sz w:val="24"/>
                <w:szCs w:val="24"/>
                <w:color w:val="auto"/>
              </w:rPr>
            </w:pPr>
          </w:p>
        </w:tc>
      </w:tr>
      <w:tr>
        <w:trPr>
          <w:trHeight w:val="161"/>
        </w:trPr>
        <w:tc>
          <w:tcPr>
            <w:tcW w:w="80" w:type="dxa"/>
            <w:vAlign w:val="bottom"/>
          </w:tcPr>
          <w:p>
            <w:pPr>
              <w:spacing w:after="0"/>
              <w:rPr>
                <w:sz w:val="14"/>
                <w:szCs w:val="14"/>
                <w:color w:val="auto"/>
              </w:rPr>
            </w:pPr>
          </w:p>
        </w:tc>
        <w:tc>
          <w:tcPr>
            <w:tcW w:w="460" w:type="dxa"/>
            <w:vAlign w:val="bottom"/>
          </w:tcPr>
          <w:p>
            <w:pPr>
              <w:jc w:val="right"/>
              <w:ind w:right="46"/>
              <w:spacing w:after="0"/>
              <w:rPr>
                <w:sz w:val="20"/>
                <w:szCs w:val="20"/>
                <w:color w:val="auto"/>
              </w:rPr>
            </w:pPr>
            <w:r>
              <w:rPr>
                <w:rFonts w:ascii="Arial" w:cs="Arial" w:eastAsia="Arial" w:hAnsi="Arial"/>
                <w:sz w:val="14"/>
                <w:szCs w:val="14"/>
                <w:b w:val="1"/>
                <w:bCs w:val="1"/>
                <w:color w:val="auto"/>
              </w:rPr>
              <w:t>No.</w:t>
            </w:r>
          </w:p>
        </w:tc>
        <w:tc>
          <w:tcPr>
            <w:tcW w:w="740" w:type="dxa"/>
            <w:vAlign w:val="bottom"/>
          </w:tcPr>
          <w:p>
            <w:pPr>
              <w:spacing w:after="0"/>
              <w:rPr>
                <w:sz w:val="14"/>
                <w:szCs w:val="14"/>
                <w:color w:val="auto"/>
              </w:rPr>
            </w:pPr>
          </w:p>
        </w:tc>
        <w:tc>
          <w:tcPr>
            <w:tcW w:w="998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80" w:type="dxa"/>
            <w:vAlign w:val="bottom"/>
          </w:tcPr>
          <w:p>
            <w:pPr>
              <w:spacing w:after="0"/>
              <w:rPr>
                <w:sz w:val="17"/>
                <w:szCs w:val="17"/>
                <w:color w:val="auto"/>
              </w:rPr>
            </w:pPr>
          </w:p>
        </w:tc>
        <w:tc>
          <w:tcPr>
            <w:tcW w:w="460" w:type="dxa"/>
            <w:vAlign w:val="bottom"/>
            <w:tcBorders>
              <w:top w:val="single" w:sz="8" w:color="auto"/>
            </w:tcBorders>
          </w:tcPr>
          <w:p>
            <w:pPr>
              <w:jc w:val="center"/>
              <w:ind w:right="126"/>
              <w:spacing w:after="0" w:line="201" w:lineRule="exact"/>
              <w:rPr>
                <w:sz w:val="20"/>
                <w:szCs w:val="20"/>
                <w:color w:val="auto"/>
              </w:rPr>
            </w:pPr>
            <w:r>
              <w:rPr>
                <w:rFonts w:ascii="Arial" w:cs="Arial" w:eastAsia="Arial" w:hAnsi="Arial"/>
                <w:sz w:val="18"/>
                <w:szCs w:val="18"/>
                <w:color w:val="auto"/>
                <w:w w:val="87"/>
              </w:rPr>
              <w:t>2.1</w:t>
            </w:r>
          </w:p>
        </w:tc>
        <w:tc>
          <w:tcPr>
            <w:tcW w:w="74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89"/>
              </w:rPr>
              <w:t>Purchase</w:t>
            </w:r>
          </w:p>
        </w:tc>
        <w:tc>
          <w:tcPr>
            <w:tcW w:w="9280" w:type="dxa"/>
            <w:vAlign w:val="bottom"/>
          </w:tcPr>
          <w:p>
            <w:pPr>
              <w:spacing w:after="0" w:line="201" w:lineRule="exact"/>
              <w:rPr>
                <w:sz w:val="20"/>
                <w:szCs w:val="20"/>
                <w:color w:val="auto"/>
              </w:rPr>
            </w:pPr>
            <w:r>
              <w:rPr>
                <w:rFonts w:ascii="Arial" w:cs="Arial" w:eastAsia="Arial" w:hAnsi="Arial"/>
                <w:sz w:val="18"/>
                <w:szCs w:val="18"/>
                <w:color w:val="auto"/>
                <w:w w:val="91"/>
              </w:rPr>
              <w:t>and Sale Agreement dated as of February 17, 2006, by and among Avago Technologies Limited, Avago Technologies Imaging</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Holding (Labuan) Corporation, other sellers and Marvell Technology Group Ltd. and Marvell International Technology Ltd.,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3"/>
              </w:rPr>
              <w:t>reference to Exhibit 2.1 of the registrant’s Annual Report on Form 10-K for the year ended January 28, 2006 as filed on April 13, 2006</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2.2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8"/>
              </w:rPr>
              <w:t>Asset Purchase Agreement dated as of June 26, 2006 by and between Intel Corporation and Marvell Technology Group Ltd.,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reference to Exhibit 2.1 of the registrant’s Current Report on Form 8-K as filed on November 14, 2006</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Memorandum of Association of the registrant, incorporated by reference to Exhibit 3.1 of the registrant’s Registration Statement on Form S-1</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3"/>
              </w:rPr>
              <w:t>Second Amended and Restated Bye-laws of the registrant, incorporated by reference to Appendix A of the registrant’s Definitive Proxy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Statement as filed on May 21, 2001</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3.3</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4.1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1"/>
              </w:rPr>
              <w:t>Specimen common stock certificate of the registrant, incorporated by reference to Exhibit 4.1 of the registrant’s Registration Statement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Form S-1/A (file no. 333-33086) as filed on May 5, 2000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1997 Directors’ Stock Option Plan, incorporated by reference to Exhibit 10.2 of the registrant’s Registration Statement on Form S-1 (file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Form of Notice of Option Grants, Nonstatutory Stock Option Agreement, Exercise Notice and Restricted Stock Purchase Agreement for use</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8"/>
              </w:rPr>
              <w:t>under the 1997 Directors’ Stock Option Plan, incorporated by reference to Exhibit 10.7 of the registrant’s Registration Statement on Form S-8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January 11, 2008</w:t>
            </w:r>
          </w:p>
        </w:tc>
      </w:tr>
      <w:tr>
        <w:trPr>
          <w:trHeight w:val="318"/>
        </w:trPr>
        <w:tc>
          <w:tcPr>
            <w:tcW w:w="540" w:type="dxa"/>
            <w:vAlign w:val="bottom"/>
            <w:gridSpan w:val="2"/>
          </w:tcPr>
          <w:p>
            <w:pPr>
              <w:jc w:val="right"/>
              <w:ind w:right="146"/>
              <w:spacing w:after="0"/>
              <w:rPr>
                <w:sz w:val="20"/>
                <w:szCs w:val="20"/>
                <w:color w:val="auto"/>
              </w:rPr>
            </w:pPr>
            <w:r>
              <w:rPr>
                <w:rFonts w:ascii="Arial" w:cs="Arial" w:eastAsia="Arial" w:hAnsi="Arial"/>
                <w:sz w:val="18"/>
                <w:szCs w:val="18"/>
                <w:color w:val="auto"/>
                <w:w w:val="85"/>
              </w:rPr>
              <w:t>10.3</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Galileo Technology Ltd. 1997 Employees’ Stock Option Plan, incorporated by reference to Exhibit 10.4 of the registrant’s Annual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318"/>
        </w:trPr>
        <w:tc>
          <w:tcPr>
            <w:tcW w:w="540" w:type="dxa"/>
            <w:vAlign w:val="bottom"/>
            <w:gridSpan w:val="2"/>
          </w:tcPr>
          <w:p>
            <w:pPr>
              <w:jc w:val="right"/>
              <w:ind w:right="146"/>
              <w:spacing w:after="0"/>
              <w:rPr>
                <w:sz w:val="20"/>
                <w:szCs w:val="20"/>
                <w:color w:val="auto"/>
              </w:rPr>
            </w:pPr>
            <w:r>
              <w:rPr>
                <w:rFonts w:ascii="Arial" w:cs="Arial" w:eastAsia="Arial" w:hAnsi="Arial"/>
                <w:sz w:val="18"/>
                <w:szCs w:val="18"/>
                <w:color w:val="auto"/>
                <w:w w:val="85"/>
              </w:rPr>
              <w:t>10.4</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Galileo Technology Ltd. 1997 GTI Stock Option Plan, incorporated by reference to Exhibit 10.5 of the registrant’s Annual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10.5#</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Amended 2000 Employee Stock Purchase Plan, incorporated by reference to Exhibit 10.19 of the registrant’s quarterly report on Form 10-Q</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for the period ended August 2, 2003 as filed on September 15, 2003</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10.6#</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Amendment to the Amended 2000 Employee Stock Purchase Plan, incorporated by reference to Exhibit 10.5 of the registrant’s Registration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Statement on Form S-8 as filed on June 20, 2008</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10.7#</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2000 Employee Stock Purchase Plan Form of Subscription Agreement, incorporated by reference to Exhibit 10.5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Registration Statement on Form S-8 as filed on January 11, 2008</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10.8#</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8"/>
              </w:rPr>
              <w:t>Amended and Restated 1995 Stock Option Plan, incorporated by reference to Exhibit 10.24 of the registrant’s quarterly report on 10-Q for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period ended July 30, 2005 as filed on September 8, 2005</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10.9#</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Amended and Restated 1995 Stock Option Plan Restricted Stock Agreement, incorporated by reference to Exhibit 10.20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20" w:type="dxa"/>
            <w:vAlign w:val="bottom"/>
            <w:gridSpan w:val="3"/>
          </w:tcPr>
          <w:p>
            <w:pPr>
              <w:jc w:val="right"/>
              <w:ind w:right="5432"/>
              <w:spacing w:after="0"/>
              <w:rPr>
                <w:sz w:val="20"/>
                <w:szCs w:val="20"/>
                <w:color w:val="auto"/>
              </w:rPr>
            </w:pPr>
            <w:r>
              <w:rPr>
                <w:rFonts w:ascii="Arial" w:cs="Arial" w:eastAsia="Arial" w:hAnsi="Arial"/>
                <w:sz w:val="18"/>
                <w:szCs w:val="18"/>
                <w:color w:val="auto"/>
              </w:rPr>
              <w:t>130</w:t>
            </w:r>
          </w:p>
        </w:tc>
      </w:tr>
    </w:tbl>
    <w:p>
      <w:pPr>
        <w:sectPr>
          <w:pgSz w:w="11900" w:h="16838" w:orient="portrait"/>
          <w:cols w:equalWidth="0" w:num="1">
            <w:col w:w="11360"/>
          </w:cols>
          <w:pgMar w:left="240" w:top="459" w:right="299"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120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300" w:type="dxa"/>
            <w:vAlign w:val="bottom"/>
          </w:tcPr>
          <w:p>
            <w:pPr>
              <w:spacing w:after="0"/>
              <w:rPr>
                <w:sz w:val="14"/>
                <w:szCs w:val="14"/>
                <w:color w:val="auto"/>
              </w:rPr>
            </w:pPr>
          </w:p>
        </w:tc>
      </w:tr>
      <w:tr>
        <w:trPr>
          <w:trHeight w:val="161"/>
        </w:trPr>
        <w:tc>
          <w:tcPr>
            <w:tcW w:w="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300" w:type="dxa"/>
            <w:vAlign w:val="bottom"/>
          </w:tcPr>
          <w:p>
            <w:pPr>
              <w:spacing w:after="0"/>
              <w:rPr>
                <w:sz w:val="14"/>
                <w:szCs w:val="14"/>
                <w:color w:val="auto"/>
              </w:rPr>
            </w:pPr>
          </w:p>
        </w:tc>
      </w:tr>
      <w:tr>
        <w:trPr>
          <w:trHeight w:val="309"/>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10.10#</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8"/>
              </w:rPr>
              <w:t>Form of Option Agreement for use with the Amended and Restated 1995 Stock Option Plan, incorporated by reference to Exhibit 10.21 of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registrant’s Annual Report on Form 10-K for the year ended January 28, 2006 as filed on April 13, 2006</w:t>
            </w:r>
          </w:p>
        </w:tc>
      </w:tr>
      <w:tr>
        <w:trPr>
          <w:trHeight w:val="318"/>
        </w:trPr>
        <w:tc>
          <w:tcPr>
            <w:tcW w:w="1280" w:type="dxa"/>
            <w:vAlign w:val="bottom"/>
            <w:gridSpan w:val="3"/>
          </w:tcPr>
          <w:p>
            <w:pPr>
              <w:spacing w:after="0"/>
              <w:rPr>
                <w:sz w:val="20"/>
                <w:szCs w:val="20"/>
                <w:color w:val="auto"/>
              </w:rPr>
            </w:pPr>
            <w:r>
              <w:rPr>
                <w:rFonts w:ascii="Arial" w:cs="Arial" w:eastAsia="Arial" w:hAnsi="Arial"/>
                <w:sz w:val="18"/>
                <w:szCs w:val="18"/>
                <w:color w:val="auto"/>
              </w:rPr>
              <w:t>10.10.1#</w:t>
            </w: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Stock Option Plan, incorporated by reference to Exhibit 10.1 of the registrant’s Current Report on Form 8-K as filed on December 17, 2008</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Form of Restricted Stock Unit Agreement, incorporated by reference to Exhibit 10.34 of the registrant’s Annual Report on Form 10-K for the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year ended January 27, 2007 as filed on July 2, 2007</w:t>
            </w:r>
          </w:p>
        </w:tc>
      </w:tr>
      <w:tr>
        <w:trPr>
          <w:trHeight w:val="318"/>
        </w:trPr>
        <w:tc>
          <w:tcPr>
            <w:tcW w:w="1280" w:type="dxa"/>
            <w:vAlign w:val="bottom"/>
            <w:gridSpan w:val="3"/>
          </w:tcPr>
          <w:p>
            <w:pPr>
              <w:spacing w:after="0"/>
              <w:rPr>
                <w:sz w:val="20"/>
                <w:szCs w:val="20"/>
                <w:color w:val="auto"/>
              </w:rPr>
            </w:pPr>
            <w:r>
              <w:rPr>
                <w:rFonts w:ascii="Arial" w:cs="Arial" w:eastAsia="Arial" w:hAnsi="Arial"/>
                <w:sz w:val="18"/>
                <w:szCs w:val="18"/>
                <w:color w:val="auto"/>
              </w:rPr>
              <w:t>10.11.1#</w:t>
            </w: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Option Plan, incorporated by reference to Exhibit 10.2 of the registrant’s Current Report on Form 8-K as filed on December 17, 2008 (for</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Form of Performance-Based Vesting Option Agreement, incorporated by reference to Exhibit 10.23 of the registrant’s Current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Form 8-K as filed on May 30, 2006</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10.13#</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0"/>
              </w:rPr>
              <w:t>Form of Notice of Grant of Stock Options (performance-based vesting), incorporated by reference to Exhibit 10.1 of the registrant’s Current</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Report on Form 8-K as filed on January 2,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10.14#</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Form of Notice of Grant of Stock Options – Performance-Based, for use with the Amended and Restated 1995 Stock Option Plan,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10.15#</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Reformation of Stock Option Agreement dated December 27, 2006 by and between Sehat Sutardja and Marvell Technology Group Ltd.,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10.16#</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Reformation of Stock Option Agreement dated December 27, 2006 by and between Weili Dai and Marvell Technology Group Ltd.,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10.2 of the registrant’s Current Report on Form 8-K as filed on January 4, 2007</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10.17#</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1"/>
              </w:rPr>
              <w:t>Reformation of Stock Option Agreement dated December 28, 2006 by and between Pantas Sutardja and Marvell Technology Group Ltd.,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10.18#</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2"/>
              </w:rPr>
              <w:t>Reformation of Stock Option Agreement dated December 28, 2006 by and between George Hervey and Marvell Technology Group Ltd.,</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10.4 of the registrant’s Current Report on Form 8-K as filed on January 4, 2007</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10.19#</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Reformation of Stock Option Agreement dated May 6, 2007 between Marvell Technology Group Ltd. and Dr. Sehat Sutardja,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reference to Exhibit 10.1 of the registrant’s Current Report on Form 8-K as filed on May 8, 2007</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10.20#</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5"/>
              </w:rPr>
              <w:t>Amendment of Stock Option Agreement dated May 6, 2007 between Marvell Technology Group Ltd. and Weili Dai,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reference to Exhibit 10.2 of the registrant’s Current Report on Form 8-K as filed on May 8, 2007</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10.21#</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96"/>
              </w:rPr>
              <w:t>Amendment of Stock Option between the Registrant and Michael Rashkin dated December 31, 2007, incorporated by reference to</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Exhibit 10.2 of the registrant’s Current Report on Form 8-K as filed on January 2, 2008</w:t>
            </w:r>
          </w:p>
        </w:tc>
      </w:tr>
      <w:tr>
        <w:trPr>
          <w:trHeight w:val="318"/>
        </w:trPr>
        <w:tc>
          <w:tcPr>
            <w:tcW w:w="540" w:type="dxa"/>
            <w:vAlign w:val="bottom"/>
            <w:gridSpan w:val="2"/>
          </w:tcPr>
          <w:p>
            <w:pPr>
              <w:spacing w:after="0"/>
              <w:rPr>
                <w:sz w:val="20"/>
                <w:szCs w:val="20"/>
                <w:color w:val="auto"/>
              </w:rPr>
            </w:pPr>
            <w:r>
              <w:rPr>
                <w:rFonts w:ascii="Arial" w:cs="Arial" w:eastAsia="Arial" w:hAnsi="Arial"/>
                <w:sz w:val="18"/>
                <w:szCs w:val="18"/>
                <w:color w:val="auto"/>
                <w:w w:val="94"/>
              </w:rPr>
              <w:t>10.22#</w:t>
            </w:r>
          </w:p>
        </w:tc>
        <w:tc>
          <w:tcPr>
            <w:tcW w:w="740" w:type="dxa"/>
            <w:vAlign w:val="bottom"/>
          </w:tcPr>
          <w:p>
            <w:pPr>
              <w:spacing w:after="0"/>
              <w:rPr>
                <w:sz w:val="24"/>
                <w:szCs w:val="24"/>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w w:val="89"/>
              </w:rPr>
              <w:t>2007 Director Stock Incentive Plan, as amended and restated, incorporated by reference to Exhibit 10.1 of the registrant’s Current Report on</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00" w:type="dxa"/>
            <w:vAlign w:val="bottom"/>
            <w:gridSpan w:val="2"/>
          </w:tcPr>
          <w:p>
            <w:pPr>
              <w:spacing w:after="0"/>
              <w:rPr>
                <w:sz w:val="20"/>
                <w:szCs w:val="20"/>
                <w:color w:val="auto"/>
              </w:rPr>
            </w:pPr>
            <w:r>
              <w:rPr>
                <w:rFonts w:ascii="Arial" w:cs="Arial" w:eastAsia="Arial" w:hAnsi="Arial"/>
                <w:sz w:val="18"/>
                <w:szCs w:val="18"/>
                <w:color w:val="auto"/>
              </w:rPr>
              <w:t>Form 8-K as filed on October 25, 2007</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00" w:type="dxa"/>
            <w:vAlign w:val="bottom"/>
            <w:gridSpan w:val="2"/>
          </w:tcPr>
          <w:p>
            <w:pPr>
              <w:ind w:left="4200"/>
              <w:spacing w:after="0"/>
              <w:rPr>
                <w:sz w:val="20"/>
                <w:szCs w:val="20"/>
                <w:color w:val="auto"/>
              </w:rPr>
            </w:pPr>
            <w:r>
              <w:rPr>
                <w:rFonts w:ascii="Arial" w:cs="Arial" w:eastAsia="Arial" w:hAnsi="Arial"/>
                <w:sz w:val="18"/>
                <w:szCs w:val="18"/>
                <w:color w:val="auto"/>
              </w:rPr>
              <w:t>131</w:t>
            </w:r>
          </w:p>
        </w:tc>
      </w:tr>
    </w:tbl>
    <w:p>
      <w:pPr>
        <w:sectPr>
          <w:pgSz w:w="11900" w:h="16838" w:orient="portrait"/>
          <w:cols w:equalWidth="0" w:num="1">
            <w:col w:w="11380"/>
          </w:cols>
          <w:pgMar w:left="240" w:top="459" w:right="27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700" w:type="dxa"/>
            <w:vAlign w:val="bottom"/>
          </w:tcPr>
          <w:p>
            <w:pPr>
              <w:spacing w:after="0"/>
              <w:rPr>
                <w:sz w:val="14"/>
                <w:szCs w:val="14"/>
                <w:color w:val="auto"/>
              </w:rPr>
            </w:pPr>
          </w:p>
        </w:tc>
        <w:tc>
          <w:tcPr>
            <w:tcW w:w="9540" w:type="dxa"/>
            <w:vAlign w:val="bottom"/>
          </w:tcPr>
          <w:p>
            <w:pPr>
              <w:spacing w:after="0"/>
              <w:rPr>
                <w:sz w:val="14"/>
                <w:szCs w:val="14"/>
                <w:color w:val="auto"/>
              </w:rPr>
            </w:pPr>
          </w:p>
        </w:tc>
      </w:tr>
      <w:tr>
        <w:trPr>
          <w:trHeight w:val="161"/>
        </w:trPr>
        <w:tc>
          <w:tcPr>
            <w:tcW w:w="20" w:type="dxa"/>
            <w:vAlign w:val="bottom"/>
          </w:tcPr>
          <w:p>
            <w:pPr>
              <w:spacing w:after="0"/>
              <w:rPr>
                <w:sz w:val="14"/>
                <w:szCs w:val="14"/>
                <w:color w:val="auto"/>
              </w:rPr>
            </w:pPr>
          </w:p>
        </w:tc>
        <w:tc>
          <w:tcPr>
            <w:tcW w:w="1020" w:type="dxa"/>
            <w:vAlign w:val="bottom"/>
            <w:gridSpan w:val="2"/>
          </w:tcPr>
          <w:p>
            <w:pPr>
              <w:jc w:val="center"/>
              <w:ind w:right="580"/>
              <w:spacing w:after="0"/>
              <w:rPr>
                <w:sz w:val="20"/>
                <w:szCs w:val="20"/>
                <w:color w:val="auto"/>
              </w:rPr>
            </w:pPr>
            <w:r>
              <w:rPr>
                <w:rFonts w:ascii="Arial" w:cs="Arial" w:eastAsia="Arial" w:hAnsi="Arial"/>
                <w:sz w:val="14"/>
                <w:szCs w:val="14"/>
                <w:b w:val="1"/>
                <w:bCs w:val="1"/>
                <w:color w:val="auto"/>
                <w:w w:val="88"/>
              </w:rPr>
              <w:t>No.</w:t>
            </w:r>
          </w:p>
        </w:tc>
        <w:tc>
          <w:tcPr>
            <w:tcW w:w="1024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6"/>
              </w:rPr>
              <w:t>10.23#</w:t>
            </w:r>
          </w:p>
        </w:tc>
        <w:tc>
          <w:tcPr>
            <w:tcW w:w="58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Form of</w:t>
            </w:r>
          </w:p>
        </w:tc>
        <w:tc>
          <w:tcPr>
            <w:tcW w:w="9540" w:type="dxa"/>
            <w:vAlign w:val="bottom"/>
          </w:tcPr>
          <w:p>
            <w:pPr>
              <w:spacing w:after="0" w:line="201" w:lineRule="exact"/>
              <w:rPr>
                <w:sz w:val="20"/>
                <w:szCs w:val="20"/>
                <w:color w:val="auto"/>
              </w:rPr>
            </w:pPr>
            <w:r>
              <w:rPr>
                <w:rFonts w:ascii="Arial" w:cs="Arial" w:eastAsia="Arial" w:hAnsi="Arial"/>
                <w:sz w:val="18"/>
                <w:szCs w:val="18"/>
                <w:color w:val="auto"/>
                <w:w w:val="97"/>
              </w:rPr>
              <w:t>Stock Option Agreement for use under the 2007 Director Stock Incentive Plan — Initial Award, incorporated by reference to</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10.24#</w:t>
            </w:r>
          </w:p>
        </w:tc>
        <w:tc>
          <w:tcPr>
            <w:tcW w:w="10240" w:type="dxa"/>
            <w:vAlign w:val="bottom"/>
            <w:gridSpan w:val="2"/>
          </w:tcPr>
          <w:p>
            <w:pPr>
              <w:spacing w:after="0"/>
              <w:rPr>
                <w:sz w:val="20"/>
                <w:szCs w:val="20"/>
                <w:color w:val="auto"/>
              </w:rPr>
            </w:pPr>
            <w:r>
              <w:rPr>
                <w:rFonts w:ascii="Arial" w:cs="Arial" w:eastAsia="Arial" w:hAnsi="Arial"/>
                <w:sz w:val="18"/>
                <w:szCs w:val="18"/>
                <w:color w:val="auto"/>
                <w:w w:val="96"/>
              </w:rPr>
              <w:t>Form of Stock Option Agreement for use under the 2007 Director Stock Incentive Plan — Annual Award, incorporated by reference to</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10.25#</w:t>
            </w:r>
          </w:p>
        </w:tc>
        <w:tc>
          <w:tcPr>
            <w:tcW w:w="10240" w:type="dxa"/>
            <w:vAlign w:val="bottom"/>
            <w:gridSpan w:val="2"/>
          </w:tcPr>
          <w:p>
            <w:pPr>
              <w:spacing w:after="0"/>
              <w:rPr>
                <w:sz w:val="20"/>
                <w:szCs w:val="20"/>
                <w:color w:val="auto"/>
              </w:rPr>
            </w:pPr>
            <w:r>
              <w:rPr>
                <w:rFonts w:ascii="Arial" w:cs="Arial" w:eastAsia="Arial" w:hAnsi="Arial"/>
                <w:sz w:val="18"/>
                <w:szCs w:val="18"/>
                <w:color w:val="auto"/>
                <w:w w:val="88"/>
              </w:rPr>
              <w:t>Employment Offer Letter dated January 17, 2008 between the Registrant and George de Urioste, incorporated by reference to Exhibit 10.1 of the</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registrant’s Current Report on Form 8-K as filed on January 23,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10.26#</w:t>
            </w: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Employment Offer Letter executed on May 29, 2008 between the Company and Clyde Hosein, incorporated by reference to Exhibit 10.1 of the</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registrant’s Current Report on Form 8-K as filed on May 30,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10.27#</w:t>
            </w: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Policy for Non-Business Use of Corporate Aircraft, incorporated by reference to Exhibit 10.1 of the registrant’s Current Report on Form 8-K as</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filed on May 23,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10.28#</w:t>
            </w:r>
          </w:p>
        </w:tc>
        <w:tc>
          <w:tcPr>
            <w:tcW w:w="10240" w:type="dxa"/>
            <w:vAlign w:val="bottom"/>
            <w:gridSpan w:val="2"/>
          </w:tcPr>
          <w:p>
            <w:pPr>
              <w:spacing w:after="0"/>
              <w:rPr>
                <w:sz w:val="20"/>
                <w:szCs w:val="20"/>
                <w:color w:val="auto"/>
              </w:rPr>
            </w:pPr>
            <w:r>
              <w:rPr>
                <w:rFonts w:ascii="Arial" w:cs="Arial" w:eastAsia="Arial" w:hAnsi="Arial"/>
                <w:sz w:val="18"/>
                <w:szCs w:val="18"/>
                <w:color w:val="auto"/>
                <w:w w:val="89"/>
              </w:rPr>
              <w:t>Description of vice president focal bonus plan, incorporated by reference to Exhibit 10.36 of the registrant’s Annual Report on Form 10-K for the</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year ended January 27, 2007 as filed on July 2,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10.29#</w:t>
            </w:r>
          </w:p>
        </w:tc>
        <w:tc>
          <w:tcPr>
            <w:tcW w:w="10240" w:type="dxa"/>
            <w:vAlign w:val="bottom"/>
            <w:gridSpan w:val="2"/>
          </w:tcPr>
          <w:p>
            <w:pPr>
              <w:spacing w:after="0"/>
              <w:rPr>
                <w:sz w:val="20"/>
                <w:szCs w:val="20"/>
                <w:color w:val="auto"/>
              </w:rPr>
            </w:pPr>
            <w:r>
              <w:rPr>
                <w:rFonts w:ascii="Arial" w:cs="Arial" w:eastAsia="Arial" w:hAnsi="Arial"/>
                <w:sz w:val="18"/>
                <w:szCs w:val="18"/>
                <w:color w:val="auto"/>
                <w:w w:val="89"/>
              </w:rPr>
              <w:t>Description of Indemnification Rights for certain current and former directors, officers and employees, incorporated by reference to Exhibit 10.37</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of the registrant’s Quarterly Report on Form 10-Q for the period ended July 28, 2007 as filed on September 6, 2007</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87"/>
              </w:rPr>
              <w:t>10.30#</w:t>
            </w: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Form of Indemnification Agreement with Directors and Executive Officers, incorporated by reference to Exhibit 10.1 of the registrant’s Current</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Report on Form 8-K as filed on October 10, 2008</w:t>
            </w:r>
          </w:p>
        </w:tc>
      </w:tr>
      <w:tr>
        <w:trPr>
          <w:trHeight w:val="318"/>
        </w:trPr>
        <w:tc>
          <w:tcPr>
            <w:tcW w:w="1040" w:type="dxa"/>
            <w:vAlign w:val="bottom"/>
            <w:gridSpan w:val="3"/>
          </w:tcPr>
          <w:p>
            <w:pPr>
              <w:jc w:val="center"/>
              <w:ind w:right="560"/>
              <w:spacing w:after="0"/>
              <w:rPr>
                <w:sz w:val="20"/>
                <w:szCs w:val="20"/>
                <w:color w:val="auto"/>
              </w:rPr>
            </w:pPr>
            <w:r>
              <w:rPr>
                <w:rFonts w:ascii="Arial" w:cs="Arial" w:eastAsia="Arial" w:hAnsi="Arial"/>
                <w:sz w:val="18"/>
                <w:szCs w:val="18"/>
                <w:color w:val="auto"/>
                <w:w w:val="92"/>
              </w:rPr>
              <w:t>10.31*</w:t>
            </w:r>
          </w:p>
        </w:tc>
        <w:tc>
          <w:tcPr>
            <w:tcW w:w="10240" w:type="dxa"/>
            <w:vAlign w:val="bottom"/>
            <w:gridSpan w:val="2"/>
          </w:tcPr>
          <w:p>
            <w:pPr>
              <w:spacing w:after="0"/>
              <w:rPr>
                <w:sz w:val="20"/>
                <w:szCs w:val="20"/>
                <w:color w:val="auto"/>
              </w:rPr>
            </w:pPr>
            <w:r>
              <w:rPr>
                <w:rFonts w:ascii="Arial" w:cs="Arial" w:eastAsia="Arial" w:hAnsi="Arial"/>
                <w:sz w:val="18"/>
                <w:szCs w:val="18"/>
                <w:color w:val="auto"/>
              </w:rPr>
              <w:t>Supply Agreement for the Fabrication and Purchase of Semiconductor Products dated June 13, 2002 by and between Marvell</w:t>
            </w: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0"/>
              </w:rPr>
              <w:t>Semiconductor, Inc., Marvell Asia Pte Ltd. and Western Digital Technologies, Inc., incorporated by reference to Exhibit 10.16 of the registrant’s</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Quarterly Report on Form 10-Q for the period ended August 3, 2002 as filed on September 17, 2002</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21.1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23.1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24.1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rPr>
              <w:t>Power of Attorney (see page 129 of this report)</w:t>
            </w:r>
          </w:p>
        </w:tc>
      </w:tr>
      <w:tr>
        <w:trPr>
          <w:trHeight w:val="318"/>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31.1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Certification of Chief Executive Officer pursuant to 18 U.S.C. Section 1350, as adopted pursuant to Section 302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540" w:type="dxa"/>
            <w:vAlign w:val="bottom"/>
          </w:tcPr>
          <w:p>
            <w:pPr>
              <w:spacing w:after="0"/>
              <w:rPr>
                <w:sz w:val="19"/>
                <w:szCs w:val="19"/>
                <w:color w:val="auto"/>
              </w:rPr>
            </w:pPr>
          </w:p>
        </w:tc>
      </w:tr>
      <w:tr>
        <w:trPr>
          <w:trHeight w:val="318"/>
        </w:trPr>
        <w:tc>
          <w:tcPr>
            <w:tcW w:w="460" w:type="dxa"/>
            <w:vAlign w:val="bottom"/>
            <w:gridSpan w:val="2"/>
          </w:tcPr>
          <w:p>
            <w:pPr>
              <w:ind w:left="20"/>
              <w:spacing w:after="0"/>
              <w:rPr>
                <w:sz w:val="20"/>
                <w:szCs w:val="20"/>
                <w:color w:val="auto"/>
              </w:rPr>
            </w:pPr>
            <w:r>
              <w:rPr>
                <w:rFonts w:ascii="Arial" w:cs="Arial" w:eastAsia="Arial" w:hAnsi="Arial"/>
                <w:sz w:val="18"/>
                <w:szCs w:val="18"/>
                <w:color w:val="auto"/>
              </w:rPr>
              <w:t>31.2</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Certification of Chief Financial Officer pursuant to 18 U.S.C. Section 1350, as adopted pursuant to Section 302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540" w:type="dxa"/>
            <w:vAlign w:val="bottom"/>
          </w:tcPr>
          <w:p>
            <w:pPr>
              <w:spacing w:after="0"/>
              <w:rPr>
                <w:sz w:val="19"/>
                <w:szCs w:val="19"/>
                <w:color w:val="auto"/>
              </w:rPr>
            </w:pPr>
          </w:p>
        </w:tc>
      </w:tr>
      <w:tr>
        <w:trPr>
          <w:trHeight w:val="318"/>
        </w:trPr>
        <w:tc>
          <w:tcPr>
            <w:tcW w:w="460" w:type="dxa"/>
            <w:vAlign w:val="bottom"/>
            <w:gridSpan w:val="2"/>
          </w:tcPr>
          <w:p>
            <w:pPr>
              <w:jc w:val="center"/>
              <w:spacing w:after="0"/>
              <w:rPr>
                <w:sz w:val="20"/>
                <w:szCs w:val="20"/>
                <w:color w:val="auto"/>
              </w:rPr>
            </w:pPr>
            <w:r>
              <w:rPr>
                <w:rFonts w:ascii="Arial" w:cs="Arial" w:eastAsia="Arial" w:hAnsi="Arial"/>
                <w:sz w:val="18"/>
                <w:szCs w:val="18"/>
                <w:color w:val="auto"/>
                <w:w w:val="87"/>
              </w:rPr>
              <w:t>32.1~</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Certification of Chief Executive Officer pursuant to 18 U.S.C. Section 1350, as adopted pursuant to Section 906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540" w:type="dxa"/>
            <w:vAlign w:val="bottom"/>
          </w:tcPr>
          <w:p>
            <w:pPr>
              <w:spacing w:after="0"/>
              <w:rPr>
                <w:sz w:val="19"/>
                <w:szCs w:val="19"/>
                <w:color w:val="auto"/>
              </w:rPr>
            </w:pPr>
          </w:p>
        </w:tc>
      </w:tr>
      <w:tr>
        <w:trPr>
          <w:trHeight w:val="318"/>
        </w:trPr>
        <w:tc>
          <w:tcPr>
            <w:tcW w:w="460" w:type="dxa"/>
            <w:vAlign w:val="bottom"/>
            <w:gridSpan w:val="2"/>
          </w:tcPr>
          <w:p>
            <w:pPr>
              <w:jc w:val="center"/>
              <w:spacing w:after="0"/>
              <w:rPr>
                <w:sz w:val="20"/>
                <w:szCs w:val="20"/>
                <w:color w:val="auto"/>
              </w:rPr>
            </w:pPr>
            <w:r>
              <w:rPr>
                <w:rFonts w:ascii="Arial" w:cs="Arial" w:eastAsia="Arial" w:hAnsi="Arial"/>
                <w:sz w:val="18"/>
                <w:szCs w:val="18"/>
                <w:color w:val="auto"/>
                <w:w w:val="87"/>
              </w:rPr>
              <w:t>32.2~</w:t>
            </w:r>
          </w:p>
        </w:tc>
        <w:tc>
          <w:tcPr>
            <w:tcW w:w="580" w:type="dxa"/>
            <w:vAlign w:val="bottom"/>
          </w:tcPr>
          <w:p>
            <w:pPr>
              <w:spacing w:after="0"/>
              <w:rPr>
                <w:sz w:val="24"/>
                <w:szCs w:val="24"/>
                <w:color w:val="auto"/>
              </w:rPr>
            </w:pPr>
          </w:p>
        </w:tc>
        <w:tc>
          <w:tcPr>
            <w:tcW w:w="10240" w:type="dxa"/>
            <w:vAlign w:val="bottom"/>
            <w:gridSpan w:val="2"/>
          </w:tcPr>
          <w:p>
            <w:pPr>
              <w:spacing w:after="0"/>
              <w:rPr>
                <w:sz w:val="20"/>
                <w:szCs w:val="20"/>
                <w:color w:val="auto"/>
              </w:rPr>
            </w:pPr>
            <w:r>
              <w:rPr>
                <w:rFonts w:ascii="Arial" w:cs="Arial" w:eastAsia="Arial" w:hAnsi="Arial"/>
                <w:sz w:val="18"/>
                <w:szCs w:val="18"/>
                <w:color w:val="auto"/>
                <w:w w:val="91"/>
              </w:rPr>
              <w:t>Certification of Chief Financial Officer pursuant to 18 U.S.C. Section 1350, as adopted pursuant to Section 906 of the Sarbanes-Oxley Act of</w:t>
            </w: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2002</w:t>
            </w:r>
          </w:p>
        </w:tc>
        <w:tc>
          <w:tcPr>
            <w:tcW w:w="954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hanging="452"/>
        <w:spacing w:after="0"/>
        <w:tabs>
          <w:tab w:leader="none" w:pos="460" w:val="left"/>
        </w:tabs>
        <w:numPr>
          <w:ilvl w:val="0"/>
          <w:numId w:val="31"/>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w:t>
      </w:r>
    </w:p>
    <w:p>
      <w:pPr>
        <w:spacing w:after="0" w:line="174" w:lineRule="exact"/>
        <w:rPr>
          <w:rFonts w:ascii="Arial" w:cs="Arial" w:eastAsia="Arial" w:hAnsi="Arial"/>
          <w:sz w:val="16"/>
          <w:szCs w:val="16"/>
          <w:color w:val="auto"/>
        </w:rPr>
      </w:pPr>
    </w:p>
    <w:p>
      <w:pPr>
        <w:ind w:left="5580"/>
        <w:spacing w:after="0"/>
        <w:rPr>
          <w:rFonts w:ascii="Arial" w:cs="Arial" w:eastAsia="Arial" w:hAnsi="Arial"/>
          <w:sz w:val="16"/>
          <w:szCs w:val="16"/>
          <w:color w:val="auto"/>
        </w:rPr>
      </w:pPr>
      <w:r>
        <w:rPr>
          <w:rFonts w:ascii="Arial" w:cs="Arial" w:eastAsia="Arial" w:hAnsi="Arial"/>
          <w:sz w:val="18"/>
          <w:szCs w:val="18"/>
          <w:color w:val="auto"/>
        </w:rPr>
        <w:t>132</w:t>
      </w:r>
    </w:p>
    <w:p>
      <w:pPr>
        <w:sectPr>
          <w:pgSz w:w="11900" w:h="16838" w:orient="portrait"/>
          <w:cols w:equalWidth="0" w:num="1">
            <w:col w:w="11400"/>
          </w:cols>
          <w:pgMar w:left="240" w:top="459" w:right="25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line="255" w:lineRule="auto"/>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2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133</w:t>
      </w:r>
    </w:p>
    <w:p>
      <w:pPr>
        <w:sectPr>
          <w:pgSz w:w="11900" w:h="16838" w:orient="portrait"/>
          <w:cols w:equalWidth="0" w:num="1">
            <w:col w:w="11260"/>
          </w:cols>
          <w:pgMar w:left="240" w:top="459" w:right="399" w:bottom="1440" w:gutter="0" w:footer="0" w:header="0"/>
        </w:sectPr>
      </w:pPr>
    </w:p>
    <w:bookmarkStart w:id="134" w:name="page135"/>
    <w:bookmarkEnd w:id="134"/>
    <w:p>
      <w:pPr>
        <w:jc w:val="right"/>
        <w:spacing w:after="0"/>
        <w:rPr>
          <w:sz w:val="20"/>
          <w:szCs w:val="20"/>
          <w:color w:val="auto"/>
        </w:rPr>
      </w:pPr>
      <w:r>
        <w:rPr>
          <w:rFonts w:ascii="Arial" w:cs="Arial" w:eastAsia="Arial" w:hAnsi="Arial"/>
          <w:sz w:val="18"/>
          <w:szCs w:val="18"/>
          <w:b w:val="1"/>
          <w:bCs w:val="1"/>
          <w:color w:val="auto"/>
        </w:rPr>
        <w:t>Exhibit 21.1</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60" w:type="dxa"/>
            <w:vAlign w:val="bottom"/>
          </w:tcPr>
          <w:p>
            <w:pPr>
              <w:spacing w:after="0"/>
              <w:rPr>
                <w:sz w:val="19"/>
                <w:szCs w:val="19"/>
                <w:color w:val="auto"/>
              </w:rPr>
            </w:pPr>
          </w:p>
        </w:tc>
        <w:tc>
          <w:tcPr>
            <w:tcW w:w="3480" w:type="dxa"/>
            <w:vAlign w:val="bottom"/>
          </w:tcPr>
          <w:p>
            <w:pPr>
              <w:spacing w:after="0"/>
              <w:rPr>
                <w:sz w:val="19"/>
                <w:szCs w:val="19"/>
                <w:color w:val="auto"/>
              </w:rPr>
            </w:pPr>
          </w:p>
        </w:tc>
        <w:tc>
          <w:tcPr>
            <w:tcW w:w="5620" w:type="dxa"/>
            <w:vAlign w:val="bottom"/>
            <w:gridSpan w:val="3"/>
          </w:tcPr>
          <w:p>
            <w:pPr>
              <w:ind w:left="340"/>
              <w:spacing w:after="0"/>
              <w:rPr>
                <w:sz w:val="20"/>
                <w:szCs w:val="20"/>
                <w:color w:val="auto"/>
              </w:rPr>
            </w:pPr>
            <w:r>
              <w:rPr>
                <w:rFonts w:ascii="Arial" w:cs="Arial" w:eastAsia="Arial" w:hAnsi="Arial"/>
                <w:sz w:val="18"/>
                <w:szCs w:val="18"/>
                <w:b w:val="1"/>
                <w:bCs w:val="1"/>
                <w:color w:val="auto"/>
              </w:rPr>
              <w:t>SUBSIDIARIES OF MARVELL</w:t>
            </w:r>
          </w:p>
        </w:tc>
      </w:tr>
      <w:tr>
        <w:trPr>
          <w:trHeight w:val="353"/>
        </w:trPr>
        <w:tc>
          <w:tcPr>
            <w:tcW w:w="414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3860" w:type="dxa"/>
            <w:vAlign w:val="bottom"/>
          </w:tcPr>
          <w:p>
            <w:pPr>
              <w:spacing w:after="0"/>
              <w:rPr>
                <w:sz w:val="24"/>
                <w:szCs w:val="24"/>
                <w:color w:val="auto"/>
              </w:rPr>
            </w:pPr>
          </w:p>
        </w:tc>
        <w:tc>
          <w:tcPr>
            <w:tcW w:w="1760" w:type="dxa"/>
            <w:vAlign w:val="bottom"/>
            <w:gridSpan w:val="2"/>
          </w:tcPr>
          <w:p>
            <w:pPr>
              <w:spacing w:after="0"/>
              <w:rPr>
                <w:sz w:val="20"/>
                <w:szCs w:val="20"/>
                <w:color w:val="auto"/>
              </w:rPr>
            </w:pPr>
            <w:r>
              <w:rPr>
                <w:rFonts w:ascii="Arial" w:cs="Arial" w:eastAsia="Arial" w:hAnsi="Arial"/>
                <w:sz w:val="14"/>
                <w:szCs w:val="14"/>
                <w:b w:val="1"/>
                <w:bCs w:val="1"/>
                <w:color w:val="auto"/>
                <w:w w:val="93"/>
              </w:rPr>
              <w:t>Jurisdiction of Organization</w:t>
            </w:r>
          </w:p>
        </w:tc>
      </w:tr>
      <w:tr>
        <w:trPr>
          <w:trHeight w:val="201"/>
        </w:trPr>
        <w:tc>
          <w:tcPr>
            <w:tcW w:w="6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Marvell</w:t>
            </w:r>
          </w:p>
        </w:tc>
        <w:tc>
          <w:tcPr>
            <w:tcW w:w="3480" w:type="dxa"/>
            <w:vAlign w:val="bottom"/>
          </w:tcPr>
          <w:p>
            <w:pPr>
              <w:spacing w:after="0" w:line="201" w:lineRule="exact"/>
              <w:rPr>
                <w:sz w:val="20"/>
                <w:szCs w:val="20"/>
                <w:color w:val="auto"/>
              </w:rPr>
            </w:pPr>
            <w:r>
              <w:rPr>
                <w:rFonts w:ascii="Arial" w:cs="Arial" w:eastAsia="Arial" w:hAnsi="Arial"/>
                <w:sz w:val="18"/>
                <w:szCs w:val="18"/>
                <w:color w:val="auto"/>
              </w:rPr>
              <w:t>UK Limited</w:t>
            </w:r>
          </w:p>
        </w:tc>
        <w:tc>
          <w:tcPr>
            <w:tcW w:w="3860" w:type="dxa"/>
            <w:vAlign w:val="bottom"/>
          </w:tcPr>
          <w:p>
            <w:pPr>
              <w:spacing w:after="0"/>
              <w:rPr>
                <w:sz w:val="17"/>
                <w:szCs w:val="17"/>
                <w:color w:val="auto"/>
              </w:rPr>
            </w:pPr>
          </w:p>
        </w:tc>
        <w:tc>
          <w:tcPr>
            <w:tcW w:w="17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United Kingdom</w:t>
            </w:r>
          </w:p>
        </w:tc>
        <w:tc>
          <w:tcPr>
            <w:tcW w:w="20" w:type="dxa"/>
            <w:vAlign w:val="bottom"/>
          </w:tcPr>
          <w:p>
            <w:pPr>
              <w:spacing w:after="0"/>
              <w:rPr>
                <w:sz w:val="17"/>
                <w:szCs w:val="17"/>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Hong Kong</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International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Korea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T.I.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Taiwan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Barbados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SysKonnect Inc.</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Germany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(Beijing) Co.,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Italy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Malaysia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Canada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India Private Limited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w w:val="96"/>
              </w:rPr>
              <w:t>Avago Technologies Imaging IP (Singapore) Pte.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Netherlands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Avago Technologies Imaging Hungary Kft.</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Hungary</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Technology (Shanghai) Co., Ltd.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Zenographics, Inc.</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California, United States</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Accel Japan K.K.</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PicoMobile Systems Private Limited</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PicoMobile Networks, Inc.</w:t>
            </w:r>
          </w:p>
        </w:tc>
        <w:tc>
          <w:tcPr>
            <w:tcW w:w="386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California, United States</w:t>
            </w:r>
          </w:p>
        </w:tc>
      </w:tr>
      <w:tr>
        <w:trPr>
          <w:trHeight w:val="222"/>
        </w:trPr>
        <w:tc>
          <w:tcPr>
            <w:tcW w:w="4140" w:type="dxa"/>
            <w:vAlign w:val="bottom"/>
            <w:gridSpan w:val="2"/>
          </w:tcPr>
          <w:p>
            <w:pPr>
              <w:spacing w:after="0"/>
              <w:rPr>
                <w:sz w:val="20"/>
                <w:szCs w:val="20"/>
                <w:color w:val="auto"/>
              </w:rPr>
            </w:pPr>
            <w:r>
              <w:rPr>
                <w:rFonts w:ascii="Arial" w:cs="Arial" w:eastAsia="Arial" w:hAnsi="Arial"/>
                <w:sz w:val="18"/>
                <w:szCs w:val="18"/>
                <w:color w:val="auto"/>
              </w:rPr>
              <w:t>Marvell Sweden AB</w:t>
            </w:r>
          </w:p>
        </w:tc>
        <w:tc>
          <w:tcPr>
            <w:tcW w:w="3860" w:type="dxa"/>
            <w:vAlign w:val="bottom"/>
          </w:tcPr>
          <w:p>
            <w:pPr>
              <w:spacing w:after="0"/>
              <w:rPr>
                <w:sz w:val="19"/>
                <w:szCs w:val="19"/>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Sweden</w:t>
            </w:r>
          </w:p>
        </w:tc>
      </w:tr>
    </w:tbl>
    <w:p>
      <w:pPr>
        <w:sectPr>
          <w:pgSz w:w="11900" w:h="16838" w:orient="portrait"/>
          <w:cols w:equalWidth="0" w:num="1">
            <w:col w:w="11420"/>
          </w:cols>
          <w:pgMar w:left="240" w:top="125" w:right="239" w:bottom="1440" w:gutter="0" w:footer="0" w:header="0"/>
        </w:sectPr>
      </w:pPr>
    </w:p>
    <w:bookmarkStart w:id="135" w:name="page136"/>
    <w:bookmarkEnd w:id="135"/>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333-40154, 333-40152, 333-54188, 333-55974, 333-56322, 333-87322, 333-91124, 333-104925, 333-106683, 333-108334, 333-111133, 333-114434, 333-124072, 333-133281, 333-148621, 333-151816) and the Registration Statement on Form S-8/S-3 (No. 333-151826) of Marvell Technology Group Ltd. of our report dated March 31, 2009 relating to the consolidated financial statements and the effectiveness of internal control over financial reporting, which appears in this Form 10-K.</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31, 2009</w:t>
      </w:r>
    </w:p>
    <w:p>
      <w:pPr>
        <w:sectPr>
          <w:pgSz w:w="11900" w:h="16838" w:orient="portrait"/>
          <w:cols w:equalWidth="0" w:num="1">
            <w:col w:w="11420"/>
          </w:cols>
          <w:pgMar w:left="240" w:top="125" w:right="239" w:bottom="1440" w:gutter="0" w:footer="0" w:header="0"/>
        </w:sectPr>
      </w:pPr>
    </w:p>
    <w:bookmarkStart w:id="136" w:name="page137"/>
    <w:bookmarkEnd w:id="136"/>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line="310" w:lineRule="auto"/>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 AND 15d-14(a), AS ADOPTED PURSUANT TO SECTION 302 OF THE SARBANES-OXLEY ACT OF 2002</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90" w:lineRule="exact"/>
        <w:rPr>
          <w:sz w:val="20"/>
          <w:szCs w:val="20"/>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33"/>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3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6180" w:val="left"/>
          <w:tab w:leader="none" w:pos="7800" w:val="left"/>
          <w:tab w:leader="none" w:pos="8140" w:val="left"/>
        </w:tabs>
        <w:rPr>
          <w:sz w:val="20"/>
          <w:szCs w:val="20"/>
          <w:color w:val="auto"/>
        </w:rPr>
      </w:pPr>
      <w:r>
        <w:rPr>
          <w:rFonts w:ascii="Arial" w:cs="Arial" w:eastAsia="Arial" w:hAnsi="Arial"/>
          <w:sz w:val="18"/>
          <w:szCs w:val="18"/>
          <w:color w:val="auto"/>
        </w:rPr>
        <w:t>Date: March 31, 2009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r>
        <w:rPr>
          <w:rFonts w:ascii="Arial" w:cs="Arial" w:eastAsia="Arial" w:hAnsi="Arial"/>
          <w:sz w:val="16"/>
          <w:szCs w:val="16"/>
          <w:color w:val="auto"/>
        </w:rPr>
        <w:t xml:space="preserve"> P</w:t>
      </w:r>
      <w:r>
        <w:rPr>
          <w:rFonts w:ascii="Arial" w:cs="Arial" w:eastAsia="Arial" w:hAnsi="Arial"/>
          <w:sz w:val="13"/>
          <w:szCs w:val="13"/>
          <w:color w:val="auto"/>
        </w:rPr>
        <w:t>H</w:t>
      </w:r>
      <w:r>
        <w:rPr>
          <w:rFonts w:ascii="Arial" w:cs="Arial" w:eastAsia="Arial" w:hAnsi="Arial"/>
          <w:sz w:val="16"/>
          <w:szCs w:val="16"/>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4147185</wp:posOffset>
            </wp:positionH>
            <wp:positionV relativeFrom="paragraph">
              <wp:posOffset>10795</wp:posOffset>
            </wp:positionV>
            <wp:extent cx="3104515"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3104515" cy="8890"/>
                    </a:xfrm>
                    <a:prstGeom prst="rect">
                      <a:avLst/>
                    </a:prstGeom>
                    <a:noFill/>
                  </pic:spPr>
                </pic:pic>
              </a:graphicData>
            </a:graphic>
          </wp:anchor>
        </w:drawing>
      </w:r>
    </w:p>
    <w:p>
      <w:pPr>
        <w:jc w:val="center"/>
        <w:ind w:left="6640"/>
        <w:spacing w:after="0"/>
        <w:rPr>
          <w:sz w:val="20"/>
          <w:szCs w:val="20"/>
          <w:color w:val="auto"/>
        </w:rPr>
      </w:pPr>
      <w:r>
        <w:rPr>
          <w:rFonts w:ascii="Arial" w:cs="Arial" w:eastAsia="Arial" w:hAnsi="Arial"/>
          <w:sz w:val="14"/>
          <w:szCs w:val="14"/>
          <w:b w:val="1"/>
          <w:bCs w:val="1"/>
          <w:color w:val="auto"/>
        </w:rPr>
        <w:t>Sehat Sutardja Ph.D.</w:t>
      </w:r>
    </w:p>
    <w:p>
      <w:pPr>
        <w:spacing w:after="0" w:line="1" w:lineRule="exact"/>
        <w:rPr>
          <w:sz w:val="20"/>
          <w:szCs w:val="20"/>
          <w:color w:val="auto"/>
        </w:rPr>
      </w:pPr>
    </w:p>
    <w:p>
      <w:pPr>
        <w:jc w:val="center"/>
        <w:ind w:left="6640"/>
        <w:spacing w:after="0"/>
        <w:rPr>
          <w:sz w:val="20"/>
          <w:szCs w:val="20"/>
          <w:color w:val="auto"/>
        </w:rPr>
      </w:pPr>
      <w:r>
        <w:rPr>
          <w:rFonts w:ascii="Arial" w:cs="Arial" w:eastAsia="Arial" w:hAnsi="Arial"/>
          <w:sz w:val="14"/>
          <w:szCs w:val="14"/>
          <w:b w:val="1"/>
          <w:bCs w:val="1"/>
          <w:color w:val="auto"/>
        </w:rPr>
        <w:t>President and Chief Executive Officer</w:t>
      </w:r>
    </w:p>
    <w:p>
      <w:pPr>
        <w:sectPr>
          <w:pgSz w:w="11900" w:h="16838" w:orient="portrait"/>
          <w:cols w:equalWidth="0" w:num="1">
            <w:col w:w="11420"/>
          </w:cols>
          <w:pgMar w:left="240" w:top="125" w:right="239" w:bottom="1440" w:gutter="0" w:footer="0" w:header="0"/>
        </w:sectPr>
      </w:pPr>
    </w:p>
    <w:bookmarkStart w:id="137" w:name="page138"/>
    <w:bookmarkEnd w:id="137"/>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34"/>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3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34"/>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6180" w:val="left"/>
          <w:tab w:leader="none" w:pos="8040" w:val="left"/>
          <w:tab w:leader="none" w:pos="8380" w:val="left"/>
        </w:tabs>
        <w:rPr>
          <w:sz w:val="20"/>
          <w:szCs w:val="20"/>
          <w:color w:val="auto"/>
        </w:rPr>
      </w:pPr>
      <w:r>
        <w:rPr>
          <w:rFonts w:ascii="Arial" w:cs="Arial" w:eastAsia="Arial" w:hAnsi="Arial"/>
          <w:sz w:val="18"/>
          <w:szCs w:val="18"/>
          <w:color w:val="auto"/>
        </w:rPr>
        <w:t>Date: March 31, 2009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4147185</wp:posOffset>
            </wp:positionH>
            <wp:positionV relativeFrom="paragraph">
              <wp:posOffset>10795</wp:posOffset>
            </wp:positionV>
            <wp:extent cx="3104515"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3104515" cy="8890"/>
                    </a:xfrm>
                    <a:prstGeom prst="rect">
                      <a:avLst/>
                    </a:prstGeom>
                    <a:noFill/>
                  </pic:spPr>
                </pic:pic>
              </a:graphicData>
            </a:graphic>
          </wp:anchor>
        </w:drawing>
      </w:r>
    </w:p>
    <w:p>
      <w:pPr>
        <w:jc w:val="center"/>
        <w:ind w:left="6640"/>
        <w:spacing w:after="0"/>
        <w:rPr>
          <w:sz w:val="20"/>
          <w:szCs w:val="20"/>
          <w:color w:val="auto"/>
        </w:rPr>
      </w:pPr>
      <w:r>
        <w:rPr>
          <w:rFonts w:ascii="Arial" w:cs="Arial" w:eastAsia="Arial" w:hAnsi="Arial"/>
          <w:sz w:val="14"/>
          <w:szCs w:val="14"/>
          <w:b w:val="1"/>
          <w:bCs w:val="1"/>
          <w:color w:val="auto"/>
        </w:rPr>
        <w:t>Clyde R. Hosein</w:t>
      </w:r>
    </w:p>
    <w:p>
      <w:pPr>
        <w:jc w:val="center"/>
        <w:ind w:left="6640"/>
        <w:spacing w:after="0" w:line="223" w:lineRule="auto"/>
        <w:rPr>
          <w:sz w:val="20"/>
          <w:szCs w:val="20"/>
          <w:color w:val="auto"/>
        </w:rPr>
      </w:pPr>
      <w:r>
        <w:rPr>
          <w:rFonts w:ascii="Arial" w:cs="Arial" w:eastAsia="Arial" w:hAnsi="Arial"/>
          <w:sz w:val="14"/>
          <w:szCs w:val="14"/>
          <w:b w:val="1"/>
          <w:bCs w:val="1"/>
          <w:color w:val="auto"/>
        </w:rPr>
        <w:t>Chief Financial Officer, Interim Chief</w:t>
      </w:r>
    </w:p>
    <w:p>
      <w:pPr>
        <w:jc w:val="center"/>
        <w:ind w:left="6640"/>
        <w:spacing w:after="0"/>
        <w:rPr>
          <w:sz w:val="20"/>
          <w:szCs w:val="20"/>
          <w:color w:val="auto"/>
        </w:rPr>
      </w:pPr>
      <w:r>
        <w:rPr>
          <w:rFonts w:ascii="Arial" w:cs="Arial" w:eastAsia="Arial" w:hAnsi="Arial"/>
          <w:sz w:val="14"/>
          <w:szCs w:val="14"/>
          <w:b w:val="1"/>
          <w:bCs w:val="1"/>
          <w:color w:val="auto"/>
        </w:rPr>
        <w:t>Operating Officer and Secretary</w:t>
      </w:r>
    </w:p>
    <w:p>
      <w:pPr>
        <w:sectPr>
          <w:pgSz w:w="11900" w:h="16838" w:orient="portrait"/>
          <w:cols w:equalWidth="0" w:num="1">
            <w:col w:w="11420"/>
          </w:cols>
          <w:pgMar w:left="240" w:top="125" w:right="239" w:bottom="1440" w:gutter="0" w:footer="0" w:header="0"/>
        </w:sectPr>
      </w:pPr>
    </w:p>
    <w:bookmarkStart w:id="138" w:name="page139"/>
    <w:bookmarkEnd w:id="138"/>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3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31, 2009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7920"/>
        <w:spacing w:after="0"/>
        <w:tabs>
          <w:tab w:leader="none" w:pos="824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r>
        <w:rPr>
          <w:rFonts w:ascii="Arial" w:cs="Arial" w:eastAsia="Arial" w:hAnsi="Arial"/>
          <w:sz w:val="16"/>
          <w:szCs w:val="16"/>
          <w:color w:val="auto"/>
        </w:rPr>
        <w:t xml:space="preserve"> P</w:t>
      </w:r>
      <w:r>
        <w:rPr>
          <w:rFonts w:ascii="Arial" w:cs="Arial" w:eastAsia="Arial" w:hAnsi="Arial"/>
          <w:sz w:val="13"/>
          <w:szCs w:val="13"/>
          <w:color w:val="auto"/>
        </w:rPr>
        <w:t>H</w:t>
      </w:r>
      <w:r>
        <w:rPr>
          <w:rFonts w:ascii="Arial" w:cs="Arial" w:eastAsia="Arial" w:hAnsi="Arial"/>
          <w:sz w:val="16"/>
          <w:szCs w:val="16"/>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jc w:val="center"/>
        <w:ind w:left="6860"/>
        <w:spacing w:after="0"/>
        <w:rPr>
          <w:sz w:val="20"/>
          <w:szCs w:val="20"/>
          <w:color w:val="auto"/>
        </w:rPr>
      </w:pPr>
      <w:r>
        <w:rPr>
          <w:rFonts w:ascii="Arial" w:cs="Arial" w:eastAsia="Arial" w:hAnsi="Arial"/>
          <w:sz w:val="14"/>
          <w:szCs w:val="14"/>
          <w:b w:val="1"/>
          <w:bCs w:val="1"/>
          <w:color w:val="auto"/>
        </w:rPr>
        <w:t>Sehat Sutardja Ph.D.</w:t>
      </w:r>
    </w:p>
    <w:p>
      <w:pPr>
        <w:spacing w:after="0" w:line="1"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President and Chief Executive Officer</w:t>
      </w:r>
    </w:p>
    <w:p>
      <w:pPr>
        <w:spacing w:after="0" w:line="19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31, 2009</w:t>
      </w:r>
    </w:p>
    <w:p>
      <w:pPr>
        <w:sectPr>
          <w:pgSz w:w="11900" w:h="16838" w:orient="portrait"/>
          <w:cols w:equalWidth="0" w:num="1">
            <w:col w:w="11420"/>
          </w:cols>
          <w:pgMar w:left="240" w:top="125" w:right="239" w:bottom="1440" w:gutter="0" w:footer="0" w:header="0"/>
        </w:sectPr>
      </w:pPr>
    </w:p>
    <w:bookmarkStart w:id="139" w:name="page140"/>
    <w:bookmarkEnd w:id="139"/>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3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31, 2009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8180"/>
        <w:spacing w:after="0"/>
        <w:tabs>
          <w:tab w:leader="none" w:pos="850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jc w:val="center"/>
        <w:ind w:left="6860"/>
        <w:spacing w:after="0"/>
        <w:rPr>
          <w:sz w:val="20"/>
          <w:szCs w:val="20"/>
          <w:color w:val="auto"/>
        </w:rPr>
      </w:pPr>
      <w:r>
        <w:rPr>
          <w:rFonts w:ascii="Arial" w:cs="Arial" w:eastAsia="Arial" w:hAnsi="Arial"/>
          <w:sz w:val="14"/>
          <w:szCs w:val="14"/>
          <w:b w:val="1"/>
          <w:bCs w:val="1"/>
          <w:color w:val="auto"/>
        </w:rPr>
        <w:t>Clyde R. Hosein</w:t>
      </w:r>
    </w:p>
    <w:p>
      <w:pPr>
        <w:jc w:val="center"/>
        <w:ind w:left="6860"/>
        <w:spacing w:after="0" w:line="223" w:lineRule="auto"/>
        <w:rPr>
          <w:sz w:val="20"/>
          <w:szCs w:val="20"/>
          <w:color w:val="auto"/>
        </w:rPr>
      </w:pPr>
      <w:r>
        <w:rPr>
          <w:rFonts w:ascii="Arial" w:cs="Arial" w:eastAsia="Arial" w:hAnsi="Arial"/>
          <w:sz w:val="14"/>
          <w:szCs w:val="14"/>
          <w:b w:val="1"/>
          <w:bCs w:val="1"/>
          <w:color w:val="auto"/>
        </w:rPr>
        <w:t>Chief Financial Officer, Interim Chief</w:t>
      </w:r>
    </w:p>
    <w:p>
      <w:pPr>
        <w:jc w:val="center"/>
        <w:ind w:left="6860"/>
        <w:spacing w:after="0"/>
        <w:rPr>
          <w:sz w:val="20"/>
          <w:szCs w:val="20"/>
          <w:color w:val="auto"/>
        </w:rPr>
      </w:pPr>
      <w:r>
        <w:rPr>
          <w:rFonts w:ascii="Arial" w:cs="Arial" w:eastAsia="Arial" w:hAnsi="Arial"/>
          <w:sz w:val="14"/>
          <w:szCs w:val="14"/>
          <w:b w:val="1"/>
          <w:bCs w:val="1"/>
          <w:color w:val="auto"/>
        </w:rPr>
        <w:t>Operating Officer and Secretary</w:t>
      </w:r>
    </w:p>
    <w:p>
      <w:pPr>
        <w:spacing w:after="0" w:line="19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31, 2009</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F2DBA31"/>
    <w:multiLevelType w:val="hybridMultilevel"/>
    <w:lvl w:ilvl="0">
      <w:lvlJc w:val="left"/>
      <w:lvlText w:val="☒"/>
      <w:numFmt w:val="bullet"/>
      <w:start w:val="1"/>
    </w:lvl>
  </w:abstractNum>
  <w:abstractNum w:abstractNumId="1">
    <w:nsid w:val="7C83E458"/>
    <w:multiLevelType w:val="hybridMultilevel"/>
    <w:lvl w:ilvl="0">
      <w:lvlJc w:val="left"/>
      <w:lvlText w:val="☐"/>
      <w:numFmt w:val="bullet"/>
      <w:start w:val="1"/>
    </w:lvl>
  </w:abstractNum>
  <w:abstractNum w:abstractNumId="2">
    <w:nsid w:val="257130A3"/>
    <w:multiLevelType w:val="hybridMultilevel"/>
    <w:lvl w:ilvl="0">
      <w:lvlJc w:val="left"/>
      <w:lvlText w:val="•"/>
      <w:numFmt w:val="bullet"/>
      <w:start w:val="1"/>
    </w:lvl>
  </w:abstractNum>
  <w:abstractNum w:abstractNumId="3">
    <w:nsid w:val="62BBD95A"/>
    <w:multiLevelType w:val="hybridMultilevel"/>
    <w:lvl w:ilvl="0">
      <w:lvlJc w:val="left"/>
      <w:lvlText w:val="(%1)"/>
      <w:numFmt w:val="decimal"/>
      <w:start w:val="1"/>
    </w:lvl>
  </w:abstractNum>
  <w:abstractNum w:abstractNumId="4">
    <w:nsid w:val="436C6125"/>
    <w:multiLevelType w:val="hybridMultilevel"/>
    <w:lvl w:ilvl="0">
      <w:lvlJc w:val="left"/>
      <w:lvlText w:val="•"/>
      <w:numFmt w:val="bullet"/>
      <w:start w:val="1"/>
    </w:lvl>
  </w:abstractNum>
  <w:abstractNum w:abstractNumId="5">
    <w:nsid w:val="628C895D"/>
    <w:multiLevelType w:val="hybridMultilevel"/>
    <w:lvl w:ilvl="0">
      <w:lvlJc w:val="left"/>
      <w:lvlText w:val="•"/>
      <w:numFmt w:val="bullet"/>
      <w:start w:val="1"/>
    </w:lvl>
  </w:abstractNum>
  <w:abstractNum w:abstractNumId="6">
    <w:nsid w:val="333AB105"/>
    <w:multiLevelType w:val="hybridMultilevel"/>
    <w:lvl w:ilvl="0">
      <w:lvlJc w:val="left"/>
      <w:lvlText w:val="•"/>
      <w:numFmt w:val="bullet"/>
      <w:start w:val="1"/>
    </w:lvl>
  </w:abstractNum>
  <w:abstractNum w:abstractNumId="7">
    <w:nsid w:val="721DA317"/>
    <w:multiLevelType w:val="hybridMultilevel"/>
    <w:lvl w:ilvl="0">
      <w:lvlJc w:val="left"/>
      <w:lvlText w:val="•"/>
      <w:numFmt w:val="bullet"/>
      <w:start w:val="1"/>
    </w:lvl>
  </w:abstractNum>
  <w:abstractNum w:abstractNumId="8">
    <w:nsid w:val="2443A858"/>
    <w:multiLevelType w:val="hybridMultilevel"/>
    <w:lvl w:ilvl="0">
      <w:lvlJc w:val="left"/>
      <w:lvlText w:val="•"/>
      <w:numFmt w:val="bullet"/>
      <w:start w:val="1"/>
    </w:lvl>
  </w:abstractNum>
  <w:abstractNum w:abstractNumId="9">
    <w:nsid w:val="2D1D5AE9"/>
    <w:multiLevelType w:val="hybridMultilevel"/>
    <w:lvl w:ilvl="0">
      <w:lvlJc w:val="left"/>
      <w:lvlText w:val="•"/>
      <w:numFmt w:val="bullet"/>
      <w:start w:val="1"/>
    </w:lvl>
  </w:abstractNum>
  <w:abstractNum w:abstractNumId="10">
    <w:nsid w:val="6763845E"/>
    <w:multiLevelType w:val="hybridMultilevel"/>
    <w:lvl w:ilvl="0">
      <w:lvlJc w:val="left"/>
      <w:lvlText w:val="•"/>
      <w:numFmt w:val="bullet"/>
      <w:start w:val="1"/>
    </w:lvl>
  </w:abstractNum>
  <w:abstractNum w:abstractNumId="11">
    <w:nsid w:val="75A2A8D4"/>
    <w:multiLevelType w:val="hybridMultilevel"/>
    <w:lvl w:ilvl="0">
      <w:lvlJc w:val="left"/>
      <w:lvlText w:val="•"/>
      <w:numFmt w:val="bullet"/>
      <w:start w:val="1"/>
    </w:lvl>
  </w:abstractNum>
  <w:abstractNum w:abstractNumId="12">
    <w:nsid w:val="8EDBDAB"/>
    <w:multiLevelType w:val="hybridMultilevel"/>
    <w:lvl w:ilvl="0">
      <w:lvlJc w:val="left"/>
      <w:lvlText w:val="(%1)"/>
      <w:numFmt w:val="decimal"/>
      <w:start w:val="1"/>
    </w:lvl>
  </w:abstractNum>
  <w:abstractNum w:abstractNumId="13">
    <w:nsid w:val="79838CB2"/>
    <w:multiLevelType w:val="hybridMultilevel"/>
    <w:lvl w:ilvl="0">
      <w:lvlJc w:val="left"/>
      <w:lvlText w:val="(%1)"/>
      <w:numFmt w:val="decimal"/>
      <w:start w:val="2"/>
    </w:lvl>
  </w:abstractNum>
  <w:abstractNum w:abstractNumId="14">
    <w:nsid w:val="4353D0CD"/>
    <w:multiLevelType w:val="hybridMultilevel"/>
    <w:lvl w:ilvl="0">
      <w:lvlJc w:val="left"/>
      <w:lvlText w:val="%1."/>
      <w:numFmt w:val="decimal"/>
      <w:start w:val="2"/>
    </w:lvl>
  </w:abstractNum>
  <w:abstractNum w:abstractNumId="15">
    <w:nsid w:val="B03E0C6"/>
    <w:multiLevelType w:val="hybridMultilevel"/>
    <w:lvl w:ilvl="0">
      <w:lvlJc w:val="left"/>
      <w:lvlText w:val="*"/>
      <w:numFmt w:val="bullet"/>
      <w:start w:val="1"/>
    </w:lvl>
  </w:abstractNum>
  <w:abstractNum w:abstractNumId="16">
    <w:nsid w:val="189A769B"/>
    <w:multiLevelType w:val="hybridMultilevel"/>
    <w:lvl w:ilvl="0">
      <w:lvlJc w:val="left"/>
      <w:lvlText w:val="(%1)"/>
      <w:numFmt w:val="decimal"/>
      <w:start w:val="1"/>
    </w:lvl>
  </w:abstractNum>
  <w:abstractNum w:abstractNumId="17">
    <w:nsid w:val="54E49EB4"/>
    <w:multiLevelType w:val="hybridMultilevel"/>
    <w:lvl w:ilvl="0">
      <w:lvlJc w:val="left"/>
      <w:lvlText w:val="(%1)"/>
      <w:numFmt w:val="decimal"/>
      <w:start w:val="1"/>
    </w:lvl>
  </w:abstractNum>
  <w:abstractNum w:abstractNumId="18">
    <w:nsid w:val="71F32454"/>
    <w:multiLevelType w:val="hybridMultilevel"/>
    <w:lvl w:ilvl="0">
      <w:lvlJc w:val="left"/>
      <w:lvlText w:val="(%1)"/>
      <w:numFmt w:val="decimal"/>
      <w:start w:val="1"/>
    </w:lvl>
  </w:abstractNum>
  <w:abstractNum w:abstractNumId="19">
    <w:nsid w:val="2CA88611"/>
    <w:multiLevelType w:val="hybridMultilevel"/>
    <w:lvl w:ilvl="0">
      <w:lvlJc w:val="left"/>
      <w:lvlText w:val="(%1)"/>
      <w:numFmt w:val="decimal"/>
      <w:start w:val="3"/>
    </w:lvl>
  </w:abstractNum>
  <w:abstractNum w:abstractNumId="20">
    <w:nsid w:val="836C40E"/>
    <w:multiLevelType w:val="hybridMultilevel"/>
    <w:lvl w:ilvl="0">
      <w:lvlJc w:val="left"/>
      <w:lvlText w:val="(%1)"/>
      <w:numFmt w:val="decimal"/>
      <w:start w:val="1"/>
    </w:lvl>
  </w:abstractNum>
  <w:abstractNum w:abstractNumId="21">
    <w:nsid w:val="2901D82"/>
    <w:multiLevelType w:val="hybridMultilevel"/>
    <w:lvl w:ilvl="0">
      <w:lvlJc w:val="left"/>
      <w:lvlText w:val="(%1)"/>
      <w:numFmt w:val="lowerLetter"/>
      <w:start w:val="1"/>
    </w:lvl>
  </w:abstractNum>
  <w:abstractNum w:abstractNumId="22">
    <w:nsid w:val="3A95F874"/>
    <w:multiLevelType w:val="hybridMultilevel"/>
    <w:lvl w:ilvl="0">
      <w:lvlJc w:val="left"/>
      <w:lvlText w:val="%1."/>
      <w:numFmt w:val="decimal"/>
      <w:start w:val="1"/>
    </w:lvl>
  </w:abstractNum>
  <w:abstractNum w:abstractNumId="23">
    <w:nsid w:val="8138641"/>
    <w:multiLevelType w:val="hybridMultilevel"/>
    <w:lvl w:ilvl="0">
      <w:lvlJc w:val="left"/>
      <w:lvlText w:val="%1."/>
      <w:numFmt w:val="decimal"/>
      <w:start w:val="2"/>
    </w:lvl>
  </w:abstractNum>
  <w:abstractNum w:abstractNumId="24">
    <w:nsid w:val="1E7FF521"/>
    <w:multiLevelType w:val="hybridMultilevel"/>
    <w:lvl w:ilvl="0">
      <w:lvlJc w:val="left"/>
      <w:lvlText w:val="%1."/>
      <w:numFmt w:val="decimal"/>
      <w:start w:val="3"/>
    </w:lvl>
  </w:abstractNum>
  <w:abstractNum w:abstractNumId="25">
    <w:nsid w:val="7C3DBD3D"/>
    <w:multiLevelType w:val="hybridMultilevel"/>
    <w:lvl w:ilvl="0">
      <w:lvlJc w:val="left"/>
      <w:lvlText w:val="(%1)"/>
      <w:numFmt w:val="lowerLetter"/>
      <w:start w:val="2"/>
    </w:lvl>
  </w:abstractNum>
  <w:abstractNum w:abstractNumId="26">
    <w:nsid w:val="737B8DDC"/>
    <w:multiLevelType w:val="hybridMultilevel"/>
    <w:lvl w:ilvl="0">
      <w:lvlJc w:val="left"/>
      <w:lvlText w:val="#"/>
      <w:numFmt w:val="bullet"/>
      <w:start w:val="1"/>
    </w:lvl>
  </w:abstractNum>
  <w:abstractNum w:abstractNumId="27">
    <w:nsid w:val="6CEAF087"/>
    <w:multiLevelType w:val="hybridMultilevel"/>
    <w:lvl w:ilvl="0">
      <w:lvlJc w:val="left"/>
      <w:lvlText w:val="*"/>
      <w:numFmt w:val="bullet"/>
      <w:start w:val="1"/>
    </w:lvl>
  </w:abstractNum>
  <w:abstractNum w:abstractNumId="28">
    <w:nsid w:val="22221A70"/>
    <w:multiLevelType w:val="hybridMultilevel"/>
    <w:lvl w:ilvl="0">
      <w:lvlJc w:val="left"/>
      <w:lvlText w:val="(%1)"/>
      <w:numFmt w:val="lowerLetter"/>
      <w:start w:val="3"/>
    </w:lvl>
  </w:abstractNum>
  <w:abstractNum w:abstractNumId="29">
    <w:nsid w:val="4516DDE9"/>
    <w:multiLevelType w:val="hybridMultilevel"/>
    <w:lvl w:ilvl="0">
      <w:lvlJc w:val="left"/>
      <w:lvlText w:val="#"/>
      <w:numFmt w:val="bullet"/>
      <w:start w:val="1"/>
    </w:lvl>
  </w:abstractNum>
  <w:abstractNum w:abstractNumId="30">
    <w:nsid w:val="3006C83E"/>
    <w:multiLevelType w:val="hybridMultilevel"/>
    <w:lvl w:ilvl="0">
      <w:lvlJc w:val="left"/>
      <w:lvlText w:val="*"/>
      <w:numFmt w:val="bullet"/>
      <w:start w:val="1"/>
    </w:lvl>
  </w:abstractNum>
  <w:abstractNum w:abstractNumId="31">
    <w:nsid w:val="614FD4A1"/>
    <w:multiLevelType w:val="hybridMultilevel"/>
    <w:lvl w:ilvl="0">
      <w:lvlJc w:val="left"/>
      <w:lvlText w:val="~"/>
      <w:numFmt w:val="bullet"/>
      <w:start w:val="1"/>
    </w:lvl>
  </w:abstractNum>
  <w:abstractNum w:abstractNumId="32">
    <w:nsid w:val="419AC241"/>
    <w:multiLevelType w:val="hybridMultilevel"/>
    <w:lvl w:ilvl="0">
      <w:lvlJc w:val="left"/>
      <w:lvlText w:val="%1."/>
      <w:numFmt w:val="decimal"/>
      <w:start w:val="1"/>
    </w:lvl>
    <w:lvl w:ilvl="1">
      <w:lvlJc w:val="left"/>
      <w:lvlText w:val="%2)"/>
      <w:numFmt w:val="lowerLetter"/>
      <w:start w:val="1"/>
    </w:lvl>
  </w:abstractNum>
  <w:abstractNum w:abstractNumId="33">
    <w:nsid w:val="5577F8E1"/>
    <w:multiLevelType w:val="hybridMultilevel"/>
    <w:lvl w:ilvl="0">
      <w:lvlJc w:val="left"/>
      <w:lvlText w:val="%1."/>
      <w:numFmt w:val="decimal"/>
      <w:start w:val="1"/>
    </w:lvl>
    <w:lvl w:ilvl="1">
      <w:lvlJc w:val="left"/>
      <w:lvlText w:val="%2)"/>
      <w:numFmt w:val="lowerLetter"/>
      <w:start w:val="1"/>
    </w:lvl>
  </w:abstractNum>
  <w:abstractNum w:abstractNumId="34">
    <w:nsid w:val="440BADFC"/>
    <w:multiLevelType w:val="hybridMultilevel"/>
    <w:lvl w:ilvl="0">
      <w:lvlJc w:val="left"/>
      <w:lvlText w:val="(%1)"/>
      <w:numFmt w:val="lowerRoman"/>
      <w:start w:val="1"/>
    </w:lvl>
  </w:abstractNum>
  <w:abstractNum w:abstractNumId="35">
    <w:nsid w:val="507236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jpe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2019-12-10T17:27:59Z</dcterms:created>
  <dcterms:modified xsi:type="dcterms:W3CDTF">2019-12-10T17:27:59Z</dcterms:modified>
</cp:coreProperties>
</file>