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36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UNITED STATES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153035</wp:posOffset>
            </wp:positionH>
            <wp:positionV relativeFrom="paragraph">
              <wp:posOffset>-113030</wp:posOffset>
            </wp:positionV>
            <wp:extent cx="734695" cy="7435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left="152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4"/>
          <w:szCs w:val="24"/>
          <w:b w:val="1"/>
          <w:bCs w:val="1"/>
          <w:color w:val="auto"/>
        </w:rPr>
        <w:t>SECURITIES AND EXCHANGE COMMISSION</w:t>
      </w:r>
    </w:p>
    <w:p>
      <w:pPr>
        <w:ind w:left="430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20"/>
          <w:szCs w:val="20"/>
          <w:b w:val="1"/>
          <w:bCs w:val="1"/>
          <w:color w:val="auto"/>
        </w:rPr>
        <w:t>WASHINGTON, D.C. 20549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DIVISION OF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entury Gothic" w:cs="Century Gothic" w:eastAsia="Century Gothic" w:hAnsi="Century Gothic"/>
          <w:sz w:val="14"/>
          <w:szCs w:val="14"/>
          <w:color w:val="auto"/>
        </w:rPr>
        <w:t>CORPORATION FINANCE</w:t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Mail Stop 3030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May 7, 2009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Clyde Hosein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Chief Financial Officer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Marvell Technology Group Ltd.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5488 Marvell Lane</w:t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Santa Clara, CA 95054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900"/>
        <w:spacing w:after="0"/>
        <w:tabs>
          <w:tab w:leader="none" w:pos="16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Re:</w:t>
        <w:tab/>
        <w:t>Marvell Technology Group Ltd.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Form 10-K for the Fiscal-Year ended January 31, 2009</w:t>
      </w: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Filed April 1, 2009</w:t>
      </w: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File No. 000-30877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Dear Mr. Hosein: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80" w:firstLine="72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We have completed our review of your Form 10-K and related filings and do not, at this time, have any further comments.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Angela Crane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5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Branch Chief</w:t>
      </w:r>
    </w:p>
    <w:sectPr>
      <w:pgSz w:w="12240" w:h="15840" w:orient="portrait"/>
      <w:cols w:equalWidth="0" w:num="1">
        <w:col w:w="10420"/>
      </w:cols>
      <w:pgMar w:left="1260" w:top="1416" w:right="56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2019-12-10T16:24:27Z</dcterms:created>
  <dcterms:modified xsi:type="dcterms:W3CDTF">2019-12-10T16:24:27Z</dcterms:modified>
</cp:coreProperties>
</file>