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5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6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9"/>
          <w:szCs w:val="19"/>
          <w:color w:val="auto"/>
          <w:highlight w:val="black"/>
        </w:rPr>
      </w:pPr>
      <w:r>
        <w:rPr>
          <w:rFonts w:ascii="Arial" w:cs="Arial" w:eastAsia="Arial" w:hAnsi="Arial"/>
          <w:sz w:val="19"/>
          <w:szCs w:val="19"/>
          <w:b w:val="1"/>
          <w:bCs w:val="1"/>
          <w:color w:val="auto"/>
        </w:rPr>
        <w:t>Quarterly Report Pursuant to Section 13 or 15(d) of the Securities Exchange Act of 1934</w:t>
      </w:r>
    </w:p>
    <w:p>
      <w:pPr>
        <w:spacing w:after="0" w:line="18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 the quarterly period ended August 1, 2009</w:t>
      </w:r>
    </w:p>
    <w:p>
      <w:pPr>
        <w:spacing w:after="0" w:line="17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9"/>
          <w:szCs w:val="19"/>
          <w:color w:val="auto"/>
          <w:highlight w:val="black"/>
        </w:rPr>
      </w:pPr>
      <w:r>
        <w:rPr>
          <w:rFonts w:ascii="Arial" w:cs="Arial" w:eastAsia="Arial" w:hAnsi="Arial"/>
          <w:sz w:val="19"/>
          <w:szCs w:val="19"/>
          <w:b w:val="1"/>
          <w:bCs w:val="1"/>
          <w:color w:val="auto"/>
        </w:rPr>
        <w:t>Transition Report Pursuant to Section 13 or 15(d) of the Securities Exchange Act of 1934</w:t>
      </w:r>
    </w:p>
    <w:p>
      <w:pPr>
        <w:sectPr>
          <w:pgSz w:w="11900" w:h="16838" w:orient="portrait"/>
          <w:cols w:equalWidth="0" w:num="1">
            <w:col w:w="11420"/>
          </w:cols>
          <w:pgMar w:left="240" w:top="230" w:right="239" w:bottom="1440" w:gutter="0" w:footer="0" w:header="0"/>
        </w:sectPr>
      </w:pPr>
    </w:p>
    <w:p>
      <w:pPr>
        <w:spacing w:after="0" w:line="213" w:lineRule="exact"/>
        <w:rPr>
          <w:sz w:val="24"/>
          <w:szCs w:val="24"/>
          <w:color w:val="auto"/>
        </w:rPr>
      </w:pPr>
    </w:p>
    <w:p>
      <w:pPr>
        <w:ind w:left="460"/>
        <w:spacing w:after="0"/>
        <w:rPr>
          <w:sz w:val="20"/>
          <w:szCs w:val="20"/>
          <w:color w:val="auto"/>
        </w:rPr>
      </w:pPr>
      <w:r>
        <w:rPr>
          <w:rFonts w:ascii="Arial" w:cs="Arial" w:eastAsia="Arial" w:hAnsi="Arial"/>
          <w:sz w:val="16"/>
          <w:szCs w:val="16"/>
          <w:b w:val="1"/>
          <w:bCs w:val="1"/>
          <w:color w:val="auto"/>
        </w:rPr>
        <w:t>For the transition period from</w:t>
      </w:r>
    </w:p>
    <w:p>
      <w:pPr>
        <w:spacing w:after="0" w:line="20" w:lineRule="exact"/>
        <w:rPr>
          <w:sz w:val="24"/>
          <w:szCs w:val="24"/>
          <w:color w:val="auto"/>
        </w:rPr>
      </w:pPr>
      <w:r>
        <w:rPr>
          <w:sz w:val="24"/>
          <w:szCs w:val="24"/>
          <w:color w:val="auto"/>
        </w:rPr>
        <w:br w:type="column"/>
      </w:r>
    </w:p>
    <w:p>
      <w:pPr>
        <w:spacing w:after="0" w:line="19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to</w:t>
      </w:r>
    </w:p>
    <w:p>
      <w:pPr>
        <w:spacing w:after="0" w:line="194" w:lineRule="exact"/>
        <w:rPr>
          <w:sz w:val="24"/>
          <w:szCs w:val="24"/>
          <w:color w:val="auto"/>
        </w:rPr>
      </w:pPr>
    </w:p>
    <w:p>
      <w:pPr>
        <w:sectPr>
          <w:pgSz w:w="11900" w:h="16838" w:orient="portrait"/>
          <w:cols w:equalWidth="0" w:num="2">
            <w:col w:w="2740" w:space="600"/>
            <w:col w:w="808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5"/>
          <w:szCs w:val="15"/>
          <w:b w:val="1"/>
          <w:bCs w:val="1"/>
          <w:color w:val="auto"/>
        </w:rPr>
        <w:t>Commission file number: 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217170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00" w:lineRule="exact"/>
        <w:rPr>
          <w:sz w:val="24"/>
          <w:szCs w:val="24"/>
          <w:color w:val="auto"/>
        </w:rPr>
      </w:pPr>
    </w:p>
    <w:p>
      <w:pPr>
        <w:spacing w:after="0" w:line="274" w:lineRule="exact"/>
        <w:rPr>
          <w:sz w:val="24"/>
          <w:szCs w:val="24"/>
          <w:color w:val="auto"/>
        </w:rPr>
      </w:pPr>
    </w:p>
    <w:p>
      <w:pPr>
        <w:jc w:val="center"/>
        <w:ind w:right="-19"/>
        <w:spacing w:after="0"/>
        <w:rPr>
          <w:sz w:val="20"/>
          <w:szCs w:val="20"/>
          <w:color w:val="auto"/>
        </w:rPr>
      </w:pPr>
      <w:r>
        <w:rPr>
          <w:rFonts w:ascii="Arial" w:cs="Arial" w:eastAsia="Arial" w:hAnsi="Arial"/>
          <w:sz w:val="39"/>
          <w:szCs w:val="39"/>
          <w:b w:val="1"/>
          <w:bCs w:val="1"/>
          <w:color w:val="auto"/>
        </w:rPr>
        <w:t>Marvell Technology Group Ltd.</w:t>
      </w:r>
    </w:p>
    <w:p>
      <w:pPr>
        <w:spacing w:after="0" w:line="95"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180340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00" w:lineRule="exact"/>
        <w:rPr>
          <w:sz w:val="24"/>
          <w:szCs w:val="24"/>
          <w:color w:val="auto"/>
        </w:rPr>
      </w:pPr>
    </w:p>
    <w:p>
      <w:pPr>
        <w:spacing w:after="0" w:line="313"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171450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00" w:lineRule="exact"/>
        <w:rPr>
          <w:sz w:val="24"/>
          <w:szCs w:val="24"/>
          <w:color w:val="auto"/>
        </w:rPr>
      </w:pPr>
    </w:p>
    <w:p>
      <w:pPr>
        <w:spacing w:after="0" w:line="237" w:lineRule="exact"/>
        <w:rPr>
          <w:sz w:val="24"/>
          <w:szCs w:val="24"/>
          <w:color w:val="auto"/>
        </w:rPr>
      </w:pPr>
    </w:p>
    <w:p>
      <w:pPr>
        <w:ind w:right="30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2"/>
              </w:rPr>
              <w:t>The number of common shares of the registrant outstanding as of August 31, 2009 was 622,706,833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020" w:type="dxa"/>
            <w:vAlign w:val="bottom"/>
            <w:gridSpan w:val="12"/>
            <w:vMerge w:val="restart"/>
          </w:tcPr>
          <w:p>
            <w:pPr>
              <w:jc w:val="center"/>
              <w:ind w:right="384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020" w:type="dxa"/>
            <w:vAlign w:val="bottom"/>
            <w:gridSpan w:val="12"/>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40" w:type="dxa"/>
            <w:vAlign w:val="bottom"/>
            <w:gridSpan w:val="1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7"/>
          </w:tcPr>
          <w:p>
            <w:pPr>
              <w:spacing w:after="0"/>
              <w:rPr>
                <w:sz w:val="24"/>
                <w:szCs w:val="24"/>
                <w:color w:val="auto"/>
              </w:rPr>
            </w:pPr>
          </w:p>
        </w:tc>
        <w:tc>
          <w:tcPr>
            <w:tcW w:w="3940" w:type="dxa"/>
            <w:vAlign w:val="bottom"/>
            <w:gridSpan w:val="4"/>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700" w:type="dxa"/>
            <w:vAlign w:val="bottom"/>
            <w:tcBorders>
              <w:bottom w:val="single" w:sz="8" w:color="0000EE"/>
            </w:tcBorders>
            <w:gridSpan w:val="18"/>
          </w:tcPr>
          <w:p>
            <w:pPr>
              <w:spacing w:after="0"/>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August 1, 2009 and January 31, 2009</w:t>
              </w:r>
            </w:hyperlink>
          </w:p>
        </w:tc>
        <w:tc>
          <w:tcPr>
            <w:tcW w:w="356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1"/>
          </w:tcPr>
          <w:p>
            <w:pPr>
              <w:spacing w:after="0"/>
              <w:rPr>
                <w:rFonts w:ascii="Arial" w:cs="Arial" w:eastAsia="Arial" w:hAnsi="Arial"/>
                <w:sz w:val="18"/>
                <w:szCs w:val="18"/>
                <w:color w:val="0000EE"/>
                <w:w w:val="95"/>
              </w:rPr>
            </w:pPr>
            <w:hyperlink w:anchor="page4">
              <w:r>
                <w:rPr>
                  <w:rFonts w:ascii="Arial" w:cs="Arial" w:eastAsia="Arial" w:hAnsi="Arial"/>
                  <w:sz w:val="18"/>
                  <w:szCs w:val="18"/>
                  <w:color w:val="0000EE"/>
                  <w:w w:val="95"/>
                </w:rPr>
                <w:t>Unaudited Condensed Consolidated Statements of Operations for the three and six months ended August 1, 2009 and August 2, 2008</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360" w:type="dxa"/>
            <w:vAlign w:val="bottom"/>
            <w:tcBorders>
              <w:top w:val="single" w:sz="8" w:color="0000EE"/>
            </w:tcBorders>
            <w:gridSpan w:val="20"/>
          </w:tcPr>
          <w:p>
            <w:pPr>
              <w:spacing w:after="0"/>
              <w:rPr>
                <w:rFonts w:ascii="Arial" w:cs="Arial" w:eastAsia="Arial" w:hAnsi="Arial"/>
                <w:sz w:val="18"/>
                <w:szCs w:val="18"/>
                <w:color w:val="0000EE"/>
                <w:w w:val="94"/>
              </w:rPr>
            </w:pPr>
            <w:hyperlink w:anchor="page5">
              <w:r>
                <w:rPr>
                  <w:rFonts w:ascii="Arial" w:cs="Arial" w:eastAsia="Arial" w:hAnsi="Arial"/>
                  <w:sz w:val="18"/>
                  <w:szCs w:val="18"/>
                  <w:color w:val="0000EE"/>
                  <w:w w:val="94"/>
                </w:rPr>
                <w:t>Unaudited Condensed Consolidated Statements of Cash Flows for the six months ended August 1, 2009 and August 2, 2008</w:t>
              </w:r>
            </w:hyperlink>
          </w:p>
        </w:tc>
        <w:tc>
          <w:tcPr>
            <w:tcW w:w="90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14"/>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4040" w:type="dxa"/>
            <w:vAlign w:val="bottom"/>
            <w:tcBorders>
              <w:top w:val="single" w:sz="8" w:color="0000EE"/>
            </w:tcBorders>
            <w:gridSpan w:val="5"/>
          </w:tcPr>
          <w:p>
            <w:pPr>
              <w:spacing w:after="0"/>
              <w:rPr>
                <w:sz w:val="24"/>
                <w:szCs w:val="24"/>
                <w:color w:val="auto"/>
              </w:rPr>
            </w:pPr>
          </w:p>
        </w:tc>
        <w:tc>
          <w:tcPr>
            <w:tcW w:w="154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3"/>
          </w:tcPr>
          <w:p>
            <w:pPr>
              <w:spacing w:after="0"/>
              <w:rPr>
                <w:rFonts w:ascii="Arial" w:cs="Arial" w:eastAsia="Arial" w:hAnsi="Arial"/>
                <w:sz w:val="18"/>
                <w:szCs w:val="18"/>
                <w:color w:val="0000EE"/>
                <w:w w:val="89"/>
              </w:rPr>
            </w:pPr>
            <w:hyperlink w:anchor="page3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3"/>
          </w:tcPr>
          <w:p>
            <w:pPr>
              <w:spacing w:after="0"/>
              <w:rPr>
                <w:sz w:val="24"/>
                <w:szCs w:val="24"/>
                <w:color w:val="auto"/>
              </w:rPr>
            </w:pPr>
          </w:p>
        </w:tc>
        <w:tc>
          <w:tcPr>
            <w:tcW w:w="39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260" w:type="dxa"/>
            <w:vAlign w:val="bottom"/>
            <w:gridSpan w:val="21"/>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540" w:type="dxa"/>
            <w:vAlign w:val="bottom"/>
          </w:tcPr>
          <w:p>
            <w:pPr>
              <w:spacing w:after="0"/>
              <w:rPr>
                <w:sz w:val="24"/>
                <w:szCs w:val="24"/>
                <w:color w:val="auto"/>
              </w:rPr>
            </w:pPr>
          </w:p>
        </w:tc>
        <w:tc>
          <w:tcPr>
            <w:tcW w:w="7980" w:type="dxa"/>
            <w:vAlign w:val="bottom"/>
            <w:gridSpan w:val="13"/>
          </w:tcPr>
          <w:p>
            <w:pPr>
              <w:ind w:left="960"/>
              <w:spacing w:after="0"/>
              <w:rPr>
                <w:rFonts w:ascii="Arial" w:cs="Arial" w:eastAsia="Arial" w:hAnsi="Arial"/>
                <w:sz w:val="18"/>
                <w:szCs w:val="18"/>
                <w:b w:val="1"/>
                <w:bCs w:val="1"/>
                <w:color w:val="0000EE"/>
              </w:rPr>
            </w:pPr>
            <w:hyperlink w:anchor="page40">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240" w:type="dxa"/>
            <w:vAlign w:val="bottom"/>
            <w:gridSpan w:val="9"/>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Legal Proceedings</w:t>
              </w:r>
            </w:hyperlink>
          </w:p>
        </w:tc>
        <w:tc>
          <w:tcPr>
            <w:tcW w:w="2700" w:type="dxa"/>
            <w:vAlign w:val="bottom"/>
            <w:tcBorders>
              <w:top w:val="single" w:sz="8" w:color="0000EE"/>
            </w:tcBorders>
            <w:gridSpan w:val="6"/>
          </w:tcPr>
          <w:p>
            <w:pPr>
              <w:spacing w:after="0"/>
              <w:rPr>
                <w:sz w:val="24"/>
                <w:szCs w:val="24"/>
                <w:color w:val="auto"/>
              </w:rPr>
            </w:pPr>
          </w:p>
        </w:tc>
        <w:tc>
          <w:tcPr>
            <w:tcW w:w="432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rPr>
                <w:rFonts w:ascii="Arial" w:cs="Arial" w:eastAsia="Arial" w:hAnsi="Arial"/>
                <w:sz w:val="18"/>
                <w:szCs w:val="18"/>
                <w:color w:val="0000EE"/>
              </w:rPr>
            </w:pPr>
            <w:hyperlink w:anchor="page40">
              <w:r>
                <w:rPr>
                  <w:rFonts w:ascii="Arial" w:cs="Arial" w:eastAsia="Arial" w:hAnsi="Arial"/>
                  <w:sz w:val="18"/>
                  <w:szCs w:val="18"/>
                  <w:color w:val="0000EE"/>
                </w:rPr>
                <w:t>Risk Factors</w:t>
              </w:r>
            </w:hyperlink>
          </w:p>
        </w:tc>
        <w:tc>
          <w:tcPr>
            <w:tcW w:w="8960" w:type="dxa"/>
            <w:vAlign w:val="bottom"/>
            <w:gridSpan w:val="1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1400" w:type="dxa"/>
            <w:vAlign w:val="bottom"/>
            <w:gridSpan w:val="3"/>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rPr>
                <w:rFonts w:ascii="Arial" w:cs="Arial" w:eastAsia="Arial" w:hAnsi="Arial"/>
                <w:sz w:val="18"/>
                <w:szCs w:val="18"/>
                <w:color w:val="0000EE"/>
              </w:rPr>
            </w:pPr>
            <w:hyperlink w:anchor="page56">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228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88"/>
              </w:rPr>
            </w:pPr>
            <w:hyperlink w:anchor="page56">
              <w:r>
                <w:rPr>
                  <w:rFonts w:ascii="Arial" w:cs="Arial" w:eastAsia="Arial" w:hAnsi="Arial"/>
                  <w:sz w:val="18"/>
                  <w:szCs w:val="18"/>
                  <w:color w:val="0000EE"/>
                  <w:w w:val="88"/>
                </w:rPr>
                <w:t>Defaults Upon Senior Securities</w:t>
              </w:r>
            </w:hyperlink>
          </w:p>
        </w:tc>
        <w:tc>
          <w:tcPr>
            <w:tcW w:w="1960" w:type="dxa"/>
            <w:vAlign w:val="bottom"/>
            <w:tcBorders>
              <w:top w:val="single" w:sz="8" w:color="0000EE"/>
            </w:tcBorders>
            <w:gridSpan w:val="4"/>
          </w:tcPr>
          <w:p>
            <w:pPr>
              <w:spacing w:after="0"/>
              <w:rPr>
                <w:sz w:val="24"/>
                <w:szCs w:val="24"/>
                <w:color w:val="auto"/>
              </w:rPr>
            </w:pPr>
          </w:p>
        </w:tc>
        <w:tc>
          <w:tcPr>
            <w:tcW w:w="602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3680" w:type="dxa"/>
            <w:vAlign w:val="bottom"/>
            <w:tcBorders>
              <w:bottom w:val="single" w:sz="8" w:color="0000EE"/>
            </w:tcBorders>
            <w:gridSpan w:val="11"/>
          </w:tcPr>
          <w:p>
            <w:pPr>
              <w:spacing w:after="0"/>
              <w:rPr>
                <w:rFonts w:ascii="Arial" w:cs="Arial" w:eastAsia="Arial" w:hAnsi="Arial"/>
                <w:sz w:val="18"/>
                <w:szCs w:val="18"/>
                <w:color w:val="0000EE"/>
                <w:w w:val="88"/>
              </w:rPr>
            </w:pPr>
            <w:hyperlink w:anchor="page56">
              <w:r>
                <w:rPr>
                  <w:rFonts w:ascii="Arial" w:cs="Arial" w:eastAsia="Arial" w:hAnsi="Arial"/>
                  <w:sz w:val="18"/>
                  <w:szCs w:val="18"/>
                  <w:color w:val="0000EE"/>
                  <w:w w:val="88"/>
                </w:rPr>
                <w:t>Submission of Matters to a Vote of Security Holders</w:t>
              </w:r>
            </w:hyperlink>
          </w:p>
        </w:tc>
        <w:tc>
          <w:tcPr>
            <w:tcW w:w="6580" w:type="dxa"/>
            <w:vAlign w:val="bottom"/>
            <w:gridSpan w:val="10"/>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5.</w:t>
            </w:r>
          </w:p>
        </w:tc>
        <w:tc>
          <w:tcPr>
            <w:tcW w:w="10260" w:type="dxa"/>
            <w:vAlign w:val="bottom"/>
            <w:gridSpan w:val="21"/>
          </w:tcPr>
          <w:p>
            <w:pPr>
              <w:spacing w:after="0"/>
              <w:rPr>
                <w:rFonts w:ascii="Arial" w:cs="Arial" w:eastAsia="Arial" w:hAnsi="Arial"/>
                <w:sz w:val="18"/>
                <w:szCs w:val="18"/>
                <w:color w:val="0000EE"/>
              </w:rPr>
            </w:pPr>
            <w:hyperlink w:anchor="page56">
              <w:r>
                <w:rPr>
                  <w:rFonts w:ascii="Arial" w:cs="Arial" w:eastAsia="Arial" w:hAnsi="Arial"/>
                  <w:sz w:val="18"/>
                  <w:szCs w:val="18"/>
                  <w:color w:val="0000EE"/>
                </w:rPr>
                <w:t>Other Information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280" w:type="dxa"/>
            <w:vAlign w:val="bottom"/>
            <w:tcBorders>
              <w:top w:val="single" w:sz="8" w:color="0000EE"/>
            </w:tcBorders>
            <w:gridSpan w:val="4"/>
          </w:tcPr>
          <w:p>
            <w:pPr>
              <w:spacing w:after="0"/>
              <w:rPr>
                <w:rFonts w:ascii="Arial" w:cs="Arial" w:eastAsia="Arial" w:hAnsi="Arial"/>
                <w:sz w:val="18"/>
                <w:szCs w:val="18"/>
                <w:color w:val="0000EE"/>
              </w:rPr>
            </w:pPr>
            <w:hyperlink w:anchor="page57">
              <w:r>
                <w:rPr>
                  <w:rFonts w:ascii="Arial" w:cs="Arial" w:eastAsia="Arial" w:hAnsi="Arial"/>
                  <w:sz w:val="18"/>
                  <w:szCs w:val="18"/>
                  <w:color w:val="0000EE"/>
                </w:rPr>
                <w:t>Exhibits</w:t>
              </w:r>
            </w:hyperlink>
          </w:p>
        </w:tc>
        <w:tc>
          <w:tcPr>
            <w:tcW w:w="8980" w:type="dxa"/>
            <w:vAlign w:val="bottom"/>
            <w:gridSpan w:val="1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58">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180" w:type="dxa"/>
            <w:vAlign w:val="bottom"/>
            <w:gridSpan w:val="2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140" w:type="dxa"/>
            <w:vAlign w:val="bottom"/>
            <w:gridSpan w:val="23"/>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860" w:type="dxa"/>
            <w:vAlign w:val="bottom"/>
            <w:gridSpan w:val="14"/>
          </w:tcPr>
          <w:p>
            <w:pPr>
              <w:jc w:val="right"/>
              <w:ind w:right="1060"/>
              <w:spacing w:after="0"/>
              <w:rPr>
                <w:sz w:val="20"/>
                <w:szCs w:val="20"/>
                <w:color w:val="auto"/>
              </w:rPr>
            </w:pPr>
            <w:r>
              <w:rPr>
                <w:rFonts w:ascii="Arial" w:cs="Arial" w:eastAsia="Arial" w:hAnsi="Arial"/>
                <w:sz w:val="18"/>
                <w:szCs w:val="18"/>
                <w:color w:val="auto"/>
              </w:rPr>
              <w:t>2</w:t>
            </w: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7"/>
              </w:rPr>
              <w:t>August 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80" w:type="dxa"/>
            <w:vAlign w:val="bottom"/>
            <w:shd w:val="clear" w:color="auto" w:fill="CCEEFF"/>
          </w:tcPr>
          <w:p>
            <w:pPr>
              <w:ind w:left="4240"/>
              <w:spacing w:after="0"/>
              <w:rPr>
                <w:sz w:val="20"/>
                <w:szCs w:val="20"/>
                <w:color w:val="auto"/>
              </w:rPr>
            </w:pPr>
            <w:r>
              <w:rPr>
                <w:rFonts w:ascii="Arial" w:cs="Arial" w:eastAsia="Arial" w:hAnsi="Arial"/>
                <w:sz w:val="18"/>
                <w:szCs w:val="18"/>
                <w:b w:val="1"/>
                <w:bCs w:val="1"/>
                <w:color w:val="auto"/>
              </w:rPr>
              <w:t>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Current assets: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1,254,807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927,409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24,500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receivable,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328,462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222,101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211,383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310,654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Prepaids and other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56,387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61,268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14,383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1,889,922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1,560,315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352,719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390,853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39,333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Goodwill</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1,997,662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1,997,630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229,778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286,534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132,117</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assets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4,641,531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vMerge w:val="restart"/>
          </w:tcPr>
          <w:p>
            <w:pPr>
              <w:ind w:left="2660"/>
              <w:spacing w:after="0"/>
              <w:rPr>
                <w:sz w:val="20"/>
                <w:szCs w:val="20"/>
                <w:color w:val="auto"/>
              </w:rPr>
            </w:pPr>
            <w:r>
              <w:rPr>
                <w:rFonts w:ascii="Arial" w:cs="Arial" w:eastAsia="Arial" w:hAnsi="Arial"/>
                <w:sz w:val="18"/>
                <w:szCs w:val="18"/>
                <w:b w:val="1"/>
                <w:bCs w:val="1"/>
                <w:color w:val="auto"/>
              </w:rPr>
              <w:t>LIABILITIES AND SHAREHOLDERS’ EQUITY</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6"/>
        </w:trPr>
        <w:tc>
          <w:tcPr>
            <w:tcW w:w="20" w:type="dxa"/>
            <w:vAlign w:val="bottom"/>
          </w:tcPr>
          <w:p>
            <w:pPr>
              <w:spacing w:after="0"/>
              <w:rPr>
                <w:sz w:val="24"/>
                <w:szCs w:val="24"/>
                <w:color w:val="auto"/>
              </w:rPr>
            </w:pPr>
          </w:p>
        </w:tc>
        <w:tc>
          <w:tcPr>
            <w:tcW w:w="93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9380" w:type="dxa"/>
            <w:vAlign w:val="bottom"/>
          </w:tcPr>
          <w:p>
            <w:pPr>
              <w:spacing w:after="0"/>
              <w:rPr>
                <w:sz w:val="9"/>
                <w:szCs w:val="9"/>
                <w:color w:val="auto"/>
              </w:rPr>
            </w:pPr>
          </w:p>
        </w:tc>
        <w:tc>
          <w:tcPr>
            <w:tcW w:w="8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8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Accounts payable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268,541</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139,028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Accrued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157,074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83,113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91,048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92,022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48,554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35,803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42,027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609,106</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409,648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115,556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123,379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58,296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784,459</w:t>
            </w:r>
          </w:p>
        </w:tc>
        <w:tc>
          <w:tcPr>
            <w:tcW w:w="3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585,133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9)</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Shareholders’ equity:</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Common shares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Additional paid-in capital</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4,453,177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4,372,265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loss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Accumulated deficit</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(596,677)</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shareholders’ equity</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3,857,072</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4,641,531</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5"/>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August 1,</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7"/>
              </w:rPr>
              <w:t>August 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640,620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842,575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1,162,054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1,646,650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288,059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405,913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545,689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794,755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192,664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249,714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392,913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488,189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32,384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41,834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65,030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87,922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28,562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30,989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130,058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43,940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26,446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34,988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56,802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70,235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4,956</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13,292</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costs and expenses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573,071</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763,438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1,203,784</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1,485,041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40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67,549</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79,137</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(41,730)</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161,609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1,721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Interest expense</w:t>
            </w: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(1,514)</w:t>
            </w: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(5,159)</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(1,602)</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(12,310)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67,828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78,383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(41,611)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156,163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9,335</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7,016</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11,353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58,493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(52,964)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141,306</w:t>
            </w: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(0.09)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80" w:type="dxa"/>
            <w:vAlign w:val="bottom"/>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(0.09)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620,881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606,860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619,779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604,041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648,110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637,832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619,779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631,091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20" w:type="dxa"/>
            <w:vAlign w:val="bottom"/>
          </w:tcPr>
          <w:p>
            <w:pPr>
              <w:spacing w:after="0"/>
              <w:rPr>
                <w:sz w:val="11"/>
                <w:szCs w:val="11"/>
                <w:color w:val="auto"/>
              </w:rPr>
            </w:pPr>
          </w:p>
        </w:tc>
        <w:tc>
          <w:tcPr>
            <w:tcW w:w="778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7"/>
              </w:rPr>
              <w:t>August 1,</w:t>
            </w:r>
          </w:p>
        </w:tc>
        <w:tc>
          <w:tcPr>
            <w:tcW w:w="1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15"/>
              <w:spacing w:after="0" w:line="129" w:lineRule="exact"/>
              <w:rPr>
                <w:sz w:val="20"/>
                <w:szCs w:val="20"/>
                <w:color w:val="auto"/>
              </w:rPr>
            </w:pPr>
            <w:r>
              <w:rPr>
                <w:rFonts w:ascii="Arial" w:cs="Arial" w:eastAsia="Arial" w:hAnsi="Arial"/>
                <w:sz w:val="14"/>
                <w:szCs w:val="14"/>
                <w:b w:val="1"/>
                <w:bCs w:val="1"/>
                <w:color w:val="auto"/>
                <w:w w:val="97"/>
              </w:rPr>
              <w:t>August 2,</w:t>
            </w:r>
          </w:p>
        </w:tc>
        <w:tc>
          <w:tcPr>
            <w:tcW w:w="10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77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880" w:type="dxa"/>
            <w:vAlign w:val="bottom"/>
            <w:gridSpan w:val="2"/>
          </w:tcPr>
          <w:p>
            <w:pPr>
              <w:jc w:val="right"/>
              <w:ind w:right="155"/>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7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6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80" w:type="dxa"/>
            <w:vAlign w:val="bottom"/>
          </w:tcPr>
          <w:p>
            <w:pPr>
              <w:spacing w:after="0"/>
              <w:rPr>
                <w:sz w:val="20"/>
                <w:szCs w:val="20"/>
                <w:color w:val="auto"/>
              </w:rPr>
            </w:pPr>
            <w:r>
              <w:rPr>
                <w:rFonts w:ascii="Arial" w:cs="Arial" w:eastAsia="Arial" w:hAnsi="Arial"/>
                <w:sz w:val="18"/>
                <w:szCs w:val="18"/>
                <w:color w:val="auto"/>
              </w:rPr>
              <w:t>Net income (loss)</w:t>
            </w:r>
          </w:p>
        </w:tc>
        <w:tc>
          <w:tcPr>
            <w:tcW w:w="17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(52,964)</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$ 141,306</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50,405</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56,650</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61,663</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92,853</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56,802</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70,235</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(3,076)</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(10,757)</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(69)</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(494)</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impact of derivative contracts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(827)</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Deferred income taxes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5,868</w:t>
            </w: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78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(24,500)</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(106,361)</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(138,626)</w:t>
            </w:r>
          </w:p>
        </w:tc>
      </w:tr>
      <w:tr>
        <w:trPr>
          <w:trHeight w:val="216"/>
        </w:trPr>
        <w:tc>
          <w:tcPr>
            <w:tcW w:w="20" w:type="dxa"/>
            <w:vAlign w:val="bottom"/>
          </w:tcPr>
          <w:p>
            <w:pPr>
              <w:spacing w:after="0"/>
              <w:rPr>
                <w:sz w:val="18"/>
                <w:szCs w:val="18"/>
                <w:color w:val="auto"/>
              </w:rPr>
            </w:pPr>
          </w:p>
        </w:tc>
        <w:tc>
          <w:tcPr>
            <w:tcW w:w="778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100,587</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103,327</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Prepaids and other assets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9,748</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42,810</w:t>
            </w:r>
          </w:p>
        </w:tc>
      </w:tr>
      <w:tr>
        <w:trPr>
          <w:trHeight w:val="216"/>
        </w:trPr>
        <w:tc>
          <w:tcPr>
            <w:tcW w:w="20" w:type="dxa"/>
            <w:vAlign w:val="bottom"/>
          </w:tcPr>
          <w:p>
            <w:pPr>
              <w:spacing w:after="0"/>
              <w:rPr>
                <w:sz w:val="18"/>
                <w:szCs w:val="18"/>
                <w:color w:val="auto"/>
              </w:rPr>
            </w:pPr>
          </w:p>
        </w:tc>
        <w:tc>
          <w:tcPr>
            <w:tcW w:w="778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133,781</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5,878</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69,059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(33,999)</w:t>
            </w:r>
          </w:p>
        </w:tc>
      </w:tr>
      <w:tr>
        <w:trPr>
          <w:trHeight w:val="216"/>
        </w:trPr>
        <w:tc>
          <w:tcPr>
            <w:tcW w:w="20" w:type="dxa"/>
            <w:vAlign w:val="bottom"/>
          </w:tcPr>
          <w:p>
            <w:pPr>
              <w:spacing w:after="0"/>
              <w:rPr>
                <w:sz w:val="18"/>
                <w:szCs w:val="18"/>
                <w:color w:val="auto"/>
              </w:rPr>
            </w:pPr>
          </w:p>
        </w:tc>
        <w:tc>
          <w:tcPr>
            <w:tcW w:w="778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(974)</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9,995</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4,928</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5,814</w:t>
            </w:r>
          </w:p>
        </w:tc>
      </w:tr>
      <w:tr>
        <w:trPr>
          <w:trHeight w:val="223"/>
        </w:trPr>
        <w:tc>
          <w:tcPr>
            <w:tcW w:w="20" w:type="dxa"/>
            <w:vAlign w:val="bottom"/>
          </w:tcPr>
          <w:p>
            <w:pPr>
              <w:spacing w:after="0"/>
              <w:rPr>
                <w:sz w:val="19"/>
                <w:szCs w:val="19"/>
                <w:color w:val="auto"/>
              </w:rPr>
            </w:pPr>
          </w:p>
        </w:tc>
        <w:tc>
          <w:tcPr>
            <w:tcW w:w="77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(1,708)</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(7,415)</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66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326,862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313,077</w:t>
            </w:r>
          </w:p>
        </w:tc>
        <w:tc>
          <w:tcPr>
            <w:tcW w:w="100" w:type="dxa"/>
            <w:vAlign w:val="bottom"/>
            <w:shd w:val="clear" w:color="auto" w:fill="CCEEFF"/>
          </w:tcPr>
          <w:p>
            <w:pPr>
              <w:spacing w:after="0"/>
              <w:rPr>
                <w:sz w:val="18"/>
                <w:szCs w:val="18"/>
                <w:color w:val="auto"/>
              </w:rPr>
            </w:pPr>
          </w:p>
        </w:tc>
      </w:tr>
      <w:tr>
        <w:trPr>
          <w:trHeight w:val="222"/>
        </w:trPr>
        <w:tc>
          <w:tcPr>
            <w:tcW w:w="780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(10,172)</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50</w:t>
            </w: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23,793</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(12,550)</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(1,250)</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(7,179)</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(46,532)</w:t>
            </w:r>
          </w:p>
        </w:tc>
      </w:tr>
      <w:tr>
        <w:trPr>
          <w:trHeight w:val="27"/>
        </w:trPr>
        <w:tc>
          <w:tcPr>
            <w:tcW w:w="20" w:type="dxa"/>
            <w:vAlign w:val="bottom"/>
          </w:tcPr>
          <w:p>
            <w:pPr>
              <w:spacing w:after="0"/>
              <w:rPr>
                <w:sz w:val="2"/>
                <w:szCs w:val="2"/>
                <w:color w:val="auto"/>
              </w:rPr>
            </w:pPr>
          </w:p>
        </w:tc>
        <w:tc>
          <w:tcPr>
            <w:tcW w:w="778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(19,679)</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(34,161)</w:t>
            </w:r>
          </w:p>
        </w:tc>
      </w:tr>
      <w:tr>
        <w:trPr>
          <w:trHeight w:val="222"/>
        </w:trPr>
        <w:tc>
          <w:tcPr>
            <w:tcW w:w="780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6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1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21,021</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67,656</w:t>
            </w:r>
          </w:p>
        </w:tc>
      </w:tr>
      <w:tr>
        <w:trPr>
          <w:trHeight w:val="216"/>
        </w:trPr>
        <w:tc>
          <w:tcPr>
            <w:tcW w:w="20" w:type="dxa"/>
            <w:vAlign w:val="bottom"/>
          </w:tcPr>
          <w:p>
            <w:pPr>
              <w:spacing w:after="0"/>
              <w:rPr>
                <w:sz w:val="18"/>
                <w:szCs w:val="18"/>
                <w:color w:val="auto"/>
              </w:rPr>
            </w:pPr>
          </w:p>
        </w:tc>
        <w:tc>
          <w:tcPr>
            <w:tcW w:w="7780" w:type="dxa"/>
            <w:vAlign w:val="bottom"/>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1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(875)</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(103,405)</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6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7780" w:type="dxa"/>
            <w:vAlign w:val="bottom"/>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1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20,215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(35,255)</w:t>
            </w: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spacing w:after="0"/>
              <w:rPr>
                <w:sz w:val="20"/>
                <w:szCs w:val="20"/>
                <w:color w:val="auto"/>
              </w:rPr>
            </w:pPr>
            <w:r>
              <w:rPr>
                <w:rFonts w:ascii="Arial" w:cs="Arial" w:eastAsia="Arial" w:hAnsi="Arial"/>
                <w:sz w:val="18"/>
                <w:szCs w:val="18"/>
                <w:color w:val="auto"/>
              </w:rPr>
              <w:t>Net increase in cash and cash equivalents</w:t>
            </w:r>
          </w:p>
        </w:tc>
        <w:tc>
          <w:tcPr>
            <w:tcW w:w="16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327,398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243,661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78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6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927,409</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615,648</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7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1,254,807</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$ 859,309</w:t>
            </w:r>
          </w:p>
        </w:tc>
      </w:tr>
      <w:tr>
        <w:trPr>
          <w:trHeight w:val="20"/>
        </w:trPr>
        <w:tc>
          <w:tcPr>
            <w:tcW w:w="20" w:type="dxa"/>
            <w:vAlign w:val="bottom"/>
          </w:tcPr>
          <w:p>
            <w:pPr>
              <w:spacing w:after="0" w:line="20" w:lineRule="exact"/>
              <w:rPr>
                <w:sz w:val="1"/>
                <w:szCs w:val="1"/>
                <w:color w:val="auto"/>
              </w:rPr>
            </w:pPr>
          </w:p>
        </w:tc>
        <w:tc>
          <w:tcPr>
            <w:tcW w:w="778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96"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w:t>
      </w:r>
    </w:p>
    <w:p>
      <w:pPr>
        <w:spacing w:after="0" w:line="14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August 1, 2009, the results of its operations for the three and six months ended August 1, 2009 and August 2, 2008, and its cash flows for the six months ended August 1, 2009 and August 2, 2008. The January 31, 2009 condensed consolidated balance sheet data was derived from audited consolidated financial statements included in the Company’s 2009 Annual Report on Form 10-K for the year ended January 31, 2009 but does not include all disclosures required by GAAP. Certain reclassifications have been made to conform to the current period’s presentation.</w:t>
      </w:r>
    </w:p>
    <w:p>
      <w:pPr>
        <w:spacing w:after="0" w:line="118" w:lineRule="exact"/>
        <w:rPr>
          <w:sz w:val="20"/>
          <w:szCs w:val="20"/>
          <w:color w:val="auto"/>
        </w:rPr>
      </w:pPr>
    </w:p>
    <w:p>
      <w:pPr>
        <w:jc w:val="both"/>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for the year ended January 31, 2009 included in the Company’s Annual Report on Form 10-K for the year ended January 31, 2009 as filed on March 28, 2009 with the Securities and Exchange Commission (“SEC”). The results of operations for the three and six months ended August 1, 2009 are not necessarily indicative of the results that may be expected for any other interim period or for the full fiscal year.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Subsequent Events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has evaluated subsequent events through September 10, 2009, the date of this Quarterly Report on Form 10-Q.</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and money market funds.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96"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Company’s marketable investments are classified as available-for-sale and trading securities and are reported at fair value. Unrealized gains and losses are reported, net of tax, if any, in accumulated other comprehensive income (loss), a component of shareholders’ equity. Realized gains and losses and declines in value judged to be other than temporary on available-for-sale securities are included in interest and other income, net.</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Derivative financial instruments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Derivatives that are not defined as hedges in accordance with Statement of Financial Accounting Standards (“SFAS”) No. 133, “Accounting for Derivative Instruments and Hedging Activities, as amended” (“SFAS 133”), must be adjusted to fair value through earnings. For derivative instruments that hedge the exposure to variability in expected future cash flows that are designated as cash flow hedges, the effective portion of the gain or loss on the derivative instrument is reported as a component of accumulated other comprehensive income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For options designated as cash flow hedges, changes in the time value are excluded from the assessment of hedge effectiveness and are recognized in earnings.</w:t>
      </w:r>
    </w:p>
    <w:p>
      <w:pPr>
        <w:spacing w:after="0" w:line="118" w:lineRule="exact"/>
        <w:rPr>
          <w:sz w:val="20"/>
          <w:szCs w:val="20"/>
          <w:color w:val="auto"/>
        </w:rPr>
      </w:pPr>
    </w:p>
    <w:p>
      <w:pPr>
        <w:jc w:val="both"/>
        <w:ind w:right="60" w:firstLine="456"/>
        <w:spacing w:after="0" w:line="256" w:lineRule="auto"/>
        <w:rPr>
          <w:sz w:val="20"/>
          <w:szCs w:val="20"/>
          <w:color w:val="auto"/>
        </w:rPr>
      </w:pPr>
      <w:r>
        <w:rPr>
          <w:rFonts w:ascii="Arial" w:cs="Arial" w:eastAsia="Arial" w:hAnsi="Arial"/>
          <w:sz w:val="18"/>
          <w:szCs w:val="18"/>
          <w:color w:val="auto"/>
        </w:rPr>
        <w:t>For derivative instruments that hedge the exposure to changes in the fair value of an asset or a liability and that are designated as fair value hedges and for other derivatives not designated as hedging instruments under SFAS 133 that the Company uses to hedge monetary assets or liabilities denominated in currencies other than the U.S. dollar, the net gain or loss on the derivative instrument as well as the offsetting gain or loss on the hedged item attributable to the hedged risk are recognized in earnings in the current period.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Asia Pacific Region, are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Inventories are stated at the lower of cost or market, determined under the first-in, first-out method. The Company establishes inventory excess and obsolescence provisions for estimated obsolete or unmarketable inventory equal to the difference between the cost of inventory and estimated net realizable value based upon assumptions about future demand and market conditions. Shipping and handling costs are classified as a component of cost of goods sold in the unaudited condensed consolidated statements of operations.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96"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Property and equipment, net, including capital leases and leasehold improvements, are stated at cost less accumulated depreciation and amortization. Depreciation for property and equipment other than buildings is computed using the straight-line method over the estimated useful lives of the assets, which ranges from three to five years. Buildings are depreciated over an estimated useful life of 30 years and building improvements are depreciated over estimated useful lives of 15 years. Land is not depreciated. Assets held under capital leases and leasehold improvements are amortized over the shorter of term of lease or their estimated useful lives.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 net</w:t>
      </w:r>
    </w:p>
    <w:p>
      <w:pPr>
        <w:spacing w:after="0" w:line="96" w:lineRule="exact"/>
        <w:rPr>
          <w:sz w:val="20"/>
          <w:szCs w:val="20"/>
          <w:color w:val="auto"/>
        </w:rPr>
      </w:pPr>
    </w:p>
    <w:p>
      <w:pPr>
        <w:ind w:right="420" w:firstLine="456"/>
        <w:spacing w:after="0" w:line="30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four to seven years for customer contracts and three years for non-compete agreements.</w:t>
      </w:r>
    </w:p>
    <w:p>
      <w:pPr>
        <w:spacing w:after="0" w:line="10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No. 142, “Goodwill and Other Intangible Assets” (“SFAS 142”), because the fair value of the reporting unit has exceeded its net book value at every measurement date.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96" w:lineRule="exact"/>
        <w:rPr>
          <w:sz w:val="20"/>
          <w:szCs w:val="20"/>
          <w:color w:val="auto"/>
        </w:rPr>
      </w:pPr>
    </w:p>
    <w:p>
      <w:pPr>
        <w:ind w:right="160" w:firstLine="456"/>
        <w:spacing w:after="0" w:line="323" w:lineRule="auto"/>
        <w:rPr>
          <w:sz w:val="20"/>
          <w:szCs w:val="20"/>
          <w:color w:val="auto"/>
        </w:rPr>
      </w:pPr>
      <w:r>
        <w:rPr>
          <w:rFonts w:ascii="Arial" w:cs="Arial" w:eastAsia="Arial" w:hAnsi="Arial"/>
          <w:sz w:val="15"/>
          <w:szCs w:val="15"/>
          <w:color w:val="auto"/>
        </w:rPr>
        <w:t>Long-lived assets include equipment, furniture and fixtures, privately-held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96"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The Company accounts for its revenues under the provisions of Staff Accounting Bulletin No. 104, “Revenue Recognition in Financial Statements.” Under these provisions, the Company recognizes revenues when there is persuasive evidence of an arrangement, delivery has occurred, the fee is fixed or determinable, and collection is reasonably assured.</w:t>
      </w:r>
    </w:p>
    <w:p>
      <w:pPr>
        <w:spacing w:after="0" w:line="14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Product revenue is generally recognized upon shipment of product to customers, net of accruals for estimated sales returns. However, some of the Company’s sales are made through distributors under agreements allowing for price protection, shipped from stock pricing adjustment rights and limited rights of return on product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rights is deferred until the distributors sell the product to end customers because the Company’s selling price is not fixed and determinable and the Company is not able to reliably estimate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and fees are not fixed or determinable if customers receive extended payment terms. As a result, revenue on sales to customers with payment terms substantially greater than the Company’s normal payment terms is deferred and is recognized as revenue as the payments become due. Revenue related to the sale of consignment inventory is not recognized until the product is pulled from inventory stock by the customer.</w:t>
      </w:r>
    </w:p>
    <w:p>
      <w:pPr>
        <w:spacing w:after="0" w:line="12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sales returns and other known factors. Actual returns could differ from these estimates.</w:t>
      </w:r>
    </w:p>
    <w:p>
      <w:pPr>
        <w:spacing w:after="0" w:line="132"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The Company accounts for rebates in accordance with Emerging Issues Task Force Issue No. 01-9, “Accounting for Consideration Given by a Vendor to a Customer (Including a Reseller of the Vendor’s Products</w:t>
      </w:r>
      <w:r>
        <w:rPr>
          <w:rFonts w:ascii="Arial" w:cs="Arial" w:eastAsia="Arial" w:hAnsi="Arial"/>
          <w:sz w:val="16"/>
          <w:szCs w:val="16"/>
          <w:i w:val="1"/>
          <w:iCs w:val="1"/>
          <w:color w:val="auto"/>
        </w:rPr>
        <w:t>)</w:t>
      </w:r>
      <w:r>
        <w:rPr>
          <w:rFonts w:ascii="Arial" w:cs="Arial" w:eastAsia="Arial" w:hAnsi="Arial"/>
          <w:sz w:val="16"/>
          <w:szCs w:val="16"/>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expenses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Research and development expenses are expensed as incurred.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96" w:lineRule="exact"/>
        <w:rPr>
          <w:sz w:val="20"/>
          <w:szCs w:val="20"/>
          <w:color w:val="auto"/>
        </w:rPr>
      </w:pPr>
    </w:p>
    <w:p>
      <w:pPr>
        <w:ind w:right="40" w:firstLine="456"/>
        <w:spacing w:after="0" w:line="305" w:lineRule="auto"/>
        <w:rPr>
          <w:sz w:val="20"/>
          <w:szCs w:val="20"/>
          <w:color w:val="auto"/>
        </w:rPr>
      </w:pPr>
      <w:r>
        <w:rPr>
          <w:rFonts w:ascii="Arial" w:cs="Arial" w:eastAsia="Arial" w:hAnsi="Arial"/>
          <w:sz w:val="15"/>
          <w:szCs w:val="15"/>
          <w:color w:val="auto"/>
        </w:rPr>
        <w:t>The Company accounts for income taxes in accordance with SFAS No. 109, “Accounting for Income Taxes.” Under this method, the Company determines deferred tax assets and liabilities based upon the difference between the income tax basis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and gains and losses, differences arise between the amount of taxable income and pretax financial income for a year and between the tax basis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more likely than not, the Company would establish a valuation allowance. The Company accounts for uncertain tax positions in accordance with the Financial Accounting Standards Board (“FASB”) Interpretation No. 48, “Accounting for Uncertainty in Tax Positions” (“FIN 48”). The Company classifies accrued interest and penalties as part of the accrued FIN 48 liability and records the expense within the provision for income taxes. Under FIN 48, the Company may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should be measured based on the largest benefit that has a greater than 50 percent likelihood of being realized upon settlement.</w:t>
      </w:r>
    </w:p>
    <w:p>
      <w:pPr>
        <w:spacing w:after="0" w:line="11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12 - Income Taxes of the notes to unaudited condensed consolidated financial statements for additional detail on the Company’s uncertain tax positions.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Company’s products are generally subject to warranty, which provides for the estimated future costs of repair, replacement or customer accommodation upon shipment of the product. The Company’s products typically carry a standard 90-day warranty, with certain exceptions in which the warranty period can range from one to five years. The warranty accrual is primarily estimated based on 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which are relatively large and it records specific amounts to cover these exposures in addition to the standard run rate provisions.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December 2007, the FASB issued SFAS No. 141 (revised 2007), “Business Combinations” (“SFAS 141R”). SFAS 141R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 related transaction costs and the recognition of changes in the acquirer’s income tax valuation allowance. Although the adoption of SFAS 141R during the first quarter ended May 2, 2009 had no impact on the Company’s financial position and results of operations, the Company expects SFAS 141R will have an impact on its consolidated financial statements, but the nature and magnitude of the specific effects will depend upon the nature, terms and size of the acquisitions it consummates after the effective date of February 1, 2009.</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February 2008, the FASB issued FASB Staff Position (“FSP”) SFAS No. 157-2, “Effective Date of FASB Statement No. 157” (“FSP 157-2”), to partially defer SFAS No. 157, “Fair Value Measurements”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in the first quarter of fiscal 2010 did not have a material impact on the Company’s financial position and results of operations.</w:t>
      </w:r>
    </w:p>
    <w:p>
      <w:pPr>
        <w:spacing w:after="0" w:line="14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March 2008, the FASB issued SFAS No. 161, “Disclosures about Derivative Instruments and Hedging Activities” (“SFAS 161”). SFAS 161 amends and expands the disclosure requirements of SFAS No. 133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adoption of SFAS 161 in the first quarter of fiscal 2010 did not have a material impact on the Company’s financial position and results of operations.</w:t>
      </w:r>
    </w:p>
    <w:p>
      <w:pPr>
        <w:spacing w:after="0" w:line="144"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April 2008, the FASB issued FSP SFAS No. 142-3, “Determination of Useful Life of Intangible Assets” (“FSP 142-3”). FSP 142-3 amends the factors that should be considered in developing the renewal or extension assumptions used to determine the useful life of a recognized intangible asset under SFAS 142. FSP 142-3 also requires expanded disclosure related to the determination of intangible asset useful lives. FSP 142-3 is effective for fiscal years beginning after December 15, 2008. Earlier adoption is not permitted. The adoption of FSP 142-3 in the first quarter of fiscal 2010 did not have an impact on the Company’s financial position and results of operations.</w:t>
      </w:r>
    </w:p>
    <w:p>
      <w:pPr>
        <w:spacing w:after="0" w:line="14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April 2009, the FASB issued three related Staff Positions: (i) FSP SFAS No. 157-4, “Determining Fair Value When the Volume and Level of Activity for the Asset or Liability have Significantly Decreased and Identifying Transactions That Are Not Orderly” (“FSP 157-4”), (ii) FSP SFAS No. 115-2 and FSP SFAS No. 124-2, “Recognition and Presentation of Other-Than-Temporary Impairments” (“FSP 115-2” and “FSP 124-2”), and (iii) FSP SFAS No. 107-1 and APB 28-1, “Interim Disclosures about Fair Value of Financial Instruments” (“FSP 107-1” and “APB 28-1”), are effective for interim and annual periods ending after June 15, 2009. FSP 157-4 provides guidance on how to determine the fair value of financial assets and liabilities under SFAS 157 in the current economic environment and reemphasizes that the objective of a fair value measurement remains an exit price. If there has been a significant decrease in the volume and level of activity of the asset or liability in relation to normal market activities, quoted market values may not be representative of fair value. As a result, a change in valuation technique or the use of multiple valuation techniques may be appropriate. FSP 115-2 and FSP 124-2 modify the requirements for recognizing other-than-temporarily impaired debt securities and revise the existing impairment model for such securities, by modifying the current intent and ability indicator in determining whether a debt security is other-than-temporarily impaired. FSP 107-1 and APB 28-1 enhance the disclosure of instruments under the scope of SFAS 157 for both interim and annual periods. Adoption of these Staff Positions during the second quarter of fiscal 2010 did not have a material impact on the Company’s financial position and results of operations.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April 2009, the FASB issued FSP SFAS No. 141R-1, “Accounting for Assets Acquired and Liabilities Assumed in a Business Combination That Arise from Contingencies” (“FSP 141R-1”). FSP 141R-1 amends the provisions in SFAS 141R for the initial recognition and measurement, subsequent measurement and accounting, and disclosures for assets and liabilities arising from contingencies in business combinations. FSP 141R-1 eliminates the distinction between contractual and non-contractual contingencies, including the initial recognition and measurement criteria in SFAS 141R and instead carries forward most of the provisions in SFAS 141R for acquired contingencies. FSP 141R-1 is effective for contingent assets and contingent liabilities acquired in business combinations for which the acquisition date is on or after the beginning of the first annual reporting period beginning on or after December 15, 2008. The Company expects that FSP 141R-1 could have an impact on its financial position and results of operations, but the nature and magnitude of the specific effects will depend upon the nature, term and size of the acquired contingencies.</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May 2009, the FASB issued SFAS No. 165, “Subsequent Events” (“SFAS 165”), which provides authoritative accounting literature for a topic that was previously addressed only in the auditing literature. The guidance in SFAS 165 largely is similar to the current guidance in the auditing literature with some exceptions that are not intended to result in significant changes in practice. The adoption of SFAS 165 in the second quarter of fiscal 2010 did not have a material impact on the Company’s financial position and results of operations.</w:t>
      </w:r>
    </w:p>
    <w:p>
      <w:pPr>
        <w:spacing w:after="0" w:line="14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June 2009, the FASB issued SFAS No. 168, “The FASB Accounting Standards Codification and the Hierarchy of Generally Accepted Accounting Principles, a replacement of FASB Statement No. 162” (“SFAS 168”), which is effective for interim and annual periods ending after September 15, 2009. SFAS 168 makes the FASB Accounting Standards Codification (“Codification”) the single authoritative source for U.S. GAAP. The Codification replaces all previous U.S. GAAP accounting standards. The adoption of SFAS 168 will only impact references for accounting guidance and the Company does not expect the adoption of SFAS 168 to have a material impact on the Company’s financial position or results of operations.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80" w:type="dxa"/>
            <w:vAlign w:val="bottom"/>
            <w:tcBorders>
              <w:bottom w:val="single" w:sz="8" w:color="auto"/>
            </w:tcBorders>
            <w:gridSpan w:val="5"/>
          </w:tcPr>
          <w:p>
            <w:pPr>
              <w:ind w:left="120"/>
              <w:spacing w:after="0"/>
              <w:rPr>
                <w:sz w:val="20"/>
                <w:szCs w:val="20"/>
                <w:color w:val="auto"/>
              </w:rPr>
            </w:pPr>
            <w:r>
              <w:rPr>
                <w:rFonts w:ascii="Arial" w:cs="Arial" w:eastAsia="Arial" w:hAnsi="Arial"/>
                <w:sz w:val="14"/>
                <w:szCs w:val="14"/>
                <w:b w:val="1"/>
                <w:bCs w:val="1"/>
                <w:color w:val="auto"/>
              </w:rPr>
              <w:t>As of August 1, 2009</w:t>
            </w:r>
          </w:p>
        </w:tc>
        <w:tc>
          <w:tcPr>
            <w:tcW w:w="6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32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6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60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8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Amortized</w:t>
            </w:r>
          </w:p>
        </w:tc>
        <w:tc>
          <w:tcPr>
            <w:tcW w:w="16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2"/>
                <w:szCs w:val="12"/>
                <w:color w:val="auto"/>
              </w:rPr>
            </w:pP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62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61"/>
        </w:trPr>
        <w:tc>
          <w:tcPr>
            <w:tcW w:w="460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210"/>
        </w:trPr>
        <w:tc>
          <w:tcPr>
            <w:tcW w:w="46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3260" w:type="dxa"/>
            <w:vAlign w:val="bottom"/>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Available-for-sale:</w:t>
            </w:r>
          </w:p>
        </w:tc>
        <w:tc>
          <w:tcPr>
            <w:tcW w:w="32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40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$ 36,800</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(2,467)</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$ 34,333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00" w:type="dxa"/>
            <w:vAlign w:val="bottom"/>
          </w:tcPr>
          <w:p>
            <w:pPr>
              <w:spacing w:after="0"/>
              <w:rPr>
                <w:sz w:val="20"/>
                <w:szCs w:val="20"/>
                <w:color w:val="auto"/>
              </w:rPr>
            </w:pPr>
            <w:r>
              <w:rPr>
                <w:rFonts w:ascii="Arial" w:cs="Arial" w:eastAsia="Arial" w:hAnsi="Arial"/>
                <w:sz w:val="18"/>
                <w:szCs w:val="18"/>
                <w:color w:val="auto"/>
              </w:rPr>
              <w:t>Trading securities:</w:t>
            </w:r>
          </w:p>
        </w:tc>
        <w:tc>
          <w:tcPr>
            <w:tcW w:w="3260" w:type="dxa"/>
            <w:vAlign w:val="bottom"/>
          </w:tcPr>
          <w:p>
            <w:pPr>
              <w:spacing w:after="0"/>
              <w:rPr>
                <w:sz w:val="19"/>
                <w:szCs w:val="19"/>
                <w:color w:val="auto"/>
              </w:rPr>
            </w:pPr>
          </w:p>
        </w:tc>
        <w:tc>
          <w:tcPr>
            <w:tcW w:w="62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32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5,000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326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0" w:type="dxa"/>
            <w:vAlign w:val="bottom"/>
            <w:vMerge w:val="continue"/>
          </w:tcPr>
          <w:p>
            <w:pPr>
              <w:spacing w:after="0"/>
              <w:rPr>
                <w:sz w:val="19"/>
                <w:szCs w:val="19"/>
                <w:color w:val="auto"/>
              </w:rPr>
            </w:pPr>
          </w:p>
        </w:tc>
        <w:tc>
          <w:tcPr>
            <w:tcW w:w="3260" w:type="dxa"/>
            <w:vAlign w:val="bottom"/>
          </w:tcPr>
          <w:p>
            <w:pPr>
              <w:spacing w:after="0"/>
              <w:rPr>
                <w:sz w:val="19"/>
                <w:szCs w:val="19"/>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w w:val="85"/>
              </w:rPr>
              <w:t>$ 41,800</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ind w:left="60"/>
              <w:spacing w:after="0"/>
              <w:rPr>
                <w:sz w:val="20"/>
                <w:szCs w:val="20"/>
                <w:color w:val="auto"/>
              </w:rPr>
            </w:pPr>
            <w:r>
              <w:rPr>
                <w:rFonts w:ascii="Arial" w:cs="Arial" w:eastAsia="Arial" w:hAnsi="Arial"/>
                <w:sz w:val="18"/>
                <w:szCs w:val="18"/>
                <w:color w:val="auto"/>
              </w:rPr>
              <w:t>(2,467)</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$ 39,333</w:t>
            </w:r>
          </w:p>
        </w:tc>
        <w:tc>
          <w:tcPr>
            <w:tcW w:w="0" w:type="dxa"/>
            <w:vAlign w:val="bottom"/>
          </w:tcPr>
          <w:p>
            <w:pPr>
              <w:spacing w:after="0"/>
              <w:rPr>
                <w:sz w:val="1"/>
                <w:szCs w:val="1"/>
                <w:color w:val="auto"/>
              </w:rPr>
            </w:pPr>
          </w:p>
        </w:tc>
      </w:tr>
      <w:tr>
        <w:trPr>
          <w:trHeight w:val="20"/>
        </w:trPr>
        <w:tc>
          <w:tcPr>
            <w:tcW w:w="460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32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5"/>
              </w:rPr>
              <w:t>$ 41,800</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(2,467)</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$ 39,333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60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8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rPr>
              <w:t>As of January 31, 2009</w:t>
            </w:r>
          </w:p>
        </w:tc>
        <w:tc>
          <w:tcPr>
            <w:tcW w:w="60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32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6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60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8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Amortized</w:t>
            </w:r>
          </w:p>
        </w:tc>
        <w:tc>
          <w:tcPr>
            <w:tcW w:w="16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2"/>
                <w:szCs w:val="12"/>
                <w:color w:val="auto"/>
              </w:rPr>
            </w:pP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62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61"/>
        </w:trPr>
        <w:tc>
          <w:tcPr>
            <w:tcW w:w="460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210"/>
        </w:trPr>
        <w:tc>
          <w:tcPr>
            <w:tcW w:w="46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3260" w:type="dxa"/>
            <w:vAlign w:val="bottom"/>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Available-for-sale:</w:t>
            </w:r>
          </w:p>
        </w:tc>
        <w:tc>
          <w:tcPr>
            <w:tcW w:w="32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40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$ 36,850</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(1,309)</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$ 35,541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00" w:type="dxa"/>
            <w:vAlign w:val="bottom"/>
          </w:tcPr>
          <w:p>
            <w:pPr>
              <w:spacing w:after="0"/>
              <w:rPr>
                <w:sz w:val="20"/>
                <w:szCs w:val="20"/>
                <w:color w:val="auto"/>
              </w:rPr>
            </w:pPr>
            <w:r>
              <w:rPr>
                <w:rFonts w:ascii="Arial" w:cs="Arial" w:eastAsia="Arial" w:hAnsi="Arial"/>
                <w:sz w:val="18"/>
                <w:szCs w:val="18"/>
                <w:color w:val="auto"/>
              </w:rPr>
              <w:t>Trading securities:</w:t>
            </w:r>
          </w:p>
        </w:tc>
        <w:tc>
          <w:tcPr>
            <w:tcW w:w="3260" w:type="dxa"/>
            <w:vAlign w:val="bottom"/>
          </w:tcPr>
          <w:p>
            <w:pPr>
              <w:spacing w:after="0"/>
              <w:rPr>
                <w:sz w:val="19"/>
                <w:szCs w:val="19"/>
                <w:color w:val="auto"/>
              </w:rPr>
            </w:pPr>
          </w:p>
        </w:tc>
        <w:tc>
          <w:tcPr>
            <w:tcW w:w="62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32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5,000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326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0" w:type="dxa"/>
            <w:vAlign w:val="bottom"/>
            <w:vMerge w:val="continue"/>
          </w:tcPr>
          <w:p>
            <w:pPr>
              <w:spacing w:after="0"/>
              <w:rPr>
                <w:sz w:val="19"/>
                <w:szCs w:val="19"/>
                <w:color w:val="auto"/>
              </w:rPr>
            </w:pPr>
          </w:p>
        </w:tc>
        <w:tc>
          <w:tcPr>
            <w:tcW w:w="3260" w:type="dxa"/>
            <w:vAlign w:val="bottom"/>
          </w:tcPr>
          <w:p>
            <w:pPr>
              <w:spacing w:after="0"/>
              <w:rPr>
                <w:sz w:val="19"/>
                <w:szCs w:val="19"/>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w w:val="85"/>
              </w:rPr>
              <w:t>$ 41,850</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ind w:left="60"/>
              <w:spacing w:after="0"/>
              <w:rPr>
                <w:sz w:val="20"/>
                <w:szCs w:val="20"/>
                <w:color w:val="auto"/>
              </w:rPr>
            </w:pPr>
            <w:r>
              <w:rPr>
                <w:rFonts w:ascii="Arial" w:cs="Arial" w:eastAsia="Arial" w:hAnsi="Arial"/>
                <w:sz w:val="18"/>
                <w:szCs w:val="18"/>
                <w:color w:val="auto"/>
              </w:rPr>
              <w:t>(1,309)</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$ 40,541</w:t>
            </w:r>
          </w:p>
        </w:tc>
        <w:tc>
          <w:tcPr>
            <w:tcW w:w="0" w:type="dxa"/>
            <w:vAlign w:val="bottom"/>
          </w:tcPr>
          <w:p>
            <w:pPr>
              <w:spacing w:after="0"/>
              <w:rPr>
                <w:sz w:val="1"/>
                <w:szCs w:val="1"/>
                <w:color w:val="auto"/>
              </w:rPr>
            </w:pPr>
          </w:p>
        </w:tc>
      </w:tr>
      <w:tr>
        <w:trPr>
          <w:trHeight w:val="20"/>
        </w:trPr>
        <w:tc>
          <w:tcPr>
            <w:tcW w:w="460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40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$ 41,850</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(1,309)</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0" w:type="dxa"/>
            <w:vAlign w:val="bottom"/>
          </w:tcPr>
          <w:p>
            <w:pPr>
              <w:spacing w:after="0" w:line="20" w:lineRule="exact"/>
              <w:rPr>
                <w:sz w:val="1"/>
                <w:szCs w:val="1"/>
                <w:color w:val="auto"/>
              </w:rPr>
            </w:pPr>
          </w:p>
        </w:tc>
        <w:tc>
          <w:tcPr>
            <w:tcW w:w="3260" w:type="dxa"/>
            <w:vAlign w:val="bottom"/>
            <w:vMerge w:val="restart"/>
          </w:tcPr>
          <w:p>
            <w:pPr>
              <w:jc w:val="right"/>
              <w:ind w:right="1972"/>
              <w:spacing w:after="0"/>
              <w:rPr>
                <w:sz w:val="20"/>
                <w:szCs w:val="20"/>
                <w:color w:val="auto"/>
              </w:rPr>
            </w:pPr>
            <w:r>
              <w:rPr>
                <w:rFonts w:ascii="Arial" w:cs="Arial" w:eastAsia="Arial" w:hAnsi="Arial"/>
                <w:sz w:val="18"/>
                <w:szCs w:val="18"/>
                <w:color w:val="auto"/>
              </w:rPr>
              <w:t>11</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0" w:type="dxa"/>
            <w:vAlign w:val="bottom"/>
          </w:tcPr>
          <w:p>
            <w:pPr>
              <w:spacing w:after="0"/>
              <w:rPr>
                <w:sz w:val="24"/>
                <w:szCs w:val="24"/>
                <w:color w:val="auto"/>
              </w:rPr>
            </w:pPr>
          </w:p>
        </w:tc>
        <w:tc>
          <w:tcPr>
            <w:tcW w:w="3260" w:type="dxa"/>
            <w:vAlign w:val="bottom"/>
            <w:vMerge w:val="continue"/>
          </w:tcPr>
          <w:p>
            <w:pPr>
              <w:spacing w:after="0"/>
              <w:rPr>
                <w:sz w:val="24"/>
                <w:szCs w:val="24"/>
                <w:color w:val="auto"/>
              </w:rPr>
            </w:pPr>
          </w:p>
        </w:tc>
        <w:tc>
          <w:tcPr>
            <w:tcW w:w="6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As of August 1, 2009 and January 31, 2009, the Company’s investment portfolio included $41.8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The Company’s auction rate securities are all backed by student loans originated under the Federal Family Education Loan Program and are over-collateralized, insured and guaranteed by the U.S. Federal Department of Education. All auction rate securities held by the Company are rated by the major independent rating agencies as either AAA or Aaa at the time of purchase. The Company believes the mark-to-market losses for its auction rate securities are all non-credit losses.</w:t>
      </w:r>
    </w:p>
    <w:p>
      <w:pPr>
        <w:spacing w:after="0" w:line="118" w:lineRule="exact"/>
        <w:rPr>
          <w:sz w:val="20"/>
          <w:szCs w:val="20"/>
          <w:color w:val="auto"/>
        </w:rPr>
      </w:pPr>
    </w:p>
    <w:p>
      <w:pPr>
        <w:jc w:val="both"/>
        <w:ind w:right="40" w:firstLine="456"/>
        <w:spacing w:after="0" w:line="303" w:lineRule="auto"/>
        <w:rPr>
          <w:sz w:val="20"/>
          <w:szCs w:val="20"/>
          <w:color w:val="auto"/>
        </w:rPr>
      </w:pPr>
      <w:r>
        <w:rPr>
          <w:rFonts w:ascii="Arial" w:cs="Arial" w:eastAsia="Arial" w:hAnsi="Arial"/>
          <w:sz w:val="15"/>
          <w:szCs w:val="15"/>
          <w:color w:val="auto"/>
        </w:rPr>
        <w:t>In the fourth quarter ended January 31, 2009, UBS, one of the brokers who the Company purchased auction rate securities from, offered a settlement where UBS has the right to call and sell one of the auction rate securities the Company purchased from them at par value of $5 million at a future date. As a result of the Company’s participation in this settlement, the Company included the put option from the settlement in long term investments and elected to apply SFAS</w:t>
      </w:r>
    </w:p>
    <w:p>
      <w:pPr>
        <w:spacing w:after="0" w:line="1" w:lineRule="exact"/>
        <w:rPr>
          <w:sz w:val="20"/>
          <w:szCs w:val="20"/>
          <w:color w:val="auto"/>
        </w:rPr>
      </w:pPr>
    </w:p>
    <w:p>
      <w:pPr>
        <w:jc w:val="both"/>
        <w:ind w:right="60"/>
        <w:spacing w:after="0" w:line="255" w:lineRule="auto"/>
        <w:rPr>
          <w:sz w:val="20"/>
          <w:szCs w:val="20"/>
          <w:color w:val="auto"/>
        </w:rPr>
      </w:pPr>
      <w:r>
        <w:rPr>
          <w:rFonts w:ascii="Arial" w:cs="Arial" w:eastAsia="Arial" w:hAnsi="Arial"/>
          <w:sz w:val="18"/>
          <w:szCs w:val="18"/>
          <w:color w:val="auto"/>
        </w:rPr>
        <w:t>No. 159, “The Fair Value Option for Financial Assets and Financial Liabilities,” to measure the put option at fair value. The Company also elected to transfer this auction rate security to trading securities from available-for-sale pursuant to SFAS No. 115, “Accounting for Certain Investments in Debt and Equity Securities,” as the Company’s intent is to exercise the put option at a future date.</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August 1, 2009, the estimated fair values of the auction rate securities were $2.5 million less than their par value. The Company has less than 3.3% of its total cash invested in these auction rate securities, a balance of approximately $1.3 billion in cash and cash equivalents other than auction rate securities and restricted cash, and the Company continues to generate positive cash flow on a quarterly basis. Based on FSP 115-2, as the Company has no intent to sell and it is more-likely-than-not that the Company will not be required to sell the auction rate securities prior to recovery, the Company concluded the decline in fair values was temporary and recorded the unrealized loss to accumulated other comprehensive loss, a component of shareholders’ equity as of August 1, 2009.</w:t>
      </w:r>
    </w:p>
    <w:p>
      <w:pPr>
        <w:spacing w:after="0" w:line="1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final contractual maturities of available-for-sale and trading debt securities at August 1, 2009 and January 31, 2009 are presented in the following table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40" w:type="dxa"/>
            <w:vAlign w:val="bottom"/>
            <w:gridSpan w:val="4"/>
          </w:tcPr>
          <w:p>
            <w:pPr>
              <w:jc w:val="right"/>
              <w:ind w:right="212"/>
              <w:spacing w:after="0"/>
              <w:rPr>
                <w:sz w:val="20"/>
                <w:szCs w:val="20"/>
                <w:color w:val="auto"/>
              </w:rPr>
            </w:pPr>
            <w:r>
              <w:rPr>
                <w:rFonts w:ascii="Arial" w:cs="Arial" w:eastAsia="Arial" w:hAnsi="Arial"/>
                <w:sz w:val="14"/>
                <w:szCs w:val="14"/>
                <w:b w:val="1"/>
                <w:bCs w:val="1"/>
                <w:color w:val="auto"/>
              </w:rPr>
              <w:t>August 1, 2009</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6"/>
          </w:tcPr>
          <w:p>
            <w:pPr>
              <w:jc w:val="right"/>
              <w:ind w:right="240"/>
              <w:spacing w:after="0"/>
              <w:rPr>
                <w:sz w:val="20"/>
                <w:szCs w:val="20"/>
                <w:color w:val="auto"/>
              </w:rPr>
            </w:pPr>
            <w:r>
              <w:rPr>
                <w:rFonts w:ascii="Arial" w:cs="Arial" w:eastAsia="Arial" w:hAnsi="Arial"/>
                <w:sz w:val="14"/>
                <w:szCs w:val="14"/>
                <w:b w:val="1"/>
                <w:bCs w:val="1"/>
                <w:color w:val="auto"/>
                <w:w w:val="98"/>
              </w:rPr>
              <w:t>January 31, 2009</w:t>
            </w:r>
          </w:p>
        </w:tc>
      </w:tr>
      <w:tr>
        <w:trPr>
          <w:trHeight w:val="129"/>
        </w:trPr>
        <w:tc>
          <w:tcPr>
            <w:tcW w:w="8320" w:type="dxa"/>
            <w:vAlign w:val="bottom"/>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Amortized</w:t>
            </w:r>
          </w:p>
        </w:tc>
        <w:tc>
          <w:tcPr>
            <w:tcW w:w="22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6"/>
              </w:rPr>
              <w:t>Estimated</w:t>
            </w:r>
          </w:p>
        </w:tc>
        <w:tc>
          <w:tcPr>
            <w:tcW w:w="220" w:type="dxa"/>
            <w:vAlign w:val="bottom"/>
          </w:tcPr>
          <w:p>
            <w:pPr>
              <w:spacing w:after="0"/>
              <w:rPr>
                <w:sz w:val="11"/>
                <w:szCs w:val="11"/>
                <w:color w:val="auto"/>
              </w:rPr>
            </w:pPr>
          </w:p>
        </w:tc>
        <w:tc>
          <w:tcPr>
            <w:tcW w:w="7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Amortized</w:t>
            </w:r>
          </w:p>
        </w:tc>
        <w:tc>
          <w:tcPr>
            <w:tcW w:w="12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6"/>
              </w:rPr>
              <w:t>Estimated</w:t>
            </w:r>
          </w:p>
        </w:tc>
        <w:tc>
          <w:tcPr>
            <w:tcW w:w="20" w:type="dxa"/>
            <w:vAlign w:val="bottom"/>
          </w:tcPr>
          <w:p>
            <w:pPr>
              <w:spacing w:after="0"/>
              <w:rPr>
                <w:sz w:val="11"/>
                <w:szCs w:val="11"/>
                <w:color w:val="auto"/>
              </w:rPr>
            </w:pPr>
          </w:p>
        </w:tc>
      </w:tr>
      <w:tr>
        <w:trPr>
          <w:trHeight w:val="161"/>
        </w:trPr>
        <w:tc>
          <w:tcPr>
            <w:tcW w:w="8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rPr>
              <w:t>Cost</w:t>
            </w:r>
          </w:p>
        </w:tc>
        <w:tc>
          <w:tcPr>
            <w:tcW w:w="220" w:type="dxa"/>
            <w:vAlign w:val="bottom"/>
          </w:tcPr>
          <w:p>
            <w:pPr>
              <w:spacing w:after="0"/>
              <w:rPr>
                <w:sz w:val="14"/>
                <w:szCs w:val="14"/>
                <w:color w:val="auto"/>
              </w:rPr>
            </w:pPr>
          </w:p>
        </w:tc>
        <w:tc>
          <w:tcPr>
            <w:tcW w:w="6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6"/>
              </w:rPr>
              <w:t>Fair Value</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4"/>
                <w:szCs w:val="14"/>
                <w:color w:val="auto"/>
              </w:rPr>
            </w:pPr>
          </w:p>
        </w:tc>
      </w:tr>
      <w:tr>
        <w:trPr>
          <w:trHeight w:val="210"/>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6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83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5,000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5,000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r>
      <w:tr>
        <w:trPr>
          <w:trHeight w:val="216"/>
        </w:trPr>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36,800</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34,333</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36,850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35,541</w:t>
            </w:r>
          </w:p>
        </w:tc>
        <w:tc>
          <w:tcPr>
            <w:tcW w:w="20" w:type="dxa"/>
            <w:vAlign w:val="bottom"/>
          </w:tcPr>
          <w:p>
            <w:pPr>
              <w:spacing w:after="0"/>
              <w:rPr>
                <w:sz w:val="18"/>
                <w:szCs w:val="18"/>
                <w:color w:val="auto"/>
              </w:rPr>
            </w:pPr>
          </w:p>
        </w:tc>
      </w:tr>
      <w:tr>
        <w:trPr>
          <w:trHeight w:val="222"/>
        </w:trPr>
        <w:tc>
          <w:tcPr>
            <w:tcW w:w="8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41,800</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39,333</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w w:val="90"/>
              </w:rPr>
              <w:t>41,850</w:t>
            </w: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40,541</w:t>
            </w:r>
          </w:p>
        </w:tc>
      </w:tr>
      <w:tr>
        <w:trPr>
          <w:trHeight w:val="20"/>
        </w:trPr>
        <w:tc>
          <w:tcPr>
            <w:tcW w:w="8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August 1, 2009</w:t>
            </w: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1980" w:type="dxa"/>
            <w:vAlign w:val="bottom"/>
            <w:gridSpan w:val="5"/>
          </w:tcPr>
          <w:p>
            <w:pPr>
              <w:jc w:val="right"/>
              <w:ind w:right="920"/>
              <w:spacing w:after="0" w:line="129" w:lineRule="exact"/>
              <w:rPr>
                <w:sz w:val="20"/>
                <w:szCs w:val="20"/>
                <w:color w:val="auto"/>
              </w:rPr>
            </w:pPr>
            <w:r>
              <w:rPr>
                <w:rFonts w:ascii="Arial" w:cs="Arial" w:eastAsia="Arial" w:hAnsi="Arial"/>
                <w:sz w:val="14"/>
                <w:szCs w:val="14"/>
                <w:b w:val="1"/>
                <w:bCs w:val="1"/>
                <w:color w:val="auto"/>
              </w:rPr>
              <w:t>12 months</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10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or more</w:t>
            </w:r>
          </w:p>
        </w:tc>
        <w:tc>
          <w:tcPr>
            <w:tcW w:w="520" w:type="dxa"/>
            <w:vAlign w:val="bottom"/>
            <w:tcBorders>
              <w:bottom w:val="single" w:sz="8" w:color="auto"/>
            </w:tcBorders>
          </w:tcPr>
          <w:p>
            <w:pPr>
              <w:spacing w:after="0"/>
              <w:rPr>
                <w:sz w:val="14"/>
                <w:szCs w:val="14"/>
                <w:color w:val="auto"/>
              </w:rPr>
            </w:pPr>
          </w:p>
        </w:tc>
        <w:tc>
          <w:tcPr>
            <w:tcW w:w="4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320" w:type="dxa"/>
            <w:vAlign w:val="bottom"/>
          </w:tcPr>
          <w:p>
            <w:pPr>
              <w:spacing w:after="0"/>
              <w:rPr>
                <w:sz w:val="11"/>
                <w:szCs w:val="11"/>
                <w:color w:val="auto"/>
              </w:rPr>
            </w:pPr>
          </w:p>
        </w:tc>
        <w:tc>
          <w:tcPr>
            <w:tcW w:w="64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Unrealized</w:t>
            </w:r>
          </w:p>
        </w:tc>
        <w:tc>
          <w:tcPr>
            <w:tcW w:w="44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320" w:type="dxa"/>
            <w:vAlign w:val="bottom"/>
          </w:tcPr>
          <w:p>
            <w:pPr>
              <w:spacing w:after="0"/>
              <w:rPr>
                <w:sz w:val="11"/>
                <w:szCs w:val="11"/>
                <w:color w:val="auto"/>
              </w:rPr>
            </w:pPr>
          </w:p>
        </w:tc>
        <w:tc>
          <w:tcPr>
            <w:tcW w:w="6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85"/>
              </w:rPr>
              <w:t>(Loss)</w:t>
            </w:r>
          </w:p>
        </w:tc>
        <w:tc>
          <w:tcPr>
            <w:tcW w:w="4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3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3420" w:type="dxa"/>
            <w:vAlign w:val="bottom"/>
            <w:shd w:val="clear" w:color="auto" w:fill="CCEEFF"/>
          </w:tcPr>
          <w:p>
            <w:pPr>
              <w:spacing w:after="0"/>
              <w:rPr>
                <w:sz w:val="18"/>
                <w:szCs w:val="18"/>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39,333</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8"/>
              </w:rPr>
              <w:t>(2,467)</w:t>
            </w: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39,333</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4"/>
              </w:rPr>
              <w:t>(2,467)</w:t>
            </w:r>
          </w:p>
        </w:tc>
        <w:tc>
          <w:tcPr>
            <w:tcW w:w="0" w:type="dxa"/>
            <w:vAlign w:val="bottom"/>
          </w:tcPr>
          <w:p>
            <w:pPr>
              <w:spacing w:after="0"/>
              <w:rPr>
                <w:sz w:val="1"/>
                <w:szCs w:val="1"/>
                <w:color w:val="auto"/>
              </w:rPr>
            </w:pPr>
          </w:p>
        </w:tc>
      </w:tr>
      <w:tr>
        <w:trPr>
          <w:trHeight w:val="20"/>
        </w:trPr>
        <w:tc>
          <w:tcPr>
            <w:tcW w:w="43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34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80" w:type="dxa"/>
            <w:vAlign w:val="bottom"/>
            <w:vMerge w:val="continue"/>
          </w:tcPr>
          <w:p>
            <w:pPr>
              <w:spacing w:after="0"/>
              <w:rPr>
                <w:sz w:val="19"/>
                <w:szCs w:val="19"/>
                <w:color w:val="auto"/>
              </w:rPr>
            </w:pPr>
          </w:p>
        </w:tc>
        <w:tc>
          <w:tcPr>
            <w:tcW w:w="3420" w:type="dxa"/>
            <w:vAlign w:val="bottom"/>
          </w:tcPr>
          <w:p>
            <w:pPr>
              <w:spacing w:after="0"/>
              <w:rPr>
                <w:sz w:val="19"/>
                <w:szCs w:val="19"/>
                <w:color w:val="auto"/>
              </w:rPr>
            </w:pPr>
          </w:p>
        </w:tc>
        <w:tc>
          <w:tcPr>
            <w:tcW w:w="580" w:type="dxa"/>
            <w:vAlign w:val="bottom"/>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39,333</w:t>
            </w:r>
          </w:p>
        </w:tc>
        <w:tc>
          <w:tcPr>
            <w:tcW w:w="32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98"/>
              </w:rPr>
              <w:t>(2,467)</w:t>
            </w:r>
          </w:p>
        </w:tc>
        <w:tc>
          <w:tcPr>
            <w:tcW w:w="580" w:type="dxa"/>
            <w:vAlign w:val="bottom"/>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39,333</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20" w:type="dxa"/>
            <w:vAlign w:val="bottom"/>
            <w:gridSpan w:val="2"/>
          </w:tcPr>
          <w:p>
            <w:pPr>
              <w:ind w:left="60"/>
              <w:spacing w:after="0"/>
              <w:rPr>
                <w:sz w:val="20"/>
                <w:szCs w:val="20"/>
                <w:color w:val="auto"/>
              </w:rPr>
            </w:pPr>
            <w:r>
              <w:rPr>
                <w:rFonts w:ascii="Arial" w:cs="Arial" w:eastAsia="Arial" w:hAnsi="Arial"/>
                <w:sz w:val="18"/>
                <w:szCs w:val="18"/>
                <w:color w:val="auto"/>
                <w:w w:val="94"/>
              </w:rPr>
              <w:t>(2,467)</w:t>
            </w:r>
          </w:p>
        </w:tc>
        <w:tc>
          <w:tcPr>
            <w:tcW w:w="0" w:type="dxa"/>
            <w:vAlign w:val="bottom"/>
          </w:tcPr>
          <w:p>
            <w:pPr>
              <w:spacing w:after="0"/>
              <w:rPr>
                <w:sz w:val="1"/>
                <w:szCs w:val="1"/>
                <w:color w:val="auto"/>
              </w:rPr>
            </w:pPr>
          </w:p>
        </w:tc>
      </w:tr>
      <w:tr>
        <w:trPr>
          <w:trHeight w:val="20"/>
        </w:trPr>
        <w:tc>
          <w:tcPr>
            <w:tcW w:w="4380" w:type="dxa"/>
            <w:vAlign w:val="bottom"/>
          </w:tcPr>
          <w:p>
            <w:pPr>
              <w:spacing w:after="0" w:line="20" w:lineRule="exact"/>
              <w:rPr>
                <w:sz w:val="1"/>
                <w:szCs w:val="1"/>
                <w:color w:val="auto"/>
              </w:rPr>
            </w:pPr>
          </w:p>
        </w:tc>
        <w:tc>
          <w:tcPr>
            <w:tcW w:w="34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4380" w:type="dxa"/>
            <w:vAlign w:val="bottom"/>
          </w:tcPr>
          <w:p>
            <w:pPr>
              <w:spacing w:after="0"/>
              <w:rPr>
                <w:sz w:val="24"/>
                <w:szCs w:val="24"/>
                <w:color w:val="auto"/>
              </w:rPr>
            </w:pPr>
          </w:p>
        </w:tc>
        <w:tc>
          <w:tcPr>
            <w:tcW w:w="342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gridSpan w:val="3"/>
          </w:tcPr>
          <w:p>
            <w:pPr>
              <w:jc w:val="center"/>
              <w:ind w:right="2"/>
              <w:spacing w:after="0"/>
              <w:rPr>
                <w:sz w:val="20"/>
                <w:szCs w:val="20"/>
                <w:color w:val="auto"/>
              </w:rPr>
            </w:pPr>
            <w:r>
              <w:rPr>
                <w:rFonts w:ascii="Arial" w:cs="Arial" w:eastAsia="Arial" w:hAnsi="Arial"/>
                <w:sz w:val="14"/>
                <w:szCs w:val="14"/>
                <w:b w:val="1"/>
                <w:bCs w:val="1"/>
                <w:color w:val="auto"/>
                <w:w w:val="87"/>
              </w:rPr>
              <w:t>January 31, 2009</w:t>
            </w:r>
          </w:p>
        </w:tc>
        <w:tc>
          <w:tcPr>
            <w:tcW w:w="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1980" w:type="dxa"/>
            <w:vAlign w:val="bottom"/>
            <w:gridSpan w:val="5"/>
          </w:tcPr>
          <w:p>
            <w:pPr>
              <w:jc w:val="right"/>
              <w:ind w:right="920"/>
              <w:spacing w:after="0" w:line="129" w:lineRule="exact"/>
              <w:rPr>
                <w:sz w:val="20"/>
                <w:szCs w:val="20"/>
                <w:color w:val="auto"/>
              </w:rPr>
            </w:pPr>
            <w:r>
              <w:rPr>
                <w:rFonts w:ascii="Arial" w:cs="Arial" w:eastAsia="Arial" w:hAnsi="Arial"/>
                <w:sz w:val="14"/>
                <w:szCs w:val="14"/>
                <w:b w:val="1"/>
                <w:bCs w:val="1"/>
                <w:color w:val="auto"/>
              </w:rPr>
              <w:t>12 months</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10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or more</w:t>
            </w:r>
          </w:p>
        </w:tc>
        <w:tc>
          <w:tcPr>
            <w:tcW w:w="520" w:type="dxa"/>
            <w:vAlign w:val="bottom"/>
            <w:tcBorders>
              <w:bottom w:val="single" w:sz="8" w:color="auto"/>
            </w:tcBorders>
          </w:tcPr>
          <w:p>
            <w:pPr>
              <w:spacing w:after="0"/>
              <w:rPr>
                <w:sz w:val="14"/>
                <w:szCs w:val="14"/>
                <w:color w:val="auto"/>
              </w:rPr>
            </w:pPr>
          </w:p>
        </w:tc>
        <w:tc>
          <w:tcPr>
            <w:tcW w:w="4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320" w:type="dxa"/>
            <w:vAlign w:val="bottom"/>
          </w:tcPr>
          <w:p>
            <w:pPr>
              <w:spacing w:after="0"/>
              <w:rPr>
                <w:sz w:val="11"/>
                <w:szCs w:val="11"/>
                <w:color w:val="auto"/>
              </w:rPr>
            </w:pPr>
          </w:p>
        </w:tc>
        <w:tc>
          <w:tcPr>
            <w:tcW w:w="64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Unrealized</w:t>
            </w:r>
          </w:p>
        </w:tc>
        <w:tc>
          <w:tcPr>
            <w:tcW w:w="44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320" w:type="dxa"/>
            <w:vAlign w:val="bottom"/>
          </w:tcPr>
          <w:p>
            <w:pPr>
              <w:spacing w:after="0"/>
              <w:rPr>
                <w:sz w:val="11"/>
                <w:szCs w:val="11"/>
                <w:color w:val="auto"/>
              </w:rPr>
            </w:pPr>
          </w:p>
        </w:tc>
        <w:tc>
          <w:tcPr>
            <w:tcW w:w="64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85"/>
              </w:rPr>
              <w:t>(Loss)</w:t>
            </w:r>
          </w:p>
        </w:tc>
        <w:tc>
          <w:tcPr>
            <w:tcW w:w="4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3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3420" w:type="dxa"/>
            <w:vAlign w:val="bottom"/>
            <w:shd w:val="clear" w:color="auto" w:fill="CCEEFF"/>
          </w:tcPr>
          <w:p>
            <w:pPr>
              <w:spacing w:after="0"/>
              <w:rPr>
                <w:sz w:val="18"/>
                <w:szCs w:val="18"/>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8"/>
              </w:rPr>
              <w:t>(1,309)</w:t>
            </w: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4"/>
              </w:rPr>
              <w:t>(1,309)</w:t>
            </w:r>
          </w:p>
        </w:tc>
        <w:tc>
          <w:tcPr>
            <w:tcW w:w="0" w:type="dxa"/>
            <w:vAlign w:val="bottom"/>
          </w:tcPr>
          <w:p>
            <w:pPr>
              <w:spacing w:after="0"/>
              <w:rPr>
                <w:sz w:val="1"/>
                <w:szCs w:val="1"/>
                <w:color w:val="auto"/>
              </w:rPr>
            </w:pPr>
          </w:p>
        </w:tc>
      </w:tr>
      <w:tr>
        <w:trPr>
          <w:trHeight w:val="20"/>
        </w:trPr>
        <w:tc>
          <w:tcPr>
            <w:tcW w:w="43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34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80" w:type="dxa"/>
            <w:vAlign w:val="bottom"/>
            <w:vMerge w:val="continue"/>
          </w:tcPr>
          <w:p>
            <w:pPr>
              <w:spacing w:after="0"/>
              <w:rPr>
                <w:sz w:val="19"/>
                <w:szCs w:val="19"/>
                <w:color w:val="auto"/>
              </w:rPr>
            </w:pPr>
          </w:p>
        </w:tc>
        <w:tc>
          <w:tcPr>
            <w:tcW w:w="3420" w:type="dxa"/>
            <w:vAlign w:val="bottom"/>
          </w:tcPr>
          <w:p>
            <w:pPr>
              <w:spacing w:after="0"/>
              <w:rPr>
                <w:sz w:val="19"/>
                <w:szCs w:val="19"/>
                <w:color w:val="auto"/>
              </w:rPr>
            </w:pPr>
          </w:p>
        </w:tc>
        <w:tc>
          <w:tcPr>
            <w:tcW w:w="580" w:type="dxa"/>
            <w:vAlign w:val="bottom"/>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32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98"/>
              </w:rPr>
              <w:t>(1,309)</w:t>
            </w:r>
          </w:p>
        </w:tc>
        <w:tc>
          <w:tcPr>
            <w:tcW w:w="580" w:type="dxa"/>
            <w:vAlign w:val="bottom"/>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20" w:type="dxa"/>
            <w:vAlign w:val="bottom"/>
            <w:gridSpan w:val="2"/>
          </w:tcPr>
          <w:p>
            <w:pPr>
              <w:ind w:left="60"/>
              <w:spacing w:after="0"/>
              <w:rPr>
                <w:sz w:val="20"/>
                <w:szCs w:val="20"/>
                <w:color w:val="auto"/>
              </w:rPr>
            </w:pPr>
            <w:r>
              <w:rPr>
                <w:rFonts w:ascii="Arial" w:cs="Arial" w:eastAsia="Arial" w:hAnsi="Arial"/>
                <w:sz w:val="18"/>
                <w:szCs w:val="18"/>
                <w:color w:val="auto"/>
                <w:w w:val="94"/>
              </w:rPr>
              <w:t>(1,309)</w:t>
            </w:r>
          </w:p>
        </w:tc>
        <w:tc>
          <w:tcPr>
            <w:tcW w:w="0" w:type="dxa"/>
            <w:vAlign w:val="bottom"/>
          </w:tcPr>
          <w:p>
            <w:pPr>
              <w:spacing w:after="0"/>
              <w:rPr>
                <w:sz w:val="1"/>
                <w:szCs w:val="1"/>
                <w:color w:val="auto"/>
              </w:rPr>
            </w:pPr>
          </w:p>
        </w:tc>
      </w:tr>
      <w:tr>
        <w:trPr>
          <w:trHeight w:val="20"/>
        </w:trPr>
        <w:tc>
          <w:tcPr>
            <w:tcW w:w="4380" w:type="dxa"/>
            <w:vAlign w:val="bottom"/>
          </w:tcPr>
          <w:p>
            <w:pPr>
              <w:spacing w:after="0" w:line="20" w:lineRule="exact"/>
              <w:rPr>
                <w:sz w:val="1"/>
                <w:szCs w:val="1"/>
                <w:color w:val="auto"/>
              </w:rPr>
            </w:pPr>
          </w:p>
        </w:tc>
        <w:tc>
          <w:tcPr>
            <w:tcW w:w="3420" w:type="dxa"/>
            <w:vAlign w:val="bottom"/>
            <w:vMerge w:val="restart"/>
          </w:tcPr>
          <w:p>
            <w:pPr>
              <w:jc w:val="right"/>
              <w:ind w:right="1912"/>
              <w:spacing w:after="0"/>
              <w:rPr>
                <w:sz w:val="20"/>
                <w:szCs w:val="20"/>
                <w:color w:val="auto"/>
              </w:rPr>
            </w:pPr>
            <w:r>
              <w:rPr>
                <w:rFonts w:ascii="Arial" w:cs="Arial" w:eastAsia="Arial" w:hAnsi="Arial"/>
                <w:sz w:val="18"/>
                <w:szCs w:val="18"/>
                <w:color w:val="auto"/>
              </w:rPr>
              <w:t>12</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80" w:type="dxa"/>
            <w:vAlign w:val="bottom"/>
          </w:tcPr>
          <w:p>
            <w:pPr>
              <w:spacing w:after="0"/>
              <w:rPr>
                <w:sz w:val="24"/>
                <w:szCs w:val="24"/>
                <w:color w:val="auto"/>
              </w:rPr>
            </w:pPr>
          </w:p>
        </w:tc>
        <w:tc>
          <w:tcPr>
            <w:tcW w:w="342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Inventories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0"/>
              </w:rPr>
              <w:t>August 1,</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60" w:type="dxa"/>
            <w:vAlign w:val="bottom"/>
            <w:gridSpan w:val="2"/>
          </w:tcPr>
          <w:p>
            <w:pPr>
              <w:spacing w:after="0"/>
              <w:rPr>
                <w:sz w:val="14"/>
                <w:szCs w:val="14"/>
                <w:color w:val="auto"/>
              </w:rPr>
            </w:pPr>
          </w:p>
        </w:tc>
        <w:tc>
          <w:tcPr>
            <w:tcW w:w="660" w:type="dxa"/>
            <w:vAlign w:val="bottom"/>
            <w:tcBorders>
              <w:bottom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2009</w:t>
            </w:r>
          </w:p>
        </w:tc>
        <w:tc>
          <w:tcPr>
            <w:tcW w:w="1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434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$141,129</w:t>
            </w:r>
          </w:p>
        </w:tc>
        <w:tc>
          <w:tcPr>
            <w:tcW w:w="11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$ 188,830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Finished goods</w:t>
            </w:r>
          </w:p>
        </w:tc>
        <w:tc>
          <w:tcPr>
            <w:tcW w:w="3660" w:type="dxa"/>
            <w:vAlign w:val="bottom"/>
            <w:gridSpan w:val="2"/>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rPr>
              <w:t>70,254</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121,824</w:t>
            </w:r>
          </w:p>
        </w:tc>
        <w:tc>
          <w:tcPr>
            <w:tcW w:w="0" w:type="dxa"/>
            <w:vAlign w:val="bottom"/>
          </w:tcPr>
          <w:p>
            <w:pPr>
              <w:spacing w:after="0"/>
              <w:rPr>
                <w:sz w:val="1"/>
                <w:szCs w:val="1"/>
                <w:color w:val="auto"/>
              </w:rPr>
            </w:pPr>
          </w:p>
        </w:tc>
      </w:tr>
      <w:tr>
        <w:trPr>
          <w:trHeight w:val="27"/>
        </w:trPr>
        <w:tc>
          <w:tcPr>
            <w:tcW w:w="460" w:type="dxa"/>
            <w:vAlign w:val="bottom"/>
          </w:tcPr>
          <w:p>
            <w:pPr>
              <w:spacing w:after="0"/>
              <w:rPr>
                <w:sz w:val="2"/>
                <w:szCs w:val="2"/>
                <w:color w:val="auto"/>
              </w:rPr>
            </w:pPr>
          </w:p>
        </w:tc>
        <w:tc>
          <w:tcPr>
            <w:tcW w:w="4100" w:type="dxa"/>
            <w:vAlign w:val="bottom"/>
          </w:tcPr>
          <w:p>
            <w:pPr>
              <w:spacing w:after="0"/>
              <w:rPr>
                <w:sz w:val="2"/>
                <w:szCs w:val="2"/>
                <w:color w:val="auto"/>
              </w:rPr>
            </w:pPr>
          </w:p>
        </w:tc>
        <w:tc>
          <w:tcPr>
            <w:tcW w:w="3360" w:type="dxa"/>
            <w:vAlign w:val="bottom"/>
          </w:tcPr>
          <w:p>
            <w:pPr>
              <w:spacing w:after="0"/>
              <w:rPr>
                <w:sz w:val="2"/>
                <w:szCs w:val="2"/>
                <w:color w:val="auto"/>
              </w:rPr>
            </w:pPr>
          </w:p>
        </w:tc>
        <w:tc>
          <w:tcPr>
            <w:tcW w:w="300" w:type="dxa"/>
            <w:vAlign w:val="bottom"/>
            <w:tcBorders>
              <w:right w:val="single" w:sz="8" w:color="auto"/>
            </w:tcBorders>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3660" w:type="dxa"/>
            <w:vAlign w:val="bottom"/>
            <w:tcBorders>
              <w:right w:val="single" w:sz="8" w:color="CCEEFF"/>
            </w:tcBorders>
            <w:gridSpan w:val="2"/>
            <w:shd w:val="clear" w:color="auto" w:fill="CCEEFF"/>
          </w:tcPr>
          <w:p>
            <w:pPr>
              <w:spacing w:after="0"/>
              <w:rPr>
                <w:sz w:val="18"/>
                <w:szCs w:val="18"/>
                <w:color w:val="auto"/>
              </w:rPr>
            </w:pPr>
          </w:p>
        </w:tc>
        <w:tc>
          <w:tcPr>
            <w:tcW w:w="6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79"/>
              </w:rPr>
              <w:t>$ 211,383</w:t>
            </w:r>
          </w:p>
        </w:tc>
        <w:tc>
          <w:tcPr>
            <w:tcW w:w="11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$ 310,654</w:t>
            </w: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Property and equipment, net</w:t>
            </w:r>
          </w:p>
        </w:tc>
        <w:tc>
          <w:tcPr>
            <w:tcW w:w="3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560" w:type="dxa"/>
            <w:vAlign w:val="bottom"/>
            <w:gridSpan w:val="2"/>
            <w:vMerge w:val="continue"/>
          </w:tcPr>
          <w:p>
            <w:pPr>
              <w:spacing w:after="0"/>
              <w:rPr>
                <w:sz w:val="24"/>
                <w:szCs w:val="24"/>
                <w:color w:val="auto"/>
              </w:rPr>
            </w:pPr>
          </w:p>
        </w:tc>
        <w:tc>
          <w:tcPr>
            <w:tcW w:w="3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980" w:type="dxa"/>
            <w:vAlign w:val="bottom"/>
            <w:gridSpan w:val="4"/>
          </w:tcPr>
          <w:p>
            <w:pPr>
              <w:jc w:val="right"/>
              <w:ind w:right="340"/>
              <w:spacing w:after="0"/>
              <w:rPr>
                <w:sz w:val="20"/>
                <w:szCs w:val="20"/>
                <w:color w:val="auto"/>
              </w:rPr>
            </w:pPr>
            <w:r>
              <w:rPr>
                <w:rFonts w:ascii="Arial" w:cs="Arial" w:eastAsia="Arial" w:hAnsi="Arial"/>
                <w:sz w:val="14"/>
                <w:szCs w:val="14"/>
                <w:b w:val="1"/>
                <w:bCs w:val="1"/>
                <w:color w:val="auto"/>
                <w:w w:val="97"/>
              </w:rPr>
              <w:t>August 1,</w:t>
            </w:r>
          </w:p>
        </w:tc>
        <w:tc>
          <w:tcPr>
            <w:tcW w:w="300" w:type="dxa"/>
            <w:vAlign w:val="bottom"/>
          </w:tcPr>
          <w:p>
            <w:pPr>
              <w:spacing w:after="0"/>
              <w:rPr>
                <w:sz w:val="24"/>
                <w:szCs w:val="24"/>
                <w:color w:val="auto"/>
              </w:rPr>
            </w:pPr>
          </w:p>
        </w:tc>
        <w:tc>
          <w:tcPr>
            <w:tcW w:w="84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w w:val="90"/>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740" w:type="dxa"/>
            <w:vAlign w:val="bottom"/>
            <w:tcBorders>
              <w:bottom w:val="single" w:sz="8" w:color="auto"/>
            </w:tcBorders>
            <w:gridSpan w:val="2"/>
          </w:tcPr>
          <w:p>
            <w:pPr>
              <w:jc w:val="right"/>
              <w:ind w:right="164"/>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40" w:type="dxa"/>
            <w:vAlign w:val="bottom"/>
            <w:tcBorders>
              <w:bottom w:val="single" w:sz="8" w:color="auto"/>
            </w:tcBorders>
            <w:gridSpan w:val="3"/>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43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$ 348,383</w:t>
            </w:r>
          </w:p>
        </w:tc>
        <w:tc>
          <w:tcPr>
            <w:tcW w:w="20" w:type="dxa"/>
            <w:vAlign w:val="bottom"/>
            <w:shd w:val="clear" w:color="auto" w:fill="CCEEFF"/>
          </w:tcPr>
          <w:p>
            <w:pPr>
              <w:spacing w:after="0"/>
              <w:rPr>
                <w:sz w:val="18"/>
                <w:szCs w:val="18"/>
                <w:color w:val="auto"/>
              </w:rPr>
            </w:pPr>
          </w:p>
        </w:tc>
        <w:tc>
          <w:tcPr>
            <w:tcW w:w="11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$ 343,772</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Computer software</w:t>
            </w:r>
          </w:p>
        </w:tc>
        <w:tc>
          <w:tcPr>
            <w:tcW w:w="4320" w:type="dxa"/>
            <w:vAlign w:val="bottom"/>
            <w:gridSpan w:val="4"/>
          </w:tcPr>
          <w:p>
            <w:pPr>
              <w:jc w:val="right"/>
              <w:ind w:right="220"/>
              <w:spacing w:after="0"/>
              <w:rPr>
                <w:sz w:val="20"/>
                <w:szCs w:val="20"/>
                <w:color w:val="auto"/>
              </w:rPr>
            </w:pPr>
            <w:r>
              <w:rPr>
                <w:rFonts w:ascii="Arial" w:cs="Arial" w:eastAsia="Arial" w:hAnsi="Arial"/>
                <w:sz w:val="18"/>
                <w:szCs w:val="18"/>
                <w:color w:val="auto"/>
              </w:rPr>
              <w:t>77,412</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75,986</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43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23,635</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23,490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4320" w:type="dxa"/>
            <w:vAlign w:val="bottom"/>
            <w:gridSpan w:val="4"/>
          </w:tcPr>
          <w:p>
            <w:pPr>
              <w:jc w:val="right"/>
              <w:ind w:right="220"/>
              <w:spacing w:after="0"/>
              <w:rPr>
                <w:sz w:val="20"/>
                <w:szCs w:val="20"/>
                <w:color w:val="auto"/>
              </w:rPr>
            </w:pPr>
            <w:r>
              <w:rPr>
                <w:rFonts w:ascii="Arial" w:cs="Arial" w:eastAsia="Arial" w:hAnsi="Arial"/>
                <w:sz w:val="18"/>
                <w:szCs w:val="18"/>
                <w:color w:val="auto"/>
              </w:rPr>
              <w:t>40,030</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38,872</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43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146,294</w:t>
            </w:r>
          </w:p>
        </w:tc>
        <w:tc>
          <w:tcPr>
            <w:tcW w:w="20" w:type="dxa"/>
            <w:vAlign w:val="bottom"/>
            <w:shd w:val="clear" w:color="auto" w:fill="CCEEFF"/>
          </w:tcPr>
          <w:p>
            <w:pPr>
              <w:spacing w:after="0"/>
              <w:rPr>
                <w:sz w:val="18"/>
                <w:szCs w:val="18"/>
                <w:color w:val="auto"/>
              </w:rPr>
            </w:pPr>
          </w:p>
        </w:tc>
        <w:tc>
          <w:tcPr>
            <w:tcW w:w="11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146,294</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Building improvements</w:t>
            </w:r>
          </w:p>
        </w:tc>
        <w:tc>
          <w:tcPr>
            <w:tcW w:w="4320" w:type="dxa"/>
            <w:vAlign w:val="bottom"/>
            <w:gridSpan w:val="4"/>
          </w:tcPr>
          <w:p>
            <w:pPr>
              <w:jc w:val="right"/>
              <w:ind w:right="220"/>
              <w:spacing w:after="0"/>
              <w:rPr>
                <w:sz w:val="20"/>
                <w:szCs w:val="20"/>
                <w:color w:val="auto"/>
              </w:rPr>
            </w:pPr>
            <w:r>
              <w:rPr>
                <w:rFonts w:ascii="Arial" w:cs="Arial" w:eastAsia="Arial" w:hAnsi="Arial"/>
                <w:sz w:val="18"/>
                <w:szCs w:val="18"/>
                <w:color w:val="auto"/>
              </w:rPr>
              <w:t>45,586</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45,329</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43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71,198</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71,198</w:t>
            </w: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3360" w:type="dxa"/>
            <w:vAlign w:val="bottom"/>
          </w:tcPr>
          <w:p>
            <w:pPr>
              <w:spacing w:after="0"/>
              <w:rPr>
                <w:sz w:val="19"/>
                <w:szCs w:val="19"/>
                <w:color w:val="auto"/>
              </w:rPr>
            </w:pPr>
          </w:p>
        </w:tc>
        <w:tc>
          <w:tcPr>
            <w:tcW w:w="7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1,029</w:t>
            </w: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43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753,567</w:t>
            </w:r>
          </w:p>
        </w:tc>
        <w:tc>
          <w:tcPr>
            <w:tcW w:w="20" w:type="dxa"/>
            <w:vAlign w:val="bottom"/>
            <w:shd w:val="clear" w:color="auto" w:fill="CCEEFF"/>
          </w:tcPr>
          <w:p>
            <w:pPr>
              <w:spacing w:after="0"/>
              <w:rPr>
                <w:sz w:val="18"/>
                <w:szCs w:val="18"/>
                <w:color w:val="auto"/>
              </w:rPr>
            </w:pPr>
          </w:p>
        </w:tc>
        <w:tc>
          <w:tcPr>
            <w:tcW w:w="11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747,424</w:t>
            </w: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3360" w:type="dxa"/>
            <w:vAlign w:val="bottom"/>
          </w:tcPr>
          <w:p>
            <w:pPr>
              <w:spacing w:after="0"/>
              <w:rPr>
                <w:sz w:val="19"/>
                <w:szCs w:val="19"/>
                <w:color w:val="auto"/>
              </w:rPr>
            </w:pPr>
          </w:p>
        </w:tc>
        <w:tc>
          <w:tcPr>
            <w:tcW w:w="960" w:type="dxa"/>
            <w:vAlign w:val="bottom"/>
            <w:gridSpan w:val="3"/>
          </w:tcPr>
          <w:p>
            <w:pPr>
              <w:jc w:val="right"/>
              <w:ind w:right="180"/>
              <w:spacing w:after="0"/>
              <w:rPr>
                <w:sz w:val="20"/>
                <w:szCs w:val="20"/>
                <w:color w:val="auto"/>
              </w:rPr>
            </w:pPr>
            <w:r>
              <w:rPr>
                <w:rFonts w:ascii="Arial" w:cs="Arial" w:eastAsia="Arial" w:hAnsi="Arial"/>
                <w:sz w:val="18"/>
                <w:szCs w:val="18"/>
                <w:color w:val="auto"/>
                <w:w w:val="98"/>
              </w:rPr>
              <w:t>(400,848)</w:t>
            </w:r>
          </w:p>
        </w:tc>
        <w:tc>
          <w:tcPr>
            <w:tcW w:w="20" w:type="dxa"/>
            <w:vAlign w:val="bottom"/>
          </w:tcPr>
          <w:p>
            <w:pPr>
              <w:spacing w:after="0"/>
              <w:rPr>
                <w:sz w:val="19"/>
                <w:szCs w:val="19"/>
                <w:color w:val="auto"/>
              </w:rPr>
            </w:pPr>
          </w:p>
        </w:tc>
        <w:tc>
          <w:tcPr>
            <w:tcW w:w="1140" w:type="dxa"/>
            <w:vAlign w:val="bottom"/>
            <w:gridSpan w:val="5"/>
          </w:tcPr>
          <w:p>
            <w:pPr>
              <w:jc w:val="right"/>
              <w:ind w:right="40"/>
              <w:spacing w:after="0"/>
              <w:rPr>
                <w:sz w:val="20"/>
                <w:szCs w:val="20"/>
                <w:color w:val="auto"/>
              </w:rPr>
            </w:pPr>
            <w:r>
              <w:rPr>
                <w:rFonts w:ascii="Arial" w:cs="Arial" w:eastAsia="Arial" w:hAnsi="Arial"/>
                <w:sz w:val="18"/>
                <w:szCs w:val="18"/>
                <w:color w:val="auto"/>
              </w:rPr>
              <w:t>(356,571)</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336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$ 352,719</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9"/>
              </w:rPr>
              <w:t>$ 390,853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Other non-current assets</w:t>
            </w:r>
          </w:p>
        </w:tc>
        <w:tc>
          <w:tcPr>
            <w:tcW w:w="3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560" w:type="dxa"/>
            <w:vAlign w:val="bottom"/>
            <w:gridSpan w:val="2"/>
            <w:vMerge w:val="continue"/>
          </w:tcPr>
          <w:p>
            <w:pPr>
              <w:spacing w:after="0"/>
              <w:rPr>
                <w:sz w:val="24"/>
                <w:szCs w:val="24"/>
                <w:color w:val="auto"/>
              </w:rPr>
            </w:pPr>
          </w:p>
        </w:tc>
        <w:tc>
          <w:tcPr>
            <w:tcW w:w="3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0"/>
              </w:rPr>
              <w:t>August 1,</w:t>
            </w: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60" w:type="dxa"/>
            <w:vAlign w:val="bottom"/>
            <w:gridSpan w:val="2"/>
          </w:tcPr>
          <w:p>
            <w:pPr>
              <w:spacing w:after="0"/>
              <w:rPr>
                <w:sz w:val="14"/>
                <w:szCs w:val="14"/>
                <w:color w:val="auto"/>
              </w:rPr>
            </w:pPr>
          </w:p>
        </w:tc>
        <w:tc>
          <w:tcPr>
            <w:tcW w:w="66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2009</w:t>
            </w:r>
          </w:p>
        </w:tc>
        <w:tc>
          <w:tcPr>
            <w:tcW w:w="1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434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  4,000</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4340" w:type="dxa"/>
            <w:vAlign w:val="bottom"/>
            <w:gridSpan w:val="5"/>
          </w:tcPr>
          <w:p>
            <w:pPr>
              <w:jc w:val="right"/>
              <w:ind w:right="20"/>
              <w:spacing w:after="0"/>
              <w:rPr>
                <w:sz w:val="20"/>
                <w:szCs w:val="20"/>
                <w:color w:val="auto"/>
              </w:rPr>
            </w:pPr>
            <w:r>
              <w:rPr>
                <w:rFonts w:ascii="Arial" w:cs="Arial" w:eastAsia="Arial" w:hAnsi="Arial"/>
                <w:sz w:val="18"/>
                <w:szCs w:val="18"/>
                <w:color w:val="auto"/>
              </w:rPr>
              <w:t>7,058</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7,058</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434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49,530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43,121</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Technology licenses</w:t>
            </w:r>
          </w:p>
        </w:tc>
        <w:tc>
          <w:tcPr>
            <w:tcW w:w="4340" w:type="dxa"/>
            <w:vAlign w:val="bottom"/>
            <w:gridSpan w:val="5"/>
          </w:tcPr>
          <w:p>
            <w:pPr>
              <w:jc w:val="right"/>
              <w:ind w:right="20"/>
              <w:spacing w:after="0"/>
              <w:rPr>
                <w:sz w:val="20"/>
                <w:szCs w:val="20"/>
                <w:color w:val="auto"/>
              </w:rPr>
            </w:pPr>
            <w:r>
              <w:rPr>
                <w:rFonts w:ascii="Arial" w:cs="Arial" w:eastAsia="Arial" w:hAnsi="Arial"/>
                <w:sz w:val="18"/>
                <w:szCs w:val="18"/>
                <w:color w:val="auto"/>
              </w:rPr>
              <w:t>24,531</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24,108</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434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35,707</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41,575</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Other</w:t>
            </w:r>
          </w:p>
        </w:tc>
        <w:tc>
          <w:tcPr>
            <w:tcW w:w="3660" w:type="dxa"/>
            <w:vAlign w:val="bottom"/>
            <w:gridSpan w:val="2"/>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rPr>
              <w:t>11,291</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13,665</w:t>
            </w:r>
          </w:p>
        </w:tc>
        <w:tc>
          <w:tcPr>
            <w:tcW w:w="0" w:type="dxa"/>
            <w:vAlign w:val="bottom"/>
          </w:tcPr>
          <w:p>
            <w:pPr>
              <w:spacing w:after="0"/>
              <w:rPr>
                <w:sz w:val="1"/>
                <w:szCs w:val="1"/>
                <w:color w:val="auto"/>
              </w:rPr>
            </w:pPr>
          </w:p>
        </w:tc>
      </w:tr>
      <w:tr>
        <w:trPr>
          <w:trHeight w:val="27"/>
        </w:trPr>
        <w:tc>
          <w:tcPr>
            <w:tcW w:w="460" w:type="dxa"/>
            <w:vAlign w:val="bottom"/>
          </w:tcPr>
          <w:p>
            <w:pPr>
              <w:spacing w:after="0"/>
              <w:rPr>
                <w:sz w:val="2"/>
                <w:szCs w:val="2"/>
                <w:color w:val="auto"/>
              </w:rPr>
            </w:pPr>
          </w:p>
        </w:tc>
        <w:tc>
          <w:tcPr>
            <w:tcW w:w="4100" w:type="dxa"/>
            <w:vAlign w:val="bottom"/>
          </w:tcPr>
          <w:p>
            <w:pPr>
              <w:spacing w:after="0"/>
              <w:rPr>
                <w:sz w:val="2"/>
                <w:szCs w:val="2"/>
                <w:color w:val="auto"/>
              </w:rPr>
            </w:pPr>
          </w:p>
        </w:tc>
        <w:tc>
          <w:tcPr>
            <w:tcW w:w="3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434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132,117</w:t>
            </w:r>
          </w:p>
        </w:tc>
        <w:tc>
          <w:tcPr>
            <w:tcW w:w="11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$ 138,327</w:t>
            </w: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3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560" w:type="dxa"/>
            <w:vAlign w:val="bottom"/>
            <w:gridSpan w:val="2"/>
            <w:vMerge w:val="continue"/>
          </w:tcPr>
          <w:p>
            <w:pPr>
              <w:spacing w:after="0"/>
              <w:rPr>
                <w:sz w:val="24"/>
                <w:szCs w:val="24"/>
                <w:color w:val="auto"/>
              </w:rPr>
            </w:pPr>
          </w:p>
        </w:tc>
        <w:tc>
          <w:tcPr>
            <w:tcW w:w="3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0"/>
              </w:rPr>
              <w:t>August 1,</w:t>
            </w: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60" w:type="dxa"/>
            <w:vAlign w:val="bottom"/>
            <w:gridSpan w:val="2"/>
          </w:tcPr>
          <w:p>
            <w:pPr>
              <w:spacing w:after="0"/>
              <w:rPr>
                <w:sz w:val="14"/>
                <w:szCs w:val="14"/>
                <w:color w:val="auto"/>
              </w:rPr>
            </w:pPr>
          </w:p>
        </w:tc>
        <w:tc>
          <w:tcPr>
            <w:tcW w:w="66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2009</w:t>
            </w:r>
          </w:p>
        </w:tc>
        <w:tc>
          <w:tcPr>
            <w:tcW w:w="2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2009</w:t>
            </w:r>
          </w:p>
        </w:tc>
        <w:tc>
          <w:tcPr>
            <w:tcW w:w="10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43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6,895</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5,660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Accrued rebates</w:t>
            </w:r>
          </w:p>
        </w:tc>
        <w:tc>
          <w:tcPr>
            <w:tcW w:w="4340" w:type="dxa"/>
            <w:vAlign w:val="bottom"/>
            <w:gridSpan w:val="5"/>
          </w:tcPr>
          <w:p>
            <w:pPr>
              <w:ind w:left="3860"/>
              <w:spacing w:after="0"/>
              <w:rPr>
                <w:sz w:val="20"/>
                <w:szCs w:val="20"/>
                <w:color w:val="auto"/>
              </w:rPr>
            </w:pPr>
            <w:r>
              <w:rPr>
                <w:rFonts w:ascii="Arial" w:cs="Arial" w:eastAsia="Arial" w:hAnsi="Arial"/>
                <w:sz w:val="18"/>
                <w:szCs w:val="18"/>
                <w:color w:val="auto"/>
                <w:w w:val="83"/>
              </w:rPr>
              <w:t>13,052</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28,925</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4340" w:type="dxa"/>
            <w:vAlign w:val="bottom"/>
            <w:gridSpan w:val="5"/>
            <w:shd w:val="clear" w:color="auto" w:fill="CCEEFF"/>
          </w:tcPr>
          <w:p>
            <w:pPr>
              <w:ind w:left="3860"/>
              <w:spacing w:after="0"/>
              <w:rPr>
                <w:sz w:val="20"/>
                <w:szCs w:val="20"/>
                <w:color w:val="auto"/>
              </w:rPr>
            </w:pPr>
            <w:r>
              <w:rPr>
                <w:rFonts w:ascii="Arial" w:cs="Arial" w:eastAsia="Arial" w:hAnsi="Arial"/>
                <w:sz w:val="18"/>
                <w:szCs w:val="18"/>
                <w:color w:val="auto"/>
                <w:w w:val="83"/>
              </w:rPr>
              <w:t>18,634</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9,719</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Accrued legal settlement</w:t>
            </w:r>
          </w:p>
        </w:tc>
        <w:tc>
          <w:tcPr>
            <w:tcW w:w="4340" w:type="dxa"/>
            <w:vAlign w:val="bottom"/>
            <w:gridSpan w:val="5"/>
          </w:tcPr>
          <w:p>
            <w:pPr>
              <w:ind w:left="3860"/>
              <w:spacing w:after="0"/>
              <w:rPr>
                <w:sz w:val="20"/>
                <w:szCs w:val="20"/>
                <w:color w:val="auto"/>
              </w:rPr>
            </w:pPr>
            <w:r>
              <w:rPr>
                <w:rFonts w:ascii="Arial" w:cs="Arial" w:eastAsia="Arial" w:hAnsi="Arial"/>
                <w:sz w:val="18"/>
                <w:szCs w:val="18"/>
                <w:color w:val="auto"/>
                <w:w w:val="83"/>
              </w:rPr>
              <w:t>88,000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16,000</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660" w:type="dxa"/>
            <w:vAlign w:val="bottom"/>
            <w:tcBorders>
              <w:right w:val="single" w:sz="8" w:color="CCEEFF"/>
            </w:tcBorders>
            <w:gridSpan w:val="2"/>
            <w:shd w:val="clear" w:color="auto" w:fill="CCEEFF"/>
          </w:tcPr>
          <w:p>
            <w:pPr>
              <w:spacing w:after="0"/>
              <w:rPr>
                <w:sz w:val="18"/>
                <w:szCs w:val="18"/>
                <w:color w:val="auto"/>
              </w:rPr>
            </w:pPr>
          </w:p>
        </w:tc>
        <w:tc>
          <w:tcPr>
            <w:tcW w:w="680" w:type="dxa"/>
            <w:vAlign w:val="bottom"/>
            <w:tcBorders>
              <w:bottom w:val="single" w:sz="8" w:color="auto"/>
            </w:tcBorders>
            <w:gridSpan w:val="3"/>
            <w:shd w:val="clear" w:color="auto" w:fill="CCEEFF"/>
          </w:tcPr>
          <w:p>
            <w:pPr>
              <w:ind w:left="200"/>
              <w:spacing w:after="0"/>
              <w:rPr>
                <w:sz w:val="20"/>
                <w:szCs w:val="20"/>
                <w:color w:val="auto"/>
              </w:rPr>
            </w:pPr>
            <w:r>
              <w:rPr>
                <w:rFonts w:ascii="Arial" w:cs="Arial" w:eastAsia="Arial" w:hAnsi="Arial"/>
                <w:sz w:val="18"/>
                <w:szCs w:val="18"/>
                <w:color w:val="auto"/>
                <w:w w:val="83"/>
              </w:rPr>
              <w:t>30,493</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22,809</w:t>
            </w:r>
          </w:p>
        </w:tc>
        <w:tc>
          <w:tcPr>
            <w:tcW w:w="0" w:type="dxa"/>
            <w:vAlign w:val="bottom"/>
          </w:tcPr>
          <w:p>
            <w:pPr>
              <w:spacing w:after="0"/>
              <w:rPr>
                <w:sz w:val="1"/>
                <w:szCs w:val="1"/>
                <w:color w:val="auto"/>
              </w:rPr>
            </w:pPr>
          </w:p>
        </w:tc>
      </w:tr>
      <w:tr>
        <w:trPr>
          <w:trHeight w:val="221"/>
        </w:trPr>
        <w:tc>
          <w:tcPr>
            <w:tcW w:w="46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434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157,074</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83,113</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3360" w:type="dxa"/>
            <w:vAlign w:val="bottom"/>
            <w:vMerge w:val="restart"/>
          </w:tcPr>
          <w:p>
            <w:pPr>
              <w:jc w:val="right"/>
              <w:ind w:right="2492"/>
              <w:spacing w:after="0"/>
              <w:rPr>
                <w:sz w:val="20"/>
                <w:szCs w:val="20"/>
                <w:color w:val="auto"/>
              </w:rPr>
            </w:pPr>
            <w:r>
              <w:rPr>
                <w:rFonts w:ascii="Arial" w:cs="Arial" w:eastAsia="Arial" w:hAnsi="Arial"/>
                <w:sz w:val="18"/>
                <w:szCs w:val="18"/>
                <w:color w:val="auto"/>
              </w:rPr>
              <w:t>13</w:t>
            </w:r>
          </w:p>
        </w:tc>
        <w:tc>
          <w:tcPr>
            <w:tcW w:w="30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336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500"/>
          </w:cols>
          <w:pgMar w:left="240" w:top="459" w:right="11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long-term liabilities</w:t>
      </w:r>
    </w:p>
    <w:p>
      <w:pPr>
        <w:spacing w:after="0" w:line="20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4"/>
              </w:rPr>
              <w:t>August 1,</w:t>
            </w:r>
          </w:p>
        </w:tc>
        <w:tc>
          <w:tcPr>
            <w:tcW w:w="46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31,</w:t>
            </w:r>
          </w:p>
        </w:tc>
      </w:tr>
      <w:tr>
        <w:trPr>
          <w:trHeight w:val="161"/>
        </w:trPr>
        <w:tc>
          <w:tcPr>
            <w:tcW w:w="7860" w:type="dxa"/>
            <w:vAlign w:val="bottom"/>
          </w:tcPr>
          <w:p>
            <w:pPr>
              <w:spacing w:after="0"/>
              <w:rPr>
                <w:sz w:val="14"/>
                <w:szCs w:val="14"/>
                <w:color w:val="auto"/>
              </w:rPr>
            </w:pPr>
          </w:p>
        </w:tc>
        <w:tc>
          <w:tcPr>
            <w:tcW w:w="58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r>
      <w:tr>
        <w:trPr>
          <w:trHeight w:val="210"/>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 obligations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$51,008</w:t>
            </w: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46,716</w:t>
            </w: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580" w:type="dxa"/>
            <w:vAlign w:val="bottom"/>
          </w:tcPr>
          <w:p>
            <w:pPr>
              <w:jc w:val="right"/>
              <w:spacing w:after="0"/>
              <w:rPr>
                <w:sz w:val="20"/>
                <w:szCs w:val="20"/>
                <w:color w:val="auto"/>
              </w:rPr>
            </w:pPr>
            <w:r>
              <w:rPr>
                <w:rFonts w:ascii="Arial" w:cs="Arial" w:eastAsia="Arial" w:hAnsi="Arial"/>
                <w:sz w:val="18"/>
                <w:szCs w:val="18"/>
                <w:color w:val="auto"/>
              </w:rPr>
              <w:t>3,071</w:t>
            </w: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2,246</w:t>
            </w: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4,217</w:t>
            </w:r>
          </w:p>
        </w:tc>
        <w:tc>
          <w:tcPr>
            <w:tcW w:w="4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w:t>
            </w:r>
          </w:p>
        </w:tc>
      </w:tr>
      <w:tr>
        <w:trPr>
          <w:trHeight w:val="222"/>
        </w:trPr>
        <w:tc>
          <w:tcPr>
            <w:tcW w:w="78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58,296</w:t>
            </w: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49,655</w:t>
            </w:r>
          </w:p>
        </w:tc>
      </w:tr>
      <w:tr>
        <w:trPr>
          <w:trHeight w:val="20"/>
        </w:trPr>
        <w:tc>
          <w:tcPr>
            <w:tcW w:w="78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6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jc w:val="right"/>
              <w:ind w:right="75"/>
              <w:spacing w:after="0"/>
              <w:rPr>
                <w:sz w:val="20"/>
                <w:szCs w:val="20"/>
                <w:color w:val="auto"/>
              </w:rPr>
            </w:pPr>
            <w:r>
              <w:rPr>
                <w:rFonts w:ascii="Arial" w:cs="Arial" w:eastAsia="Arial" w:hAnsi="Arial"/>
                <w:sz w:val="14"/>
                <w:szCs w:val="14"/>
                <w:b w:val="1"/>
                <w:bCs w:val="1"/>
                <w:color w:val="auto"/>
                <w:w w:val="92"/>
              </w:rPr>
              <w:t>Three Months Ended</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6"/>
          </w:tcPr>
          <w:p>
            <w:pPr>
              <w:ind w:left="2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596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90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August 1,</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220" w:type="dxa"/>
            <w:vAlign w:val="bottom"/>
          </w:tcPr>
          <w:p>
            <w:pPr>
              <w:spacing w:after="0"/>
              <w:rPr>
                <w:sz w:val="11"/>
                <w:szCs w:val="11"/>
                <w:color w:val="auto"/>
              </w:rPr>
            </w:pPr>
          </w:p>
        </w:tc>
        <w:tc>
          <w:tcPr>
            <w:tcW w:w="88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3"/>
              </w:rPr>
              <w:t>August 1,</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6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60" w:type="dxa"/>
            <w:vAlign w:val="bottom"/>
          </w:tcPr>
          <w:p>
            <w:pPr>
              <w:spacing w:after="0"/>
              <w:rPr>
                <w:sz w:val="20"/>
                <w:szCs w:val="20"/>
                <w:color w:val="auto"/>
              </w:rPr>
            </w:pPr>
            <w:r>
              <w:rPr>
                <w:rFonts w:ascii="Arial" w:cs="Arial" w:eastAsia="Arial" w:hAnsi="Arial"/>
                <w:sz w:val="18"/>
                <w:szCs w:val="18"/>
                <w:color w:val="auto"/>
              </w:rPr>
              <w:t>Net income (loss)</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58,493</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71,367</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(52,964)</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141,306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6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6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620,881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606,860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619,779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604,041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9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20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27,229</w:t>
            </w: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30,972</w:t>
            </w: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26,419</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648,110</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637,832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619,779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631,091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6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960" w:type="dxa"/>
            <w:vAlign w:val="bottom"/>
            <w:vMerge w:val="continue"/>
          </w:tcPr>
          <w:p>
            <w:pPr>
              <w:spacing w:after="0"/>
              <w:rPr>
                <w:sz w:val="18"/>
                <w:szCs w:val="18"/>
                <w:color w:val="auto"/>
              </w:rPr>
            </w:pP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5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960" w:type="dxa"/>
            <w:vAlign w:val="bottom"/>
          </w:tcPr>
          <w:p>
            <w:pPr>
              <w:ind w:left="440"/>
              <w:spacing w:after="0"/>
              <w:rPr>
                <w:sz w:val="20"/>
                <w:szCs w:val="20"/>
                <w:color w:val="auto"/>
              </w:rPr>
            </w:pPr>
            <w:r>
              <w:rPr>
                <w:rFonts w:ascii="Arial" w:cs="Arial" w:eastAsia="Arial" w:hAnsi="Arial"/>
                <w:sz w:val="18"/>
                <w:szCs w:val="18"/>
                <w:color w:val="auto"/>
              </w:rPr>
              <w:t>Diluted</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2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0.11</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(0.09)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00" w:firstLine="456"/>
        <w:spacing w:after="0" w:line="298" w:lineRule="auto"/>
        <w:rPr>
          <w:sz w:val="20"/>
          <w:szCs w:val="20"/>
          <w:color w:val="auto"/>
        </w:rPr>
      </w:pPr>
      <w:r>
        <w:rPr>
          <w:rFonts w:ascii="Arial" w:cs="Arial" w:eastAsia="Arial" w:hAnsi="Arial"/>
          <w:sz w:val="16"/>
          <w:szCs w:val="16"/>
          <w:color w:val="auto"/>
        </w:rPr>
        <w:t>Options to purchase 27.1 million common shares at a weighted average exercise price of $17.08 have been excluded from the computation of diluted net income per share for the three months ended August 1, 2009 because their exercise price was greater than the share price of the Company’s common shares and therefore, the effect would have been anti-dilutive. The anti-dilutive effects of common share options, restricted stock and other securities totaling 59.6 million shares were excluded from diluted net income per share for the three months ended August 2, 2008.</w:t>
      </w:r>
    </w:p>
    <w:p>
      <w:pPr>
        <w:spacing w:after="0" w:line="11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Stock options, restricted stock and other securities totaling 22.1 million shares were excluded from diluted net loss per share for the six months ended August 1, 2009 as their impact would be anti-dilutive in a net loss period. The anti-dilutive effects of common share options, restricted stock and other securities totaling 60.0 million shares were excluded from diluted net income per share for the six months ended August 2, 2008.</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The changes in the components of other comprehensive income (loss) were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40" w:type="dxa"/>
            <w:vAlign w:val="bottom"/>
          </w:tcPr>
          <w:p>
            <w:pPr>
              <w:spacing w:after="0"/>
              <w:rPr>
                <w:sz w:val="14"/>
                <w:szCs w:val="14"/>
                <w:color w:val="auto"/>
              </w:rPr>
            </w:pPr>
          </w:p>
        </w:tc>
        <w:tc>
          <w:tcPr>
            <w:tcW w:w="168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6"/>
              </w:rPr>
              <w:t>Three Months Ended</w:t>
            </w:r>
          </w:p>
        </w:tc>
        <w:tc>
          <w:tcPr>
            <w:tcW w:w="120" w:type="dxa"/>
            <w:vAlign w:val="bottom"/>
          </w:tcPr>
          <w:p>
            <w:pPr>
              <w:spacing w:after="0"/>
              <w:rPr>
                <w:sz w:val="14"/>
                <w:szCs w:val="14"/>
                <w:color w:val="auto"/>
              </w:rPr>
            </w:pPr>
          </w:p>
        </w:tc>
        <w:tc>
          <w:tcPr>
            <w:tcW w:w="176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840" w:type="dxa"/>
            <w:vAlign w:val="bottom"/>
          </w:tcPr>
          <w:p>
            <w:pPr>
              <w:spacing w:after="0"/>
              <w:rPr>
                <w:sz w:val="11"/>
                <w:szCs w:val="11"/>
                <w:color w:val="auto"/>
              </w:rPr>
            </w:pPr>
          </w:p>
        </w:tc>
        <w:tc>
          <w:tcPr>
            <w:tcW w:w="76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4"/>
              </w:rPr>
              <w:t>August 1,</w:t>
            </w:r>
          </w:p>
        </w:tc>
        <w:tc>
          <w:tcPr>
            <w:tcW w:w="1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90"/>
              </w:rPr>
              <w:t>August 1,</w:t>
            </w:r>
          </w:p>
        </w:tc>
        <w:tc>
          <w:tcPr>
            <w:tcW w:w="1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6"/>
              <w:spacing w:after="0" w:line="129" w:lineRule="exact"/>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40" w:type="dxa"/>
            <w:vAlign w:val="bottom"/>
          </w:tcPr>
          <w:p>
            <w:pPr>
              <w:spacing w:after="0"/>
              <w:rPr>
                <w:sz w:val="14"/>
                <w:szCs w:val="14"/>
                <w:color w:val="auto"/>
              </w:rPr>
            </w:pPr>
          </w:p>
        </w:tc>
        <w:tc>
          <w:tcPr>
            <w:tcW w:w="58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Borders>
              <w:bottom w:val="single" w:sz="8" w:color="auto"/>
            </w:tcBorders>
          </w:tcPr>
          <w:p>
            <w:pPr>
              <w:jc w:val="right"/>
              <w:ind w:right="86"/>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8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$58,493</w:t>
            </w:r>
          </w:p>
        </w:tc>
        <w:tc>
          <w:tcPr>
            <w:tcW w:w="9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$71,367</w:t>
            </w:r>
          </w:p>
        </w:tc>
        <w:tc>
          <w:tcPr>
            <w:tcW w:w="9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9"/>
              </w:rPr>
              <w:t>$ (52,964)</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$141,306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CCEEFF"/>
          </w:tcPr>
          <w:p>
            <w:pPr>
              <w:spacing w:after="0"/>
              <w:rPr>
                <w:sz w:val="20"/>
                <w:szCs w:val="20"/>
                <w:color w:val="auto"/>
              </w:rPr>
            </w:pPr>
            <w:r>
              <w:rPr>
                <w:rFonts w:ascii="Arial" w:cs="Arial" w:eastAsia="Arial" w:hAnsi="Arial"/>
                <w:sz w:val="18"/>
                <w:szCs w:val="18"/>
                <w:color w:val="auto"/>
              </w:rPr>
              <w:t>Change in unrealized gain (loss) on cash flow hedges</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2,866</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1,790</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spacing w:after="0"/>
              <w:rPr>
                <w:sz w:val="20"/>
                <w:szCs w:val="20"/>
                <w:color w:val="auto"/>
              </w:rPr>
            </w:pPr>
            <w:r>
              <w:rPr>
                <w:rFonts w:ascii="Arial" w:cs="Arial" w:eastAsia="Arial" w:hAnsi="Arial"/>
                <w:sz w:val="18"/>
                <w:szCs w:val="18"/>
                <w:color w:val="auto"/>
              </w:rPr>
              <w:t>Change in unrealized gain (loss) on available-for-sale investments</w:t>
            </w: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(859)</w:t>
            </w:r>
          </w:p>
        </w:tc>
        <w:tc>
          <w:tcPr>
            <w:tcW w:w="920" w:type="dxa"/>
            <w:vAlign w:val="bottom"/>
            <w:gridSpan w:val="3"/>
          </w:tcPr>
          <w:p>
            <w:pPr>
              <w:jc w:val="right"/>
              <w:ind w:right="140"/>
              <w:spacing w:after="0"/>
              <w:rPr>
                <w:sz w:val="20"/>
                <w:szCs w:val="20"/>
                <w:color w:val="auto"/>
              </w:rPr>
            </w:pPr>
            <w:r>
              <w:rPr>
                <w:rFonts w:ascii="Arial" w:cs="Arial" w:eastAsia="Arial" w:hAnsi="Arial"/>
                <w:sz w:val="18"/>
                <w:szCs w:val="18"/>
                <w:color w:val="auto"/>
              </w:rPr>
              <w:t>(181)</w:t>
            </w:r>
          </w:p>
        </w:tc>
        <w:tc>
          <w:tcPr>
            <w:tcW w:w="960" w:type="dxa"/>
            <w:vAlign w:val="bottom"/>
            <w:gridSpan w:val="3"/>
          </w:tcPr>
          <w:p>
            <w:pPr>
              <w:jc w:val="right"/>
              <w:ind w:right="120"/>
              <w:spacing w:after="0"/>
              <w:rPr>
                <w:sz w:val="20"/>
                <w:szCs w:val="20"/>
                <w:color w:val="auto"/>
              </w:rPr>
            </w:pPr>
            <w:r>
              <w:rPr>
                <w:rFonts w:ascii="Arial" w:cs="Arial" w:eastAsia="Arial" w:hAnsi="Arial"/>
                <w:sz w:val="18"/>
                <w:szCs w:val="18"/>
                <w:color w:val="auto"/>
              </w:rPr>
              <w:t>(1,745)</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(1,879)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8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 (loss)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60,500</w:t>
            </w: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71,186</w:t>
            </w:r>
          </w:p>
        </w:tc>
        <w:tc>
          <w:tcPr>
            <w:tcW w:w="9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u w:val="single" w:color="auto"/>
                <w:color w:val="auto"/>
                <w:w w:val="99"/>
              </w:rPr>
              <w:t>$</w:t>
            </w:r>
            <w:r>
              <w:rPr>
                <w:rFonts w:ascii="Arial" w:cs="Arial" w:eastAsia="Arial" w:hAnsi="Arial"/>
                <w:sz w:val="18"/>
                <w:szCs w:val="18"/>
                <w:color w:val="auto"/>
                <w:w w:val="99"/>
              </w:rPr>
              <w:t xml:space="preserve"> (52,919)</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139,427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The components of accumulated other comprehensive loss were as follows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640" w:type="dxa"/>
            <w:vAlign w:val="bottom"/>
          </w:tcPr>
          <w:p>
            <w:pPr>
              <w:spacing w:after="0"/>
              <w:rPr>
                <w:sz w:val="14"/>
                <w:szCs w:val="14"/>
                <w:color w:val="auto"/>
              </w:rPr>
            </w:pPr>
          </w:p>
        </w:tc>
        <w:tc>
          <w:tcPr>
            <w:tcW w:w="1060" w:type="dxa"/>
            <w:vAlign w:val="bottom"/>
            <w:gridSpan w:val="3"/>
          </w:tcPr>
          <w:p>
            <w:pPr>
              <w:spacing w:after="0"/>
              <w:rPr>
                <w:sz w:val="20"/>
                <w:szCs w:val="20"/>
                <w:color w:val="auto"/>
              </w:rPr>
            </w:pPr>
            <w:r>
              <w:rPr>
                <w:rFonts w:ascii="Arial" w:cs="Arial" w:eastAsia="Arial" w:hAnsi="Arial"/>
                <w:sz w:val="14"/>
                <w:szCs w:val="14"/>
                <w:b w:val="1"/>
                <w:bCs w:val="1"/>
                <w:color w:val="auto"/>
              </w:rPr>
              <w:t>August 1,</w:t>
            </w:r>
          </w:p>
        </w:tc>
        <w:tc>
          <w:tcPr>
            <w:tcW w:w="800" w:type="dxa"/>
            <w:vAlign w:val="bottom"/>
            <w:gridSpan w:val="3"/>
          </w:tcPr>
          <w:p>
            <w:pPr>
              <w:spacing w:after="0"/>
              <w:rPr>
                <w:sz w:val="20"/>
                <w:szCs w:val="20"/>
                <w:color w:val="auto"/>
              </w:rPr>
            </w:pPr>
            <w:r>
              <w:rPr>
                <w:rFonts w:ascii="Arial" w:cs="Arial" w:eastAsia="Arial" w:hAnsi="Arial"/>
                <w:sz w:val="14"/>
                <w:szCs w:val="14"/>
                <w:b w:val="1"/>
                <w:bCs w:val="1"/>
                <w:color w:val="auto"/>
              </w:rPr>
              <w:t>January 31,</w:t>
            </w:r>
          </w:p>
        </w:tc>
      </w:tr>
      <w:tr>
        <w:trPr>
          <w:trHeight w:val="161"/>
        </w:trPr>
        <w:tc>
          <w:tcPr>
            <w:tcW w:w="8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89"/>
              </w:rPr>
              <w:t>2009</w:t>
            </w:r>
          </w:p>
        </w:tc>
        <w:tc>
          <w:tcPr>
            <w:tcW w:w="5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r>
      <w:tr>
        <w:trPr>
          <w:trHeight w:val="210"/>
        </w:trPr>
        <w:tc>
          <w:tcPr>
            <w:tcW w:w="864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marketable securities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4"/>
              </w:rPr>
              <w:t>(2,467)</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(1,309)</w:t>
            </w:r>
          </w:p>
        </w:tc>
      </w:tr>
      <w:tr>
        <w:trPr>
          <w:trHeight w:val="216"/>
        </w:trPr>
        <w:tc>
          <w:tcPr>
            <w:tcW w:w="8640" w:type="dxa"/>
            <w:vAlign w:val="bottom"/>
          </w:tcPr>
          <w:p>
            <w:pPr>
              <w:spacing w:after="0"/>
              <w:rPr>
                <w:sz w:val="20"/>
                <w:szCs w:val="20"/>
                <w:color w:val="auto"/>
              </w:rPr>
            </w:pPr>
            <w:r>
              <w:rPr>
                <w:rFonts w:ascii="Arial" w:cs="Arial" w:eastAsia="Arial" w:hAnsi="Arial"/>
                <w:sz w:val="18"/>
                <w:szCs w:val="18"/>
                <w:color w:val="auto"/>
              </w:rPr>
              <w:t>Change in unrealized gain (loss) on cash flow hedges</w:t>
            </w:r>
          </w:p>
        </w:tc>
        <w:tc>
          <w:tcPr>
            <w:tcW w:w="100" w:type="dxa"/>
            <w:vAlign w:val="bottom"/>
          </w:tcPr>
          <w:p>
            <w:pPr>
              <w:spacing w:after="0"/>
              <w:rPr>
                <w:sz w:val="18"/>
                <w:szCs w:val="18"/>
                <w:color w:val="auto"/>
              </w:rPr>
            </w:pPr>
          </w:p>
        </w:tc>
        <w:tc>
          <w:tcPr>
            <w:tcW w:w="960" w:type="dxa"/>
            <w:vAlign w:val="bottom"/>
            <w:gridSpan w:val="2"/>
          </w:tcPr>
          <w:p>
            <w:pPr>
              <w:jc w:val="right"/>
              <w:ind w:right="500"/>
              <w:spacing w:after="0"/>
              <w:rPr>
                <w:sz w:val="20"/>
                <w:szCs w:val="20"/>
                <w:color w:val="auto"/>
              </w:rPr>
            </w:pPr>
            <w:r>
              <w:rPr>
                <w:rFonts w:ascii="Arial" w:cs="Arial" w:eastAsia="Arial" w:hAnsi="Arial"/>
                <w:sz w:val="18"/>
                <w:szCs w:val="18"/>
                <w:color w:val="auto"/>
                <w:w w:val="97"/>
              </w:rPr>
              <w:t>1,790</w:t>
            </w:r>
          </w:p>
        </w:tc>
        <w:tc>
          <w:tcPr>
            <w:tcW w:w="160" w:type="dxa"/>
            <w:vAlign w:val="bottom"/>
          </w:tcPr>
          <w:p>
            <w:pPr>
              <w:spacing w:after="0"/>
              <w:rPr>
                <w:sz w:val="18"/>
                <w:szCs w:val="18"/>
                <w:color w:val="auto"/>
              </w:rPr>
            </w:pPr>
          </w:p>
        </w:tc>
        <w:tc>
          <w:tcPr>
            <w:tcW w:w="6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86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5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100" w:type="dxa"/>
            <w:vAlign w:val="bottom"/>
            <w:shd w:val="clear" w:color="auto" w:fill="CCEEFF"/>
          </w:tcPr>
          <w:p>
            <w:pPr>
              <w:spacing w:after="0"/>
              <w:rPr>
                <w:sz w:val="18"/>
                <w:szCs w:val="18"/>
                <w:color w:val="auto"/>
              </w:rPr>
            </w:pPr>
          </w:p>
        </w:tc>
      </w:tr>
      <w:tr>
        <w:trPr>
          <w:trHeight w:val="222"/>
        </w:trPr>
        <w:tc>
          <w:tcPr>
            <w:tcW w:w="8640" w:type="dxa"/>
            <w:vAlign w:val="bottom"/>
          </w:tcPr>
          <w:p>
            <w:pPr>
              <w:spacing w:after="0"/>
              <w:rPr>
                <w:sz w:val="20"/>
                <w:szCs w:val="20"/>
                <w:color w:val="auto"/>
              </w:rPr>
            </w:pPr>
            <w:r>
              <w:rPr>
                <w:rFonts w:ascii="Arial" w:cs="Arial" w:eastAsia="Arial" w:hAnsi="Arial"/>
                <w:sz w:val="18"/>
                <w:szCs w:val="18"/>
                <w:color w:val="auto"/>
              </w:rPr>
              <w:t>Accumulated other comprehensive loss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460"/>
              <w:spacing w:after="0"/>
              <w:rPr>
                <w:sz w:val="20"/>
                <w:szCs w:val="20"/>
                <w:color w:val="auto"/>
              </w:rPr>
            </w:pPr>
            <w:r>
              <w:rPr>
                <w:rFonts w:ascii="Arial" w:cs="Arial" w:eastAsia="Arial" w:hAnsi="Arial"/>
                <w:sz w:val="18"/>
                <w:szCs w:val="18"/>
                <w:color w:val="auto"/>
              </w:rPr>
              <w:t>(673)</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(718)</w:t>
            </w:r>
          </w:p>
        </w:tc>
      </w:tr>
      <w:tr>
        <w:trPr>
          <w:trHeight w:val="20"/>
        </w:trPr>
        <w:tc>
          <w:tcPr>
            <w:tcW w:w="8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Company manages its foreign currency exchange rate risk through the purchase of foreign currency exchange contracts that hedge against the short-term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and other current assets or other accrued liabilities. The Company reports cash flows from derivative instruments in cash flows from operating activities. The Company uses quoted prices to value its derivative instruments.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August 1, 2009, the notional amounts of outstanding hedge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160" w:type="dxa"/>
            <w:vAlign w:val="bottom"/>
          </w:tcPr>
          <w:p>
            <w:pPr>
              <w:spacing w:after="0"/>
              <w:rPr>
                <w:sz w:val="14"/>
                <w:szCs w:val="14"/>
                <w:color w:val="auto"/>
              </w:rPr>
            </w:pPr>
          </w:p>
        </w:tc>
        <w:tc>
          <w:tcPr>
            <w:tcW w:w="1520" w:type="dxa"/>
            <w:vAlign w:val="bottom"/>
            <w:gridSpan w:val="3"/>
          </w:tcPr>
          <w:p>
            <w:pPr>
              <w:spacing w:after="0"/>
              <w:rPr>
                <w:sz w:val="20"/>
                <w:szCs w:val="20"/>
                <w:color w:val="auto"/>
              </w:rPr>
            </w:pPr>
            <w:r>
              <w:rPr>
                <w:rFonts w:ascii="Arial" w:cs="Arial" w:eastAsia="Arial" w:hAnsi="Arial"/>
                <w:sz w:val="14"/>
                <w:szCs w:val="14"/>
                <w:b w:val="1"/>
                <w:bCs w:val="1"/>
                <w:color w:val="auto"/>
              </w:rPr>
              <w:t>Buy Contracts</w:t>
            </w:r>
          </w:p>
        </w:tc>
        <w:tc>
          <w:tcPr>
            <w:tcW w:w="840" w:type="dxa"/>
            <w:vAlign w:val="bottom"/>
            <w:gridSpan w:val="3"/>
          </w:tcPr>
          <w:p>
            <w:pPr>
              <w:spacing w:after="0"/>
              <w:rPr>
                <w:sz w:val="20"/>
                <w:szCs w:val="20"/>
                <w:color w:val="auto"/>
              </w:rPr>
            </w:pPr>
            <w:r>
              <w:rPr>
                <w:rFonts w:ascii="Arial" w:cs="Arial" w:eastAsia="Arial" w:hAnsi="Arial"/>
                <w:sz w:val="14"/>
                <w:szCs w:val="14"/>
                <w:b w:val="1"/>
                <w:bCs w:val="1"/>
                <w:color w:val="auto"/>
                <w:w w:val="87"/>
              </w:rPr>
              <w:t>Sell Contracts</w:t>
            </w:r>
          </w:p>
        </w:tc>
      </w:tr>
      <w:tr>
        <w:trPr>
          <w:trHeight w:val="210"/>
        </w:trPr>
        <w:tc>
          <w:tcPr>
            <w:tcW w:w="816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43,396</w:t>
            </w:r>
          </w:p>
        </w:tc>
        <w:tc>
          <w:tcPr>
            <w:tcW w:w="700" w:type="dxa"/>
            <w:vAlign w:val="bottom"/>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14,081</w:t>
            </w:r>
          </w:p>
        </w:tc>
        <w:tc>
          <w:tcPr>
            <w:tcW w:w="20" w:type="dxa"/>
            <w:vAlign w:val="bottom"/>
          </w:tcPr>
          <w:p>
            <w:pPr>
              <w:spacing w:after="0"/>
              <w:rPr>
                <w:sz w:val="18"/>
                <w:szCs w:val="18"/>
                <w:color w:val="auto"/>
              </w:rPr>
            </w:pPr>
          </w:p>
        </w:tc>
      </w:tr>
      <w:tr>
        <w:trPr>
          <w:trHeight w:val="222"/>
        </w:trPr>
        <w:tc>
          <w:tcPr>
            <w:tcW w:w="8160" w:type="dxa"/>
            <w:vAlign w:val="bottom"/>
          </w:tcPr>
          <w:p>
            <w:pPr>
              <w:spacing w:after="0"/>
              <w:rPr>
                <w:sz w:val="20"/>
                <w:szCs w:val="20"/>
                <w:color w:val="auto"/>
              </w:rPr>
            </w:pPr>
            <w:r>
              <w:rPr>
                <w:rFonts w:ascii="Arial" w:cs="Arial" w:eastAsia="Arial" w:hAnsi="Arial"/>
                <w:sz w:val="18"/>
                <w:szCs w:val="18"/>
                <w:color w:val="auto"/>
              </w:rPr>
              <w:t>Total</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43,396</w:t>
            </w:r>
          </w:p>
        </w:tc>
        <w:tc>
          <w:tcPr>
            <w:tcW w:w="700" w:type="dxa"/>
            <w:vAlign w:val="bottom"/>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14,081</w:t>
            </w:r>
          </w:p>
        </w:tc>
      </w:tr>
      <w:tr>
        <w:trPr>
          <w:trHeight w:val="20"/>
        </w:trPr>
        <w:tc>
          <w:tcPr>
            <w:tcW w:w="81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other comprehensive income (loss) (“OCI”)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00" w:firstLine="456"/>
        <w:spacing w:after="0" w:line="335" w:lineRule="auto"/>
        <w:rPr>
          <w:sz w:val="20"/>
          <w:szCs w:val="20"/>
          <w:color w:val="auto"/>
        </w:rPr>
      </w:pPr>
      <w:r>
        <w:rPr>
          <w:rFonts w:ascii="Arial" w:cs="Arial" w:eastAsia="Arial" w:hAnsi="Arial"/>
          <w:sz w:val="15"/>
          <w:szCs w:val="15"/>
          <w:i w:val="1"/>
          <w:iCs w:val="1"/>
          <w:color w:val="auto"/>
        </w:rPr>
        <w:t xml:space="preserve">Other Foreign Currency Hedges. </w:t>
      </w:r>
      <w:r>
        <w:rPr>
          <w:rFonts w:ascii="Arial" w:cs="Arial" w:eastAsia="Arial" w:hAnsi="Arial"/>
          <w:sz w:val="15"/>
          <w:szCs w:val="15"/>
          <w:color w:val="auto"/>
        </w:rPr>
        <w:t>The Company enters into foreign currency forward exchange contracts to hedge certain payments denominated in Israeli</w:t>
      </w:r>
      <w:r>
        <w:rPr>
          <w:rFonts w:ascii="Arial" w:cs="Arial" w:eastAsia="Arial" w:hAnsi="Arial"/>
          <w:sz w:val="15"/>
          <w:szCs w:val="15"/>
          <w:i w:val="1"/>
          <w:iCs w:val="1"/>
          <w:color w:val="auto"/>
        </w:rPr>
        <w:t xml:space="preserve"> </w:t>
      </w:r>
      <w:r>
        <w:rPr>
          <w:rFonts w:ascii="Arial" w:cs="Arial" w:eastAsia="Arial" w:hAnsi="Arial"/>
          <w:sz w:val="15"/>
          <w:szCs w:val="15"/>
          <w:color w:val="auto"/>
        </w:rPr>
        <w:t>shekels that it does not designate and document as cash flow or other hedges for accounting purposes. The maturities of these contracts are generally less than 12 months. Gains or losses arising from the remeasurement of these contracts to fair value each period are recorded in interest and other income, net.</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20" w:type="dxa"/>
            <w:vAlign w:val="bottom"/>
          </w:tcPr>
          <w:p>
            <w:pPr>
              <w:spacing w:after="0"/>
              <w:rPr>
                <w:sz w:val="14"/>
                <w:szCs w:val="14"/>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4"/>
              </w:rPr>
              <w:t>August 1,</w:t>
            </w:r>
          </w:p>
        </w:tc>
      </w:tr>
      <w:tr>
        <w:trPr>
          <w:trHeight w:val="161"/>
        </w:trPr>
        <w:tc>
          <w:tcPr>
            <w:tcW w:w="8920" w:type="dxa"/>
            <w:vAlign w:val="bottom"/>
          </w:tcPr>
          <w:p>
            <w:pPr>
              <w:spacing w:after="0"/>
              <w:rPr>
                <w:sz w:val="14"/>
                <w:szCs w:val="14"/>
                <w:color w:val="auto"/>
              </w:rPr>
            </w:pPr>
          </w:p>
        </w:tc>
        <w:tc>
          <w:tcPr>
            <w:tcW w:w="56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892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92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flow hedges</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$ 2,091</w:t>
            </w:r>
          </w:p>
        </w:tc>
        <w:tc>
          <w:tcPr>
            <w:tcW w:w="100" w:type="dxa"/>
            <w:vAlign w:val="bottom"/>
            <w:shd w:val="clear" w:color="auto" w:fill="CCEEFF"/>
          </w:tcPr>
          <w:p>
            <w:pPr>
              <w:spacing w:after="0"/>
              <w:rPr>
                <w:sz w:val="18"/>
                <w:szCs w:val="18"/>
                <w:color w:val="auto"/>
              </w:rPr>
            </w:pPr>
          </w:p>
        </w:tc>
      </w:tr>
      <w:tr>
        <w:trPr>
          <w:trHeight w:val="216"/>
        </w:trPr>
        <w:tc>
          <w:tcPr>
            <w:tcW w:w="8920" w:type="dxa"/>
            <w:vAlign w:val="bottom"/>
          </w:tcPr>
          <w:p>
            <w:pPr>
              <w:spacing w:after="0"/>
              <w:rPr>
                <w:sz w:val="20"/>
                <w:szCs w:val="20"/>
                <w:color w:val="auto"/>
              </w:rPr>
            </w:pPr>
            <w:r>
              <w:rPr>
                <w:rFonts w:ascii="Arial" w:cs="Arial" w:eastAsia="Arial" w:hAnsi="Arial"/>
                <w:sz w:val="18"/>
                <w:szCs w:val="18"/>
                <w:color w:val="auto"/>
              </w:rPr>
              <w:t>Derivative assets not designated as hedging instruments:</w:t>
            </w: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Other forward contracts</w:t>
            </w: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(68)</w:t>
            </w:r>
          </w:p>
        </w:tc>
      </w:tr>
      <w:tr>
        <w:trPr>
          <w:trHeight w:val="222"/>
        </w:trPr>
        <w:tc>
          <w:tcPr>
            <w:tcW w:w="8920" w:type="dxa"/>
            <w:vAlign w:val="bottom"/>
          </w:tcPr>
          <w:p>
            <w:pPr>
              <w:spacing w:after="0"/>
              <w:rPr>
                <w:sz w:val="20"/>
                <w:szCs w:val="20"/>
                <w:color w:val="auto"/>
              </w:rPr>
            </w:pPr>
            <w:r>
              <w:rPr>
                <w:rFonts w:ascii="Arial" w:cs="Arial" w:eastAsia="Arial" w:hAnsi="Arial"/>
                <w:sz w:val="18"/>
                <w:szCs w:val="18"/>
                <w:color w:val="auto"/>
              </w:rPr>
              <w:t>Total derivative assets</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$ 2,023</w:t>
            </w:r>
          </w:p>
        </w:tc>
        <w:tc>
          <w:tcPr>
            <w:tcW w:w="100" w:type="dxa"/>
            <w:vAlign w:val="bottom"/>
          </w:tcPr>
          <w:p>
            <w:pPr>
              <w:spacing w:after="0"/>
              <w:rPr>
                <w:sz w:val="19"/>
                <w:szCs w:val="19"/>
                <w:color w:val="auto"/>
              </w:rPr>
            </w:pPr>
          </w:p>
        </w:tc>
      </w:tr>
      <w:tr>
        <w:trPr>
          <w:trHeight w:val="20"/>
        </w:trPr>
        <w:tc>
          <w:tcPr>
            <w:tcW w:w="892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The following tables summarize the pre-tax effect of foreign exchange contract derivatives by (a) cash flow hedges and (b) other foreign currency hedges on OCI and the unaudited condensed consolidated statement of operations for the three and six months ended August 1, 2009.</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Cash Flow Hedges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040" w:type="dxa"/>
            <w:vAlign w:val="bottom"/>
          </w:tcPr>
          <w:p>
            <w:pPr>
              <w:spacing w:after="0"/>
              <w:rPr>
                <w:sz w:val="14"/>
                <w:szCs w:val="14"/>
                <w:color w:val="auto"/>
              </w:rPr>
            </w:pPr>
          </w:p>
        </w:tc>
        <w:tc>
          <w:tcPr>
            <w:tcW w:w="1780" w:type="dxa"/>
            <w:vAlign w:val="bottom"/>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tcPr>
          <w:p>
            <w:pPr>
              <w:spacing w:after="0"/>
              <w:rPr>
                <w:sz w:val="14"/>
                <w:szCs w:val="14"/>
                <w:color w:val="auto"/>
              </w:rPr>
            </w:pP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w w:val="95"/>
              </w:rPr>
              <w:t>Six Months Ended</w:t>
            </w:r>
          </w:p>
        </w:tc>
      </w:tr>
      <w:tr>
        <w:trPr>
          <w:trHeight w:val="129"/>
        </w:trPr>
        <w:tc>
          <w:tcPr>
            <w:tcW w:w="704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jc w:val="right"/>
              <w:ind w:right="259"/>
              <w:spacing w:after="0" w:line="129" w:lineRule="exact"/>
              <w:rPr>
                <w:sz w:val="20"/>
                <w:szCs w:val="20"/>
                <w:color w:val="auto"/>
              </w:rPr>
            </w:pPr>
            <w:r>
              <w:rPr>
                <w:rFonts w:ascii="Arial" w:cs="Arial" w:eastAsia="Arial" w:hAnsi="Arial"/>
                <w:sz w:val="14"/>
                <w:szCs w:val="14"/>
                <w:b w:val="1"/>
                <w:bCs w:val="1"/>
                <w:color w:val="auto"/>
              </w:rPr>
              <w:t>August 1,</w:t>
            </w:r>
          </w:p>
        </w:tc>
        <w:tc>
          <w:tcPr>
            <w:tcW w:w="5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right"/>
              <w:ind w:right="179"/>
              <w:spacing w:after="0" w:line="129" w:lineRule="exact"/>
              <w:rPr>
                <w:sz w:val="20"/>
                <w:szCs w:val="20"/>
                <w:color w:val="auto"/>
              </w:rPr>
            </w:pPr>
            <w:r>
              <w:rPr>
                <w:rFonts w:ascii="Arial" w:cs="Arial" w:eastAsia="Arial" w:hAnsi="Arial"/>
                <w:sz w:val="14"/>
                <w:szCs w:val="14"/>
                <w:b w:val="1"/>
                <w:bCs w:val="1"/>
                <w:color w:val="auto"/>
                <w:w w:val="97"/>
              </w:rPr>
              <w:t>August 1,</w:t>
            </w:r>
          </w:p>
        </w:tc>
        <w:tc>
          <w:tcPr>
            <w:tcW w:w="100" w:type="dxa"/>
            <w:vAlign w:val="bottom"/>
          </w:tcPr>
          <w:p>
            <w:pPr>
              <w:spacing w:after="0"/>
              <w:rPr>
                <w:sz w:val="11"/>
                <w:szCs w:val="11"/>
                <w:color w:val="auto"/>
              </w:rPr>
            </w:pPr>
          </w:p>
        </w:tc>
      </w:tr>
      <w:tr>
        <w:trPr>
          <w:trHeight w:val="161"/>
        </w:trPr>
        <w:tc>
          <w:tcPr>
            <w:tcW w:w="70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399"/>
              <w:spacing w:after="0"/>
              <w:rPr>
                <w:sz w:val="20"/>
                <w:szCs w:val="20"/>
                <w:color w:val="auto"/>
              </w:rPr>
            </w:pPr>
            <w:r>
              <w:rPr>
                <w:rFonts w:ascii="Arial" w:cs="Arial" w:eastAsia="Arial" w:hAnsi="Arial"/>
                <w:sz w:val="14"/>
                <w:szCs w:val="14"/>
                <w:b w:val="1"/>
                <w:bCs w:val="1"/>
                <w:color w:val="auto"/>
              </w:rPr>
              <w:t>2009</w:t>
            </w:r>
          </w:p>
        </w:tc>
        <w:tc>
          <w:tcPr>
            <w:tcW w:w="5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319"/>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Accumulated loss in OCI, beginning of period</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(1,076)</w:t>
            </w:r>
          </w:p>
        </w:tc>
        <w:tc>
          <w:tcPr>
            <w:tcW w:w="68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40" w:type="dxa"/>
            <w:vAlign w:val="bottom"/>
          </w:tcPr>
          <w:p>
            <w:pPr>
              <w:spacing w:after="0"/>
              <w:rPr>
                <w:sz w:val="20"/>
                <w:szCs w:val="20"/>
                <w:color w:val="auto"/>
              </w:rPr>
            </w:pPr>
            <w:r>
              <w:rPr>
                <w:rFonts w:ascii="Arial" w:cs="Arial" w:eastAsia="Arial" w:hAnsi="Arial"/>
                <w:sz w:val="18"/>
                <w:szCs w:val="18"/>
                <w:color w:val="auto"/>
              </w:rPr>
              <w:t>Gains recorded in OCI (effective portion)</w:t>
            </w:r>
          </w:p>
        </w:tc>
        <w:tc>
          <w:tcPr>
            <w:tcW w:w="2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3,656</w:t>
            </w:r>
          </w:p>
        </w:tc>
        <w:tc>
          <w:tcPr>
            <w:tcW w:w="5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2,580</w:t>
            </w:r>
          </w:p>
        </w:tc>
      </w:tr>
      <w:tr>
        <w:trPr>
          <w:trHeight w:val="208"/>
        </w:trPr>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Gains reclassified from OCI to operating expense</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4"/>
        </w:trPr>
        <w:tc>
          <w:tcPr>
            <w:tcW w:w="70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(effective portion)</w:t>
            </w:r>
          </w:p>
        </w:tc>
        <w:tc>
          <w:tcPr>
            <w:tcW w:w="220" w:type="dxa"/>
            <w:vAlign w:val="bottom"/>
            <w:shd w:val="clear" w:color="auto" w:fill="CCEEFF"/>
          </w:tcPr>
          <w:p>
            <w:pPr>
              <w:spacing w:after="0"/>
              <w:rPr>
                <w:sz w:val="19"/>
                <w:szCs w:val="19"/>
                <w:color w:val="auto"/>
              </w:rPr>
            </w:pP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(790)</w:t>
            </w:r>
          </w:p>
        </w:tc>
        <w:tc>
          <w:tcPr>
            <w:tcW w:w="5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(790)</w:t>
            </w:r>
          </w:p>
        </w:tc>
      </w:t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Accumulated gain in OCI, end of period</w:t>
            </w:r>
          </w:p>
        </w:tc>
        <w:tc>
          <w:tcPr>
            <w:tcW w:w="2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1,790</w:t>
            </w:r>
          </w:p>
        </w:tc>
        <w:tc>
          <w:tcPr>
            <w:tcW w:w="5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1,790</w:t>
            </w:r>
          </w:p>
        </w:tc>
        <w:tc>
          <w:tcPr>
            <w:tcW w:w="100" w:type="dxa"/>
            <w:vAlign w:val="bottom"/>
          </w:tcPr>
          <w:p>
            <w:pPr>
              <w:spacing w:after="0"/>
              <w:rPr>
                <w:sz w:val="19"/>
                <w:szCs w:val="19"/>
                <w:color w:val="auto"/>
              </w:rPr>
            </w:pPr>
          </w:p>
        </w:tc>
      </w:tr>
      <w:tr>
        <w:trPr>
          <w:trHeight w:val="20"/>
        </w:trPr>
        <w:tc>
          <w:tcPr>
            <w:tcW w:w="70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anticipates reclassifying the accumulated gain recorded as of August 1, 2009 from OCI to operating expense within 12 months.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 Other forward contracts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94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22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1120" w:type="dxa"/>
            <w:vAlign w:val="bottom"/>
          </w:tcPr>
          <w:p>
            <w:pPr>
              <w:spacing w:after="0"/>
              <w:rPr>
                <w:sz w:val="14"/>
                <w:szCs w:val="14"/>
                <w:color w:val="auto"/>
              </w:rPr>
            </w:pPr>
          </w:p>
        </w:tc>
        <w:tc>
          <w:tcPr>
            <w:tcW w:w="10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Six Months Ended</w:t>
            </w:r>
          </w:p>
        </w:tc>
      </w:tr>
      <w:tr>
        <w:trPr>
          <w:trHeight w:val="129"/>
        </w:trPr>
        <w:tc>
          <w:tcPr>
            <w:tcW w:w="4940" w:type="dxa"/>
            <w:vAlign w:val="bottom"/>
          </w:tcPr>
          <w:p>
            <w:pPr>
              <w:spacing w:after="0"/>
              <w:rPr>
                <w:sz w:val="11"/>
                <w:szCs w:val="11"/>
                <w:color w:val="auto"/>
              </w:rPr>
            </w:pPr>
          </w:p>
        </w:tc>
        <w:tc>
          <w:tcPr>
            <w:tcW w:w="216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jc w:val="center"/>
              <w:ind w:right="146"/>
              <w:spacing w:after="0" w:line="129" w:lineRule="exact"/>
              <w:rPr>
                <w:sz w:val="20"/>
                <w:szCs w:val="20"/>
                <w:color w:val="auto"/>
              </w:rPr>
            </w:pPr>
            <w:r>
              <w:rPr>
                <w:rFonts w:ascii="Arial" w:cs="Arial" w:eastAsia="Arial" w:hAnsi="Arial"/>
                <w:sz w:val="14"/>
                <w:szCs w:val="14"/>
                <w:b w:val="1"/>
                <w:bCs w:val="1"/>
                <w:color w:val="auto"/>
                <w:w w:val="84"/>
              </w:rPr>
              <w:t>August 1,</w:t>
            </w:r>
          </w:p>
        </w:tc>
        <w:tc>
          <w:tcPr>
            <w:tcW w:w="112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center"/>
              <w:ind w:right="86"/>
              <w:spacing w:after="0" w:line="129" w:lineRule="exact"/>
              <w:rPr>
                <w:sz w:val="20"/>
                <w:szCs w:val="20"/>
                <w:color w:val="auto"/>
              </w:rPr>
            </w:pPr>
            <w:r>
              <w:rPr>
                <w:rFonts w:ascii="Arial" w:cs="Arial" w:eastAsia="Arial" w:hAnsi="Arial"/>
                <w:sz w:val="14"/>
                <w:szCs w:val="14"/>
                <w:b w:val="1"/>
                <w:bCs w:val="1"/>
                <w:color w:val="auto"/>
                <w:w w:val="84"/>
              </w:rPr>
              <w:t>August 1,</w:t>
            </w:r>
          </w:p>
        </w:tc>
        <w:tc>
          <w:tcPr>
            <w:tcW w:w="20" w:type="dxa"/>
            <w:vAlign w:val="bottom"/>
          </w:tcPr>
          <w:p>
            <w:pPr>
              <w:spacing w:after="0"/>
              <w:rPr>
                <w:sz w:val="11"/>
                <w:szCs w:val="11"/>
                <w:color w:val="auto"/>
              </w:rPr>
            </w:pPr>
          </w:p>
        </w:tc>
      </w:tr>
      <w:tr>
        <w:trPr>
          <w:trHeight w:val="161"/>
        </w:trPr>
        <w:tc>
          <w:tcPr>
            <w:tcW w:w="494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146"/>
              <w:spacing w:after="0"/>
              <w:rPr>
                <w:sz w:val="20"/>
                <w:szCs w:val="20"/>
                <w:color w:val="auto"/>
              </w:rPr>
            </w:pPr>
            <w:r>
              <w:rPr>
                <w:rFonts w:ascii="Arial" w:cs="Arial" w:eastAsia="Arial" w:hAnsi="Arial"/>
                <w:sz w:val="14"/>
                <w:szCs w:val="14"/>
                <w:b w:val="1"/>
                <w:bCs w:val="1"/>
                <w:color w:val="auto"/>
                <w:w w:val="83"/>
              </w:rPr>
              <w:t>2009</w:t>
            </w:r>
          </w:p>
        </w:tc>
        <w:tc>
          <w:tcPr>
            <w:tcW w:w="1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86"/>
              <w:spacing w:after="0"/>
              <w:rPr>
                <w:sz w:val="20"/>
                <w:szCs w:val="20"/>
                <w:color w:val="auto"/>
              </w:rPr>
            </w:pPr>
            <w:r>
              <w:rPr>
                <w:rFonts w:ascii="Arial" w:cs="Arial" w:eastAsia="Arial" w:hAnsi="Arial"/>
                <w:sz w:val="14"/>
                <w:szCs w:val="14"/>
                <w:b w:val="1"/>
                <w:bCs w:val="1"/>
                <w:color w:val="auto"/>
                <w:w w:val="83"/>
              </w:rPr>
              <w:t>2009</w:t>
            </w:r>
          </w:p>
        </w:tc>
        <w:tc>
          <w:tcPr>
            <w:tcW w:w="20" w:type="dxa"/>
            <w:vAlign w:val="bottom"/>
          </w:tcPr>
          <w:p>
            <w:pPr>
              <w:spacing w:after="0"/>
              <w:rPr>
                <w:sz w:val="14"/>
                <w:szCs w:val="14"/>
                <w:color w:val="auto"/>
              </w:rPr>
            </w:pPr>
          </w:p>
        </w:tc>
      </w:tr>
      <w:tr>
        <w:trPr>
          <w:trHeight w:val="210"/>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Gains recognized in other expenses, net</w:t>
            </w:r>
          </w:p>
        </w:tc>
        <w:tc>
          <w:tcPr>
            <w:tcW w:w="238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w:t>
            </w:r>
          </w:p>
        </w:tc>
        <w:tc>
          <w:tcPr>
            <w:tcW w:w="12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20" w:type="dxa"/>
            <w:vAlign w:val="bottom"/>
          </w:tcPr>
          <w:p>
            <w:pPr>
              <w:spacing w:after="0"/>
              <w:rPr>
                <w:sz w:val="18"/>
                <w:szCs w:val="18"/>
                <w:color w:val="auto"/>
              </w:rPr>
            </w:pPr>
          </w:p>
        </w:tc>
      </w:tr>
      <w:tr>
        <w:trPr>
          <w:trHeight w:val="20"/>
        </w:trPr>
        <w:tc>
          <w:tcPr>
            <w:tcW w:w="494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Effective February 3, 2008, the Company adopted SFAS 157, except as it applies to the non-financial assets and non-financial liabilities subject to FSP 157-2, which the Company adopted during the first quarter ended May 2, 2009. SFAS 157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3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5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40"/>
          </w:cols>
          <w:pgMar w:left="240" w:top="459" w:right="31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In accordance with SFAS 157, 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0.9% of total assets as of August 1, 2009.</w:t>
      </w:r>
    </w:p>
    <w:p>
      <w:pPr>
        <w:spacing w:after="0" w:line="11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table below sets forth, by level, the Company’s financial assets that were accounted for at fair value as of August 1, 2009. The table does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20" w:type="dxa"/>
            <w:vAlign w:val="bottom"/>
            <w:gridSpan w:val="20"/>
          </w:tcPr>
          <w:p>
            <w:pPr>
              <w:ind w:left="80"/>
              <w:spacing w:after="0"/>
              <w:rPr>
                <w:sz w:val="20"/>
                <w:szCs w:val="20"/>
                <w:color w:val="auto"/>
              </w:rPr>
            </w:pPr>
            <w:r>
              <w:rPr>
                <w:rFonts w:ascii="Arial" w:cs="Arial" w:eastAsia="Arial" w:hAnsi="Arial"/>
                <w:sz w:val="14"/>
                <w:szCs w:val="14"/>
                <w:b w:val="1"/>
                <w:bCs w:val="1"/>
                <w:color w:val="auto"/>
                <w:w w:val="93"/>
              </w:rPr>
              <w:t>Fair Value Mearsurements as of August 1, 2009</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gridSpan w:val="2"/>
          </w:tcPr>
          <w:p>
            <w:pPr>
              <w:ind w:left="80"/>
              <w:spacing w:after="0" w:line="142" w:lineRule="exact"/>
              <w:rPr>
                <w:sz w:val="20"/>
                <w:szCs w:val="20"/>
                <w:color w:val="auto"/>
              </w:rPr>
            </w:pPr>
            <w:r>
              <w:rPr>
                <w:rFonts w:ascii="Arial" w:cs="Arial" w:eastAsia="Arial" w:hAnsi="Arial"/>
                <w:sz w:val="14"/>
                <w:szCs w:val="14"/>
                <w:b w:val="1"/>
                <w:bCs w:val="1"/>
                <w:color w:val="auto"/>
              </w:rPr>
              <w:t>Total</w:t>
            </w: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gridSpan w:val="4"/>
          </w:tcPr>
          <w:p>
            <w:pPr>
              <w:jc w:val="center"/>
              <w:ind w:left="32"/>
              <w:spacing w:after="0" w:line="142" w:lineRule="exact"/>
              <w:rPr>
                <w:sz w:val="20"/>
                <w:szCs w:val="20"/>
                <w:color w:val="auto"/>
              </w:rPr>
            </w:pPr>
            <w:r>
              <w:rPr>
                <w:rFonts w:ascii="Arial" w:cs="Arial" w:eastAsia="Arial" w:hAnsi="Arial"/>
                <w:sz w:val="14"/>
                <w:szCs w:val="14"/>
                <w:b w:val="1"/>
                <w:bCs w:val="1"/>
                <w:color w:val="auto"/>
                <w:w w:val="88"/>
              </w:rPr>
              <w:t>Level 1</w:t>
            </w:r>
          </w:p>
        </w:tc>
        <w:tc>
          <w:tcPr>
            <w:tcW w:w="2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gridSpan w:val="5"/>
          </w:tcPr>
          <w:p>
            <w:pPr>
              <w:ind w:left="40"/>
              <w:spacing w:after="0" w:line="142" w:lineRule="exact"/>
              <w:rPr>
                <w:sz w:val="20"/>
                <w:szCs w:val="20"/>
                <w:color w:val="auto"/>
              </w:rPr>
            </w:pPr>
            <w:r>
              <w:rPr>
                <w:rFonts w:ascii="Arial" w:cs="Arial" w:eastAsia="Arial" w:hAnsi="Arial"/>
                <w:sz w:val="14"/>
                <w:szCs w:val="14"/>
                <w:b w:val="1"/>
                <w:bCs w:val="1"/>
                <w:color w:val="auto"/>
              </w:rPr>
              <w:t>Level 2</w:t>
            </w:r>
          </w:p>
        </w:tc>
        <w:tc>
          <w:tcPr>
            <w:tcW w:w="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jc w:val="right"/>
              <w:ind w:right="16"/>
              <w:spacing w:after="0" w:line="142" w:lineRule="exact"/>
              <w:rPr>
                <w:sz w:val="20"/>
                <w:szCs w:val="20"/>
                <w:color w:val="auto"/>
              </w:rPr>
            </w:pPr>
            <w:r>
              <w:rPr>
                <w:rFonts w:ascii="Arial" w:cs="Arial" w:eastAsia="Arial" w:hAnsi="Arial"/>
                <w:sz w:val="14"/>
                <w:szCs w:val="14"/>
                <w:b w:val="1"/>
                <w:bCs w:val="1"/>
                <w:color w:val="auto"/>
                <w:w w:val="84"/>
              </w:rPr>
              <w:t>Level 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lef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b w:val="1"/>
                <w:bCs w:val="1"/>
                <w:color w:val="auto"/>
              </w:rPr>
              <w:t>Assets</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ind w:left="420"/>
              <w:spacing w:after="0"/>
              <w:rPr>
                <w:sz w:val="20"/>
                <w:szCs w:val="20"/>
                <w:color w:val="auto"/>
              </w:rPr>
            </w:pPr>
            <w:r>
              <w:rPr>
                <w:rFonts w:ascii="Arial" w:cs="Arial" w:eastAsia="Arial" w:hAnsi="Arial"/>
                <w:sz w:val="18"/>
                <w:szCs w:val="18"/>
                <w:color w:val="auto"/>
              </w:rPr>
              <w:t>Money market funds</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20" w:type="dxa"/>
            <w:vAlign w:val="bottom"/>
            <w:gridSpan w:val="4"/>
          </w:tcPr>
          <w:p>
            <w:pPr>
              <w:jc w:val="right"/>
              <w:spacing w:after="0"/>
              <w:rPr>
                <w:sz w:val="20"/>
                <w:szCs w:val="20"/>
                <w:color w:val="auto"/>
              </w:rPr>
            </w:pPr>
            <w:r>
              <w:rPr>
                <w:rFonts w:ascii="Arial" w:cs="Arial" w:eastAsia="Arial" w:hAnsi="Arial"/>
                <w:sz w:val="18"/>
                <w:szCs w:val="18"/>
                <w:color w:val="auto"/>
              </w:rPr>
              <w:t>$860,394</w:t>
            </w:r>
          </w:p>
        </w:tc>
        <w:tc>
          <w:tcPr>
            <w:tcW w:w="900" w:type="dxa"/>
            <w:vAlign w:val="bottom"/>
            <w:gridSpan w:val="7"/>
          </w:tcPr>
          <w:p>
            <w:pPr>
              <w:jc w:val="center"/>
              <w:ind w:left="132"/>
              <w:spacing w:after="0"/>
              <w:rPr>
                <w:sz w:val="20"/>
                <w:szCs w:val="20"/>
                <w:color w:val="auto"/>
              </w:rPr>
            </w:pPr>
            <w:r>
              <w:rPr>
                <w:rFonts w:ascii="Arial" w:cs="Arial" w:eastAsia="Arial" w:hAnsi="Arial"/>
                <w:sz w:val="18"/>
                <w:szCs w:val="18"/>
                <w:color w:val="auto"/>
                <w:w w:val="90"/>
              </w:rPr>
              <w:t>$860,394</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4"/>
          </w:tcPr>
          <w:p>
            <w:pPr>
              <w:jc w:val="center"/>
              <w:ind w:right="60"/>
              <w:spacing w:after="0"/>
              <w:rPr>
                <w:sz w:val="20"/>
                <w:szCs w:val="20"/>
                <w:color w:val="auto"/>
              </w:rPr>
            </w:pPr>
            <w:r>
              <w:rPr>
                <w:rFonts w:ascii="Arial" w:cs="Arial" w:eastAsia="Arial" w:hAnsi="Arial"/>
                <w:sz w:val="18"/>
                <w:szCs w:val="18"/>
                <w:color w:val="auto"/>
                <w:w w:val="88"/>
              </w:rPr>
              <w:t>—</w:t>
            </w:r>
          </w:p>
        </w:tc>
        <w:tc>
          <w:tcPr>
            <w:tcW w:w="2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ind w:left="420"/>
              <w:spacing w:after="0"/>
              <w:rPr>
                <w:sz w:val="20"/>
                <w:szCs w:val="20"/>
                <w:color w:val="auto"/>
              </w:rPr>
            </w:pPr>
            <w:r>
              <w:rPr>
                <w:rFonts w:ascii="Arial" w:cs="Arial" w:eastAsia="Arial" w:hAnsi="Arial"/>
                <w:sz w:val="18"/>
                <w:szCs w:val="18"/>
                <w:color w:val="auto"/>
              </w:rPr>
              <w:t>Derivative assets</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ind w:left="6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gridSpan w:val="4"/>
          </w:tcPr>
          <w:p>
            <w:pPr>
              <w:jc w:val="center"/>
              <w:ind w:right="100"/>
              <w:spacing w:after="0"/>
              <w:rPr>
                <w:sz w:val="20"/>
                <w:szCs w:val="20"/>
                <w:color w:val="auto"/>
              </w:rPr>
            </w:pPr>
            <w:r>
              <w:rPr>
                <w:rFonts w:ascii="Arial" w:cs="Arial" w:eastAsia="Arial" w:hAnsi="Arial"/>
                <w:sz w:val="18"/>
                <w:szCs w:val="18"/>
                <w:color w:val="auto"/>
                <w:w w:val="88"/>
              </w:rPr>
              <w:t>2,023</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6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7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8"/>
              </w:rPr>
              <w:t>39,333</w:t>
            </w: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w w:val="88"/>
              </w:rPr>
              <w:t>—</w:t>
            </w:r>
          </w:p>
        </w:tc>
        <w:tc>
          <w:tcPr>
            <w:tcW w:w="20" w:type="dxa"/>
            <w:vAlign w:val="bottom"/>
            <w:tcBorders>
              <w:bottom w:val="single" w:sz="8" w:color="auto"/>
            </w:tcBorders>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8"/>
              </w:rPr>
              <w:t>—</w:t>
            </w: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39,333</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2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901,750</w:t>
            </w:r>
          </w:p>
        </w:tc>
        <w:tc>
          <w:tcPr>
            <w:tcW w:w="900" w:type="dxa"/>
            <w:vAlign w:val="bottom"/>
            <w:gridSpan w:val="7"/>
            <w:shd w:val="clear" w:color="auto" w:fill="CCEEFF"/>
          </w:tcPr>
          <w:p>
            <w:pPr>
              <w:jc w:val="center"/>
              <w:ind w:left="132"/>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860,394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84"/>
              </w:rPr>
              <w:t>2,023</w:t>
            </w: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9"/>
              </w:rPr>
              <w:t>$ 39,333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432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20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4"/>
        </w:trPr>
        <w:tc>
          <w:tcPr>
            <w:tcW w:w="9440" w:type="dxa"/>
            <w:vAlign w:val="bottom"/>
            <w:gridSpan w:val="19"/>
          </w:tcPr>
          <w:p>
            <w:pPr>
              <w:spacing w:after="0"/>
              <w:rPr>
                <w:sz w:val="20"/>
                <w:szCs w:val="20"/>
                <w:color w:val="auto"/>
              </w:rPr>
            </w:pPr>
            <w:r>
              <w:rPr>
                <w:rFonts w:ascii="Arial" w:cs="Arial" w:eastAsia="Arial" w:hAnsi="Arial"/>
                <w:sz w:val="18"/>
                <w:szCs w:val="18"/>
                <w:color w:val="auto"/>
                <w:w w:val="90"/>
              </w:rPr>
              <w:t>The following table summarizes the change in fair values for Level 3 items for the six months ended August 1, 2009 (in thousands):</w:t>
            </w: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2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w w:val="88"/>
              </w:rPr>
              <w:t>Level 3</w:t>
            </w: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8"/>
            <w:shd w:val="clear" w:color="auto" w:fill="CCEEFF"/>
          </w:tcPr>
          <w:p>
            <w:pPr>
              <w:spacing w:after="0"/>
              <w:rPr>
                <w:sz w:val="20"/>
                <w:szCs w:val="20"/>
                <w:color w:val="auto"/>
              </w:rPr>
            </w:pPr>
            <w:r>
              <w:rPr>
                <w:rFonts w:ascii="Arial" w:cs="Arial" w:eastAsia="Arial" w:hAnsi="Arial"/>
                <w:sz w:val="18"/>
                <w:szCs w:val="18"/>
                <w:b w:val="1"/>
                <w:bCs w:val="1"/>
                <w:color w:val="auto"/>
                <w:w w:val="88"/>
              </w:rPr>
              <w:t>Changes in fair value during the six months ended August 1, 2009 (pre-tax):</w:t>
            </w: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0" w:type="dxa"/>
            <w:vAlign w:val="bottom"/>
            <w:tcBorders>
              <w:left w:val="single" w:sz="8" w:color="CCEEFF"/>
            </w:tcBorders>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gridSpan w:val="5"/>
          </w:tcPr>
          <w:p>
            <w:pPr>
              <w:jc w:val="right"/>
              <w:spacing w:after="0"/>
              <w:rPr>
                <w:sz w:val="20"/>
                <w:szCs w:val="20"/>
                <w:color w:val="auto"/>
              </w:rPr>
            </w:pPr>
            <w:r>
              <w:rPr>
                <w:rFonts w:ascii="Arial" w:cs="Arial" w:eastAsia="Arial" w:hAnsi="Arial"/>
                <w:sz w:val="18"/>
                <w:szCs w:val="18"/>
                <w:color w:val="auto"/>
                <w:w w:val="89"/>
              </w:rPr>
              <w:t>$40,541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200" w:type="dxa"/>
            <w:vAlign w:val="bottom"/>
            <w:gridSpan w:val="2"/>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Sales and redemption</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gridSpan w:val="4"/>
          </w:tcPr>
          <w:p>
            <w:pPr>
              <w:jc w:val="right"/>
              <w:ind w:right="40"/>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48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89"/>
              </w:rPr>
              <w:t>Unrealized loss included in other comprehensive income (loss)</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w w:val="98"/>
              </w:rPr>
              <w:t>(1,158)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560" w:type="dxa"/>
            <w:vAlign w:val="bottom"/>
            <w:vMerge w:val="restart"/>
          </w:tcPr>
          <w:p>
            <w:pPr>
              <w:spacing w:after="0"/>
              <w:rPr>
                <w:sz w:val="20"/>
                <w:szCs w:val="20"/>
                <w:color w:val="auto"/>
              </w:rPr>
            </w:pPr>
            <w:r>
              <w:rPr>
                <w:rFonts w:ascii="Arial" w:cs="Arial" w:eastAsia="Arial" w:hAnsi="Arial"/>
                <w:sz w:val="18"/>
                <w:szCs w:val="18"/>
                <w:color w:val="auto"/>
              </w:rPr>
              <w:t>Ending balance at August 1, 2009</w:t>
            </w: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gridSpan w:val="4"/>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3560" w:type="dxa"/>
            <w:vAlign w:val="bottom"/>
            <w:vMerge w:val="continue"/>
          </w:tcPr>
          <w:p>
            <w:pPr>
              <w:spacing w:after="0"/>
              <w:rPr>
                <w:sz w:val="19"/>
                <w:szCs w:val="19"/>
                <w:color w:val="auto"/>
              </w:rPr>
            </w:pPr>
          </w:p>
        </w:tc>
        <w:tc>
          <w:tcPr>
            <w:tcW w:w="7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gridSpan w:val="5"/>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39,333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48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Note 7. Acquired Intangible Assets, Net</w:t>
            </w: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480" w:type="dxa"/>
            <w:vAlign w:val="bottom"/>
            <w:gridSpan w:val="3"/>
            <w:vMerge w:val="continue"/>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gridSpan w:val="4"/>
          </w:tcPr>
          <w:p>
            <w:pPr>
              <w:jc w:val="center"/>
              <w:ind w:right="120"/>
              <w:spacing w:after="0"/>
              <w:rPr>
                <w:sz w:val="20"/>
                <w:szCs w:val="20"/>
                <w:color w:val="auto"/>
              </w:rPr>
            </w:pPr>
            <w:r>
              <w:rPr>
                <w:rFonts w:ascii="Arial" w:cs="Arial" w:eastAsia="Arial" w:hAnsi="Arial"/>
                <w:sz w:val="14"/>
                <w:szCs w:val="14"/>
                <w:b w:val="1"/>
                <w:bCs w:val="1"/>
                <w:color w:val="auto"/>
                <w:w w:val="85"/>
              </w:rPr>
              <w:t>As of August 1, 2009</w:t>
            </w:r>
          </w:p>
        </w:tc>
        <w:tc>
          <w:tcPr>
            <w:tcW w:w="68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gridSpan w:val="12"/>
          </w:tcPr>
          <w:p>
            <w:pPr>
              <w:ind w:left="120"/>
              <w:spacing w:after="0"/>
              <w:rPr>
                <w:sz w:val="20"/>
                <w:szCs w:val="20"/>
                <w:color w:val="auto"/>
              </w:rPr>
            </w:pPr>
            <w:r>
              <w:rPr>
                <w:rFonts w:ascii="Arial" w:cs="Arial" w:eastAsia="Arial" w:hAnsi="Arial"/>
                <w:sz w:val="14"/>
                <w:szCs w:val="14"/>
                <w:b w:val="1"/>
                <w:bCs w:val="1"/>
                <w:color w:val="auto"/>
                <w:w w:val="90"/>
              </w:rPr>
              <w:t>As of January 31, 2009</w:t>
            </w: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11"/>
                <w:szCs w:val="11"/>
                <w:color w:val="auto"/>
              </w:rPr>
            </w:pPr>
          </w:p>
        </w:tc>
        <w:tc>
          <w:tcPr>
            <w:tcW w:w="120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7"/>
              </w:rPr>
              <w:t>Net</w:t>
            </w: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gridSpan w:val="4"/>
          </w:tcPr>
          <w:p>
            <w:pPr>
              <w:jc w:val="center"/>
              <w:ind w:right="100"/>
              <w:spacing w:after="0" w:line="129" w:lineRule="exact"/>
              <w:rPr>
                <w:sz w:val="20"/>
                <w:szCs w:val="20"/>
                <w:color w:val="auto"/>
              </w:rPr>
            </w:pPr>
            <w:r>
              <w:rPr>
                <w:rFonts w:ascii="Arial" w:cs="Arial" w:eastAsia="Arial" w:hAnsi="Arial"/>
                <w:sz w:val="14"/>
                <w:szCs w:val="14"/>
                <w:b w:val="1"/>
                <w:bCs w:val="1"/>
                <w:color w:val="auto"/>
                <w:w w:val="78"/>
              </w:rPr>
              <w:t>Gross</w:t>
            </w:r>
          </w:p>
        </w:tc>
        <w:tc>
          <w:tcPr>
            <w:tcW w:w="120" w:type="dxa"/>
            <w:vAlign w:val="bottom"/>
          </w:tcPr>
          <w:p>
            <w:pPr>
              <w:spacing w:after="0"/>
              <w:rPr>
                <w:sz w:val="11"/>
                <w:szCs w:val="11"/>
                <w:color w:val="auto"/>
              </w:rPr>
            </w:pPr>
          </w:p>
        </w:tc>
        <w:tc>
          <w:tcPr>
            <w:tcW w:w="1140" w:type="dxa"/>
            <w:vAlign w:val="bottom"/>
            <w:gridSpan w:val="9"/>
          </w:tcPr>
          <w:p>
            <w:pPr>
              <w:ind w:left="60"/>
              <w:spacing w:after="0" w:line="129" w:lineRule="exact"/>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jc w:val="center"/>
              <w:ind w:right="76"/>
              <w:spacing w:after="0" w:line="129" w:lineRule="exact"/>
              <w:rPr>
                <w:sz w:val="20"/>
                <w:szCs w:val="20"/>
                <w:color w:val="auto"/>
              </w:rPr>
            </w:pPr>
            <w:r>
              <w:rPr>
                <w:rFonts w:ascii="Arial" w:cs="Arial" w:eastAsia="Arial" w:hAnsi="Arial"/>
                <w:sz w:val="14"/>
                <w:szCs w:val="14"/>
                <w:b w:val="1"/>
                <w:bCs w:val="1"/>
                <w:color w:val="auto"/>
                <w:w w:val="88"/>
              </w:rPr>
              <w:t>Net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9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Range of</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12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7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120" w:type="dxa"/>
            <w:vAlign w:val="bottom"/>
          </w:tcPr>
          <w:p>
            <w:pPr>
              <w:spacing w:after="0"/>
              <w:rPr>
                <w:sz w:val="12"/>
                <w:szCs w:val="12"/>
                <w:color w:val="auto"/>
              </w:rPr>
            </w:pPr>
          </w:p>
        </w:tc>
        <w:tc>
          <w:tcPr>
            <w:tcW w:w="900" w:type="dxa"/>
            <w:vAlign w:val="bottom"/>
            <w:gridSpan w:val="4"/>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Carrying</w:t>
            </w:r>
          </w:p>
        </w:tc>
        <w:tc>
          <w:tcPr>
            <w:tcW w:w="120" w:type="dxa"/>
            <w:vAlign w:val="bottom"/>
          </w:tcPr>
          <w:p>
            <w:pPr>
              <w:spacing w:after="0"/>
              <w:rPr>
                <w:sz w:val="12"/>
                <w:szCs w:val="12"/>
                <w:color w:val="auto"/>
              </w:rPr>
            </w:pPr>
          </w:p>
        </w:tc>
        <w:tc>
          <w:tcPr>
            <w:tcW w:w="1140" w:type="dxa"/>
            <w:vAlign w:val="bottom"/>
            <w:gridSpan w:val="9"/>
          </w:tcPr>
          <w:p>
            <w:pPr>
              <w:ind w:left="40"/>
              <w:spacing w:after="0" w:line="149" w:lineRule="exact"/>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Useful Lives</w:t>
            </w: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4"/>
                <w:szCs w:val="14"/>
                <w:color w:val="auto"/>
              </w:rPr>
            </w:pPr>
          </w:p>
        </w:tc>
        <w:tc>
          <w:tcPr>
            <w:tcW w:w="120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91"/>
              </w:rPr>
              <w:t>and Write-Offs</w:t>
            </w:r>
          </w:p>
        </w:tc>
        <w:tc>
          <w:tcPr>
            <w:tcW w:w="7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6"/>
              </w:rPr>
              <w:t>Amount</w:t>
            </w:r>
          </w:p>
        </w:tc>
        <w:tc>
          <w:tcPr>
            <w:tcW w:w="120" w:type="dxa"/>
            <w:vAlign w:val="bottom"/>
          </w:tcPr>
          <w:p>
            <w:pPr>
              <w:spacing w:after="0"/>
              <w:rPr>
                <w:sz w:val="14"/>
                <w:szCs w:val="14"/>
                <w:color w:val="auto"/>
              </w:rPr>
            </w:pPr>
          </w:p>
        </w:tc>
        <w:tc>
          <w:tcPr>
            <w:tcW w:w="90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90"/>
              </w:rPr>
              <w:t>Amount</w:t>
            </w:r>
          </w:p>
        </w:tc>
        <w:tc>
          <w:tcPr>
            <w:tcW w:w="120" w:type="dxa"/>
            <w:vAlign w:val="bottom"/>
          </w:tcPr>
          <w:p>
            <w:pPr>
              <w:spacing w:after="0"/>
              <w:rPr>
                <w:sz w:val="14"/>
                <w:szCs w:val="14"/>
                <w:color w:val="auto"/>
              </w:rPr>
            </w:pPr>
          </w:p>
        </w:tc>
        <w:tc>
          <w:tcPr>
            <w:tcW w:w="1140" w:type="dxa"/>
            <w:vAlign w:val="bottom"/>
            <w:gridSpan w:val="9"/>
          </w:tcPr>
          <w:p>
            <w:pPr>
              <w:spacing w:after="0"/>
              <w:rPr>
                <w:sz w:val="20"/>
                <w:szCs w:val="20"/>
                <w:color w:val="auto"/>
              </w:rPr>
            </w:pPr>
            <w:r>
              <w:rPr>
                <w:rFonts w:ascii="Arial" w:cs="Arial" w:eastAsia="Arial" w:hAnsi="Arial"/>
                <w:sz w:val="14"/>
                <w:szCs w:val="14"/>
                <w:b w:val="1"/>
                <w:bCs w:val="1"/>
                <w:color w:val="auto"/>
              </w:rPr>
              <w:t>and Write-Offs</w:t>
            </w: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9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85"/>
              </w:rPr>
              <w:t>1 – 7 years</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42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3"/>
              </w:rPr>
              <w:t>(641,438)</w:t>
            </w: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1"/>
              </w:rPr>
              <w:t>$ 73,202</w:t>
            </w:r>
          </w:p>
        </w:tc>
        <w:tc>
          <w:tcPr>
            <w:tcW w:w="80" w:type="dxa"/>
            <w:vAlign w:val="bottom"/>
            <w:shd w:val="clear" w:color="auto" w:fill="CCEEFF"/>
          </w:tcPr>
          <w:p>
            <w:pPr>
              <w:spacing w:after="0"/>
              <w:rPr>
                <w:sz w:val="18"/>
                <w:szCs w:val="18"/>
                <w:color w:val="auto"/>
              </w:rPr>
            </w:pPr>
          </w:p>
        </w:tc>
        <w:tc>
          <w:tcPr>
            <w:tcW w:w="10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  714,640</w:t>
            </w:r>
          </w:p>
        </w:tc>
        <w:tc>
          <w:tcPr>
            <w:tcW w:w="3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7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w w:val="88"/>
              </w:rPr>
              <w:t>(615,206)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99,434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920" w:type="dxa"/>
            <w:vAlign w:val="bottom"/>
            <w:gridSpan w:val="2"/>
          </w:tcPr>
          <w:p>
            <w:pPr>
              <w:jc w:val="center"/>
              <w:ind w:right="160"/>
              <w:spacing w:after="0"/>
              <w:rPr>
                <w:sz w:val="20"/>
                <w:szCs w:val="20"/>
                <w:color w:val="auto"/>
              </w:rPr>
            </w:pPr>
            <w:r>
              <w:rPr>
                <w:rFonts w:ascii="Arial" w:cs="Arial" w:eastAsia="Arial" w:hAnsi="Arial"/>
                <w:sz w:val="18"/>
                <w:szCs w:val="18"/>
                <w:color w:val="auto"/>
                <w:w w:val="85"/>
              </w:rPr>
              <w:t>1 – 8 years</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w w:val="93"/>
              </w:rPr>
              <w:t>(115,880)</w:t>
            </w:r>
          </w:p>
        </w:tc>
        <w:tc>
          <w:tcPr>
            <w:tcW w:w="680" w:type="dxa"/>
            <w:vAlign w:val="bottom"/>
          </w:tcPr>
          <w:p>
            <w:pPr>
              <w:jc w:val="right"/>
              <w:spacing w:after="0"/>
              <w:rPr>
                <w:sz w:val="20"/>
                <w:szCs w:val="20"/>
                <w:color w:val="auto"/>
              </w:rPr>
            </w:pPr>
            <w:r>
              <w:rPr>
                <w:rFonts w:ascii="Arial" w:cs="Arial" w:eastAsia="Arial" w:hAnsi="Arial"/>
                <w:sz w:val="18"/>
                <w:szCs w:val="18"/>
                <w:color w:val="auto"/>
              </w:rPr>
              <w:t>96,770</w:t>
            </w:r>
          </w:p>
        </w:tc>
        <w:tc>
          <w:tcPr>
            <w:tcW w:w="80" w:type="dxa"/>
            <w:vAlign w:val="bottom"/>
          </w:tcPr>
          <w:p>
            <w:pPr>
              <w:spacing w:after="0"/>
              <w:rPr>
                <w:sz w:val="18"/>
                <w:szCs w:val="18"/>
                <w:color w:val="auto"/>
              </w:rPr>
            </w:pPr>
          </w:p>
        </w:tc>
        <w:tc>
          <w:tcPr>
            <w:tcW w:w="1020" w:type="dxa"/>
            <w:vAlign w:val="bottom"/>
            <w:gridSpan w:val="5"/>
          </w:tcPr>
          <w:p>
            <w:pPr>
              <w:jc w:val="right"/>
              <w:ind w:right="100"/>
              <w:spacing w:after="0"/>
              <w:rPr>
                <w:sz w:val="20"/>
                <w:szCs w:val="20"/>
                <w:color w:val="auto"/>
              </w:rPr>
            </w:pPr>
            <w:r>
              <w:rPr>
                <w:rFonts w:ascii="Arial" w:cs="Arial" w:eastAsia="Arial" w:hAnsi="Arial"/>
                <w:sz w:val="18"/>
                <w:szCs w:val="18"/>
                <w:color w:val="auto"/>
              </w:rPr>
              <w:t>212,650</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00" w:type="dxa"/>
            <w:vAlign w:val="bottom"/>
            <w:gridSpan w:val="6"/>
          </w:tcPr>
          <w:p>
            <w:pPr>
              <w:jc w:val="right"/>
              <w:spacing w:after="0"/>
              <w:rPr>
                <w:sz w:val="20"/>
                <w:szCs w:val="20"/>
                <w:color w:val="auto"/>
              </w:rPr>
            </w:pPr>
            <w:r>
              <w:rPr>
                <w:rFonts w:ascii="Arial" w:cs="Arial" w:eastAsia="Arial" w:hAnsi="Arial"/>
                <w:sz w:val="18"/>
                <w:szCs w:val="18"/>
                <w:color w:val="auto"/>
                <w:w w:val="88"/>
              </w:rPr>
              <w:t>(101,990)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4"/>
          </w:tcPr>
          <w:p>
            <w:pPr>
              <w:jc w:val="right"/>
              <w:spacing w:after="0"/>
              <w:rPr>
                <w:sz w:val="20"/>
                <w:szCs w:val="20"/>
                <w:color w:val="auto"/>
              </w:rPr>
            </w:pPr>
            <w:r>
              <w:rPr>
                <w:rFonts w:ascii="Arial" w:cs="Arial" w:eastAsia="Arial" w:hAnsi="Arial"/>
                <w:sz w:val="18"/>
                <w:szCs w:val="18"/>
                <w:color w:val="auto"/>
              </w:rPr>
              <w:t>110,660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9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85"/>
              </w:rPr>
              <w:t>1 – 5 years</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(239)</w:t>
            </w:r>
          </w:p>
        </w:tc>
        <w:tc>
          <w:tcPr>
            <w:tcW w:w="7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111</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350</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(219)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920" w:type="dxa"/>
            <w:vAlign w:val="bottom"/>
            <w:gridSpan w:val="2"/>
          </w:tcPr>
          <w:p>
            <w:pPr>
              <w:jc w:val="center"/>
              <w:ind w:right="160"/>
              <w:spacing w:after="0"/>
              <w:rPr>
                <w:sz w:val="20"/>
                <w:szCs w:val="20"/>
                <w:color w:val="auto"/>
              </w:rPr>
            </w:pPr>
            <w:r>
              <w:rPr>
                <w:rFonts w:ascii="Arial" w:cs="Arial" w:eastAsia="Arial" w:hAnsi="Arial"/>
                <w:sz w:val="18"/>
                <w:szCs w:val="18"/>
                <w:color w:val="auto"/>
                <w:w w:val="85"/>
              </w:rPr>
              <w:t>4 – 7 years</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w w:val="93"/>
              </w:rPr>
              <w:t>(123,792)</w:t>
            </w:r>
          </w:p>
        </w:tc>
        <w:tc>
          <w:tcPr>
            <w:tcW w:w="680" w:type="dxa"/>
            <w:vAlign w:val="bottom"/>
          </w:tcPr>
          <w:p>
            <w:pPr>
              <w:jc w:val="right"/>
              <w:spacing w:after="0"/>
              <w:rPr>
                <w:sz w:val="20"/>
                <w:szCs w:val="20"/>
                <w:color w:val="auto"/>
              </w:rPr>
            </w:pPr>
            <w:r>
              <w:rPr>
                <w:rFonts w:ascii="Arial" w:cs="Arial" w:eastAsia="Arial" w:hAnsi="Arial"/>
                <w:sz w:val="18"/>
                <w:szCs w:val="18"/>
                <w:color w:val="auto"/>
              </w:rPr>
              <w:t>59,508</w:t>
            </w:r>
          </w:p>
        </w:tc>
        <w:tc>
          <w:tcPr>
            <w:tcW w:w="80" w:type="dxa"/>
            <w:vAlign w:val="bottom"/>
          </w:tcPr>
          <w:p>
            <w:pPr>
              <w:spacing w:after="0"/>
              <w:rPr>
                <w:sz w:val="18"/>
                <w:szCs w:val="18"/>
                <w:color w:val="auto"/>
              </w:rPr>
            </w:pPr>
          </w:p>
        </w:tc>
        <w:tc>
          <w:tcPr>
            <w:tcW w:w="1020" w:type="dxa"/>
            <w:vAlign w:val="bottom"/>
            <w:gridSpan w:val="5"/>
          </w:tcPr>
          <w:p>
            <w:pPr>
              <w:jc w:val="right"/>
              <w:ind w:right="100"/>
              <w:spacing w:after="0"/>
              <w:rPr>
                <w:sz w:val="20"/>
                <w:szCs w:val="20"/>
                <w:color w:val="auto"/>
              </w:rPr>
            </w:pPr>
            <w:r>
              <w:rPr>
                <w:rFonts w:ascii="Arial" w:cs="Arial" w:eastAsia="Arial" w:hAnsi="Arial"/>
                <w:sz w:val="18"/>
                <w:szCs w:val="18"/>
                <w:color w:val="auto"/>
              </w:rPr>
              <w:t>183,300</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00" w:type="dxa"/>
            <w:vAlign w:val="bottom"/>
            <w:gridSpan w:val="6"/>
          </w:tcPr>
          <w:p>
            <w:pPr>
              <w:jc w:val="right"/>
              <w:spacing w:after="0"/>
              <w:rPr>
                <w:sz w:val="20"/>
                <w:szCs w:val="20"/>
                <w:color w:val="auto"/>
              </w:rPr>
            </w:pPr>
            <w:r>
              <w:rPr>
                <w:rFonts w:ascii="Arial" w:cs="Arial" w:eastAsia="Arial" w:hAnsi="Arial"/>
                <w:sz w:val="18"/>
                <w:szCs w:val="18"/>
                <w:color w:val="auto"/>
                <w:w w:val="88"/>
              </w:rPr>
              <w:t>(107,294)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76,006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(900)</w:t>
            </w:r>
          </w:p>
        </w:tc>
        <w:tc>
          <w:tcPr>
            <w:tcW w:w="76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900</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tcPr>
          <w:p>
            <w:pPr>
              <w:spacing w:after="0"/>
              <w:rPr>
                <w:sz w:val="20"/>
                <w:szCs w:val="20"/>
                <w:color w:val="auto"/>
              </w:rPr>
            </w:pPr>
            <w:r>
              <w:rPr>
                <w:rFonts w:ascii="Arial" w:cs="Arial" w:eastAsia="Arial" w:hAnsi="Arial"/>
                <w:sz w:val="18"/>
                <w:szCs w:val="18"/>
                <w:color w:val="auto"/>
              </w:rPr>
              <w:t>Non-compete agreements</w:t>
            </w:r>
          </w:p>
        </w:tc>
        <w:tc>
          <w:tcPr>
            <w:tcW w:w="920" w:type="dxa"/>
            <w:vAlign w:val="bottom"/>
            <w:gridSpan w:val="2"/>
          </w:tcPr>
          <w:p>
            <w:pPr>
              <w:ind w:left="260"/>
              <w:spacing w:after="0"/>
              <w:rPr>
                <w:sz w:val="20"/>
                <w:szCs w:val="20"/>
                <w:color w:val="auto"/>
              </w:rPr>
            </w:pPr>
            <w:r>
              <w:rPr>
                <w:rFonts w:ascii="Arial" w:cs="Arial" w:eastAsia="Arial" w:hAnsi="Arial"/>
                <w:sz w:val="18"/>
                <w:szCs w:val="18"/>
                <w:color w:val="auto"/>
              </w:rPr>
              <w:t>3 years</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(513)</w:t>
            </w:r>
          </w:p>
        </w:tc>
        <w:tc>
          <w:tcPr>
            <w:tcW w:w="680" w:type="dxa"/>
            <w:vAlign w:val="bottom"/>
          </w:tcPr>
          <w:p>
            <w:pPr>
              <w:jc w:val="right"/>
              <w:spacing w:after="0"/>
              <w:rPr>
                <w:sz w:val="20"/>
                <w:szCs w:val="20"/>
                <w:color w:val="auto"/>
              </w:rPr>
            </w:pPr>
            <w:r>
              <w:rPr>
                <w:rFonts w:ascii="Arial" w:cs="Arial" w:eastAsia="Arial" w:hAnsi="Arial"/>
                <w:sz w:val="18"/>
                <w:szCs w:val="18"/>
                <w:color w:val="auto"/>
              </w:rPr>
              <w:t>187</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0" w:type="dxa"/>
            <w:vAlign w:val="bottom"/>
            <w:gridSpan w:val="3"/>
          </w:tcPr>
          <w:p>
            <w:pPr>
              <w:jc w:val="right"/>
              <w:ind w:right="100"/>
              <w:spacing w:after="0"/>
              <w:rPr>
                <w:sz w:val="20"/>
                <w:szCs w:val="20"/>
                <w:color w:val="auto"/>
              </w:rPr>
            </w:pPr>
            <w:r>
              <w:rPr>
                <w:rFonts w:ascii="Arial" w:cs="Arial" w:eastAsia="Arial" w:hAnsi="Arial"/>
                <w:sz w:val="18"/>
                <w:szCs w:val="18"/>
                <w:color w:val="auto"/>
              </w:rPr>
              <w:t>700</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gridSpan w:val="4"/>
          </w:tcPr>
          <w:p>
            <w:pPr>
              <w:jc w:val="right"/>
              <w:spacing w:after="0"/>
              <w:rPr>
                <w:sz w:val="20"/>
                <w:szCs w:val="20"/>
                <w:color w:val="auto"/>
              </w:rPr>
            </w:pPr>
            <w:r>
              <w:rPr>
                <w:rFonts w:ascii="Arial" w:cs="Arial" w:eastAsia="Arial" w:hAnsi="Arial"/>
                <w:sz w:val="18"/>
                <w:szCs w:val="18"/>
                <w:color w:val="auto"/>
              </w:rPr>
              <w:t>(397)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00" w:type="dxa"/>
            <w:vAlign w:val="bottom"/>
          </w:tcPr>
          <w:p>
            <w:pPr>
              <w:spacing w:after="0"/>
              <w:rPr>
                <w:sz w:val="2"/>
                <w:szCs w:val="2"/>
                <w:color w:val="auto"/>
              </w:rPr>
            </w:pPr>
          </w:p>
        </w:tc>
        <w:tc>
          <w:tcPr>
            <w:tcW w:w="3560" w:type="dxa"/>
            <w:vAlign w:val="bottom"/>
          </w:tcPr>
          <w:p>
            <w:pPr>
              <w:spacing w:after="0"/>
              <w:rPr>
                <w:sz w:val="2"/>
                <w:szCs w:val="2"/>
                <w:color w:val="auto"/>
              </w:rPr>
            </w:pPr>
          </w:p>
        </w:tc>
        <w:tc>
          <w:tcPr>
            <w:tcW w:w="7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680" w:type="dxa"/>
            <w:vAlign w:val="bottom"/>
            <w:tcBorders>
              <w:right w:val="single" w:sz="8" w:color="auto"/>
            </w:tcBorders>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00" w:type="dxa"/>
            <w:vAlign w:val="bottom"/>
            <w:tcBorders>
              <w:left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Total intangible assets, net</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1,112,540</w:t>
            </w:r>
          </w:p>
        </w:tc>
        <w:tc>
          <w:tcPr>
            <w:tcW w:w="42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3"/>
              </w:rPr>
              <w:t>(882,762)</w:t>
            </w: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229,778</w:t>
            </w:r>
          </w:p>
        </w:tc>
        <w:tc>
          <w:tcPr>
            <w:tcW w:w="80" w:type="dxa"/>
            <w:vAlign w:val="bottom"/>
            <w:shd w:val="clear" w:color="auto" w:fill="CCEEFF"/>
          </w:tcPr>
          <w:p>
            <w:pPr>
              <w:spacing w:after="0"/>
              <w:rPr>
                <w:sz w:val="18"/>
                <w:szCs w:val="18"/>
                <w:color w:val="auto"/>
              </w:rPr>
            </w:pPr>
          </w:p>
        </w:tc>
        <w:tc>
          <w:tcPr>
            <w:tcW w:w="10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99"/>
              </w:rPr>
              <w:t>$</w:t>
            </w:r>
            <w:r>
              <w:rPr>
                <w:rFonts w:ascii="Arial" w:cs="Arial" w:eastAsia="Arial" w:hAnsi="Arial"/>
                <w:sz w:val="18"/>
                <w:szCs w:val="18"/>
                <w:color w:val="auto"/>
                <w:w w:val="99"/>
              </w:rPr>
              <w:t>1,112,540</w:t>
            </w:r>
          </w:p>
        </w:tc>
        <w:tc>
          <w:tcPr>
            <w:tcW w:w="3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7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w w:val="88"/>
              </w:rPr>
              <w:t>(826,006)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w w:val="93"/>
              </w:rPr>
              <w:t>$</w:t>
            </w:r>
            <w:r>
              <w:rPr>
                <w:rFonts w:ascii="Arial" w:cs="Arial" w:eastAsia="Arial" w:hAnsi="Arial"/>
                <w:sz w:val="18"/>
                <w:szCs w:val="18"/>
                <w:color w:val="auto"/>
                <w:w w:val="93"/>
              </w:rPr>
              <w:t>286,534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jc w:val="right"/>
              <w:ind w:right="358"/>
              <w:spacing w:after="0"/>
              <w:rPr>
                <w:sz w:val="20"/>
                <w:szCs w:val="20"/>
                <w:color w:val="auto"/>
              </w:rPr>
            </w:pPr>
            <w:r>
              <w:rPr>
                <w:rFonts w:ascii="Arial" w:cs="Arial" w:eastAsia="Arial" w:hAnsi="Arial"/>
                <w:sz w:val="18"/>
                <w:szCs w:val="18"/>
                <w:color w:val="auto"/>
              </w:rPr>
              <w:t>17</w:t>
            </w: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913"/>
        <w:spacing w:after="0" w:line="268" w:lineRule="auto"/>
        <w:rPr>
          <w:sz w:val="20"/>
          <w:szCs w:val="20"/>
          <w:color w:val="auto"/>
        </w:rPr>
      </w:pPr>
      <w:r>
        <w:rPr>
          <w:rFonts w:ascii="Arial" w:cs="Arial" w:eastAsia="Arial" w:hAnsi="Arial"/>
          <w:sz w:val="18"/>
          <w:szCs w:val="18"/>
          <w:color w:val="auto"/>
        </w:rPr>
        <w:t>Based on the identified intangible assets recorded at August 1, 2009, the future amortization expense of identified intangibles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8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w w:val="86"/>
              </w:rPr>
              <w:t>Amount</w:t>
            </w:r>
          </w:p>
        </w:tc>
      </w:tr>
      <w:tr>
        <w:trPr>
          <w:trHeight w:val="210"/>
        </w:trPr>
        <w:tc>
          <w:tcPr>
            <w:tcW w:w="8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49,722</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2011</w:t>
            </w:r>
          </w:p>
        </w:tc>
        <w:tc>
          <w:tcPr>
            <w:tcW w:w="8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79,913</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8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41,951</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2013</w:t>
            </w:r>
          </w:p>
        </w:tc>
        <w:tc>
          <w:tcPr>
            <w:tcW w:w="8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35,217</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8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22,093</w:t>
            </w:r>
          </w:p>
        </w:tc>
      </w:tr>
      <w:tr>
        <w:trPr>
          <w:trHeight w:val="223"/>
        </w:trPr>
        <w:tc>
          <w:tcPr>
            <w:tcW w:w="89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r>
      <w:tr>
        <w:trPr>
          <w:trHeight w:val="216"/>
        </w:trPr>
        <w:tc>
          <w:tcPr>
            <w:tcW w:w="660" w:type="dxa"/>
            <w:vAlign w:val="bottom"/>
            <w:shd w:val="clear" w:color="auto" w:fill="CCEEFF"/>
          </w:tcPr>
          <w:p>
            <w:pPr>
              <w:spacing w:after="0"/>
              <w:rPr>
                <w:sz w:val="18"/>
                <w:szCs w:val="18"/>
                <w:color w:val="auto"/>
              </w:rPr>
            </w:pPr>
          </w:p>
        </w:tc>
        <w:tc>
          <w:tcPr>
            <w:tcW w:w="8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229,778</w:t>
            </w:r>
          </w:p>
        </w:tc>
      </w:tr>
      <w:tr>
        <w:trPr>
          <w:trHeight w:val="20"/>
        </w:trPr>
        <w:tc>
          <w:tcPr>
            <w:tcW w:w="660" w:type="dxa"/>
            <w:vAlign w:val="bottom"/>
          </w:tcPr>
          <w:p>
            <w:pPr>
              <w:spacing w:after="0" w:line="20" w:lineRule="exact"/>
              <w:rPr>
                <w:sz w:val="1"/>
                <w:szCs w:val="1"/>
                <w:color w:val="auto"/>
              </w:rPr>
            </w:pPr>
          </w:p>
        </w:tc>
        <w:tc>
          <w:tcPr>
            <w:tcW w:w="8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220" w:firstLine="913"/>
        <w:spacing w:after="0" w:line="255" w:lineRule="auto"/>
        <w:rPr>
          <w:sz w:val="20"/>
          <w:szCs w:val="20"/>
          <w:color w:val="auto"/>
        </w:rPr>
      </w:pPr>
      <w:r>
        <w:rPr>
          <w:rFonts w:ascii="Arial" w:cs="Arial" w:eastAsia="Arial" w:hAnsi="Arial"/>
          <w:sz w:val="18"/>
          <w:szCs w:val="18"/>
          <w:color w:val="auto"/>
        </w:rPr>
        <w:t>During the three months ended August 1, 2009, the Company continued to implement certain cost reduction measures that included reductions in workforce that were announced in the first quarter ended May 2, 2009. In addition, the Company also impaired some facilities due to vacating certain locations. As a result, during the three months ended August 1, 2009, the Company recorded a restructuring charge of $5.0 million consisting of $1.1 million of severance and related employee benefits to the terminated employees, $1.5 million for equipment and other related charges and $2.4 million of additional facilities impairment charges.</w:t>
      </w:r>
    </w:p>
    <w:p>
      <w:pPr>
        <w:spacing w:after="0" w:line="143" w:lineRule="exact"/>
        <w:rPr>
          <w:sz w:val="20"/>
          <w:szCs w:val="20"/>
          <w:color w:val="auto"/>
        </w:rPr>
      </w:pPr>
    </w:p>
    <w:p>
      <w:pPr>
        <w:ind w:left="920"/>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through August 1, 2009 (in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20" w:type="dxa"/>
            <w:vAlign w:val="bottom"/>
          </w:tcPr>
          <w:p>
            <w:pPr>
              <w:spacing w:after="0"/>
              <w:rPr>
                <w:sz w:val="14"/>
                <w:szCs w:val="14"/>
                <w:color w:val="auto"/>
              </w:rPr>
            </w:pPr>
          </w:p>
        </w:tc>
        <w:tc>
          <w:tcPr>
            <w:tcW w:w="178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w w:val="98"/>
              </w:rPr>
              <w:t>Three Months Ended</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40" w:type="dxa"/>
            <w:vAlign w:val="bottom"/>
            <w:gridSpan w:val="5"/>
          </w:tcPr>
          <w:p>
            <w:pPr>
              <w:jc w:val="right"/>
              <w:ind w:right="3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72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4"/>
              </w:rPr>
              <w:t>August 1,</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Borders>
              <w:top w:val="single" w:sz="8" w:color="auto"/>
            </w:tcBorders>
            <w:gridSpan w:val="3"/>
          </w:tcPr>
          <w:p>
            <w:pPr>
              <w:jc w:val="right"/>
              <w:ind w:right="300"/>
              <w:spacing w:after="0" w:line="129" w:lineRule="exact"/>
              <w:rPr>
                <w:sz w:val="20"/>
                <w:szCs w:val="20"/>
                <w:color w:val="auto"/>
              </w:rPr>
            </w:pPr>
            <w:r>
              <w:rPr>
                <w:rFonts w:ascii="Arial" w:cs="Arial" w:eastAsia="Arial" w:hAnsi="Arial"/>
                <w:sz w:val="14"/>
                <w:szCs w:val="14"/>
                <w:b w:val="1"/>
                <w:bCs w:val="1"/>
                <w:color w:val="auto"/>
                <w:w w:val="87"/>
              </w:rPr>
              <w:t>August 1,</w:t>
            </w:r>
          </w:p>
        </w:tc>
        <w:tc>
          <w:tcPr>
            <w:tcW w:w="1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720" w:type="dxa"/>
            <w:vAlign w:val="bottom"/>
          </w:tcPr>
          <w:p>
            <w:pPr>
              <w:spacing w:after="0"/>
              <w:rPr>
                <w:sz w:val="14"/>
                <w:szCs w:val="14"/>
                <w:color w:val="auto"/>
              </w:rPr>
            </w:pPr>
          </w:p>
        </w:tc>
        <w:tc>
          <w:tcPr>
            <w:tcW w:w="56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2009</w:t>
            </w:r>
          </w:p>
        </w:tc>
        <w:tc>
          <w:tcPr>
            <w:tcW w:w="420" w:type="dxa"/>
            <w:vAlign w:val="bottom"/>
          </w:tcPr>
          <w:p>
            <w:pPr>
              <w:spacing w:after="0"/>
              <w:rPr>
                <w:sz w:val="14"/>
                <w:szCs w:val="14"/>
                <w:color w:val="auto"/>
              </w:rPr>
            </w:pPr>
          </w:p>
        </w:tc>
        <w:tc>
          <w:tcPr>
            <w:tcW w:w="56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97"/>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$ 7,367</w:t>
            </w:r>
          </w:p>
        </w:tc>
        <w:tc>
          <w:tcPr>
            <w:tcW w:w="4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$ 1,661</w:t>
            </w:r>
          </w:p>
        </w:tc>
        <w:tc>
          <w:tcPr>
            <w:tcW w:w="24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7,685</w:t>
            </w: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$ 2,731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Severance and related charges</w:t>
            </w:r>
          </w:p>
        </w:tc>
        <w:tc>
          <w:tcPr>
            <w:tcW w:w="560" w:type="dxa"/>
            <w:vAlign w:val="bottom"/>
          </w:tcPr>
          <w:p>
            <w:pPr>
              <w:jc w:val="right"/>
              <w:spacing w:after="0"/>
              <w:rPr>
                <w:sz w:val="20"/>
                <w:szCs w:val="20"/>
                <w:color w:val="auto"/>
              </w:rPr>
            </w:pPr>
            <w:r>
              <w:rPr>
                <w:rFonts w:ascii="Arial" w:cs="Arial" w:eastAsia="Arial" w:hAnsi="Arial"/>
                <w:sz w:val="18"/>
                <w:szCs w:val="18"/>
                <w:color w:val="auto"/>
              </w:rPr>
              <w:t>1,104</w:t>
            </w:r>
          </w:p>
        </w:tc>
        <w:tc>
          <w:tcPr>
            <w:tcW w:w="420" w:type="dxa"/>
            <w:vAlign w:val="bottom"/>
          </w:tcPr>
          <w:p>
            <w:pPr>
              <w:spacing w:after="0"/>
              <w:rPr>
                <w:sz w:val="18"/>
                <w:szCs w:val="18"/>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8,524</w:t>
            </w:r>
          </w:p>
        </w:tc>
        <w:tc>
          <w:tcPr>
            <w:tcW w:w="180" w:type="dxa"/>
            <w:vAlign w:val="bottom"/>
          </w:tcPr>
          <w:p>
            <w:pPr>
              <w:spacing w:after="0"/>
              <w:rPr>
                <w:sz w:val="18"/>
                <w:szCs w:val="18"/>
                <w:color w:val="auto"/>
              </w:rPr>
            </w:pPr>
          </w:p>
        </w:tc>
        <w:tc>
          <w:tcPr>
            <w:tcW w:w="6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1,516</w:t>
            </w:r>
          </w:p>
        </w:tc>
        <w:tc>
          <w:tcPr>
            <w:tcW w:w="4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2,432</w:t>
            </w:r>
          </w:p>
        </w:tc>
        <w:tc>
          <w:tcPr>
            <w:tcW w:w="1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Facilities and related charges</w:t>
            </w:r>
          </w:p>
        </w:tc>
        <w:tc>
          <w:tcPr>
            <w:tcW w:w="560" w:type="dxa"/>
            <w:vAlign w:val="bottom"/>
          </w:tcPr>
          <w:p>
            <w:pPr>
              <w:jc w:val="right"/>
              <w:spacing w:after="0"/>
              <w:rPr>
                <w:sz w:val="20"/>
                <w:szCs w:val="20"/>
                <w:color w:val="auto"/>
              </w:rPr>
            </w:pPr>
            <w:r>
              <w:rPr>
                <w:rFonts w:ascii="Arial" w:cs="Arial" w:eastAsia="Arial" w:hAnsi="Arial"/>
                <w:sz w:val="18"/>
                <w:szCs w:val="18"/>
                <w:color w:val="auto"/>
              </w:rPr>
              <w:t>2,336</w:t>
            </w:r>
          </w:p>
        </w:tc>
        <w:tc>
          <w:tcPr>
            <w:tcW w:w="420" w:type="dxa"/>
            <w:vAlign w:val="bottom"/>
          </w:tcPr>
          <w:p>
            <w:pPr>
              <w:spacing w:after="0"/>
              <w:rPr>
                <w:sz w:val="18"/>
                <w:szCs w:val="18"/>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2,336</w:t>
            </w:r>
          </w:p>
        </w:tc>
        <w:tc>
          <w:tcPr>
            <w:tcW w:w="180" w:type="dxa"/>
            <w:vAlign w:val="bottom"/>
          </w:tcPr>
          <w:p>
            <w:pPr>
              <w:spacing w:after="0"/>
              <w:rPr>
                <w:sz w:val="18"/>
                <w:szCs w:val="18"/>
                <w:color w:val="auto"/>
              </w:rPr>
            </w:pPr>
          </w:p>
        </w:tc>
        <w:tc>
          <w:tcPr>
            <w:tcW w:w="6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Non-cash adjustment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(239)</w:t>
            </w:r>
          </w:p>
        </w:tc>
        <w:tc>
          <w:tcPr>
            <w:tcW w:w="8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(239)</w:t>
            </w:r>
          </w:p>
        </w:tc>
        <w:tc>
          <w:tcPr>
            <w:tcW w:w="1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20" w:type="dxa"/>
            <w:vAlign w:val="bottom"/>
          </w:tcPr>
          <w:p>
            <w:pPr>
              <w:ind w:left="420"/>
              <w:spacing w:after="0"/>
              <w:rPr>
                <w:sz w:val="20"/>
                <w:szCs w:val="20"/>
                <w:color w:val="auto"/>
              </w:rPr>
            </w:pPr>
            <w:r>
              <w:rPr>
                <w:rFonts w:ascii="Arial" w:cs="Arial" w:eastAsia="Arial" w:hAnsi="Arial"/>
                <w:sz w:val="18"/>
                <w:szCs w:val="18"/>
                <w:color w:val="auto"/>
              </w:rPr>
              <w:t>Net cash payments</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(6,850)</w:t>
            </w: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(175)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w w:val="89"/>
              </w:rPr>
              <w:t>(15,504)</w:t>
            </w:r>
          </w:p>
        </w:tc>
        <w:tc>
          <w:tcPr>
            <w:tcW w:w="840" w:type="dxa"/>
            <w:vAlign w:val="bottom"/>
            <w:gridSpan w:val="3"/>
          </w:tcPr>
          <w:p>
            <w:pPr>
              <w:jc w:val="right"/>
              <w:ind w:right="40"/>
              <w:spacing w:after="0"/>
              <w:rPr>
                <w:sz w:val="20"/>
                <w:szCs w:val="20"/>
                <w:color w:val="auto"/>
              </w:rPr>
            </w:pPr>
            <w:r>
              <w:rPr>
                <w:rFonts w:ascii="Arial" w:cs="Arial" w:eastAsia="Arial" w:hAnsi="Arial"/>
                <w:sz w:val="18"/>
                <w:szCs w:val="18"/>
                <w:color w:val="auto"/>
              </w:rPr>
              <w:t>(1,245)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7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$ 5,234</w:t>
            </w:r>
          </w:p>
        </w:tc>
        <w:tc>
          <w:tcPr>
            <w:tcW w:w="4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$ 1,486</w:t>
            </w:r>
          </w:p>
        </w:tc>
        <w:tc>
          <w:tcPr>
            <w:tcW w:w="24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5,234</w:t>
            </w: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$ 1,486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7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913"/>
        <w:spacing w:after="0" w:line="268" w:lineRule="auto"/>
        <w:rPr>
          <w:sz w:val="20"/>
          <w:szCs w:val="20"/>
          <w:color w:val="auto"/>
        </w:rPr>
      </w:pPr>
      <w:r>
        <w:rPr>
          <w:rFonts w:ascii="Arial" w:cs="Arial" w:eastAsia="Arial" w:hAnsi="Arial"/>
          <w:sz w:val="18"/>
          <w:szCs w:val="18"/>
          <w:color w:val="auto"/>
        </w:rPr>
        <w:t>The Company anticipates that $0.2 million will be paid out in cash for severance and related charges during the three months ending October 31, 2009. The remaining facility lease charges included in the restructure liabilities will be paid out through fiscal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Warranty obligations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six months ended August 1, 2009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August 2, 2008 (in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1760" w:type="dxa"/>
            <w:vAlign w:val="bottom"/>
            <w:gridSpan w:val="5"/>
          </w:tcPr>
          <w:p>
            <w:pPr>
              <w:jc w:val="right"/>
              <w:ind w:right="380"/>
              <w:spacing w:after="0"/>
              <w:rPr>
                <w:sz w:val="20"/>
                <w:szCs w:val="20"/>
                <w:color w:val="auto"/>
              </w:rPr>
            </w:pPr>
            <w:r>
              <w:rPr>
                <w:rFonts w:ascii="Arial" w:cs="Arial" w:eastAsia="Arial" w:hAnsi="Arial"/>
                <w:sz w:val="14"/>
                <w:szCs w:val="14"/>
                <w:b w:val="1"/>
                <w:bCs w:val="1"/>
                <w:color w:val="auto"/>
                <w:w w:val="98"/>
              </w:rPr>
              <w:t>Three Months Ended</w:t>
            </w:r>
          </w:p>
        </w:tc>
        <w:tc>
          <w:tcPr>
            <w:tcW w:w="180" w:type="dxa"/>
            <w:vAlign w:val="bottom"/>
          </w:tcPr>
          <w:p>
            <w:pPr>
              <w:spacing w:after="0"/>
              <w:rPr>
                <w:sz w:val="14"/>
                <w:szCs w:val="14"/>
                <w:color w:val="auto"/>
              </w:rPr>
            </w:pPr>
          </w:p>
        </w:tc>
        <w:tc>
          <w:tcPr>
            <w:tcW w:w="164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3680" w:type="dxa"/>
            <w:vAlign w:val="bottom"/>
          </w:tcPr>
          <w:p>
            <w:pPr>
              <w:spacing w:after="0"/>
              <w:rPr>
                <w:sz w:val="11"/>
                <w:szCs w:val="11"/>
                <w:color w:val="auto"/>
              </w:rPr>
            </w:pPr>
          </w:p>
        </w:tc>
        <w:tc>
          <w:tcPr>
            <w:tcW w:w="4160" w:type="dxa"/>
            <w:vAlign w:val="bottom"/>
          </w:tcPr>
          <w:p>
            <w:pPr>
              <w:spacing w:after="0"/>
              <w:rPr>
                <w:sz w:val="11"/>
                <w:szCs w:val="11"/>
                <w:color w:val="auto"/>
              </w:rPr>
            </w:pPr>
          </w:p>
        </w:tc>
        <w:tc>
          <w:tcPr>
            <w:tcW w:w="800" w:type="dxa"/>
            <w:vAlign w:val="bottom"/>
            <w:tcBorders>
              <w:top w:val="single" w:sz="8" w:color="auto"/>
            </w:tcBorders>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Borders>
              <w:top w:val="single" w:sz="8" w:color="auto"/>
            </w:tcBorders>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80" w:type="dxa"/>
            <w:vAlign w:val="bottom"/>
          </w:tcPr>
          <w:p>
            <w:pPr>
              <w:spacing w:after="0"/>
              <w:rPr>
                <w:sz w:val="14"/>
                <w:szCs w:val="14"/>
                <w:color w:val="auto"/>
              </w:rPr>
            </w:pPr>
          </w:p>
        </w:tc>
        <w:tc>
          <w:tcPr>
            <w:tcW w:w="4720" w:type="dxa"/>
            <w:vAlign w:val="bottom"/>
            <w:gridSpan w:val="2"/>
          </w:tcPr>
          <w:p>
            <w:pPr>
              <w:jc w:val="right"/>
              <w:ind w:right="62"/>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4"/>
                <w:szCs w:val="14"/>
                <w:color w:val="auto"/>
              </w:rPr>
            </w:pPr>
          </w:p>
        </w:tc>
        <w:tc>
          <w:tcPr>
            <w:tcW w:w="72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4"/>
                <w:szCs w:val="14"/>
                <w:color w:val="auto"/>
              </w:rPr>
            </w:pPr>
          </w:p>
        </w:tc>
        <w:tc>
          <w:tcPr>
            <w:tcW w:w="7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4"/>
                <w:szCs w:val="14"/>
                <w:color w:val="auto"/>
              </w:rPr>
            </w:pPr>
          </w:p>
        </w:tc>
        <w:tc>
          <w:tcPr>
            <w:tcW w:w="7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Warranty accrual:</w:t>
            </w:r>
          </w:p>
        </w:tc>
        <w:tc>
          <w:tcPr>
            <w:tcW w:w="4160" w:type="dxa"/>
            <w:vAlign w:val="bottom"/>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tcPr>
          <w:p>
            <w:pPr>
              <w:ind w:left="440"/>
              <w:spacing w:after="0"/>
              <w:rPr>
                <w:sz w:val="20"/>
                <w:szCs w:val="20"/>
                <w:color w:val="auto"/>
              </w:rPr>
            </w:pPr>
            <w:r>
              <w:rPr>
                <w:rFonts w:ascii="Arial" w:cs="Arial" w:eastAsia="Arial" w:hAnsi="Arial"/>
                <w:sz w:val="18"/>
                <w:szCs w:val="18"/>
                <w:color w:val="auto"/>
              </w:rPr>
              <w:t>Beginning balance</w:t>
            </w:r>
          </w:p>
        </w:tc>
        <w:tc>
          <w:tcPr>
            <w:tcW w:w="4960" w:type="dxa"/>
            <w:vAlign w:val="bottom"/>
            <w:gridSpan w:val="3"/>
          </w:tcPr>
          <w:p>
            <w:pPr>
              <w:jc w:val="right"/>
              <w:ind w:right="240"/>
              <w:spacing w:after="0"/>
              <w:rPr>
                <w:sz w:val="20"/>
                <w:szCs w:val="20"/>
                <w:color w:val="auto"/>
              </w:rPr>
            </w:pPr>
            <w:r>
              <w:rPr>
                <w:rFonts w:ascii="Arial" w:cs="Arial" w:eastAsia="Arial" w:hAnsi="Arial"/>
                <w:sz w:val="18"/>
                <w:szCs w:val="18"/>
                <w:color w:val="auto"/>
              </w:rPr>
              <w:t>$ 4,205</w:t>
            </w: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$ 2,541</w:t>
            </w: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$ 2,094</w:t>
            </w:r>
          </w:p>
        </w:tc>
        <w:tc>
          <w:tcPr>
            <w:tcW w:w="840" w:type="dxa"/>
            <w:vAlign w:val="bottom"/>
            <w:gridSpan w:val="3"/>
          </w:tcPr>
          <w:p>
            <w:pPr>
              <w:jc w:val="right"/>
              <w:ind w:right="100"/>
              <w:spacing w:after="0"/>
              <w:rPr>
                <w:sz w:val="20"/>
                <w:szCs w:val="20"/>
                <w:color w:val="auto"/>
              </w:rPr>
            </w:pPr>
            <w:r>
              <w:rPr>
                <w:rFonts w:ascii="Arial" w:cs="Arial" w:eastAsia="Arial" w:hAnsi="Arial"/>
                <w:sz w:val="18"/>
                <w:szCs w:val="18"/>
                <w:color w:val="auto"/>
              </w:rPr>
              <w:t>$ 2,532</w:t>
            </w: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Accruals</w:t>
            </w:r>
          </w:p>
        </w:tc>
        <w:tc>
          <w:tcPr>
            <w:tcW w:w="4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445</w:t>
            </w: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308</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2,968</w:t>
            </w: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820</w:t>
            </w:r>
          </w:p>
        </w:tc>
        <w:tc>
          <w:tcPr>
            <w:tcW w:w="0" w:type="dxa"/>
            <w:vAlign w:val="bottom"/>
          </w:tcPr>
          <w:p>
            <w:pPr>
              <w:spacing w:after="0"/>
              <w:rPr>
                <w:sz w:val="1"/>
                <w:szCs w:val="1"/>
                <w:color w:val="auto"/>
              </w:rPr>
            </w:pPr>
          </w:p>
        </w:tc>
      </w:tr>
      <w:tr>
        <w:trPr>
          <w:trHeight w:val="216"/>
        </w:trPr>
        <w:tc>
          <w:tcPr>
            <w:tcW w:w="3680" w:type="dxa"/>
            <w:vAlign w:val="bottom"/>
          </w:tcPr>
          <w:p>
            <w:pPr>
              <w:ind w:left="880"/>
              <w:spacing w:after="0"/>
              <w:rPr>
                <w:sz w:val="20"/>
                <w:szCs w:val="20"/>
                <w:color w:val="auto"/>
              </w:rPr>
            </w:pPr>
            <w:r>
              <w:rPr>
                <w:rFonts w:ascii="Arial" w:cs="Arial" w:eastAsia="Arial" w:hAnsi="Arial"/>
                <w:sz w:val="18"/>
                <w:szCs w:val="18"/>
                <w:color w:val="auto"/>
              </w:rPr>
              <w:t>Settlements</w:t>
            </w:r>
          </w:p>
        </w:tc>
        <w:tc>
          <w:tcPr>
            <w:tcW w:w="416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(1,229)</w:t>
            </w:r>
          </w:p>
        </w:tc>
        <w:tc>
          <w:tcPr>
            <w:tcW w:w="960" w:type="dxa"/>
            <w:vAlign w:val="bottom"/>
            <w:gridSpan w:val="3"/>
          </w:tcPr>
          <w:p>
            <w:pPr>
              <w:jc w:val="right"/>
              <w:ind w:right="180"/>
              <w:spacing w:after="0"/>
              <w:rPr>
                <w:sz w:val="20"/>
                <w:szCs w:val="20"/>
                <w:color w:val="auto"/>
              </w:rPr>
            </w:pPr>
            <w:r>
              <w:rPr>
                <w:rFonts w:ascii="Arial" w:cs="Arial" w:eastAsia="Arial" w:hAnsi="Arial"/>
                <w:sz w:val="18"/>
                <w:szCs w:val="18"/>
                <w:color w:val="auto"/>
              </w:rPr>
              <w:t>(328)</w:t>
            </w:r>
          </w:p>
        </w:tc>
        <w:tc>
          <w:tcPr>
            <w:tcW w:w="980" w:type="dxa"/>
            <w:vAlign w:val="bottom"/>
            <w:gridSpan w:val="3"/>
          </w:tcPr>
          <w:p>
            <w:pPr>
              <w:jc w:val="right"/>
              <w:ind w:right="180"/>
              <w:spacing w:after="0"/>
              <w:rPr>
                <w:sz w:val="20"/>
                <w:szCs w:val="20"/>
                <w:color w:val="auto"/>
              </w:rPr>
            </w:pPr>
            <w:r>
              <w:rPr>
                <w:rFonts w:ascii="Arial" w:cs="Arial" w:eastAsia="Arial" w:hAnsi="Arial"/>
                <w:sz w:val="18"/>
                <w:szCs w:val="18"/>
                <w:color w:val="auto"/>
              </w:rPr>
              <w:t>(1,641)</w:t>
            </w:r>
          </w:p>
        </w:tc>
        <w:tc>
          <w:tcPr>
            <w:tcW w:w="840" w:type="dxa"/>
            <w:vAlign w:val="bottom"/>
            <w:gridSpan w:val="3"/>
          </w:tcPr>
          <w:p>
            <w:pPr>
              <w:jc w:val="right"/>
              <w:ind w:right="40"/>
              <w:spacing w:after="0"/>
              <w:rPr>
                <w:sz w:val="20"/>
                <w:szCs w:val="20"/>
                <w:color w:val="auto"/>
              </w:rPr>
            </w:pPr>
            <w:r>
              <w:rPr>
                <w:rFonts w:ascii="Arial" w:cs="Arial" w:eastAsia="Arial" w:hAnsi="Arial"/>
                <w:sz w:val="18"/>
                <w:szCs w:val="18"/>
                <w:color w:val="auto"/>
              </w:rPr>
              <w:t>(831)</w:t>
            </w:r>
          </w:p>
        </w:tc>
        <w:tc>
          <w:tcPr>
            <w:tcW w:w="0" w:type="dxa"/>
            <w:vAlign w:val="bottom"/>
          </w:tcPr>
          <w:p>
            <w:pPr>
              <w:spacing w:after="0"/>
              <w:rPr>
                <w:sz w:val="1"/>
                <w:szCs w:val="1"/>
                <w:color w:val="auto"/>
              </w:rPr>
            </w:pPr>
          </w:p>
        </w:tc>
      </w:tr>
      <w:tr>
        <w:trPr>
          <w:trHeight w:val="27"/>
        </w:trPr>
        <w:tc>
          <w:tcPr>
            <w:tcW w:w="3680" w:type="dxa"/>
            <w:vAlign w:val="bottom"/>
          </w:tcPr>
          <w:p>
            <w:pPr>
              <w:spacing w:after="0"/>
              <w:rPr>
                <w:sz w:val="2"/>
                <w:szCs w:val="2"/>
                <w:color w:val="auto"/>
              </w:rPr>
            </w:pPr>
          </w:p>
        </w:tc>
        <w:tc>
          <w:tcPr>
            <w:tcW w:w="41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Ending balance</w:t>
            </w:r>
          </w:p>
        </w:tc>
        <w:tc>
          <w:tcPr>
            <w:tcW w:w="41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$ 3,421</w:t>
            </w:r>
          </w:p>
        </w:tc>
        <w:tc>
          <w:tcPr>
            <w:tcW w:w="24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$ 2,521</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$ 3,421</w:t>
            </w: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$ 2,521</w:t>
            </w:r>
          </w:p>
        </w:tc>
        <w:tc>
          <w:tcPr>
            <w:tcW w:w="0" w:type="dxa"/>
            <w:vAlign w:val="bottom"/>
          </w:tcPr>
          <w:p>
            <w:pPr>
              <w:spacing w:after="0"/>
              <w:rPr>
                <w:sz w:val="1"/>
                <w:szCs w:val="1"/>
                <w:color w:val="auto"/>
              </w:rPr>
            </w:pPr>
          </w:p>
        </w:tc>
      </w:tr>
      <w:tr>
        <w:trPr>
          <w:trHeight w:val="20"/>
        </w:trPr>
        <w:tc>
          <w:tcPr>
            <w:tcW w:w="3680" w:type="dxa"/>
            <w:vAlign w:val="bottom"/>
          </w:tcPr>
          <w:p>
            <w:pPr>
              <w:spacing w:after="0" w:line="20" w:lineRule="exact"/>
              <w:rPr>
                <w:sz w:val="1"/>
                <w:szCs w:val="1"/>
                <w:color w:val="auto"/>
              </w:rPr>
            </w:pPr>
          </w:p>
        </w:tc>
        <w:tc>
          <w:tcPr>
            <w:tcW w:w="4160" w:type="dxa"/>
            <w:vAlign w:val="bottom"/>
            <w:vMerge w:val="restart"/>
          </w:tcPr>
          <w:p>
            <w:pPr>
              <w:jc w:val="right"/>
              <w:ind w:right="1957"/>
              <w:spacing w:after="0"/>
              <w:rPr>
                <w:sz w:val="20"/>
                <w:szCs w:val="20"/>
                <w:color w:val="auto"/>
              </w:rPr>
            </w:pPr>
            <w:r>
              <w:rPr>
                <w:rFonts w:ascii="Arial" w:cs="Arial" w:eastAsia="Arial" w:hAnsi="Arial"/>
                <w:sz w:val="18"/>
                <w:szCs w:val="18"/>
                <w:color w:val="auto"/>
              </w:rPr>
              <w:t>18</w:t>
            </w:r>
          </w:p>
        </w:tc>
        <w:tc>
          <w:tcPr>
            <w:tcW w:w="5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680" w:type="dxa"/>
            <w:vAlign w:val="bottom"/>
          </w:tcPr>
          <w:p>
            <w:pPr>
              <w:spacing w:after="0"/>
              <w:rPr>
                <w:sz w:val="24"/>
                <w:szCs w:val="24"/>
                <w:color w:val="auto"/>
              </w:rPr>
            </w:pPr>
          </w:p>
        </w:tc>
        <w:tc>
          <w:tcPr>
            <w:tcW w:w="4160" w:type="dxa"/>
            <w:vAlign w:val="bottom"/>
            <w:vMerge w:val="continue"/>
          </w:tcPr>
          <w:p>
            <w:pPr>
              <w:spacing w:after="0"/>
              <w:rPr>
                <w:sz w:val="24"/>
                <w:szCs w:val="24"/>
                <w:color w:val="auto"/>
              </w:rPr>
            </w:pPr>
          </w:p>
        </w:tc>
        <w:tc>
          <w:tcPr>
            <w:tcW w:w="5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Intellectual property indemnification</w:t>
      </w:r>
    </w:p>
    <w:p>
      <w:pPr>
        <w:spacing w:after="0" w:line="9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including paying for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However, the maximum potential amount of any future payments that the Company could be required to make under these indemnification obligations could be significant.</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Purchase commitments</w:t>
      </w:r>
    </w:p>
    <w:p>
      <w:pPr>
        <w:spacing w:after="0" w:line="9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extends the term of the agreement and the agreed upon pricing terms until December 31, 2015. As of August 1, 2009, payments totaling $174.2 million (included in prepaid expenses and other current assets and other non-current assets) have been made and approximately $158.6 million of the prepayment has been utilized as of August 1, 2009. At August 1, 2009, there were no outstanding commitments under the agreement.</w:t>
      </w:r>
    </w:p>
    <w:p>
      <w:pPr>
        <w:spacing w:after="0" w:line="14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Under the Company’s manufacturing relationships with foundries, cancellation of all outstanding purchase orders are allowed but require repayment of all expenses incurred through the date of cancellation. As of August 1, 2009, the amount of open purchase orders to these foundries was approximately $187.8 million.</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August 1, 2009, the Company had approximately $16.1 million of other outstanding non-cancelable purchase orders for capital purchase obligations.</w:t>
      </w:r>
    </w:p>
    <w:p>
      <w:pPr>
        <w:spacing w:after="0" w:line="26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Contingencies</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parties have reached a global settlement of the litigation and have so advised the Court. Under the settlement, which remains subject to Court approval, the insurers would pay the full amount of settlement share allocated to the Company, and the Company would bear no financial liability. The Company, as well as the officer and director defendants who were previously dismissed from the action pursuant to tolling agreements, would receive complete dismissals from the case. Plaintiffs filed the fully-executed settlement papers and their motion for preliminary settlement approval with the Court on April 2, 2009. On June 9, 2009, the Court granted preliminary approval of the settlement. It is uncertain whether the settlement will receive final Court approval.</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120"/>
        <w:spacing w:after="0" w:line="288"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The appellees’ answering brief is due on October 2, 2009, and plaintiff’s reply brief is due on November 2, 2009. The Ninth Circuit Court of Appeals has not set a hearing date. No discovery has taken place.</w:t>
      </w:r>
    </w:p>
    <w:p>
      <w:pPr>
        <w:spacing w:after="0" w:line="12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with prejudice, for lack of standing. The Court also entered a 60-day stay of the cross claims to allow Jasmine to seek appellate review, which is ongoing.</w:t>
      </w:r>
    </w:p>
    <w:p>
      <w:pPr>
        <w:spacing w:after="0" w:line="120"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As of January 2007, Australia’s Commonwealth Scientific and Industrial Research Organisation (“CSIRO”) was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indemnification from the Company. In response to these demands for indemnification, the Company has acknowledged certain of the demands and incurred costs in response to them.</w:t>
      </w:r>
    </w:p>
    <w:p>
      <w:pPr>
        <w:spacing w:after="0" w:line="14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and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1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On May 22, 2008, the Company’s Subsidiaries filed a motion for summary judgment seeking to invalidate the ‘069 Patent on indefiniteness grounds. The motion was denied on August 14, 2008. The claim construction hearing was held on June 26, 2008 and the claim construction order was issued on August 14, 2008. The trial for the Marvell CSIRO Litigation is scheduled to commence on May 10, 2010. The Company’s Subsidiaries believe that they do not infringe any valid and enforceable claims of the ‘069 Patent and intend to litigate this action vigorously.</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June 22,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named the Company as a nominal defendant and a number of the Company’s current and former directors and officers as defendants. Each lawsuit sought to recover damages purportedly sustained by the Company in connection with its option granting processes, and sought certain corporate governance and internal control changes. Pursuant to orders of the court dated August 17, 2006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or about March 5, 2008, the parties entered into a memorandum of understanding to resolve the lawsuit, and, on March 20, 2009, the parties submitted formal settlement documentation to the Court seeking preliminary and thereafter final approval of the settlement. The terms of the settlement included certain corporate governance enhancements and an agreement by the Company to pay up to $16 million in plaintiffs’ attorneys’ fees. The Company accrued the $16 million settlement amount in the fourth quarter of fiscal 2008. On March 20, 2009, the parties submitted formal settlement documentation to the Court seeking preliminary and thereafter final approval for the settlement. After a hearing held on May 8, 2009, the Court granted preliminary approval of the settlement by written order on May 21, 2009. The hearing for the final court approval was held on July 17, 2009, and the Court granted final approval of the settlement by written order on August 12, 2009, and the settlement amount was paid shortly thereafter.</w:t>
      </w:r>
    </w:p>
    <w:p>
      <w:pPr>
        <w:spacing w:after="0" w:line="124"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current and former officers and directors. The complaints allege that the Company and certain of its current and former officers and directors violated the federal securities laws by making false and misleading statements and omissions relating to the grants of stock options. On February 2, 2007, these four putative class actions were consolidated as a single action entitled </w:t>
      </w:r>
      <w:r>
        <w:rPr>
          <w:rFonts w:ascii="Arial" w:cs="Arial" w:eastAsia="Arial" w:hAnsi="Arial"/>
          <w:sz w:val="16"/>
          <w:szCs w:val="16"/>
          <w:i w:val="1"/>
          <w:iCs w:val="1"/>
          <w:color w:val="auto"/>
        </w:rPr>
        <w:t>In re Marvell</w:t>
      </w:r>
      <w:r>
        <w:rPr>
          <w:rFonts w:ascii="Arial" w:cs="Arial" w:eastAsia="Arial" w:hAnsi="Arial"/>
          <w:sz w:val="16"/>
          <w:szCs w:val="16"/>
          <w:color w:val="auto"/>
        </w:rPr>
        <w:t xml:space="preserve"> </w:t>
      </w:r>
      <w:r>
        <w:rPr>
          <w:rFonts w:ascii="Arial" w:cs="Arial" w:eastAsia="Arial" w:hAnsi="Arial"/>
          <w:sz w:val="16"/>
          <w:szCs w:val="16"/>
          <w:i w:val="1"/>
          <w:iCs w:val="1"/>
          <w:color w:val="auto"/>
        </w:rPr>
        <w:t>Technology Group Ltd. Securities Litigation</w:t>
      </w:r>
      <w:r>
        <w:rPr>
          <w:rFonts w:ascii="Arial" w:cs="Arial" w:eastAsia="Arial" w:hAnsi="Arial"/>
          <w:sz w:val="16"/>
          <w:szCs w:val="16"/>
          <w:color w:val="auto"/>
        </w:rPr>
        <w:t>. On August 16, 2007, plaintiffs filed a consolidated class action complaint. The consolidated complaint seeks, on</w:t>
      </w:r>
      <w:r>
        <w:rPr>
          <w:rFonts w:ascii="Arial" w:cs="Arial" w:eastAsia="Arial" w:hAnsi="Arial"/>
          <w:sz w:val="16"/>
          <w:szCs w:val="16"/>
          <w:i w:val="1"/>
          <w:iCs w:val="1"/>
          <w:color w:val="auto"/>
        </w:rPr>
        <w:t xml:space="preserve"> </w:t>
      </w:r>
      <w:r>
        <w:rPr>
          <w:rFonts w:ascii="Arial" w:cs="Arial" w:eastAsia="Arial" w:hAnsi="Arial"/>
          <w:sz w:val="16"/>
          <w:szCs w:val="16"/>
          <w:color w:val="auto"/>
        </w:rPr>
        <w:t>behalf of persons who purchase the Company’s common shares during the period from February 27, 2003 to October 2, 2006, inclusive,</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unspecified damages, interest, costs and expenses, including attorneys’ fees and disbursements. The Company filed its answer to the complaint on January 12, 2009. On June 9, 2009, the parties entered into a stipulation of settlement to resolve the lawsuit. The settlement provides for a payment by the Company to the class of $72 million. On July 31, 2009, the Court granted preliminary approval of the proposed settlement. The hearing at which the Court will consider whether to grant final approval of the settlement is scheduled for November 6, 2009. The Company accrued $72 million in the first quarter of fiscal 2010 and paid the amount into escrow in August 2009.</w:t>
      </w:r>
    </w:p>
    <w:p>
      <w:pPr>
        <w:spacing w:after="0" w:line="143"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five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and one Canadian patent allegedly owned by Wi-LAN. On October 31, 2007, Wi-LAN sued two groups of system and chip manufacturers in the United States District Court for the Eastern District of Texas, in both cases naming MSI as a defendant and alleging patent infringement. The complaints seek unspecified damages and an injunction. In the first case, Wi-LAN alleges that defendants infringe two patents that allegedly relate to the 802.11 wireless standards.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18"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On September 10, 2008, the Court granted the defendant’s motion to consolidate both actions but denied as premature having the defendant suppliers’ case proceed first. On December 12, 2008, Wi-LAN filed a motion for leave to file a supplemental first amended complaint to add a fourth patent, U.S. Pat. No. 6,549,759 (the “759 Patent”). Defendants opposed this motion on January 23, 2009. The Court issued an order on February 3, 2009, granting Wi-LAN’s motion to add the ‘759 Patent. The Claim Construction Hearing is scheduled for September 1, 2010, and the trial is set to begin on January 4, 2011. MSI believes it does not infringe any valid and enforceable claims of the asserted Wi-LAN patents and will vigorously defend itself in these matters.</w:t>
      </w:r>
    </w:p>
    <w:p>
      <w:pPr>
        <w:spacing w:after="0" w:line="147" w:lineRule="exact"/>
        <w:rPr>
          <w:sz w:val="20"/>
          <w:szCs w:val="20"/>
          <w:color w:val="auto"/>
        </w:rPr>
      </w:pPr>
    </w:p>
    <w:p>
      <w:pPr>
        <w:ind w:right="480" w:firstLine="438"/>
        <w:spacing w:after="0" w:line="254"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MSI also asked in the alternative that the Court find the patents invalid. Wi-LAN has filed a motion to dismiss, and the Company filed its opposition to that motion on June 9, 2008. On June 19, 2008, Marvell settled this declaratory judgment action. This settlement does not affect or in any way involve the ongoing litigations brought by Wi-LAN in the Eastern District of Texas.</w:t>
      </w:r>
    </w:p>
    <w:p>
      <w:pPr>
        <w:spacing w:after="0" w:line="14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December 10, 2008, MSI and MAPL filed a complaint against Wi-LAN in the United States District Court for the Northern District of California asking the Court to find that MSI and MAPL do not infringe the ‘759 Patent that Wi-LAN asserted against the Company’s products. The ‘759 Patent allegedly relates to products compliant with IEEE 802.11, 802.16 and/or Bluetooth standards. MSI and MAPL also asked, in the alternative, that the Court find the patents are invalid and unenforceable. On January 15, 2009, Wi-LAN filed a motion to dismiss a related complaint by Intel Corporation for lack of personal jurisdiction, subject matter jurisdiction and improper venue and to transfer to first filed forum (E.D. of Texas). On May 4, 2009, the Court held a hearing on Wi-LAN’s motion. On June 4, 2009, the Court denied the motion to dismiss and granted in-part Wi-LAN’s request to transfer the Intel action, ordering that the part of the action relating to the “759 Patent be transferred to the Eastern District of Texas.</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Carnegie Mellon University (“CMU”) filed a complaint in the United States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Court has scheduled a claim construction hearing for April 12, 2010. The Court has not yet scheduled a trial date. MSI and the Company believe that they do not infringe any valid and enforceable claims of the asserted CMU patents and intend to contest this action vigorously. Because this action is in the early stages, the Company is unable to predict the outcome of this litigation at this time.</w:t>
      </w:r>
    </w:p>
    <w:p>
      <w:pPr>
        <w:spacing w:after="0" w:line="14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color w:val="auto"/>
        </w:rPr>
        <w:t>Company were dismissed without prejudice. MSI believes that it does not infringe any valid and enforceable claims of the asserted PACid patents and intends to contest this action vigorously. Because this action is in the early stages, the Company is unable to predict the outcome of this litigation at this time.</w:t>
      </w:r>
    </w:p>
    <w:p>
      <w:pPr>
        <w:spacing w:after="0" w:line="8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i w:val="1"/>
          <w:iCs w:val="1"/>
          <w:color w:val="auto"/>
        </w:rPr>
        <w:t>Xpoint Patent Litigation</w:t>
      </w:r>
      <w:r>
        <w:rPr>
          <w:rFonts w:ascii="Arial" w:cs="Arial" w:eastAsia="Arial" w:hAnsi="Arial"/>
          <w:sz w:val="16"/>
          <w:szCs w:val="16"/>
          <w:color w:val="auto"/>
        </w:rPr>
        <w:t>. On August 21, 2009, Xpoint Technologies, Inc. filed a complaint in the United States District of Delaware, which names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MSI and thirty-six other companies as defendants. The complaint alleged infringement of U.S. Patent No. 5,913,028 which purportedly relates to data traffic delivery. The complaint seeks unspecified damages and an injunction. MSI and the Company intend to contest this action vigorously. Because this action is in the very early stages, the Company is unable to predict the outcome of this litigation at this time.</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Company adopted SFAS No. 123 (revised 2004), “Share Based Payment” (“SFAS 123R”) in its fiscal year beginning January 29, 2006. SFAS 123R requires the measurement and recognition of compensation expense for all share-based awards to employees and directors, including employee stock options, restricted stock units and employee stock purchase rights based on estimated fair values.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40" w:type="dxa"/>
            <w:vAlign w:val="bottom"/>
          </w:tcPr>
          <w:p>
            <w:pPr>
              <w:spacing w:after="0"/>
              <w:rPr>
                <w:sz w:val="14"/>
                <w:szCs w:val="14"/>
                <w:color w:val="auto"/>
              </w:rPr>
            </w:pPr>
          </w:p>
        </w:tc>
        <w:tc>
          <w:tcPr>
            <w:tcW w:w="1380" w:type="dxa"/>
            <w:vAlign w:val="bottom"/>
            <w:gridSpan w:val="5"/>
          </w:tcPr>
          <w:p>
            <w:pPr>
              <w:jc w:val="right"/>
              <w:spacing w:after="0"/>
              <w:rPr>
                <w:sz w:val="20"/>
                <w:szCs w:val="20"/>
                <w:color w:val="auto"/>
              </w:rPr>
            </w:pPr>
            <w:r>
              <w:rPr>
                <w:rFonts w:ascii="Arial" w:cs="Arial" w:eastAsia="Arial" w:hAnsi="Arial"/>
                <w:sz w:val="14"/>
                <w:szCs w:val="14"/>
                <w:b w:val="1"/>
                <w:bCs w:val="1"/>
                <w:color w:val="auto"/>
                <w:w w:val="92"/>
              </w:rPr>
              <w:t>Three Months Ended</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5"/>
          </w:tcPr>
          <w:p>
            <w:pPr>
              <w:jc w:val="right"/>
              <w:ind w:right="180"/>
              <w:spacing w:after="0"/>
              <w:rPr>
                <w:sz w:val="20"/>
                <w:szCs w:val="20"/>
                <w:color w:val="auto"/>
              </w:rPr>
            </w:pPr>
            <w:r>
              <w:rPr>
                <w:rFonts w:ascii="Arial" w:cs="Arial" w:eastAsia="Arial" w:hAnsi="Arial"/>
                <w:sz w:val="14"/>
                <w:szCs w:val="14"/>
                <w:b w:val="1"/>
                <w:bCs w:val="1"/>
                <w:color w:val="auto"/>
                <w:w w:val="92"/>
              </w:rPr>
              <w:t>Six Months Ended</w:t>
            </w:r>
          </w:p>
        </w:tc>
      </w:tr>
      <w:tr>
        <w:trPr>
          <w:trHeight w:val="129"/>
        </w:trPr>
        <w:tc>
          <w:tcPr>
            <w:tcW w:w="8440" w:type="dxa"/>
            <w:vAlign w:val="bottom"/>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August 2,</w:t>
            </w:r>
          </w:p>
        </w:tc>
        <w:tc>
          <w:tcPr>
            <w:tcW w:w="200" w:type="dxa"/>
            <w:vAlign w:val="bottom"/>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2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August 2,</w:t>
            </w:r>
          </w:p>
        </w:tc>
        <w:tc>
          <w:tcPr>
            <w:tcW w:w="20" w:type="dxa"/>
            <w:vAlign w:val="bottom"/>
          </w:tcPr>
          <w:p>
            <w:pPr>
              <w:spacing w:after="0"/>
              <w:rPr>
                <w:sz w:val="11"/>
                <w:szCs w:val="11"/>
                <w:color w:val="auto"/>
              </w:rPr>
            </w:pPr>
          </w:p>
        </w:tc>
      </w:tr>
      <w:tr>
        <w:trPr>
          <w:trHeight w:val="161"/>
        </w:trPr>
        <w:tc>
          <w:tcPr>
            <w:tcW w:w="8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r>
      <w:tr>
        <w:trPr>
          <w:trHeight w:val="210"/>
        </w:trPr>
        <w:tc>
          <w:tcPr>
            <w:tcW w:w="8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1,810</w:t>
            </w:r>
          </w:p>
        </w:tc>
        <w:tc>
          <w:tcPr>
            <w:tcW w:w="300" w:type="dxa"/>
            <w:vAlign w:val="bottom"/>
            <w:gridSpan w:val="2"/>
            <w:shd w:val="clear" w:color="auto" w:fill="CCEEFF"/>
          </w:tcPr>
          <w:p>
            <w:pPr>
              <w:ind w:left="220"/>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3,755</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6,828</w:t>
            </w:r>
          </w:p>
        </w:tc>
        <w:tc>
          <w:tcPr>
            <w:tcW w:w="20" w:type="dxa"/>
            <w:vAlign w:val="bottom"/>
          </w:tcPr>
          <w:p>
            <w:pPr>
              <w:spacing w:after="0"/>
              <w:rPr>
                <w:sz w:val="18"/>
                <w:szCs w:val="18"/>
                <w:color w:val="auto"/>
              </w:rPr>
            </w:pPr>
          </w:p>
        </w:tc>
      </w:tr>
      <w:tr>
        <w:trPr>
          <w:trHeight w:val="216"/>
        </w:trPr>
        <w:tc>
          <w:tcPr>
            <w:tcW w:w="8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22,193</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32,998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43,930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62,930</w:t>
            </w:r>
          </w:p>
        </w:tc>
        <w:tc>
          <w:tcPr>
            <w:tcW w:w="20" w:type="dxa"/>
            <w:vAlign w:val="bottom"/>
          </w:tcPr>
          <w:p>
            <w:pPr>
              <w:spacing w:after="0"/>
              <w:rPr>
                <w:sz w:val="18"/>
                <w:szCs w:val="18"/>
                <w:color w:val="auto"/>
              </w:rPr>
            </w:pPr>
          </w:p>
        </w:tc>
      </w:tr>
      <w:tr>
        <w:trPr>
          <w:trHeight w:val="216"/>
        </w:trPr>
        <w:tc>
          <w:tcPr>
            <w:tcW w:w="8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3,659</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6,159</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7,370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13,507</w:t>
            </w:r>
          </w:p>
        </w:tc>
        <w:tc>
          <w:tcPr>
            <w:tcW w:w="20" w:type="dxa"/>
            <w:vAlign w:val="bottom"/>
          </w:tcPr>
          <w:p>
            <w:pPr>
              <w:spacing w:after="0"/>
              <w:rPr>
                <w:sz w:val="18"/>
                <w:szCs w:val="18"/>
                <w:color w:val="auto"/>
              </w:rPr>
            </w:pPr>
          </w:p>
        </w:tc>
      </w:tr>
      <w:tr>
        <w:trPr>
          <w:trHeight w:val="223"/>
        </w:trPr>
        <w:tc>
          <w:tcPr>
            <w:tcW w:w="8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2,353</w:t>
            </w: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4,715</w:t>
            </w: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4,437</w:t>
            </w: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9,588</w:t>
            </w:r>
          </w:p>
        </w:tc>
        <w:tc>
          <w:tcPr>
            <w:tcW w:w="20" w:type="dxa"/>
            <w:vAlign w:val="bottom"/>
          </w:tcPr>
          <w:p>
            <w:pPr>
              <w:spacing w:after="0"/>
              <w:rPr>
                <w:sz w:val="19"/>
                <w:szCs w:val="19"/>
                <w:color w:val="auto"/>
              </w:rPr>
            </w:pPr>
          </w:p>
        </w:tc>
      </w:tr>
      <w:tr>
        <w:trPr>
          <w:trHeight w:val="216"/>
        </w:trPr>
        <w:tc>
          <w:tcPr>
            <w:tcW w:w="8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30,015</w:t>
            </w:r>
          </w:p>
        </w:tc>
        <w:tc>
          <w:tcPr>
            <w:tcW w:w="300" w:type="dxa"/>
            <w:vAlign w:val="bottom"/>
            <w:gridSpan w:val="2"/>
            <w:shd w:val="clear" w:color="auto" w:fill="CCEEFF"/>
          </w:tcPr>
          <w:p>
            <w:pPr>
              <w:ind w:left="220"/>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47,627</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61,663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92,853</w:t>
            </w:r>
          </w:p>
        </w:tc>
        <w:tc>
          <w:tcPr>
            <w:tcW w:w="20" w:type="dxa"/>
            <w:vAlign w:val="bottom"/>
          </w:tcPr>
          <w:p>
            <w:pPr>
              <w:spacing w:after="0"/>
              <w:rPr>
                <w:sz w:val="18"/>
                <w:szCs w:val="18"/>
                <w:color w:val="auto"/>
              </w:rPr>
            </w:pPr>
          </w:p>
        </w:tc>
      </w:tr>
      <w:tr>
        <w:trPr>
          <w:trHeight w:val="20"/>
        </w:trPr>
        <w:tc>
          <w:tcPr>
            <w:tcW w:w="8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Stock-based compensation of $1.8 million and $3.6 million was capitalized in inventory as of August 1, 2009 and January 31, 2009, respectively.</w:t>
      </w:r>
    </w:p>
    <w:p>
      <w:pPr>
        <w:spacing w:after="0" w:line="194"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2260" w:type="dxa"/>
            <w:vAlign w:val="bottom"/>
            <w:gridSpan w:val="4"/>
          </w:tcPr>
          <w:p>
            <w:pPr>
              <w:jc w:val="right"/>
              <w:ind w:right="800"/>
              <w:spacing w:after="0"/>
              <w:rPr>
                <w:sz w:val="20"/>
                <w:szCs w:val="20"/>
                <w:color w:val="auto"/>
              </w:rPr>
            </w:pPr>
            <w:r>
              <w:rPr>
                <w:rFonts w:ascii="Arial" w:cs="Arial" w:eastAsia="Arial" w:hAnsi="Arial"/>
                <w:sz w:val="14"/>
                <w:szCs w:val="14"/>
                <w:b w:val="1"/>
                <w:bCs w:val="1"/>
                <w:color w:val="auto"/>
              </w:rPr>
              <w:t>Stock Option Plans</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0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w w:val="88"/>
              </w:rPr>
              <w:t>Employee Stock Purchase Plan</w:t>
            </w:r>
          </w:p>
        </w:tc>
      </w:tr>
      <w:tr>
        <w:trPr>
          <w:trHeight w:val="142"/>
        </w:trPr>
        <w:tc>
          <w:tcPr>
            <w:tcW w:w="380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1820" w:type="dxa"/>
            <w:vAlign w:val="bottom"/>
            <w:tcBorders>
              <w:top w:val="single" w:sz="8" w:color="auto"/>
              <w:bottom w:val="single" w:sz="8" w:color="auto"/>
            </w:tcBorders>
            <w:gridSpan w:val="3"/>
          </w:tcPr>
          <w:p>
            <w:pPr>
              <w:jc w:val="right"/>
              <w:ind w:right="218"/>
              <w:spacing w:after="0" w:line="142" w:lineRule="exact"/>
              <w:rPr>
                <w:sz w:val="20"/>
                <w:szCs w:val="20"/>
                <w:color w:val="auto"/>
              </w:rPr>
            </w:pPr>
            <w:r>
              <w:rPr>
                <w:rFonts w:ascii="Arial" w:cs="Arial" w:eastAsia="Arial" w:hAnsi="Arial"/>
                <w:sz w:val="14"/>
                <w:szCs w:val="14"/>
                <w:b w:val="1"/>
                <w:bCs w:val="1"/>
                <w:color w:val="auto"/>
              </w:rPr>
              <w:t>Three Months Ended</w:t>
            </w: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2100" w:type="dxa"/>
            <w:vAlign w:val="bottom"/>
            <w:tcBorders>
              <w:top w:val="single" w:sz="8" w:color="auto"/>
              <w:bottom w:val="single" w:sz="8" w:color="auto"/>
            </w:tcBorders>
            <w:gridSpan w:val="5"/>
          </w:tcPr>
          <w:p>
            <w:pPr>
              <w:jc w:val="right"/>
              <w:ind w:right="438"/>
              <w:spacing w:after="0" w:line="142" w:lineRule="exact"/>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2"/>
                <w:szCs w:val="12"/>
                <w:color w:val="auto"/>
              </w:rPr>
            </w:pPr>
          </w:p>
        </w:tc>
      </w:tr>
      <w:tr>
        <w:trPr>
          <w:trHeight w:val="129"/>
        </w:trPr>
        <w:tc>
          <w:tcPr>
            <w:tcW w:w="380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280" w:type="dxa"/>
            <w:vAlign w:val="bottom"/>
            <w:gridSpan w:val="2"/>
          </w:tcPr>
          <w:p>
            <w:pPr>
              <w:jc w:val="right"/>
              <w:ind w:right="720"/>
              <w:spacing w:after="0" w:line="129" w:lineRule="exact"/>
              <w:rPr>
                <w:sz w:val="20"/>
                <w:szCs w:val="20"/>
                <w:color w:val="auto"/>
              </w:rPr>
            </w:pPr>
            <w:r>
              <w:rPr>
                <w:rFonts w:ascii="Arial" w:cs="Arial" w:eastAsia="Arial" w:hAnsi="Arial"/>
                <w:sz w:val="14"/>
                <w:szCs w:val="14"/>
                <w:b w:val="1"/>
                <w:bCs w:val="1"/>
                <w:color w:val="auto"/>
                <w:w w:val="84"/>
              </w:rPr>
              <w:t>August 1,</w:t>
            </w:r>
          </w:p>
        </w:tc>
        <w:tc>
          <w:tcPr>
            <w:tcW w:w="5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4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80" w:type="dxa"/>
            <w:vAlign w:val="bottom"/>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7"/>
              </w:rPr>
              <w:t>August 1,</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jc w:val="right"/>
              <w:ind w:right="18"/>
              <w:spacing w:after="0" w:line="129" w:lineRule="exact"/>
              <w:rPr>
                <w:sz w:val="20"/>
                <w:szCs w:val="20"/>
                <w:color w:val="auto"/>
              </w:rPr>
            </w:pPr>
            <w:r>
              <w:rPr>
                <w:rFonts w:ascii="Arial" w:cs="Arial" w:eastAsia="Arial" w:hAnsi="Arial"/>
                <w:sz w:val="14"/>
                <w:szCs w:val="14"/>
                <w:b w:val="1"/>
                <w:bCs w:val="1"/>
                <w:color w:val="auto"/>
                <w:w w:val="84"/>
              </w:rPr>
              <w:t>August 2,</w:t>
            </w:r>
          </w:p>
        </w:tc>
        <w:tc>
          <w:tcPr>
            <w:tcW w:w="200" w:type="dxa"/>
            <w:vAlign w:val="bottom"/>
          </w:tcPr>
          <w:p>
            <w:pPr>
              <w:spacing w:after="0"/>
              <w:rPr>
                <w:sz w:val="11"/>
                <w:szCs w:val="11"/>
                <w:color w:val="auto"/>
              </w:rPr>
            </w:pPr>
          </w:p>
        </w:tc>
      </w:tr>
      <w:tr>
        <w:trPr>
          <w:trHeight w:val="161"/>
        </w:trPr>
        <w:tc>
          <w:tcPr>
            <w:tcW w:w="380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5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rPr>
              <w:t>2009</w:t>
            </w:r>
          </w:p>
        </w:tc>
        <w:tc>
          <w:tcPr>
            <w:tcW w:w="720" w:type="dxa"/>
            <w:vAlign w:val="bottom"/>
          </w:tcPr>
          <w:p>
            <w:pPr>
              <w:spacing w:after="0"/>
              <w:rPr>
                <w:sz w:val="14"/>
                <w:szCs w:val="14"/>
                <w:color w:val="auto"/>
              </w:rPr>
            </w:pPr>
          </w:p>
        </w:tc>
        <w:tc>
          <w:tcPr>
            <w:tcW w:w="54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2008</w:t>
            </w: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r>
      <w:tr>
        <w:trPr>
          <w:trHeight w:val="210"/>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39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53%</w:t>
            </w: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3900" w:type="dxa"/>
            <w:vAlign w:val="bottom"/>
            <w:gridSpan w:val="3"/>
          </w:tcPr>
          <w:p>
            <w:pPr>
              <w:jc w:val="right"/>
              <w:ind w:right="720"/>
              <w:spacing w:after="0"/>
              <w:rPr>
                <w:sz w:val="20"/>
                <w:szCs w:val="20"/>
                <w:color w:val="auto"/>
              </w:rPr>
            </w:pPr>
            <w:r>
              <w:rPr>
                <w:rFonts w:ascii="Arial" w:cs="Arial" w:eastAsia="Arial" w:hAnsi="Arial"/>
                <w:sz w:val="18"/>
                <w:szCs w:val="18"/>
                <w:color w:val="auto"/>
              </w:rPr>
              <w:t>4.6</w:t>
            </w:r>
          </w:p>
        </w:tc>
        <w:tc>
          <w:tcPr>
            <w:tcW w:w="540" w:type="dxa"/>
            <w:vAlign w:val="bottom"/>
          </w:tcPr>
          <w:p>
            <w:pPr>
              <w:jc w:val="right"/>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1.3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1.3</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9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1.9%</w:t>
            </w: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Dividend yield</w:t>
            </w:r>
          </w:p>
        </w:tc>
        <w:tc>
          <w:tcPr>
            <w:tcW w:w="2620" w:type="dxa"/>
            <w:vAlign w:val="bottom"/>
          </w:tcPr>
          <w:p>
            <w:pPr>
              <w:spacing w:after="0"/>
              <w:rPr>
                <w:sz w:val="18"/>
                <w:szCs w:val="18"/>
                <w:color w:val="auto"/>
              </w:rPr>
            </w:pPr>
          </w:p>
        </w:tc>
        <w:tc>
          <w:tcPr>
            <w:tcW w:w="1280" w:type="dxa"/>
            <w:vAlign w:val="bottom"/>
            <w:gridSpan w:val="2"/>
          </w:tcPr>
          <w:p>
            <w:pPr>
              <w:jc w:val="right"/>
              <w:ind w:right="8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390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  5.69</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7.01</w:t>
            </w:r>
          </w:p>
        </w:tc>
        <w:tc>
          <w:tcPr>
            <w:tcW w:w="4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4.14</w:t>
            </w: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6.05</w:t>
            </w:r>
          </w:p>
        </w:tc>
      </w:tr>
      <w:tr>
        <w:trPr>
          <w:trHeight w:val="363"/>
        </w:trPr>
        <w:tc>
          <w:tcPr>
            <w:tcW w:w="3800" w:type="dxa"/>
            <w:vAlign w:val="bottom"/>
          </w:tcPr>
          <w:p>
            <w:pPr>
              <w:spacing w:after="0"/>
              <w:rPr>
                <w:sz w:val="24"/>
                <w:szCs w:val="24"/>
                <w:color w:val="auto"/>
              </w:rPr>
            </w:pPr>
          </w:p>
        </w:tc>
        <w:tc>
          <w:tcPr>
            <w:tcW w:w="2620" w:type="dxa"/>
            <w:vAlign w:val="bottom"/>
          </w:tcPr>
          <w:p>
            <w:pPr>
              <w:jc w:val="right"/>
              <w:ind w:right="532"/>
              <w:spacing w:after="0"/>
              <w:rPr>
                <w:sz w:val="20"/>
                <w:szCs w:val="20"/>
                <w:color w:val="auto"/>
              </w:rPr>
            </w:pPr>
            <w:r>
              <w:rPr>
                <w:rFonts w:ascii="Arial" w:cs="Arial" w:eastAsia="Arial" w:hAnsi="Arial"/>
                <w:sz w:val="18"/>
                <w:szCs w:val="18"/>
                <w:color w:val="auto"/>
              </w:rPr>
              <w:t>23</w:t>
            </w: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2260" w:type="dxa"/>
            <w:vAlign w:val="bottom"/>
            <w:gridSpan w:val="4"/>
          </w:tcPr>
          <w:p>
            <w:pPr>
              <w:jc w:val="right"/>
              <w:ind w:right="800"/>
              <w:spacing w:after="0"/>
              <w:rPr>
                <w:sz w:val="20"/>
                <w:szCs w:val="20"/>
                <w:color w:val="auto"/>
              </w:rPr>
            </w:pPr>
            <w:r>
              <w:rPr>
                <w:rFonts w:ascii="Arial" w:cs="Arial" w:eastAsia="Arial" w:hAnsi="Arial"/>
                <w:sz w:val="14"/>
                <w:szCs w:val="14"/>
                <w:b w:val="1"/>
                <w:bCs w:val="1"/>
                <w:color w:val="auto"/>
              </w:rPr>
              <w:t>Stock Option Plans</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0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w w:val="88"/>
              </w:rPr>
              <w:t>Employee Stock Purchase Plan</w:t>
            </w:r>
          </w:p>
        </w:tc>
      </w:tr>
      <w:tr>
        <w:trPr>
          <w:trHeight w:val="142"/>
        </w:trPr>
        <w:tc>
          <w:tcPr>
            <w:tcW w:w="420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820" w:type="dxa"/>
            <w:vAlign w:val="bottom"/>
            <w:tcBorders>
              <w:top w:val="single" w:sz="8" w:color="auto"/>
              <w:bottom w:val="single" w:sz="8" w:color="auto"/>
            </w:tcBorders>
            <w:gridSpan w:val="3"/>
          </w:tcPr>
          <w:p>
            <w:pPr>
              <w:jc w:val="right"/>
              <w:ind w:right="298"/>
              <w:spacing w:after="0" w:line="142" w:lineRule="exact"/>
              <w:rPr>
                <w:sz w:val="20"/>
                <w:szCs w:val="20"/>
                <w:color w:val="auto"/>
              </w:rPr>
            </w:pPr>
            <w:r>
              <w:rPr>
                <w:rFonts w:ascii="Arial" w:cs="Arial" w:eastAsia="Arial" w:hAnsi="Arial"/>
                <w:sz w:val="14"/>
                <w:szCs w:val="14"/>
                <w:b w:val="1"/>
                <w:bCs w:val="1"/>
                <w:color w:val="auto"/>
              </w:rPr>
              <w:t>Six Months Ended</w:t>
            </w: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2100" w:type="dxa"/>
            <w:vAlign w:val="bottom"/>
            <w:tcBorders>
              <w:top w:val="single" w:sz="8" w:color="auto"/>
              <w:bottom w:val="single" w:sz="8" w:color="auto"/>
            </w:tcBorders>
            <w:gridSpan w:val="5"/>
          </w:tcPr>
          <w:p>
            <w:pPr>
              <w:jc w:val="right"/>
              <w:ind w:right="518"/>
              <w:spacing w:after="0" w:line="142" w:lineRule="exact"/>
              <w:rPr>
                <w:sz w:val="20"/>
                <w:szCs w:val="20"/>
                <w:color w:val="auto"/>
              </w:rPr>
            </w:pPr>
            <w:r>
              <w:rPr>
                <w:rFonts w:ascii="Arial" w:cs="Arial" w:eastAsia="Arial" w:hAnsi="Arial"/>
                <w:sz w:val="14"/>
                <w:szCs w:val="14"/>
                <w:b w:val="1"/>
                <w:bCs w:val="1"/>
                <w:color w:val="auto"/>
              </w:rPr>
              <w:t>Six Months Ended</w:t>
            </w:r>
          </w:p>
        </w:tc>
        <w:tc>
          <w:tcPr>
            <w:tcW w:w="200" w:type="dxa"/>
            <w:vAlign w:val="bottom"/>
          </w:tcPr>
          <w:p>
            <w:pPr>
              <w:spacing w:after="0"/>
              <w:rPr>
                <w:sz w:val="12"/>
                <w:szCs w:val="12"/>
                <w:color w:val="auto"/>
              </w:rPr>
            </w:pPr>
          </w:p>
        </w:tc>
      </w:tr>
      <w:tr>
        <w:trPr>
          <w:trHeight w:val="129"/>
        </w:trPr>
        <w:tc>
          <w:tcPr>
            <w:tcW w:w="420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1280" w:type="dxa"/>
            <w:vAlign w:val="bottom"/>
            <w:gridSpan w:val="2"/>
          </w:tcPr>
          <w:p>
            <w:pPr>
              <w:jc w:val="right"/>
              <w:ind w:right="720"/>
              <w:spacing w:after="0" w:line="129" w:lineRule="exact"/>
              <w:rPr>
                <w:sz w:val="20"/>
                <w:szCs w:val="20"/>
                <w:color w:val="auto"/>
              </w:rPr>
            </w:pPr>
            <w:r>
              <w:rPr>
                <w:rFonts w:ascii="Arial" w:cs="Arial" w:eastAsia="Arial" w:hAnsi="Arial"/>
                <w:sz w:val="14"/>
                <w:szCs w:val="14"/>
                <w:b w:val="1"/>
                <w:bCs w:val="1"/>
                <w:color w:val="auto"/>
                <w:w w:val="84"/>
              </w:rPr>
              <w:t>August 1,</w:t>
            </w:r>
          </w:p>
        </w:tc>
        <w:tc>
          <w:tcPr>
            <w:tcW w:w="5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4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80" w:type="dxa"/>
            <w:vAlign w:val="bottom"/>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7"/>
              </w:rPr>
              <w:t>August 1,</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jc w:val="right"/>
              <w:ind w:right="18"/>
              <w:spacing w:after="0" w:line="129" w:lineRule="exact"/>
              <w:rPr>
                <w:sz w:val="20"/>
                <w:szCs w:val="20"/>
                <w:color w:val="auto"/>
              </w:rPr>
            </w:pPr>
            <w:r>
              <w:rPr>
                <w:rFonts w:ascii="Arial" w:cs="Arial" w:eastAsia="Arial" w:hAnsi="Arial"/>
                <w:sz w:val="14"/>
                <w:szCs w:val="14"/>
                <w:b w:val="1"/>
                <w:bCs w:val="1"/>
                <w:color w:val="auto"/>
                <w:w w:val="84"/>
              </w:rPr>
              <w:t>August 2,</w:t>
            </w:r>
          </w:p>
        </w:tc>
        <w:tc>
          <w:tcPr>
            <w:tcW w:w="200" w:type="dxa"/>
            <w:vAlign w:val="bottom"/>
          </w:tcPr>
          <w:p>
            <w:pPr>
              <w:spacing w:after="0"/>
              <w:rPr>
                <w:sz w:val="11"/>
                <w:szCs w:val="11"/>
                <w:color w:val="auto"/>
              </w:rPr>
            </w:pPr>
          </w:p>
        </w:tc>
      </w:tr>
      <w:tr>
        <w:trPr>
          <w:trHeight w:val="161"/>
        </w:trPr>
        <w:tc>
          <w:tcPr>
            <w:tcW w:w="420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5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rPr>
              <w:t>2009</w:t>
            </w:r>
          </w:p>
        </w:tc>
        <w:tc>
          <w:tcPr>
            <w:tcW w:w="720" w:type="dxa"/>
            <w:vAlign w:val="bottom"/>
          </w:tcPr>
          <w:p>
            <w:pPr>
              <w:spacing w:after="0"/>
              <w:rPr>
                <w:sz w:val="14"/>
                <w:szCs w:val="14"/>
                <w:color w:val="auto"/>
              </w:rPr>
            </w:pPr>
          </w:p>
        </w:tc>
        <w:tc>
          <w:tcPr>
            <w:tcW w:w="54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2008</w:t>
            </w: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r>
      <w:tr>
        <w:trPr>
          <w:trHeight w:val="210"/>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35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52%</w:t>
            </w: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3500" w:type="dxa"/>
            <w:vAlign w:val="bottom"/>
            <w:gridSpan w:val="3"/>
          </w:tcPr>
          <w:p>
            <w:pPr>
              <w:jc w:val="right"/>
              <w:ind w:right="720"/>
              <w:spacing w:after="0"/>
              <w:rPr>
                <w:sz w:val="20"/>
                <w:szCs w:val="20"/>
                <w:color w:val="auto"/>
              </w:rPr>
            </w:pPr>
            <w:r>
              <w:rPr>
                <w:rFonts w:ascii="Arial" w:cs="Arial" w:eastAsia="Arial" w:hAnsi="Arial"/>
                <w:sz w:val="18"/>
                <w:szCs w:val="18"/>
                <w:color w:val="auto"/>
              </w:rPr>
              <w:t>4.6</w:t>
            </w:r>
          </w:p>
        </w:tc>
        <w:tc>
          <w:tcPr>
            <w:tcW w:w="540" w:type="dxa"/>
            <w:vAlign w:val="bottom"/>
          </w:tcPr>
          <w:p>
            <w:pPr>
              <w:jc w:val="right"/>
              <w:spacing w:after="0"/>
              <w:rPr>
                <w:sz w:val="20"/>
                <w:szCs w:val="20"/>
                <w:color w:val="auto"/>
              </w:rPr>
            </w:pPr>
            <w:r>
              <w:rPr>
                <w:rFonts w:ascii="Arial" w:cs="Arial" w:eastAsia="Arial" w:hAnsi="Arial"/>
                <w:sz w:val="18"/>
                <w:szCs w:val="18"/>
                <w:color w:val="auto"/>
              </w:rPr>
              <w:t>5.2</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1.3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1.3</w:t>
            </w: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50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1.8%</w:t>
            </w: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Dividend yield</w:t>
            </w:r>
          </w:p>
        </w:tc>
        <w:tc>
          <w:tcPr>
            <w:tcW w:w="2220" w:type="dxa"/>
            <w:vAlign w:val="bottom"/>
          </w:tcPr>
          <w:p>
            <w:pPr>
              <w:spacing w:after="0"/>
              <w:rPr>
                <w:sz w:val="18"/>
                <w:szCs w:val="18"/>
                <w:color w:val="auto"/>
              </w:rPr>
            </w:pPr>
          </w:p>
        </w:tc>
        <w:tc>
          <w:tcPr>
            <w:tcW w:w="1280" w:type="dxa"/>
            <w:vAlign w:val="bottom"/>
            <w:gridSpan w:val="2"/>
          </w:tcPr>
          <w:p>
            <w:pPr>
              <w:jc w:val="right"/>
              <w:ind w:right="8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350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  5.13</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5.25</w:t>
            </w:r>
          </w:p>
        </w:tc>
        <w:tc>
          <w:tcPr>
            <w:tcW w:w="4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4.14</w:t>
            </w: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6.05</w:t>
            </w:r>
          </w:p>
        </w:tc>
      </w:tr>
    </w:tbl>
    <w:p>
      <w:pPr>
        <w:spacing w:after="0" w:line="154"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In developing estimates used in the adoption of SFAS 123R, the Company established the expected term for employee options and awards, as well as expected forfeiture rates, based on the historical settlement experience and after giving consideration to vesting schedules. Expected volatility under SFAS 123R was developed based on the average of the Company’s historical daily stock price volatility. The risk-free interest rate assumption is based on observed interest rates appropriate for the expected terms of the Company’s stock options. SFAS 123R also requires forfeitures to be estimated at the time of grant and revised, if necessary, in subsequent periods if actual forfeitures differ from initial estimates.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Stock plans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383,440,718 common shares reserved for issuance thereunder as of August 1, 2009.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prior to March 1, 2000 may be exercised prior to vesting and the exercised shares remain unvested until vested in accordance with the terms of the grant.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 In addition, the Company can also grant stock awards, which may be subject to vesting. Further, the Company can grant stock unit awards. Stock unit awards are denominated in shares of stock, but may be settled in cash or tradable shares of the Company’s common shares upon vesting, as determined by the Company at the time of grant.</w:t>
      </w:r>
    </w:p>
    <w:p>
      <w:pPr>
        <w:spacing w:after="0" w:line="127" w:lineRule="exact"/>
        <w:rPr>
          <w:sz w:val="20"/>
          <w:szCs w:val="20"/>
          <w:color w:val="auto"/>
        </w:rPr>
      </w:pPr>
    </w:p>
    <w:p>
      <w:pPr>
        <w:ind w:right="24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12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August 1, 2009. Under the 2007 Directors’ Plan, an outside director is granted an option to purchase 50,000 common shares upon appointment to the Company’s Board of Directors. These options vest one-third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20"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Employee stock purchase plan</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as amended, had 57,871,612 common shares reserved for issuance thereunder as of August 1, 2009.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The Purchase Plan additionally contains a reset and a rollover provision under which if the price on any purchase date is less than the price on the date of original enrollment, then the existing purchase period shall immediately cease upon purchase and a new two-year purchase period shall commence. Effective on August 20, 2007, offering and purchase periods begin on December 8 and June 8 of each year. Included in the Purchase Plan is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 This share limitation was triggered in connection with the June 2008 purchase period, which ended in December 2008, and remained in effect as of August 1, 2009.</w:t>
      </w:r>
    </w:p>
    <w:p>
      <w:pPr>
        <w:spacing w:after="0" w:line="127"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For the three and six months ended August 1, 2009, the Company recognized $8.1 million and $15.5 million of stock-based compensation expense related to the activity under the Purchase Plan, respectively. The Company issued 2,209,381 shares under the Purchase Plan in the three and six months ended August 1, 2009 at a price of $4.87. As of August 1, 2009, there was $24.3 million of unrecognized compensation cost related to the Purchase Plan.</w:t>
      </w:r>
    </w:p>
    <w:p>
      <w:pPr>
        <w:spacing w:after="0" w:line="107"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Stock option activity under the Company’s stock option plans for the six months ended August 1, 2009 is summarized below (in thousands, except per share amounts):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gridSpan w:val="3"/>
          </w:tcPr>
          <w:p>
            <w:pPr>
              <w:ind w:lef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0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Options</w:t>
            </w:r>
          </w:p>
        </w:tc>
        <w:tc>
          <w:tcPr>
            <w:tcW w:w="300" w:type="dxa"/>
            <w:vAlign w:val="bottom"/>
          </w:tcPr>
          <w:p>
            <w:pPr>
              <w:spacing w:after="0"/>
              <w:rPr>
                <w:sz w:val="12"/>
                <w:szCs w:val="12"/>
                <w:color w:val="auto"/>
              </w:rPr>
            </w:pPr>
          </w:p>
        </w:tc>
        <w:tc>
          <w:tcPr>
            <w:tcW w:w="5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3"/>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400" w:type="dxa"/>
            <w:vAlign w:val="bottom"/>
          </w:tcPr>
          <w:p>
            <w:pPr>
              <w:spacing w:after="0"/>
              <w:rPr>
                <w:sz w:val="14"/>
                <w:szCs w:val="14"/>
                <w:color w:val="auto"/>
              </w:rPr>
            </w:pPr>
          </w:p>
        </w:tc>
        <w:tc>
          <w:tcPr>
            <w:tcW w:w="12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7"/>
              </w:rPr>
              <w:t>Outstanding</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400" w:type="dxa"/>
            <w:vAlign w:val="bottom"/>
          </w:tcPr>
          <w:p>
            <w:pPr>
              <w:spacing w:after="0"/>
              <w:rPr>
                <w:sz w:val="12"/>
                <w:szCs w:val="12"/>
                <w:color w:val="auto"/>
              </w:rPr>
            </w:pPr>
          </w:p>
        </w:tc>
        <w:tc>
          <w:tcPr>
            <w:tcW w:w="8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0" w:type="dxa"/>
            <w:vAlign w:val="bottom"/>
          </w:tcPr>
          <w:p>
            <w:pPr>
              <w:ind w:left="420"/>
              <w:spacing w:after="0"/>
              <w:rPr>
                <w:sz w:val="20"/>
                <w:szCs w:val="20"/>
                <w:color w:val="auto"/>
              </w:rPr>
            </w:pPr>
            <w:r>
              <w:rPr>
                <w:rFonts w:ascii="Arial" w:cs="Arial" w:eastAsia="Arial" w:hAnsi="Arial"/>
                <w:sz w:val="18"/>
                <w:szCs w:val="18"/>
                <w:color w:val="auto"/>
              </w:rPr>
              <w:t>Options granted</w:t>
            </w:r>
          </w:p>
        </w:tc>
        <w:tc>
          <w:tcPr>
            <w:tcW w:w="840" w:type="dxa"/>
            <w:vAlign w:val="bottom"/>
          </w:tcPr>
          <w:p>
            <w:pPr>
              <w:jc w:val="right"/>
              <w:spacing w:after="0"/>
              <w:rPr>
                <w:sz w:val="20"/>
                <w:szCs w:val="20"/>
                <w:color w:val="auto"/>
              </w:rPr>
            </w:pPr>
            <w:r>
              <w:rPr>
                <w:rFonts w:ascii="Arial" w:cs="Arial" w:eastAsia="Arial" w:hAnsi="Arial"/>
                <w:sz w:val="18"/>
                <w:szCs w:val="18"/>
                <w:color w:val="auto"/>
              </w:rPr>
              <w:t>878</w:t>
            </w:r>
          </w:p>
        </w:tc>
        <w:tc>
          <w:tcPr>
            <w:tcW w:w="380" w:type="dxa"/>
            <w:vAlign w:val="bottom"/>
          </w:tcPr>
          <w:p>
            <w:pPr>
              <w:spacing w:after="0"/>
              <w:rPr>
                <w:sz w:val="18"/>
                <w:szCs w:val="18"/>
                <w:color w:val="auto"/>
              </w:rPr>
            </w:pP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11.41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Options forfeited/canceled/expired</w:t>
            </w:r>
          </w:p>
        </w:tc>
        <w:tc>
          <w:tcPr>
            <w:tcW w:w="12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(3,188)</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15.66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0" w:type="dxa"/>
            <w:vAlign w:val="bottom"/>
          </w:tcPr>
          <w:p>
            <w:pPr>
              <w:ind w:left="420"/>
              <w:spacing w:after="0"/>
              <w:rPr>
                <w:sz w:val="20"/>
                <w:szCs w:val="20"/>
                <w:color w:val="auto"/>
              </w:rPr>
            </w:pPr>
            <w:r>
              <w:rPr>
                <w:rFonts w:ascii="Arial" w:cs="Arial" w:eastAsia="Arial" w:hAnsi="Arial"/>
                <w:sz w:val="18"/>
                <w:szCs w:val="18"/>
                <w:color w:val="auto"/>
              </w:rPr>
              <w:t>Options exercised</w:t>
            </w:r>
          </w:p>
        </w:tc>
        <w:tc>
          <w:tcPr>
            <w:tcW w:w="1220" w:type="dxa"/>
            <w:vAlign w:val="bottom"/>
            <w:gridSpan w:val="2"/>
          </w:tcPr>
          <w:p>
            <w:pPr>
              <w:jc w:val="right"/>
              <w:ind w:right="320"/>
              <w:spacing w:after="0"/>
              <w:rPr>
                <w:sz w:val="20"/>
                <w:szCs w:val="20"/>
                <w:color w:val="auto"/>
              </w:rPr>
            </w:pPr>
            <w:r>
              <w:rPr>
                <w:rFonts w:ascii="Arial" w:cs="Arial" w:eastAsia="Arial" w:hAnsi="Arial"/>
                <w:sz w:val="18"/>
                <w:szCs w:val="18"/>
                <w:color w:val="auto"/>
              </w:rPr>
              <w:t>(2,343)</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6.02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2009</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80,401</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4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August 1, 2009</w:t>
            </w:r>
          </w:p>
        </w:tc>
        <w:tc>
          <w:tcPr>
            <w:tcW w:w="8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20" w:type="dxa"/>
            <w:vAlign w:val="bottom"/>
            <w:gridSpan w:val="2"/>
            <w:vMerge w:val="restart"/>
          </w:tcPr>
          <w:p>
            <w:pPr>
              <w:ind w:left="300"/>
              <w:spacing w:after="0"/>
              <w:rPr>
                <w:sz w:val="20"/>
                <w:szCs w:val="20"/>
                <w:color w:val="auto"/>
              </w:rPr>
            </w:pPr>
            <w:r>
              <w:rPr>
                <w:rFonts w:ascii="Arial" w:cs="Arial" w:eastAsia="Arial" w:hAnsi="Arial"/>
                <w:sz w:val="18"/>
                <w:szCs w:val="18"/>
                <w:color w:val="auto"/>
                <w:w w:val="99"/>
              </w:rPr>
              <w:t>$</w:t>
            </w:r>
          </w:p>
        </w:tc>
        <w:tc>
          <w:tcPr>
            <w:tcW w:w="4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w w:val="93"/>
              </w:rPr>
              <w:t>10.78</w:t>
            </w:r>
          </w:p>
        </w:tc>
        <w:tc>
          <w:tcPr>
            <w:tcW w:w="0" w:type="dxa"/>
            <w:vAlign w:val="bottom"/>
          </w:tcPr>
          <w:p>
            <w:pPr>
              <w:spacing w:after="0" w:line="20" w:lineRule="exact"/>
              <w:rPr>
                <w:sz w:val="1"/>
                <w:szCs w:val="1"/>
                <w:color w:val="auto"/>
              </w:rPr>
            </w:pPr>
          </w:p>
        </w:tc>
      </w:tr>
      <w:tr>
        <w:trPr>
          <w:trHeight w:val="209"/>
        </w:trPr>
        <w:tc>
          <w:tcPr>
            <w:tcW w:w="8420" w:type="dxa"/>
            <w:vAlign w:val="bottom"/>
            <w:gridSpan w:val="2"/>
            <w:vMerge w:val="continue"/>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77,072</w:t>
            </w:r>
          </w:p>
        </w:tc>
        <w:tc>
          <w:tcPr>
            <w:tcW w:w="380" w:type="dxa"/>
            <w:vAlign w:val="bottom"/>
          </w:tcPr>
          <w:p>
            <w:pPr>
              <w:spacing w:after="0"/>
              <w:rPr>
                <w:sz w:val="18"/>
                <w:szCs w:val="18"/>
                <w:color w:val="auto"/>
              </w:rPr>
            </w:pPr>
          </w:p>
        </w:tc>
        <w:tc>
          <w:tcPr>
            <w:tcW w:w="420" w:type="dxa"/>
            <w:vAlign w:val="bottom"/>
            <w:gridSpan w:val="2"/>
            <w:vMerge w:val="continue"/>
          </w:tcPr>
          <w:p>
            <w:pPr>
              <w:spacing w:after="0"/>
              <w:rPr>
                <w:sz w:val="18"/>
                <w:szCs w:val="18"/>
                <w:color w:val="auto"/>
              </w:rPr>
            </w:pPr>
          </w:p>
        </w:tc>
        <w:tc>
          <w:tcPr>
            <w:tcW w:w="460" w:type="dxa"/>
            <w:vAlign w:val="bottom"/>
            <w:gridSpan w:val="2"/>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0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4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August 1, 2009</w:t>
            </w: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51,804</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10.27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0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Included in the preceding table are options for 2,073,800 common shares granted to certain officers at exercise prices ranging between $6.84 and $24.80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August 1, 2009 was $310.8 million and 5.6 years, respectively. The aggregate intrinsic value and weighted average remaining contractual term of options exercisable at August 1, 2009 was $225.6 million and 4.2 years, respectively. The aggregate intrinsic value is calculated based on the Company’s closing stock price for all in-the-money options as of August 1, 2009.</w:t>
      </w:r>
    </w:p>
    <w:p>
      <w:pPr>
        <w:spacing w:after="0" w:line="14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restricted stock units vested and expected to vest as of August 1, 2009 was $50.0 million and 1.2 years, respectively.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380" w:type="dxa"/>
            <w:vAlign w:val="bottom"/>
          </w:tcPr>
          <w:p>
            <w:pPr>
              <w:spacing w:after="0"/>
              <w:rPr>
                <w:sz w:val="12"/>
                <w:szCs w:val="12"/>
                <w:color w:val="auto"/>
              </w:rPr>
            </w:pPr>
          </w:p>
        </w:tc>
        <w:tc>
          <w:tcPr>
            <w:tcW w:w="11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Restricted</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380" w:type="dxa"/>
            <w:vAlign w:val="bottom"/>
          </w:tcPr>
          <w:p>
            <w:pPr>
              <w:spacing w:after="0"/>
              <w:rPr>
                <w:sz w:val="12"/>
                <w:szCs w:val="12"/>
                <w:color w:val="auto"/>
              </w:rPr>
            </w:pPr>
          </w:p>
        </w:tc>
        <w:tc>
          <w:tcPr>
            <w:tcW w:w="11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5"/>
              </w:rPr>
              <w:t>Stock Units</w:t>
            </w:r>
          </w:p>
        </w:tc>
        <w:tc>
          <w:tcPr>
            <w:tcW w:w="320" w:type="dxa"/>
            <w:vAlign w:val="bottom"/>
          </w:tcPr>
          <w:p>
            <w:pPr>
              <w:spacing w:after="0"/>
              <w:rPr>
                <w:sz w:val="12"/>
                <w:szCs w:val="12"/>
                <w:color w:val="auto"/>
              </w:rPr>
            </w:pPr>
          </w:p>
        </w:tc>
        <w:tc>
          <w:tcPr>
            <w:tcW w:w="6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80" w:type="dxa"/>
            <w:vAlign w:val="bottom"/>
          </w:tcPr>
          <w:p>
            <w:pPr>
              <w:spacing w:after="0"/>
              <w:rPr>
                <w:sz w:val="14"/>
                <w:szCs w:val="14"/>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Outstanding</w:t>
            </w:r>
          </w:p>
        </w:tc>
        <w:tc>
          <w:tcPr>
            <w:tcW w:w="3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2"/>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6,499</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80" w:type="dxa"/>
            <w:vAlign w:val="bottom"/>
          </w:tcPr>
          <w:p>
            <w:pPr>
              <w:spacing w:after="0"/>
              <w:rPr>
                <w:sz w:val="20"/>
                <w:szCs w:val="20"/>
                <w:color w:val="auto"/>
              </w:rPr>
            </w:pPr>
            <w:r>
              <w:rPr>
                <w:rFonts w:ascii="Arial" w:cs="Arial" w:eastAsia="Arial" w:hAnsi="Arial"/>
                <w:sz w:val="18"/>
                <w:szCs w:val="18"/>
                <w:color w:val="auto"/>
              </w:rPr>
              <w:t>Granted</w:t>
            </w: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40</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11.86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8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11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(2,021)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80" w:type="dxa"/>
            <w:vAlign w:val="bottom"/>
          </w:tcPr>
          <w:p>
            <w:pPr>
              <w:spacing w:after="0"/>
              <w:rPr>
                <w:sz w:val="20"/>
                <w:szCs w:val="20"/>
                <w:color w:val="auto"/>
              </w:rPr>
            </w:pPr>
            <w:r>
              <w:rPr>
                <w:rFonts w:ascii="Arial" w:cs="Arial" w:eastAsia="Arial" w:hAnsi="Arial"/>
                <w:sz w:val="18"/>
                <w:szCs w:val="18"/>
                <w:color w:val="auto"/>
              </w:rPr>
              <w:t>Canceled/Forfeited</w:t>
            </w:r>
          </w:p>
        </w:tc>
        <w:tc>
          <w:tcPr>
            <w:tcW w:w="1120" w:type="dxa"/>
            <w:vAlign w:val="bottom"/>
            <w:gridSpan w:val="2"/>
          </w:tcPr>
          <w:p>
            <w:pPr>
              <w:jc w:val="right"/>
              <w:ind w:right="320"/>
              <w:spacing w:after="0"/>
              <w:rPr>
                <w:sz w:val="20"/>
                <w:szCs w:val="20"/>
                <w:color w:val="auto"/>
              </w:rPr>
            </w:pPr>
            <w:r>
              <w:rPr>
                <w:rFonts w:ascii="Arial" w:cs="Arial" w:eastAsia="Arial" w:hAnsi="Arial"/>
                <w:sz w:val="18"/>
                <w:szCs w:val="18"/>
                <w:color w:val="auto"/>
              </w:rPr>
              <w:t>(350)</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8.83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80" w:type="dxa"/>
            <w:vAlign w:val="bottom"/>
            <w:shd w:val="clear" w:color="auto" w:fill="CCEEFF"/>
          </w:tcPr>
          <w:p>
            <w:pPr>
              <w:spacing w:after="0"/>
              <w:rPr>
                <w:sz w:val="20"/>
                <w:szCs w:val="20"/>
                <w:color w:val="auto"/>
              </w:rPr>
            </w:pPr>
            <w:r>
              <w:rPr>
                <w:rFonts w:ascii="Arial" w:cs="Arial" w:eastAsia="Arial" w:hAnsi="Arial"/>
                <w:sz w:val="18"/>
                <w:szCs w:val="18"/>
                <w:color w:val="auto"/>
              </w:rPr>
              <w:t>Balance at August 1, 2009</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4,168</w:t>
            </w:r>
          </w:p>
        </w:tc>
        <w:tc>
          <w:tcPr>
            <w:tcW w:w="3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r>
              <w:rPr>
                <w:rFonts w:ascii="Arial" w:cs="Arial" w:eastAsia="Arial" w:hAnsi="Arial"/>
                <w:sz w:val="18"/>
                <w:szCs w:val="18"/>
                <w:u w:val="single" w:color="auto"/>
                <w:color w:val="auto"/>
              </w:rPr>
              <w:t>18</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360" w:firstLine="456"/>
        <w:spacing w:after="0" w:line="306" w:lineRule="auto"/>
        <w:rPr>
          <w:sz w:val="20"/>
          <w:szCs w:val="20"/>
          <w:color w:val="auto"/>
        </w:rPr>
      </w:pPr>
      <w:r>
        <w:rPr>
          <w:rFonts w:ascii="Arial" w:cs="Arial" w:eastAsia="Arial" w:hAnsi="Arial"/>
          <w:sz w:val="16"/>
          <w:szCs w:val="16"/>
          <w:color w:val="auto"/>
        </w:rPr>
        <w:t>The Company’s current practice is to issue new shares to satisfy share option exercises. As of August 1, 2009, compensation costs related to nonvested awards not yet recognized amounted to $203.9 million. The unamortized compensation expense for stock options and restricted stock will be amortized on a straight-line basis and is expected to be recognized over a weighted-average period of 2.7 years and 2.0 years, respectively.</w:t>
      </w:r>
    </w:p>
    <w:p>
      <w:pPr>
        <w:spacing w:after="0" w:line="107" w:lineRule="exact"/>
        <w:rPr>
          <w:sz w:val="20"/>
          <w:szCs w:val="20"/>
          <w:color w:val="auto"/>
        </w:rPr>
      </w:pPr>
    </w:p>
    <w:p>
      <w:pPr>
        <w:jc w:val="both"/>
        <w:ind w:right="520" w:firstLine="456"/>
        <w:spacing w:after="0" w:line="335" w:lineRule="auto"/>
        <w:rPr>
          <w:sz w:val="20"/>
          <w:szCs w:val="20"/>
          <w:color w:val="auto"/>
        </w:rPr>
      </w:pPr>
      <w:r>
        <w:rPr>
          <w:rFonts w:ascii="Arial" w:cs="Arial" w:eastAsia="Arial" w:hAnsi="Arial"/>
          <w:sz w:val="15"/>
          <w:szCs w:val="15"/>
          <w:color w:val="auto"/>
        </w:rPr>
        <w:t>The total tax benefit attributable to options exercised for the six months ended August 1, 2009 was $69,000 as reported on the unaudited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For the three months ended August 1, 2009 and August 2, 2008, the Company’s effective tax rate was an income tax expense of 13.8% and 9.0%, respectively. The income tax provision for these periods was affected by non-tax-deductible expenses such as stock-based compensation expense, amortization of acquired intangibles and accrual of unrecognized tax benefits, interest and penalties associated with unrecognized tax positions. The effective tax rate for the three months ended August 1, 2009, was impacted by the exclusion of a jurisdiction with a pretax loss for which no benefit would be recognized from the calculation of the income tax provision. In addition, the effective tax rate for the three months ended August 1, 2009 was impacted by a revaluation of deferred tax asset due to a tax rate change in a non-US jurisdiction effective during the quarter. The resulting impact was an increase to the tax expense of $2.2 million for the three months ended August 1, 2009.</w:t>
      </w:r>
    </w:p>
    <w:p>
      <w:pPr>
        <w:spacing w:after="0" w:line="147" w:lineRule="exact"/>
        <w:rPr>
          <w:sz w:val="20"/>
          <w:szCs w:val="20"/>
          <w:color w:val="auto"/>
        </w:rPr>
      </w:pPr>
    </w:p>
    <w:p>
      <w:pPr>
        <w:jc w:val="both"/>
        <w:ind w:right="80" w:firstLine="456"/>
        <w:spacing w:after="0" w:line="298" w:lineRule="auto"/>
        <w:rPr>
          <w:sz w:val="20"/>
          <w:szCs w:val="20"/>
          <w:color w:val="auto"/>
        </w:rPr>
      </w:pPr>
      <w:r>
        <w:rPr>
          <w:rFonts w:ascii="Arial" w:cs="Arial" w:eastAsia="Arial" w:hAnsi="Arial"/>
          <w:sz w:val="16"/>
          <w:szCs w:val="16"/>
          <w:color w:val="auto"/>
        </w:rPr>
        <w:t>In previous periods, the Company had recorded unrealized foreign exchange gains and losses related to uncertain tax positions in its provision (benefit) for income taxes in the income statement. In the third quarter of fiscal 2009, the Company began presenting this amount in interest and other income, net. In order to conform the comparative amounts to the current presentation, the Company reclassified $1.9 million and $1.2 million from provision (benefit) of income taxes to interest and other income for the three and six months ended August 2, 2008, respectively.</w:t>
      </w:r>
    </w:p>
    <w:p>
      <w:pPr>
        <w:spacing w:after="0" w:line="11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The Company’s total unrecognized tax benefits as of August 1, 2009 and August 2, 2008 were $111.5 million and $118.3 million, respectively. The Company also recorded a FIN 48 liability for potential interest and penalties of $25.5 million and $11.1 million, respectively, as of August 1, 2009. For the three months ended August 1, 2009, the provision for income taxes in several foreign jurisdictions was reduced by $4.0 million because of several factors including the statute of limitations lapsed for uncertain tax positions, and the impact of a revaluation of certain unrecognized tax benefits due to tax rate change in a non-U.S. jurisdiction effective during the quarter. If recognized, all of the FIN 48 liabilities recorded to date, except the portion attributable to the foreign exchange gains and losses, will impact the effective tax rate.</w:t>
      </w:r>
    </w:p>
    <w:p>
      <w:pPr>
        <w:spacing w:after="0" w:line="144"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non-U.S. income tax examinations for years beginning with fiscal year 2002 and for U.S. income tax examinations beginning with fiscal year 2006. The U.S. tax authorities closed an employment tax audit during the quarter with regard to the re-measured stock options for calendar years 2003 through 2006. As a result, the U.S. subsidiary has recognized a benefit of $1.2 million during the three months ended August 1, 2009.</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96"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On August 19,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none and $1.4 million of revenue under the C2Micro License Agreement during the three months ended August 1, 2009 and August 2, 2008, respectively. The Company recognized none and $2.6 million of revenue under the C2Micro License Agreement during the six months ended August 1, 2009 and August 2, 2008, respectively. As of August 1, 2009, the Company had a receivable of $1.4 million from C2 Microsystems. Dr. Sehat Sutardja, the Company’s President and Chief Executive Officer, and Weili Dai, the Vice President of Sales for Communications and Consumer Business of MSI and Vice President and General Manager of Communications and Computing Business Unit of MSI, through their ownership and control of Estopia LLC (“Estopia”), are indirect shareholders of C2 Microsystems. Dr. Sehat Sutardja and Weili Dai are husband and wife. Kuo Wei (Herbert) Chang, a member of the Company’s Board of Directors, is a member of the board of directors of C2 Microsystems and, through his ownership and control of C-Squared venture entities, is also an indirect shareholder of C2 Microsystems. Dr. Pantas Sutardja, the Company’s Vice President, Chief Technology Officer and Chief Research and Development Officer, is also a shareholder of C2 Microsystems.</w:t>
      </w:r>
    </w:p>
    <w:p>
      <w:pPr>
        <w:spacing w:after="0" w:line="12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On January 8, 2007, the Company, through MIL, entered into a Library/IP/Software Evaluation License Agreement (the “Evaluation License Agreement”) with VeriSilicon Holdings Co., Ltd. (“VeriSilicon”). The Evaluation License Agreement has no consideration. The Company also incurred $4,000 and $43,000 of royalty expense from VeriSilicon under a core license agreement assumed from its acquisition of the semiconductor design business of UTStarcom, Inc. during the three months ended August 1, 2009 and August 2, 2008, respectively. The Company incurred $6,000 and $109,000 of royalty expense under the same license agreement during the six months ended August 1, 2009 and August 2, 2008, respectively. This core license agreement had been assumed by VeriSilicon after its acquisition of certain assets from LSI. On March 30, 2009, the Company entered into an addendum to this core license agreement with VeriSilicon. The Company recorded a license fee of $0.5 million and maintenance fees of $80,000 in the first quarter ended May 2, 2009. On June 30, 2009, the Company entered into a second addendum to this technology license agreement with VeriSilicon for VeriSilicon to perform services for a fee of $40,000. Weili Dai’s brother (and Dr. Sehat Sutardja’s brother-in-law) is the Chairman, President and Chief Executive Officer of VeriSilicon. Ms. Dai is also a shareholder of VeriSilicon.</w:t>
      </w:r>
    </w:p>
    <w:p>
      <w:pPr>
        <w:spacing w:after="0" w:line="120"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On September 28, 2007, the Company, through MIL, entered into a Master Technology Agreement (the “Technology Agreement”) with Sonics, Inc. (“Sonics”), pursuant to which the Company licensed technology from Sonics. The Technology Agreement has substantially similar terms as other license agreements of the Company with other third parties. The Company paid $0.1 million under the Technology Agreement for the license and related maintenance during fiscal 2009. Kuo Wei (Herbert) Chang, a member of the Company’s Board of Directors, serves as a member of the board of directors of Sonics and has a direct and/or indirect ownership interest in the equity of Sonics. There was no expense incurred related to the Technology Agreement during the three and six months ended August 1, 2009 and August 2, 2008.</w:t>
      </w:r>
    </w:p>
    <w:p>
      <w:pPr>
        <w:spacing w:after="0" w:line="12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On October 31, 2007, the Company entered into a License Agreement with Vivante Corporation (the “Vivante Agreement”). The Vivante Agreement has substantially similar terms as the Company would expect to obtain for license agreements with other third parties for similar technology. The Company recorded none and $0.2 million of expense during the three and six months ended August 2, 2008, respectively, in connection with the Vivante Agreement. In August 2008, the Company entered into a Technology License Agreement with Vivante. This Technology License Agreement, as amended, also has substantially similar terms as the Company would expect to obtain for license agreements with other third parties for similar technology. The Company recorded $2.0 million for the license fee and $0.2 million of maintenance during fiscal 2009 in connection with this Technology License Agreement. In January 2009, the Company entered into an agreement with Vivante to disclose certain cell libraries to Vivante at no additional cost. In April 2009, the Company entered into an amendment to the Technology License Agreement with Vivante. The Company recorded $1.0 million for the license fee and $70,000 of maintenance during the first quarter ended May 2, 2009 in connection with the amendment to the Technology License Agreement. In June 2009, the Company entered into the second amendment to the Technology License Agreement with Vivante. The Company recorded $0.5 million for the license fee and $50,000 of maintenance during the three months ended August 1, 2009.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expectations regarding our discretionary spending controls; our anticipation that the rate of new orders and shipments will vary significantly from quarter to quarter; our expectations regarding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expectation regarding decreases in average selling prices; our continued efforts relating to the protection of our intellectual property; our expectations regarding the amount of customer concentration in the future; our expectations regarding the amount of our future sales in Asia; our expectation regarding the effect of auction rate securities on our working capital needs or other requirements; our expected results, cash flows, and expenses, including those related to research and development, sales and marketing and general and administrative; our intention to make acquisitions, investments, strategic alliances and joint ventures; our expectations regarding revenue in the third quarter of fiscal 2010 compared with the revenue in the second quarter of fiscal 2010; our expectations regarding the impact of legal proceedings and claims; our expectations regarding the adequacy of our capital resources, capital expenditures, investment requirements and commitments to meet our capital needs for the next 12 months; our plan to attract and retain highly skilled personnel; our expectations regarding the growth in business and operations; our plan regarding forward exchange contracts; the effect of recent accounting pronouncements and changes in taxation rules; our expectations regarding unrecognized tax benefits; our plan of sourcing certain legacy application processor cellular and handset inventory from Intel Corporation; and our plan to reduce the global workforce.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recent worldwide financial crisis; the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 In this Quarterly Report on Form 10-Q, we refer to the fiscal year ended February 2, 2008 as fiscal 2008, the fiscal year ended January 31, 2009 as fiscal 2009, and the fiscal year ending January 30, 2010 as fiscal 2010.</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2009. There have been no material changes in any of our critical accounting policies during fiscal 2010.</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Starting in the third quarter of fiscal 2009, when we began to see the early signs of a potential economic downturn, we began taking actions to reduce our cost structure. Several of those actions had a significant impact on the results in both the three and six months ended August 1, 2009 as follows:</w:t>
      </w:r>
    </w:p>
    <w:p>
      <w:pPr>
        <w:spacing w:after="0" w:line="4" w:lineRule="exact"/>
        <w:rPr>
          <w:sz w:val="20"/>
          <w:szCs w:val="20"/>
          <w:color w:val="auto"/>
        </w:rPr>
      </w:pPr>
    </w:p>
    <w:p>
      <w:pPr>
        <w:ind w:left="900" w:right="140" w:hanging="446"/>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Headcount reductions</w:t>
      </w:r>
      <w:r>
        <w:rPr>
          <w:rFonts w:ascii="Arial" w:cs="Arial" w:eastAsia="Arial" w:hAnsi="Arial"/>
          <w:sz w:val="18"/>
          <w:szCs w:val="18"/>
          <w:color w:val="auto"/>
        </w:rPr>
        <w:t xml:space="preserve"> – Starting in the fourth quarter of fiscal 2009, we began a reduction of force that impacts all of our worldwide operations including the closure of the design center in Canada and the test operations in Malaysia. These reductions have lowered our salary related expenses significantly as discussed below.</w:t>
      </w:r>
    </w:p>
    <w:p>
      <w:pPr>
        <w:spacing w:after="0" w:line="59" w:lineRule="exact"/>
        <w:rPr>
          <w:rFonts w:ascii="Arial" w:cs="Arial" w:eastAsia="Arial" w:hAnsi="Arial"/>
          <w:sz w:val="18"/>
          <w:szCs w:val="18"/>
          <w:color w:val="auto"/>
        </w:rPr>
      </w:pPr>
    </w:p>
    <w:p>
      <w:pPr>
        <w:ind w:left="900" w:right="220" w:hanging="446"/>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Facilities consolidations</w:t>
      </w:r>
      <w:r>
        <w:rPr>
          <w:rFonts w:ascii="Arial" w:cs="Arial" w:eastAsia="Arial" w:hAnsi="Arial"/>
          <w:sz w:val="18"/>
          <w:szCs w:val="18"/>
          <w:color w:val="auto"/>
        </w:rPr>
        <w:t xml:space="preserve"> – We have also taken actions to readjust our real estate footprint to more closely match our current business needs. This included vacating certain facilities, downsizing certain facilities, and renegotiating many of our existing and expiring leases. These measures have begun to also benefit our on-going results.</w:t>
      </w:r>
    </w:p>
    <w:p>
      <w:pPr>
        <w:spacing w:after="0" w:line="59" w:lineRule="exact"/>
        <w:rPr>
          <w:rFonts w:ascii="Arial" w:cs="Arial" w:eastAsia="Arial" w:hAnsi="Arial"/>
          <w:sz w:val="18"/>
          <w:szCs w:val="18"/>
          <w:color w:val="auto"/>
        </w:rPr>
      </w:pPr>
    </w:p>
    <w:p>
      <w:pPr>
        <w:jc w:val="both"/>
        <w:ind w:left="900" w:right="320" w:hanging="446"/>
        <w:spacing w:after="0" w:line="306"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Manufacturing cost reductions</w:t>
      </w:r>
      <w:r>
        <w:rPr>
          <w:rFonts w:ascii="Arial" w:cs="Arial" w:eastAsia="Arial" w:hAnsi="Arial"/>
          <w:sz w:val="16"/>
          <w:szCs w:val="16"/>
          <w:color w:val="auto"/>
        </w:rPr>
        <w:t xml:space="preserve"> – At the beginning of the downturn, we took the opportunity to renegotiate the pricing arrangements with our key manufacturing partners including foundries, assembly and test subcontractors. As we have substantially sold through our inventory built in prior periods at higher costs, we are beginning to see significant benefits as a result of these efforts.</w:t>
      </w:r>
    </w:p>
    <w:p>
      <w:pPr>
        <w:spacing w:after="0" w:line="25" w:lineRule="exact"/>
        <w:rPr>
          <w:rFonts w:ascii="Arial" w:cs="Arial" w:eastAsia="Arial" w:hAnsi="Arial"/>
          <w:sz w:val="16"/>
          <w:szCs w:val="16"/>
          <w:color w:val="auto"/>
        </w:rPr>
      </w:pPr>
    </w:p>
    <w:p>
      <w:pPr>
        <w:ind w:left="900" w:hanging="446"/>
        <w:spacing w:after="0" w:line="306"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Discretionary spending controls</w:t>
      </w:r>
      <w:r>
        <w:rPr>
          <w:rFonts w:ascii="Arial" w:cs="Arial" w:eastAsia="Arial" w:hAnsi="Arial"/>
          <w:sz w:val="16"/>
          <w:szCs w:val="16"/>
          <w:color w:val="auto"/>
        </w:rPr>
        <w:t xml:space="preserve"> – During the second half of fiscal 2009, we implemented very strict guidelines with regards to discretionary spending including restrictions on travel and limitations on use of outside professional services to name a few. Although we have begun to ease some of the restrictions, we will continue the spending discipline to ensure our expense levels remain competitive.</w:t>
      </w:r>
    </w:p>
    <w:p>
      <w:pPr>
        <w:spacing w:after="0" w:line="25" w:lineRule="exact"/>
        <w:rPr>
          <w:rFonts w:ascii="Arial" w:cs="Arial" w:eastAsia="Arial" w:hAnsi="Arial"/>
          <w:sz w:val="16"/>
          <w:szCs w:val="16"/>
          <w:color w:val="auto"/>
        </w:rPr>
      </w:pPr>
    </w:p>
    <w:p>
      <w:pPr>
        <w:ind w:left="900" w:hanging="446"/>
        <w:spacing w:after="0" w:line="291"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Stock-based compensation</w:t>
      </w:r>
      <w:r>
        <w:rPr>
          <w:rFonts w:ascii="Arial" w:cs="Arial" w:eastAsia="Arial" w:hAnsi="Arial"/>
          <w:sz w:val="16"/>
          <w:szCs w:val="16"/>
          <w:color w:val="auto"/>
        </w:rPr>
        <w:t xml:space="preserve"> – In the fourth quarter of fiscal 2009, we implemented a stock option exchange program for our employees to allow them to exchange options with higher prices for restricted stock units. Not only did this program allow employees to receive some value, it also impacted our stock option expense levels as is evidenced in the results. The expense in the periods of fiscal 2010 has been lower partially due to differences in the vesting schedule of replacement grants versus exchanged options. In addition, we took the opportunity while the stock price was lower to provide our annual grants to employees earlier in the cycle in order to provide some additional retention value but also limit the amount of stock-based compensation associated with those awards.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80"/>
          </w:cols>
          <w:pgMar w:left="240" w:top="45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80" w:type="dxa"/>
            <w:vAlign w:val="bottom"/>
            <w:gridSpan w:val="8"/>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0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w w:val="93"/>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0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Borders>
              <w:top w:val="single" w:sz="8" w:color="auto"/>
            </w:tcBorders>
            <w:gridSpan w:val="3"/>
          </w:tcPr>
          <w:p>
            <w:pPr>
              <w:jc w:val="center"/>
              <w:ind w:right="20"/>
              <w:spacing w:after="0" w:line="129" w:lineRule="exact"/>
              <w:rPr>
                <w:sz w:val="20"/>
                <w:szCs w:val="20"/>
                <w:color w:val="auto"/>
              </w:rPr>
            </w:pPr>
            <w:r>
              <w:rPr>
                <w:rFonts w:ascii="Arial" w:cs="Arial" w:eastAsia="Arial" w:hAnsi="Arial"/>
                <w:sz w:val="14"/>
                <w:szCs w:val="14"/>
                <w:b w:val="1"/>
                <w:bCs w:val="1"/>
                <w:color w:val="auto"/>
                <w:w w:val="87"/>
              </w:rPr>
              <w:t>August 1,</w:t>
            </w:r>
          </w:p>
        </w:tc>
        <w:tc>
          <w:tcPr>
            <w:tcW w:w="4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600" w:type="dxa"/>
            <w:vAlign w:val="bottom"/>
          </w:tcPr>
          <w:p>
            <w:pPr>
              <w:spacing w:after="0"/>
              <w:rPr>
                <w:sz w:val="11"/>
                <w:szCs w:val="11"/>
                <w:color w:val="auto"/>
              </w:rPr>
            </w:pPr>
          </w:p>
        </w:tc>
        <w:tc>
          <w:tcPr>
            <w:tcW w:w="1200" w:type="dxa"/>
            <w:vAlign w:val="bottom"/>
            <w:tcBorders>
              <w:top w:val="single" w:sz="8" w:color="auto"/>
            </w:tcBorders>
            <w:gridSpan w:val="5"/>
          </w:tcPr>
          <w:p>
            <w:pPr>
              <w:spacing w:after="0" w:line="129" w:lineRule="exact"/>
              <w:rPr>
                <w:sz w:val="20"/>
                <w:szCs w:val="20"/>
                <w:color w:val="auto"/>
              </w:rPr>
            </w:pPr>
            <w:r>
              <w:rPr>
                <w:rFonts w:ascii="Arial" w:cs="Arial" w:eastAsia="Arial" w:hAnsi="Arial"/>
                <w:sz w:val="14"/>
                <w:szCs w:val="14"/>
                <w:b w:val="1"/>
                <w:bCs w:val="1"/>
                <w:color w:val="auto"/>
              </w:rPr>
              <w:t>August 1,</w:t>
            </w:r>
          </w:p>
        </w:tc>
        <w:tc>
          <w:tcPr>
            <w:tcW w:w="4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75"/>
              </w:rPr>
              <w:t>August 2,</w:t>
            </w: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00" w:type="dxa"/>
            <w:vAlign w:val="bottom"/>
            <w:gridSpan w:val="2"/>
          </w:tcPr>
          <w:p>
            <w:pPr>
              <w:spacing w:after="0"/>
              <w:rPr>
                <w:sz w:val="14"/>
                <w:szCs w:val="14"/>
                <w:color w:val="auto"/>
              </w:rPr>
            </w:pPr>
          </w:p>
        </w:tc>
        <w:tc>
          <w:tcPr>
            <w:tcW w:w="560" w:type="dxa"/>
            <w:vAlign w:val="bottom"/>
            <w:tcBorders>
              <w:bottom w:val="single" w:sz="8" w:color="auto"/>
            </w:tcBorders>
            <w:gridSpan w:val="2"/>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Borders>
              <w:bottom w:val="single" w:sz="8" w:color="auto"/>
            </w:tcBorders>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6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2"/>
          </w:tcPr>
          <w:p>
            <w:pPr>
              <w:jc w:val="right"/>
              <w:ind w:right="72"/>
              <w:spacing w:after="0"/>
              <w:rPr>
                <w:sz w:val="20"/>
                <w:szCs w:val="20"/>
                <w:color w:val="auto"/>
              </w:rPr>
            </w:pPr>
            <w:r>
              <w:rPr>
                <w:rFonts w:ascii="Arial" w:cs="Arial" w:eastAsia="Arial" w:hAnsi="Arial"/>
                <w:sz w:val="14"/>
                <w:szCs w:val="14"/>
                <w:b w:val="1"/>
                <w:bCs w:val="1"/>
                <w:color w:val="auto"/>
                <w:w w:val="89"/>
              </w:rPr>
              <w:t>2009</w:t>
            </w: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80" w:type="dxa"/>
            <w:vAlign w:val="bottom"/>
            <w:shd w:val="clear" w:color="auto" w:fill="CCEEFF"/>
          </w:tcPr>
          <w:p>
            <w:pPr>
              <w:spacing w:after="0"/>
              <w:rPr>
                <w:sz w:val="18"/>
                <w:szCs w:val="18"/>
                <w:color w:val="auto"/>
              </w:rPr>
            </w:pPr>
          </w:p>
        </w:tc>
        <w:tc>
          <w:tcPr>
            <w:tcW w:w="1520" w:type="dxa"/>
            <w:vAlign w:val="bottom"/>
            <w:gridSpan w:val="6"/>
            <w:shd w:val="clear" w:color="auto" w:fill="CCEEFF"/>
          </w:tcPr>
          <w:p>
            <w:pPr>
              <w:jc w:val="right"/>
              <w:ind w:right="247"/>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8"/>
                <w:szCs w:val="18"/>
                <w:color w:val="auto"/>
              </w:rPr>
            </w:pPr>
          </w:p>
        </w:tc>
        <w:tc>
          <w:tcPr>
            <w:tcW w:w="1160" w:type="dxa"/>
            <w:vAlign w:val="bottom"/>
            <w:tcBorders>
              <w:right w:val="single" w:sz="8" w:color="CCEEFF"/>
            </w:tcBorders>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100.0%</w:t>
            </w: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w w:val="91"/>
              </w:rPr>
              <w:t>100.0%</w:t>
            </w: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680" w:type="dxa"/>
            <w:vAlign w:val="bottom"/>
            <w:shd w:val="clear" w:color="auto" w:fill="CCEEFF"/>
          </w:tcPr>
          <w:p>
            <w:pPr>
              <w:spacing w:after="0"/>
              <w:rPr>
                <w:sz w:val="18"/>
                <w:szCs w:val="18"/>
                <w:color w:val="auto"/>
              </w:rPr>
            </w:pPr>
          </w:p>
        </w:tc>
        <w:tc>
          <w:tcPr>
            <w:tcW w:w="10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45.0</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48.2</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47.0</w:t>
            </w:r>
          </w:p>
        </w:tc>
        <w:tc>
          <w:tcPr>
            <w:tcW w:w="4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680" w:type="dxa"/>
            <w:vAlign w:val="bottom"/>
          </w:tcPr>
          <w:p>
            <w:pPr>
              <w:spacing w:after="0"/>
              <w:rPr>
                <w:sz w:val="18"/>
                <w:szCs w:val="18"/>
                <w:color w:val="auto"/>
              </w:rPr>
            </w:pPr>
          </w:p>
        </w:tc>
        <w:tc>
          <w:tcPr>
            <w:tcW w:w="1080" w:type="dxa"/>
            <w:vAlign w:val="bottom"/>
            <w:gridSpan w:val="5"/>
          </w:tcPr>
          <w:p>
            <w:pPr>
              <w:jc w:val="right"/>
              <w:ind w:right="20"/>
              <w:spacing w:after="0"/>
              <w:rPr>
                <w:sz w:val="20"/>
                <w:szCs w:val="20"/>
                <w:color w:val="auto"/>
              </w:rPr>
            </w:pPr>
            <w:r>
              <w:rPr>
                <w:rFonts w:ascii="Arial" w:cs="Arial" w:eastAsia="Arial" w:hAnsi="Arial"/>
                <w:sz w:val="18"/>
                <w:szCs w:val="18"/>
                <w:color w:val="auto"/>
              </w:rPr>
              <w:t>30.1</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29.6</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33.8</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29.6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680" w:type="dxa"/>
            <w:vAlign w:val="bottom"/>
            <w:shd w:val="clear" w:color="auto" w:fill="CCEEFF"/>
          </w:tcPr>
          <w:p>
            <w:pPr>
              <w:spacing w:after="0"/>
              <w:rPr>
                <w:sz w:val="18"/>
                <w:szCs w:val="18"/>
                <w:color w:val="auto"/>
              </w:rPr>
            </w:pPr>
          </w:p>
        </w:tc>
        <w:tc>
          <w:tcPr>
            <w:tcW w:w="10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5.0</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4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680" w:type="dxa"/>
            <w:vAlign w:val="bottom"/>
          </w:tcPr>
          <w:p>
            <w:pPr>
              <w:spacing w:after="0"/>
              <w:rPr>
                <w:sz w:val="18"/>
                <w:szCs w:val="18"/>
                <w:color w:val="auto"/>
              </w:rPr>
            </w:pPr>
          </w:p>
        </w:tc>
        <w:tc>
          <w:tcPr>
            <w:tcW w:w="1080" w:type="dxa"/>
            <w:vAlign w:val="bottom"/>
            <w:gridSpan w:val="5"/>
          </w:tcPr>
          <w:p>
            <w:pPr>
              <w:jc w:val="right"/>
              <w:ind w:right="20"/>
              <w:spacing w:after="0"/>
              <w:rPr>
                <w:sz w:val="20"/>
                <w:szCs w:val="20"/>
                <w:color w:val="auto"/>
              </w:rPr>
            </w:pPr>
            <w:r>
              <w:rPr>
                <w:rFonts w:ascii="Arial" w:cs="Arial" w:eastAsia="Arial" w:hAnsi="Arial"/>
                <w:sz w:val="18"/>
                <w:szCs w:val="18"/>
                <w:color w:val="auto"/>
              </w:rPr>
              <w:t>4.5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3.7</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11.2</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680" w:type="dxa"/>
            <w:vAlign w:val="bottom"/>
            <w:shd w:val="clear" w:color="auto" w:fill="CCEEFF"/>
          </w:tcPr>
          <w:p>
            <w:pPr>
              <w:spacing w:after="0"/>
              <w:rPr>
                <w:sz w:val="18"/>
                <w:szCs w:val="18"/>
                <w:color w:val="auto"/>
              </w:rPr>
            </w:pPr>
          </w:p>
        </w:tc>
        <w:tc>
          <w:tcPr>
            <w:tcW w:w="10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4.1</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4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680" w:type="dxa"/>
            <w:vAlign w:val="bottom"/>
          </w:tcPr>
          <w:p>
            <w:pPr>
              <w:spacing w:after="0"/>
              <w:rPr>
                <w:sz w:val="18"/>
                <w:szCs w:val="18"/>
                <w:color w:val="auto"/>
              </w:rPr>
            </w:pPr>
          </w:p>
        </w:tc>
        <w:tc>
          <w:tcPr>
            <w:tcW w:w="500" w:type="dxa"/>
            <w:vAlign w:val="bottom"/>
            <w:gridSpan w:val="2"/>
          </w:tcPr>
          <w:p>
            <w:pPr>
              <w:spacing w:after="0"/>
              <w:rPr>
                <w:sz w:val="18"/>
                <w:szCs w:val="18"/>
                <w:color w:val="auto"/>
              </w:rPr>
            </w:pP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0.8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3"/>
          </w:tcPr>
          <w:p>
            <w:pPr>
              <w:jc w:val="right"/>
              <w:ind w:right="612"/>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0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6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costs and expenses</w:t>
            </w:r>
          </w:p>
        </w:tc>
        <w:tc>
          <w:tcPr>
            <w:tcW w:w="6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5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89.5</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90.6</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103.6</w:t>
            </w:r>
          </w:p>
        </w:tc>
        <w:tc>
          <w:tcPr>
            <w:tcW w:w="4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90.2</w:t>
            </w:r>
          </w:p>
        </w:tc>
        <w:tc>
          <w:tcPr>
            <w:tcW w:w="0" w:type="dxa"/>
            <w:vAlign w:val="bottom"/>
          </w:tcPr>
          <w:p>
            <w:pPr>
              <w:spacing w:after="0"/>
              <w:rPr>
                <w:sz w:val="1"/>
                <w:szCs w:val="1"/>
                <w:color w:val="auto"/>
              </w:rPr>
            </w:pPr>
          </w:p>
        </w:tc>
      </w:tr>
      <w:tr>
        <w:trPr>
          <w:trHeight w:val="20"/>
        </w:trPr>
        <w:tc>
          <w:tcPr>
            <w:tcW w:w="6060" w:type="dxa"/>
            <w:vAlign w:val="bottom"/>
            <w:gridSpan w:val="2"/>
            <w:vMerge w:val="restart"/>
          </w:tcPr>
          <w:p>
            <w:pPr>
              <w:spacing w:after="0"/>
              <w:rPr>
                <w:sz w:val="20"/>
                <w:szCs w:val="20"/>
                <w:color w:val="auto"/>
              </w:rPr>
            </w:pPr>
            <w:r>
              <w:rPr>
                <w:rFonts w:ascii="Arial" w:cs="Arial" w:eastAsia="Arial" w:hAnsi="Arial"/>
                <w:sz w:val="18"/>
                <w:szCs w:val="18"/>
                <w:color w:val="auto"/>
              </w:rPr>
              <w:t>Operating income (loss)</w:t>
            </w: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0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tcBorders>
              <w:right w:val="single" w:sz="8" w:color="auto"/>
            </w:tcBorders>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060" w:type="dxa"/>
            <w:vAlign w:val="bottom"/>
            <w:gridSpan w:val="2"/>
            <w:vMerge w:val="continue"/>
          </w:tcPr>
          <w:p>
            <w:pPr>
              <w:spacing w:after="0"/>
              <w:rPr>
                <w:sz w:val="19"/>
                <w:szCs w:val="19"/>
                <w:color w:val="auto"/>
              </w:rPr>
            </w:pPr>
          </w:p>
        </w:tc>
        <w:tc>
          <w:tcPr>
            <w:tcW w:w="680" w:type="dxa"/>
            <w:vAlign w:val="bottom"/>
          </w:tcPr>
          <w:p>
            <w:pPr>
              <w:spacing w:after="0"/>
              <w:rPr>
                <w:sz w:val="19"/>
                <w:szCs w:val="19"/>
                <w:color w:val="auto"/>
              </w:rPr>
            </w:pPr>
          </w:p>
        </w:tc>
        <w:tc>
          <w:tcPr>
            <w:tcW w:w="500" w:type="dxa"/>
            <w:vAlign w:val="bottom"/>
            <w:gridSpan w:val="2"/>
          </w:tcPr>
          <w:p>
            <w:pPr>
              <w:spacing w:after="0"/>
              <w:rPr>
                <w:sz w:val="19"/>
                <w:szCs w:val="19"/>
                <w:color w:val="auto"/>
              </w:rPr>
            </w:pP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10.5</w:t>
            </w: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9.4</w:t>
            </w:r>
          </w:p>
        </w:tc>
        <w:tc>
          <w:tcPr>
            <w:tcW w:w="6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20" w:type="dxa"/>
            <w:vAlign w:val="bottom"/>
            <w:gridSpan w:val="3"/>
          </w:tcPr>
          <w:p>
            <w:pPr>
              <w:jc w:val="right"/>
              <w:ind w:right="420"/>
              <w:spacing w:after="0"/>
              <w:rPr>
                <w:sz w:val="20"/>
                <w:szCs w:val="20"/>
                <w:color w:val="auto"/>
              </w:rPr>
            </w:pPr>
            <w:r>
              <w:rPr>
                <w:rFonts w:ascii="Arial" w:cs="Arial" w:eastAsia="Arial" w:hAnsi="Arial"/>
                <w:sz w:val="18"/>
                <w:szCs w:val="18"/>
                <w:color w:val="auto"/>
              </w:rPr>
              <w:t>(3.6)</w:t>
            </w:r>
          </w:p>
        </w:tc>
        <w:tc>
          <w:tcPr>
            <w:tcW w:w="200" w:type="dxa"/>
            <w:vAlign w:val="bottom"/>
          </w:tcPr>
          <w:p>
            <w:pPr>
              <w:spacing w:after="0"/>
              <w:rPr>
                <w:sz w:val="19"/>
                <w:szCs w:val="19"/>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680" w:type="dxa"/>
            <w:vAlign w:val="bottom"/>
            <w:shd w:val="clear" w:color="auto" w:fill="CCEEFF"/>
          </w:tcPr>
          <w:p>
            <w:pPr>
              <w:spacing w:after="0"/>
              <w:rPr>
                <w:sz w:val="18"/>
                <w:szCs w:val="18"/>
                <w:color w:val="auto"/>
              </w:rPr>
            </w:pPr>
          </w:p>
        </w:tc>
        <w:tc>
          <w:tcPr>
            <w:tcW w:w="10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0.3</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4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Interest expense</w:t>
            </w:r>
          </w:p>
        </w:tc>
        <w:tc>
          <w:tcPr>
            <w:tcW w:w="680" w:type="dxa"/>
            <w:vAlign w:val="bottom"/>
          </w:tcPr>
          <w:p>
            <w:pPr>
              <w:spacing w:after="0"/>
              <w:rPr>
                <w:sz w:val="18"/>
                <w:szCs w:val="18"/>
                <w:color w:val="auto"/>
              </w:rPr>
            </w:pPr>
          </w:p>
        </w:tc>
        <w:tc>
          <w:tcPr>
            <w:tcW w:w="500" w:type="dxa"/>
            <w:vAlign w:val="bottom"/>
            <w:gridSpan w:val="2"/>
          </w:tcPr>
          <w:p>
            <w:pPr>
              <w:spacing w:after="0"/>
              <w:rPr>
                <w:sz w:val="18"/>
                <w:szCs w:val="18"/>
                <w:color w:val="auto"/>
              </w:rPr>
            </w:pPr>
          </w:p>
        </w:tc>
        <w:tc>
          <w:tcPr>
            <w:tcW w:w="1020" w:type="dxa"/>
            <w:vAlign w:val="bottom"/>
            <w:gridSpan w:val="4"/>
          </w:tcPr>
          <w:p>
            <w:pPr>
              <w:jc w:val="right"/>
              <w:ind w:right="327"/>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1160" w:type="dxa"/>
            <w:vAlign w:val="bottom"/>
            <w:gridSpan w:val="3"/>
          </w:tcPr>
          <w:p>
            <w:pPr>
              <w:jc w:val="right"/>
              <w:ind w:right="472"/>
              <w:spacing w:after="0"/>
              <w:rPr>
                <w:sz w:val="20"/>
                <w:szCs w:val="20"/>
                <w:color w:val="auto"/>
              </w:rPr>
            </w:pPr>
            <w:r>
              <w:rPr>
                <w:rFonts w:ascii="Arial" w:cs="Arial" w:eastAsia="Arial" w:hAnsi="Arial"/>
                <w:sz w:val="18"/>
                <w:szCs w:val="18"/>
                <w:color w:val="auto"/>
              </w:rPr>
              <w:t>(0.6)</w:t>
            </w:r>
          </w:p>
        </w:tc>
        <w:tc>
          <w:tcPr>
            <w:tcW w:w="80" w:type="dxa"/>
            <w:vAlign w:val="bottom"/>
          </w:tcPr>
          <w:p>
            <w:pPr>
              <w:spacing w:after="0"/>
              <w:rPr>
                <w:sz w:val="18"/>
                <w:szCs w:val="18"/>
                <w:color w:val="auto"/>
              </w:rPr>
            </w:pPr>
          </w:p>
        </w:tc>
        <w:tc>
          <w:tcPr>
            <w:tcW w:w="920" w:type="dxa"/>
            <w:vAlign w:val="bottom"/>
            <w:gridSpan w:val="3"/>
          </w:tcPr>
          <w:p>
            <w:pPr>
              <w:jc w:val="right"/>
              <w:ind w:right="420"/>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8"/>
                <w:szCs w:val="18"/>
                <w:color w:val="auto"/>
              </w:rPr>
            </w:pP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6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6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5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10.6</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60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(3.6)</w:t>
            </w: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680" w:type="dxa"/>
            <w:vAlign w:val="bottom"/>
          </w:tcPr>
          <w:p>
            <w:pPr>
              <w:spacing w:after="0"/>
              <w:rPr>
                <w:sz w:val="18"/>
                <w:szCs w:val="18"/>
                <w:color w:val="auto"/>
              </w:rPr>
            </w:pPr>
          </w:p>
        </w:tc>
        <w:tc>
          <w:tcPr>
            <w:tcW w:w="500" w:type="dxa"/>
            <w:vAlign w:val="bottom"/>
            <w:gridSpan w:val="2"/>
          </w:tcPr>
          <w:p>
            <w:pPr>
              <w:spacing w:after="0"/>
              <w:rPr>
                <w:sz w:val="18"/>
                <w:szCs w:val="18"/>
                <w:color w:val="auto"/>
              </w:rPr>
            </w:pPr>
          </w:p>
        </w:tc>
        <w:tc>
          <w:tcPr>
            <w:tcW w:w="580" w:type="dxa"/>
            <w:vAlign w:val="bottom"/>
            <w:gridSpan w:val="3"/>
          </w:tcPr>
          <w:p>
            <w:pPr>
              <w:jc w:val="right"/>
              <w:ind w:right="20"/>
              <w:spacing w:after="0"/>
              <w:rPr>
                <w:sz w:val="20"/>
                <w:szCs w:val="20"/>
                <w:color w:val="auto"/>
              </w:rPr>
            </w:pPr>
            <w:r>
              <w:rPr>
                <w:rFonts w:ascii="Arial" w:cs="Arial" w:eastAsia="Arial" w:hAnsi="Arial"/>
                <w:sz w:val="18"/>
                <w:szCs w:val="18"/>
                <w:color w:val="auto"/>
              </w:rPr>
              <w:t>1.5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4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6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6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1020" w:type="dxa"/>
            <w:vAlign w:val="bottom"/>
            <w:gridSpan w:val="4"/>
            <w:shd w:val="clear" w:color="auto" w:fill="CCEEFF"/>
          </w:tcPr>
          <w:p>
            <w:pPr>
              <w:jc w:val="right"/>
              <w:ind w:right="247"/>
              <w:spacing w:after="0"/>
              <w:rPr>
                <w:sz w:val="20"/>
                <w:szCs w:val="20"/>
                <w:color w:val="auto"/>
              </w:rPr>
            </w:pPr>
            <w:r>
              <w:rPr>
                <w:rFonts w:ascii="Arial" w:cs="Arial" w:eastAsia="Arial" w:hAnsi="Arial"/>
                <w:sz w:val="18"/>
                <w:szCs w:val="18"/>
                <w:color w:val="auto"/>
              </w:rPr>
              <w:t>9.1%</w:t>
            </w:r>
          </w:p>
        </w:tc>
        <w:tc>
          <w:tcPr>
            <w:tcW w:w="100" w:type="dxa"/>
            <w:vAlign w:val="bottom"/>
            <w:shd w:val="clear" w:color="auto" w:fill="CCEEFF"/>
          </w:tcPr>
          <w:p>
            <w:pPr>
              <w:spacing w:after="0"/>
              <w:rPr>
                <w:sz w:val="18"/>
                <w:szCs w:val="18"/>
                <w:color w:val="auto"/>
              </w:rPr>
            </w:pPr>
          </w:p>
        </w:tc>
        <w:tc>
          <w:tcPr>
            <w:tcW w:w="1160" w:type="dxa"/>
            <w:vAlign w:val="bottom"/>
            <w:tcBorders>
              <w:right w:val="single" w:sz="8" w:color="CCEEFF"/>
            </w:tcBorders>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8.5%</w:t>
            </w: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(4.6)%</w:t>
            </w:r>
          </w:p>
        </w:tc>
        <w:tc>
          <w:tcPr>
            <w:tcW w:w="200" w:type="dxa"/>
            <w:vAlign w:val="bottom"/>
            <w:tcBorders>
              <w:right w:val="single" w:sz="8" w:color="CCEEFF"/>
            </w:tcBorders>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w:t>
            </w:r>
          </w:p>
        </w:tc>
        <w:tc>
          <w:tcPr>
            <w:tcW w:w="0" w:type="dxa"/>
            <w:vAlign w:val="bottom"/>
          </w:tcPr>
          <w:p>
            <w:pPr>
              <w:spacing w:after="0"/>
              <w:rPr>
                <w:sz w:val="1"/>
                <w:szCs w:val="1"/>
                <w:color w:val="auto"/>
              </w:rPr>
            </w:pPr>
          </w:p>
        </w:tc>
      </w:tr>
      <w:tr>
        <w:trPr>
          <w:trHeight w:val="464"/>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Three and Six Months Ended August 1, 2009 and August 2, 2008</w:t>
            </w: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20" w:type="dxa"/>
            <w:vAlign w:val="bottom"/>
            <w:tcBorders>
              <w:top w:val="single" w:sz="8" w:color="auto"/>
            </w:tcBorders>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Borders>
              <w:top w:val="single" w:sz="8" w:color="auto"/>
            </w:tcBorders>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6040" w:type="dxa"/>
            <w:vAlign w:val="bottom"/>
          </w:tcPr>
          <w:p>
            <w:pPr>
              <w:ind w:left="220"/>
              <w:spacing w:after="0"/>
              <w:rPr>
                <w:sz w:val="20"/>
                <w:szCs w:val="20"/>
                <w:color w:val="auto"/>
              </w:rPr>
            </w:pPr>
            <w:r>
              <w:rPr>
                <w:rFonts w:ascii="Arial" w:cs="Arial" w:eastAsia="Arial" w:hAnsi="Arial"/>
                <w:sz w:val="18"/>
                <w:szCs w:val="18"/>
                <w:i w:val="1"/>
                <w:iCs w:val="1"/>
                <w:color w:val="auto"/>
              </w:rPr>
              <w:t>Net Revenue</w:t>
            </w: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6040" w:type="dxa"/>
            <w:vAlign w:val="bottom"/>
          </w:tcPr>
          <w:p>
            <w:pPr>
              <w:spacing w:after="0"/>
              <w:rPr>
                <w:sz w:val="24"/>
                <w:szCs w:val="24"/>
                <w:color w:val="auto"/>
              </w:rPr>
            </w:pPr>
          </w:p>
        </w:tc>
        <w:tc>
          <w:tcPr>
            <w:tcW w:w="176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w w:val="98"/>
              </w:rPr>
              <w:t>Three Months Ended</w:t>
            </w:r>
          </w:p>
        </w:tc>
        <w:tc>
          <w:tcPr>
            <w:tcW w:w="440" w:type="dxa"/>
            <w:vAlign w:val="bottom"/>
            <w:vMerge w:val="restart"/>
          </w:tcPr>
          <w:p>
            <w:pPr>
              <w:jc w:val="right"/>
              <w:ind w:right="87"/>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0" w:type="dxa"/>
            <w:vAlign w:val="bottom"/>
            <w:gridSpan w:val="6"/>
          </w:tcPr>
          <w:p>
            <w:pPr>
              <w:ind w:left="16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040" w:type="dxa"/>
            <w:vAlign w:val="bottom"/>
          </w:tcPr>
          <w:p>
            <w:pPr>
              <w:spacing w:after="0"/>
              <w:rPr>
                <w:sz w:val="11"/>
                <w:szCs w:val="11"/>
                <w:color w:val="auto"/>
              </w:rPr>
            </w:pPr>
          </w:p>
        </w:tc>
        <w:tc>
          <w:tcPr>
            <w:tcW w:w="68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3"/>
              </w:rPr>
              <w:t>August 1,</w:t>
            </w:r>
          </w:p>
        </w:tc>
        <w:tc>
          <w:tcPr>
            <w:tcW w:w="2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200" w:type="dxa"/>
            <w:vAlign w:val="bottom"/>
            <w:gridSpan w:val="2"/>
          </w:tcPr>
          <w:p>
            <w:pPr>
              <w:spacing w:after="0"/>
              <w:rPr>
                <w:sz w:val="11"/>
                <w:szCs w:val="11"/>
                <w:color w:val="auto"/>
              </w:rPr>
            </w:pPr>
          </w:p>
        </w:tc>
        <w:tc>
          <w:tcPr>
            <w:tcW w:w="44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0" w:type="dxa"/>
            <w:vAlign w:val="bottom"/>
            <w:tcBorders>
              <w:top w:val="single" w:sz="8" w:color="auto"/>
            </w:tcBorders>
            <w:gridSpan w:val="2"/>
          </w:tcPr>
          <w:p>
            <w:pPr>
              <w:jc w:val="right"/>
              <w:ind w:right="52"/>
              <w:spacing w:after="0" w:line="129" w:lineRule="exact"/>
              <w:rPr>
                <w:sz w:val="20"/>
                <w:szCs w:val="20"/>
                <w:color w:val="auto"/>
              </w:rPr>
            </w:pPr>
            <w:r>
              <w:rPr>
                <w:rFonts w:ascii="Arial" w:cs="Arial" w:eastAsia="Arial" w:hAnsi="Arial"/>
                <w:sz w:val="14"/>
                <w:szCs w:val="14"/>
                <w:b w:val="1"/>
                <w:bCs w:val="1"/>
                <w:color w:val="auto"/>
              </w:rPr>
              <w:t>August 1,</w:t>
            </w:r>
          </w:p>
        </w:tc>
        <w:tc>
          <w:tcPr>
            <w:tcW w:w="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ind w:right="120"/>
              <w:spacing w:after="0" w:line="129" w:lineRule="exact"/>
              <w:rPr>
                <w:sz w:val="20"/>
                <w:szCs w:val="20"/>
                <w:color w:val="auto"/>
              </w:rPr>
            </w:pPr>
            <w:r>
              <w:rPr>
                <w:rFonts w:ascii="Arial" w:cs="Arial" w:eastAsia="Arial" w:hAnsi="Arial"/>
                <w:sz w:val="14"/>
                <w:szCs w:val="14"/>
                <w:b w:val="1"/>
                <w:bCs w:val="1"/>
                <w:color w:val="auto"/>
              </w:rPr>
              <w:t>August 2,</w:t>
            </w:r>
          </w:p>
        </w:tc>
        <w:tc>
          <w:tcPr>
            <w:tcW w:w="2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680" w:type="dxa"/>
            <w:vAlign w:val="bottom"/>
          </w:tcPr>
          <w:p>
            <w:pPr>
              <w:jc w:val="right"/>
              <w:ind w:right="127"/>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680" w:type="dxa"/>
            <w:vAlign w:val="bottom"/>
            <w:gridSpan w:val="2"/>
          </w:tcPr>
          <w:p>
            <w:pPr>
              <w:jc w:val="right"/>
              <w:ind w:right="138"/>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1"/>
              </w:rPr>
              <w:t>Change</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00" w:type="dxa"/>
            <w:vAlign w:val="bottom"/>
            <w:gridSpan w:val="2"/>
          </w:tcPr>
          <w:p>
            <w:pPr>
              <w:jc w:val="right"/>
              <w:ind w:right="192"/>
              <w:spacing w:after="0"/>
              <w:rPr>
                <w:sz w:val="20"/>
                <w:szCs w:val="20"/>
                <w:color w:val="auto"/>
              </w:rPr>
            </w:pPr>
            <w:r>
              <w:rPr>
                <w:rFonts w:ascii="Arial" w:cs="Arial" w:eastAsia="Arial" w:hAnsi="Arial"/>
                <w:sz w:val="14"/>
                <w:szCs w:val="14"/>
                <w:b w:val="1"/>
                <w:bCs w:val="1"/>
                <w:color w:val="auto"/>
              </w:rPr>
              <w:t>2009</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81"/>
              </w:rPr>
              <w:t>Change</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gridSpan w:val="2"/>
            <w:vMerge w:val="restart"/>
          </w:tcPr>
          <w:p>
            <w:pPr>
              <w:jc w:val="right"/>
              <w:ind w:right="20"/>
              <w:spacing w:after="0"/>
              <w:rPr>
                <w:sz w:val="20"/>
                <w:szCs w:val="20"/>
                <w:color w:val="auto"/>
              </w:rPr>
            </w:pPr>
            <w:r>
              <w:rPr>
                <w:rFonts w:ascii="Arial" w:cs="Arial" w:eastAsia="Arial" w:hAnsi="Arial"/>
                <w:sz w:val="14"/>
                <w:szCs w:val="14"/>
                <w:b w:val="1"/>
                <w:bCs w:val="1"/>
                <w:color w:val="auto"/>
                <w:w w:val="93"/>
              </w:rPr>
              <w:t>(in</w:t>
            </w:r>
          </w:p>
        </w:tc>
        <w:tc>
          <w:tcPr>
            <w:tcW w:w="440" w:type="dxa"/>
            <w:vAlign w:val="bottom"/>
            <w:shd w:val="clear" w:color="auto" w:fill="000000"/>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800" w:type="dxa"/>
            <w:vAlign w:val="bottom"/>
            <w:tcBorders>
              <w:right w:val="single" w:sz="8" w:color="auto"/>
            </w:tcBorders>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gridSpan w:val="2"/>
            <w:vMerge w:val="continue"/>
          </w:tcPr>
          <w:p>
            <w:pPr>
              <w:spacing w:after="0"/>
              <w:rPr>
                <w:sz w:val="12"/>
                <w:szCs w:val="12"/>
                <w:color w:val="auto"/>
              </w:rPr>
            </w:pPr>
          </w:p>
        </w:tc>
        <w:tc>
          <w:tcPr>
            <w:tcW w:w="1780" w:type="dxa"/>
            <w:vAlign w:val="bottom"/>
            <w:gridSpan w:val="6"/>
          </w:tcPr>
          <w:p>
            <w:pPr>
              <w:jc w:val="center"/>
              <w:spacing w:after="0" w:line="142" w:lineRule="exact"/>
              <w:rPr>
                <w:sz w:val="20"/>
                <w:szCs w:val="20"/>
                <w:color w:val="auto"/>
              </w:rPr>
            </w:pPr>
            <w:r>
              <w:rPr>
                <w:rFonts w:ascii="Arial" w:cs="Arial" w:eastAsia="Arial" w:hAnsi="Arial"/>
                <w:sz w:val="14"/>
                <w:szCs w:val="14"/>
                <w:b w:val="1"/>
                <w:bCs w:val="1"/>
                <w:color w:val="auto"/>
                <w:w w:val="84"/>
              </w:rPr>
              <w:t>thousands, except percentage)</w:t>
            </w:r>
          </w:p>
        </w:tc>
        <w:tc>
          <w:tcPr>
            <w:tcW w:w="1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$640,620</w:t>
            </w: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$842,575</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80" w:type="dxa"/>
            <w:vAlign w:val="bottom"/>
            <w:gridSpan w:val="6"/>
            <w:shd w:val="clear" w:color="auto" w:fill="CCEEFF"/>
          </w:tcPr>
          <w:p>
            <w:pPr>
              <w:jc w:val="right"/>
              <w:ind w:right="12"/>
              <w:spacing w:after="0"/>
              <w:rPr>
                <w:sz w:val="20"/>
                <w:szCs w:val="20"/>
                <w:color w:val="auto"/>
              </w:rPr>
            </w:pPr>
            <w:r>
              <w:rPr>
                <w:rFonts w:ascii="Arial" w:cs="Arial" w:eastAsia="Arial" w:hAnsi="Arial"/>
                <w:sz w:val="18"/>
                <w:szCs w:val="18"/>
                <w:color w:val="auto"/>
                <w:w w:val="99"/>
              </w:rPr>
              <w:t>(24.0)%   $1,162,054</w:t>
            </w:r>
          </w:p>
        </w:tc>
        <w:tc>
          <w:tcPr>
            <w:tcW w:w="1120" w:type="dxa"/>
            <w:vAlign w:val="bottom"/>
            <w:tcBorders>
              <w:right w:val="single" w:sz="8" w:color="CCEEFF"/>
            </w:tcBorders>
            <w:gridSpan w:val="4"/>
            <w:shd w:val="clear" w:color="auto" w:fill="CCEEFF"/>
          </w:tcPr>
          <w:p>
            <w:pPr>
              <w:jc w:val="right"/>
              <w:ind w:right="200"/>
              <w:spacing w:after="0"/>
              <w:rPr>
                <w:sz w:val="20"/>
                <w:szCs w:val="20"/>
                <w:color w:val="auto"/>
              </w:rPr>
            </w:pPr>
            <w:r>
              <w:rPr>
                <w:rFonts w:ascii="Arial" w:cs="Arial" w:eastAsia="Arial" w:hAnsi="Arial"/>
                <w:sz w:val="18"/>
                <w:szCs w:val="18"/>
                <w:color w:val="auto"/>
                <w:w w:val="99"/>
              </w:rPr>
              <w:t>$1,646,650</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(29.4)%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decrease in net revenue for the three and six months ended August 1, 2009 compared to the net revenue for the three and six months ended August 2, 2008 reflects the negative impacts of the global economic slowdown, which we experienced across each of our product families. Within our storage businesses, a reduction in consumer spending on PCs resulted in lower demand from our hard disk drive customers. Within cellular handheld, wireless and printer semiconductor solution offerings, our products such as mobile phones, gaming devices and printers were adversely impacted by lower consumer spending as compared to the previous year. During the three months ended August 1, 2009, we began to see the possible signs of economic recovery as we experienced improving order momentum throughout the quarter. We currently expect that revenue in the third quarter of fiscal 2010 will increase moderately from the level of revenue that we reported in the second quarter of fiscal 2010 as we continue to see signs of recovery in the economic environment and the ramp of some new design wins.</w:t>
      </w:r>
    </w:p>
    <w:p>
      <w:pPr>
        <w:spacing w:after="0" w:line="118"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August 1, 2009, three customers each represented more than 10% of our net revenue, and totaled 45% of our net revenue. For the six months ended August 1, 2009, two customers each represented more than 10% of our net revenue, and totaled 35% of our net revenue. For the three and six months ended August 2, 2008, one customer represented more than 10% of our net revenue, for a total of 21% and 22%, respectively, of our net revenue. No distributors accounted for more than 10% of our net revenue in the three and six months ended August 1, 2009 and August 2, 2008, respectively.</w:t>
      </w:r>
    </w:p>
    <w:p>
      <w:pPr>
        <w:spacing w:after="0" w:line="1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93% and 87% of our net revenue for the three months ended August 1, 2009 and August 2, 2008, respectively, and represented 91% and 86% of our net revenue for the six months ended August 1, 2009 and August 2, 2008,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140" w:type="dxa"/>
            <w:vAlign w:val="bottom"/>
            <w:gridSpan w:val="5"/>
          </w:tcPr>
          <w:p>
            <w:pPr>
              <w:jc w:val="right"/>
              <w:ind w:right="59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ind w:left="3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48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94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93"/>
              </w:rPr>
              <w:t>August 1,</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August 1,</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80" w:type="dxa"/>
            <w:vAlign w:val="bottom"/>
          </w:tcPr>
          <w:p>
            <w:pPr>
              <w:spacing w:after="0"/>
              <w:rPr>
                <w:sz w:val="14"/>
                <w:szCs w:val="14"/>
                <w:color w:val="auto"/>
              </w:rPr>
            </w:pPr>
          </w:p>
        </w:tc>
        <w:tc>
          <w:tcPr>
            <w:tcW w:w="276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60" w:type="dxa"/>
            <w:vAlign w:val="bottom"/>
            <w:gridSpan w:val="2"/>
          </w:tcPr>
          <w:p>
            <w:pPr>
              <w:jc w:val="center"/>
              <w:ind w:right="252"/>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60" w:type="dxa"/>
            <w:vAlign w:val="bottom"/>
          </w:tcPr>
          <w:p>
            <w:pPr>
              <w:jc w:val="right"/>
              <w:ind w:right="12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48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40" w:type="dxa"/>
            <w:vAlign w:val="bottom"/>
            <w:gridSpan w:val="2"/>
          </w:tcPr>
          <w:p>
            <w:pPr>
              <w:ind w:left="100"/>
              <w:spacing w:after="0" w:line="142" w:lineRule="exact"/>
              <w:rPr>
                <w:sz w:val="20"/>
                <w:szCs w:val="20"/>
                <w:color w:val="auto"/>
              </w:rPr>
            </w:pPr>
            <w:r>
              <w:rPr>
                <w:rFonts w:ascii="Arial" w:cs="Arial" w:eastAsia="Arial" w:hAnsi="Arial"/>
                <w:sz w:val="14"/>
                <w:szCs w:val="14"/>
                <w:b w:val="1"/>
                <w:bCs w:val="1"/>
                <w:color w:val="auto"/>
                <w:w w:val="72"/>
              </w:rPr>
              <w:t>except</w:t>
            </w:r>
          </w:p>
        </w:tc>
        <w:tc>
          <w:tcPr>
            <w:tcW w:w="680" w:type="dxa"/>
            <w:vAlign w:val="bottom"/>
            <w:tcBorders>
              <w:top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w w:val="75"/>
              </w:rPr>
              <w:t>percentage)</w:t>
            </w:r>
          </w:p>
        </w:tc>
        <w:tc>
          <w:tcPr>
            <w:tcW w:w="40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0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$288,059</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$405,913</w:t>
            </w:r>
          </w:p>
        </w:tc>
        <w:tc>
          <w:tcPr>
            <w:tcW w:w="4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98"/>
              </w:rPr>
              <w:t>(29.0)%</w:t>
            </w:r>
          </w:p>
        </w:tc>
        <w:tc>
          <w:tcPr>
            <w:tcW w:w="12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$545,689</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$794,755</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(31.3)%</w:t>
            </w:r>
          </w:p>
        </w:tc>
        <w:tc>
          <w:tcPr>
            <w:tcW w:w="0" w:type="dxa"/>
            <w:vAlign w:val="bottom"/>
          </w:tcPr>
          <w:p>
            <w:pPr>
              <w:spacing w:after="0"/>
              <w:rPr>
                <w:sz w:val="1"/>
                <w:szCs w:val="1"/>
                <w:color w:val="auto"/>
              </w:rPr>
            </w:pPr>
          </w:p>
        </w:tc>
      </w:tr>
      <w:tr>
        <w:trPr>
          <w:trHeight w:val="222"/>
        </w:trPr>
        <w:tc>
          <w:tcPr>
            <w:tcW w:w="3480" w:type="dxa"/>
            <w:vAlign w:val="bottom"/>
          </w:tcPr>
          <w:p>
            <w:pPr>
              <w:spacing w:after="0"/>
              <w:rPr>
                <w:sz w:val="20"/>
                <w:szCs w:val="20"/>
                <w:color w:val="auto"/>
              </w:rPr>
            </w:pPr>
            <w:r>
              <w:rPr>
                <w:rFonts w:ascii="Arial" w:cs="Arial" w:eastAsia="Arial" w:hAnsi="Arial"/>
                <w:sz w:val="18"/>
                <w:szCs w:val="18"/>
                <w:color w:val="auto"/>
              </w:rPr>
              <w:t>% of net revenue</w:t>
            </w:r>
          </w:p>
        </w:tc>
        <w:tc>
          <w:tcPr>
            <w:tcW w:w="3020" w:type="dxa"/>
            <w:vAlign w:val="bottom"/>
            <w:gridSpan w:val="3"/>
          </w:tcPr>
          <w:p>
            <w:pPr>
              <w:jc w:val="right"/>
              <w:ind w:right="120"/>
              <w:spacing w:after="0"/>
              <w:rPr>
                <w:sz w:val="20"/>
                <w:szCs w:val="20"/>
                <w:color w:val="auto"/>
              </w:rPr>
            </w:pPr>
            <w:r>
              <w:rPr>
                <w:rFonts w:ascii="Arial" w:cs="Arial" w:eastAsia="Arial" w:hAnsi="Arial"/>
                <w:sz w:val="18"/>
                <w:szCs w:val="18"/>
                <w:color w:val="auto"/>
              </w:rPr>
              <w:t>45.0%</w:t>
            </w:r>
          </w:p>
        </w:tc>
        <w:tc>
          <w:tcPr>
            <w:tcW w:w="1200" w:type="dxa"/>
            <w:vAlign w:val="bottom"/>
            <w:gridSpan w:val="3"/>
          </w:tcPr>
          <w:p>
            <w:pPr>
              <w:jc w:val="right"/>
              <w:ind w:right="192"/>
              <w:spacing w:after="0"/>
              <w:rPr>
                <w:sz w:val="20"/>
                <w:szCs w:val="20"/>
                <w:color w:val="auto"/>
              </w:rPr>
            </w:pPr>
            <w:r>
              <w:rPr>
                <w:rFonts w:ascii="Arial" w:cs="Arial" w:eastAsia="Arial" w:hAnsi="Arial"/>
                <w:sz w:val="18"/>
                <w:szCs w:val="18"/>
                <w:color w:val="auto"/>
              </w:rPr>
              <w:t>48.2%</w:t>
            </w: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gridSpan w:val="3"/>
          </w:tcPr>
          <w:p>
            <w:pPr>
              <w:jc w:val="right"/>
              <w:ind w:right="260"/>
              <w:spacing w:after="0"/>
              <w:rPr>
                <w:sz w:val="20"/>
                <w:szCs w:val="20"/>
                <w:color w:val="auto"/>
              </w:rPr>
            </w:pPr>
            <w:r>
              <w:rPr>
                <w:rFonts w:ascii="Arial" w:cs="Arial" w:eastAsia="Arial" w:hAnsi="Arial"/>
                <w:sz w:val="18"/>
                <w:szCs w:val="18"/>
                <w:color w:val="auto"/>
              </w:rPr>
              <w:t>47.0%</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48.3%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Cost of goods sold as a percentage of revenue for the three and six months ended August 1, 2009 compared to the three and six months ended August 2, 2008 decreased due to lower material and manufacturing costs as a result of cost reduction efforts with our foundry, assembly and test subcontractors discussed above as well as yield improvements. Cost of goods sold as a percentage of revenue also decreased due to an improved mix of products sold, sales of previously written down inventory and lower royalty expenses.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the introduction of new products with lower margins and product warranty costs.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2140" w:type="dxa"/>
            <w:vAlign w:val="bottom"/>
            <w:gridSpan w:val="5"/>
          </w:tcPr>
          <w:p>
            <w:pPr>
              <w:jc w:val="right"/>
              <w:ind w:right="59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ind w:left="3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94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93"/>
              </w:rPr>
              <w:t>August 1,</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August 1,</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20" w:type="dxa"/>
            <w:vAlign w:val="bottom"/>
          </w:tcPr>
          <w:p>
            <w:pPr>
              <w:spacing w:after="0"/>
              <w:rPr>
                <w:sz w:val="14"/>
                <w:szCs w:val="14"/>
                <w:color w:val="auto"/>
              </w:rPr>
            </w:pPr>
          </w:p>
        </w:tc>
        <w:tc>
          <w:tcPr>
            <w:tcW w:w="25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60" w:type="dxa"/>
            <w:vAlign w:val="bottom"/>
            <w:gridSpan w:val="2"/>
          </w:tcPr>
          <w:p>
            <w:pPr>
              <w:jc w:val="center"/>
              <w:ind w:right="252"/>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60" w:type="dxa"/>
            <w:vAlign w:val="bottom"/>
          </w:tcPr>
          <w:p>
            <w:pPr>
              <w:jc w:val="right"/>
              <w:ind w:right="12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72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40" w:type="dxa"/>
            <w:vAlign w:val="bottom"/>
            <w:gridSpan w:val="2"/>
          </w:tcPr>
          <w:p>
            <w:pPr>
              <w:ind w:left="100"/>
              <w:spacing w:after="0" w:line="142" w:lineRule="exact"/>
              <w:rPr>
                <w:sz w:val="20"/>
                <w:szCs w:val="20"/>
                <w:color w:val="auto"/>
              </w:rPr>
            </w:pPr>
            <w:r>
              <w:rPr>
                <w:rFonts w:ascii="Arial" w:cs="Arial" w:eastAsia="Arial" w:hAnsi="Arial"/>
                <w:sz w:val="14"/>
                <w:szCs w:val="14"/>
                <w:b w:val="1"/>
                <w:bCs w:val="1"/>
                <w:color w:val="auto"/>
                <w:w w:val="72"/>
              </w:rPr>
              <w:t>except</w:t>
            </w:r>
          </w:p>
        </w:tc>
        <w:tc>
          <w:tcPr>
            <w:tcW w:w="680" w:type="dxa"/>
            <w:vAlign w:val="bottom"/>
            <w:tcBorders>
              <w:top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w w:val="75"/>
              </w:rPr>
              <w:t>percentage)</w:t>
            </w:r>
          </w:p>
        </w:tc>
        <w:tc>
          <w:tcPr>
            <w:tcW w:w="40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7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$192,664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$249,714</w:t>
            </w:r>
          </w:p>
        </w:tc>
        <w:tc>
          <w:tcPr>
            <w:tcW w:w="4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98"/>
              </w:rPr>
              <w:t>(22.8)%</w:t>
            </w:r>
          </w:p>
        </w:tc>
        <w:tc>
          <w:tcPr>
            <w:tcW w:w="12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$392,913</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$488,189</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(19.5)%</w:t>
            </w:r>
          </w:p>
        </w:tc>
        <w:tc>
          <w:tcPr>
            <w:tcW w:w="0" w:type="dxa"/>
            <w:vAlign w:val="bottom"/>
          </w:tcPr>
          <w:p>
            <w:pPr>
              <w:spacing w:after="0"/>
              <w:rPr>
                <w:sz w:val="1"/>
                <w:szCs w:val="1"/>
                <w:color w:val="auto"/>
              </w:rPr>
            </w:pPr>
          </w:p>
        </w:tc>
      </w:tr>
      <w:tr>
        <w:trPr>
          <w:trHeight w:val="222"/>
        </w:trPr>
        <w:tc>
          <w:tcPr>
            <w:tcW w:w="3720" w:type="dxa"/>
            <w:vAlign w:val="bottom"/>
          </w:tcPr>
          <w:p>
            <w:pPr>
              <w:spacing w:after="0"/>
              <w:rPr>
                <w:sz w:val="20"/>
                <w:szCs w:val="20"/>
                <w:color w:val="auto"/>
              </w:rPr>
            </w:pPr>
            <w:r>
              <w:rPr>
                <w:rFonts w:ascii="Arial" w:cs="Arial" w:eastAsia="Arial" w:hAnsi="Arial"/>
                <w:sz w:val="18"/>
                <w:szCs w:val="18"/>
                <w:color w:val="auto"/>
              </w:rPr>
              <w:t>% of net revenue</w:t>
            </w:r>
          </w:p>
        </w:tc>
        <w:tc>
          <w:tcPr>
            <w:tcW w:w="2780" w:type="dxa"/>
            <w:vAlign w:val="bottom"/>
            <w:gridSpan w:val="3"/>
          </w:tcPr>
          <w:p>
            <w:pPr>
              <w:jc w:val="right"/>
              <w:ind w:right="120"/>
              <w:spacing w:after="0"/>
              <w:rPr>
                <w:sz w:val="20"/>
                <w:szCs w:val="20"/>
                <w:color w:val="auto"/>
              </w:rPr>
            </w:pPr>
            <w:r>
              <w:rPr>
                <w:rFonts w:ascii="Arial" w:cs="Arial" w:eastAsia="Arial" w:hAnsi="Arial"/>
                <w:sz w:val="18"/>
                <w:szCs w:val="18"/>
                <w:color w:val="auto"/>
              </w:rPr>
              <w:t>30.1%</w:t>
            </w:r>
          </w:p>
        </w:tc>
        <w:tc>
          <w:tcPr>
            <w:tcW w:w="1200" w:type="dxa"/>
            <w:vAlign w:val="bottom"/>
            <w:gridSpan w:val="3"/>
          </w:tcPr>
          <w:p>
            <w:pPr>
              <w:jc w:val="right"/>
              <w:ind w:right="192"/>
              <w:spacing w:after="0"/>
              <w:rPr>
                <w:sz w:val="20"/>
                <w:szCs w:val="20"/>
                <w:color w:val="auto"/>
              </w:rPr>
            </w:pPr>
            <w:r>
              <w:rPr>
                <w:rFonts w:ascii="Arial" w:cs="Arial" w:eastAsia="Arial" w:hAnsi="Arial"/>
                <w:sz w:val="18"/>
                <w:szCs w:val="18"/>
                <w:color w:val="auto"/>
              </w:rPr>
              <w:t>29.6%</w:t>
            </w: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gridSpan w:val="3"/>
          </w:tcPr>
          <w:p>
            <w:pPr>
              <w:jc w:val="right"/>
              <w:ind w:right="260"/>
              <w:spacing w:after="0"/>
              <w:rPr>
                <w:sz w:val="20"/>
                <w:szCs w:val="20"/>
                <w:color w:val="auto"/>
              </w:rPr>
            </w:pPr>
            <w:r>
              <w:rPr>
                <w:rFonts w:ascii="Arial" w:cs="Arial" w:eastAsia="Arial" w:hAnsi="Arial"/>
                <w:sz w:val="18"/>
                <w:szCs w:val="18"/>
                <w:color w:val="auto"/>
              </w:rPr>
              <w:t>33.8%</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29.6%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decrease in research and development expense for the three months ended August 1, 2009 compared to the three months ended August 2, 2008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$57.1 million was partially due to lower salary and related expenses of $8.4 million as a result of lower headcount. In addition, we received the benefit of $10.3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of research and development funding from customers for development work in the three months ended August 1, 2009. Stock-based compensation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decreased $10.8 million due to older options with relatively higher valuations becoming fully vested along with the impact of our stock option exchange program.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Mask, wafer and product related costs decreased $13.0 million due to lower pricing and timing of tape outs. Other decreases in research and development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expenses of approximately $13.4 million related to lower discretionary spending due to tight cost controls.</w:t>
      </w:r>
    </w:p>
    <w:p>
      <w:pPr>
        <w:spacing w:after="0" w:line="16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decrease in research and development expense for the six months ended August 1, 2009 compared to the six months ended August 2, 2008 of $95.3 million was partially due to lower salary and related expenses of $24.1 million as a result of lower headcount while stock-based compensation decreased $19.0 million. In addition, we received the benefit of $15.6 million of research and development funding from customers for development work in the six months ended August 1, 2009. Mask, wafer and product related costs decreased $12.7 million due to lower pricing and timing of tape outs. Other decreases in research and development expenses of approximately $20.3 million related to lower discretionary spending due to tight cost controls.</w:t>
      </w:r>
    </w:p>
    <w:p>
      <w:pPr>
        <w:spacing w:after="0" w:line="116"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We currently expect research and development expense during the third quarter ending October 31, 2009 will moderately increase from the level of expense reported during the second quarter ended August 1, 2009.</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940" w:type="dxa"/>
            <w:vAlign w:val="bottom"/>
            <w:gridSpan w:val="5"/>
          </w:tcPr>
          <w:p>
            <w:pPr>
              <w:jc w:val="right"/>
              <w:ind w:right="492"/>
              <w:spacing w:after="0"/>
              <w:rPr>
                <w:sz w:val="20"/>
                <w:szCs w:val="20"/>
                <w:color w:val="auto"/>
              </w:rPr>
            </w:pPr>
            <w:r>
              <w:rPr>
                <w:rFonts w:ascii="Arial" w:cs="Arial" w:eastAsia="Arial" w:hAnsi="Arial"/>
                <w:sz w:val="14"/>
                <w:szCs w:val="14"/>
                <w:b w:val="1"/>
                <w:bCs w:val="1"/>
                <w:color w:val="auto"/>
                <w:w w:val="98"/>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194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00" w:type="dxa"/>
            <w:vAlign w:val="bottom"/>
          </w:tcPr>
          <w:p>
            <w:pPr>
              <w:spacing w:after="0"/>
              <w:rPr>
                <w:sz w:val="11"/>
                <w:szCs w:val="11"/>
                <w:color w:val="auto"/>
              </w:rPr>
            </w:pPr>
          </w:p>
        </w:tc>
        <w:tc>
          <w:tcPr>
            <w:tcW w:w="23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4"/>
              </w:rPr>
              <w:t>August 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6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84"/>
              </w:rPr>
              <w:t>August 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00" w:type="dxa"/>
            <w:vAlign w:val="bottom"/>
          </w:tcPr>
          <w:p>
            <w:pPr>
              <w:spacing w:after="0"/>
              <w:rPr>
                <w:sz w:val="14"/>
                <w:szCs w:val="14"/>
                <w:color w:val="auto"/>
              </w:rPr>
            </w:pPr>
          </w:p>
        </w:tc>
        <w:tc>
          <w:tcPr>
            <w:tcW w:w="292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7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900" w:type="dxa"/>
            <w:vAlign w:val="bottom"/>
            <w:gridSpan w:val="2"/>
          </w:tcPr>
          <w:p>
            <w:pPr>
              <w:jc w:val="center"/>
              <w:ind w:right="392"/>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580" w:type="dxa"/>
            <w:vAlign w:val="bottom"/>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9"/>
              </w:rPr>
              <w:t>except</w:t>
            </w: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70"/>
              </w:rPr>
              <w:t>percentage)</w:t>
            </w:r>
          </w:p>
        </w:tc>
        <w:tc>
          <w:tcPr>
            <w:tcW w:w="38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1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$32,384</w:t>
            </w:r>
          </w:p>
        </w:tc>
        <w:tc>
          <w:tcPr>
            <w:tcW w:w="110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$41,834</w:t>
            </w:r>
          </w:p>
        </w:tc>
        <w:tc>
          <w:tcPr>
            <w:tcW w:w="90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(22.6)%</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$65,030</w:t>
            </w: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$87,922</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(26.0)%</w:t>
            </w:r>
          </w:p>
        </w:tc>
        <w:tc>
          <w:tcPr>
            <w:tcW w:w="0" w:type="dxa"/>
            <w:vAlign w:val="bottom"/>
          </w:tcPr>
          <w:p>
            <w:pPr>
              <w:spacing w:after="0"/>
              <w:rPr>
                <w:sz w:val="1"/>
                <w:szCs w:val="1"/>
                <w:color w:val="auto"/>
              </w:rPr>
            </w:pP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3180" w:type="dxa"/>
            <w:vAlign w:val="bottom"/>
            <w:gridSpan w:val="3"/>
          </w:tcPr>
          <w:p>
            <w:pPr>
              <w:jc w:val="right"/>
              <w:ind w:right="120"/>
              <w:spacing w:after="0"/>
              <w:rPr>
                <w:sz w:val="20"/>
                <w:szCs w:val="20"/>
                <w:color w:val="auto"/>
              </w:rPr>
            </w:pPr>
            <w:r>
              <w:rPr>
                <w:rFonts w:ascii="Arial" w:cs="Arial" w:eastAsia="Arial" w:hAnsi="Arial"/>
                <w:sz w:val="18"/>
                <w:szCs w:val="18"/>
                <w:color w:val="auto"/>
              </w:rPr>
              <w:t>5.0%</w:t>
            </w:r>
          </w:p>
        </w:tc>
        <w:tc>
          <w:tcPr>
            <w:tcW w:w="1100" w:type="dxa"/>
            <w:vAlign w:val="bottom"/>
            <w:gridSpan w:val="3"/>
          </w:tcPr>
          <w:p>
            <w:pPr>
              <w:jc w:val="right"/>
              <w:ind w:right="172"/>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5.6%</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5.3%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600" w:type="dxa"/>
            <w:vAlign w:val="bottom"/>
          </w:tcPr>
          <w:p>
            <w:pPr>
              <w:spacing w:after="0"/>
              <w:rPr>
                <w:sz w:val="24"/>
                <w:szCs w:val="24"/>
                <w:color w:val="auto"/>
              </w:rPr>
            </w:pPr>
          </w:p>
        </w:tc>
        <w:tc>
          <w:tcPr>
            <w:tcW w:w="2340" w:type="dxa"/>
            <w:vAlign w:val="bottom"/>
          </w:tcPr>
          <w:p>
            <w:pPr>
              <w:jc w:val="right"/>
              <w:ind w:right="57"/>
              <w:spacing w:after="0"/>
              <w:rPr>
                <w:sz w:val="20"/>
                <w:szCs w:val="20"/>
                <w:color w:val="auto"/>
              </w:rPr>
            </w:pPr>
            <w:r>
              <w:rPr>
                <w:rFonts w:ascii="Arial" w:cs="Arial" w:eastAsia="Arial" w:hAnsi="Arial"/>
                <w:sz w:val="18"/>
                <w:szCs w:val="18"/>
                <w:color w:val="auto"/>
              </w:rPr>
              <w:t>31</w:t>
            </w: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decrease in selling and marketing expense for the three months ended August 1, 2009 compared to the three months ended August 2, 2008 of $9.5 million was primarily due to lower salary and related expenses of $1.5 million due to lower overall headcount. Stock-based compensation decreased $2.5 million for the reasons described above. Additionally, sales rep commissions decreased $2.1 million due to the decrease in revenue and various other selling and marketing costs declined $3.1 million due to cost control efforts.</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decrease in selling and marketing expense for the six months ended August 1, 2009 compared to the six months ended August 2, 2008 of $22.9 million was primarily due to lower salary and related expenses of $6.6 million due to lower headcount. Stock-based compensation decreased $6.1 million for the reasons described above. Additionally, sales rep commissions decreased $3.8 million due to the decrease in revenue and various other selling and marketing costs declined $5.4 million due to cost control efforts.</w:t>
      </w:r>
    </w:p>
    <w:p>
      <w:pPr>
        <w:spacing w:after="0" w:line="143"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We currently expect that selling and marketing expense during the third quarter ending October 31, 2009 will remain essentially flat from the level of expense reported during the second quarter ended August 1, 2009.</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00" w:type="dxa"/>
            <w:vAlign w:val="bottom"/>
          </w:tcPr>
          <w:p>
            <w:pPr>
              <w:spacing w:after="0"/>
              <w:rPr>
                <w:sz w:val="14"/>
                <w:szCs w:val="14"/>
                <w:color w:val="auto"/>
              </w:rPr>
            </w:pPr>
          </w:p>
        </w:tc>
        <w:tc>
          <w:tcPr>
            <w:tcW w:w="170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8"/>
              </w:rPr>
              <w:t>Three Months Ended</w:t>
            </w:r>
          </w:p>
        </w:tc>
        <w:tc>
          <w:tcPr>
            <w:tcW w:w="680" w:type="dxa"/>
            <w:vAlign w:val="bottom"/>
            <w:gridSpan w:val="2"/>
            <w:vMerge w:val="restart"/>
          </w:tcPr>
          <w:p>
            <w:pPr>
              <w:jc w:val="center"/>
              <w:ind w:left="186"/>
              <w:spacing w:after="0"/>
              <w:rPr>
                <w:sz w:val="20"/>
                <w:szCs w:val="20"/>
                <w:color w:val="auto"/>
              </w:rPr>
            </w:pPr>
            <w:r>
              <w:rPr>
                <w:rFonts w:ascii="Arial" w:cs="Arial" w:eastAsia="Arial" w:hAnsi="Arial"/>
                <w:sz w:val="14"/>
                <w:szCs w:val="14"/>
                <w:b w:val="1"/>
                <w:bCs w:val="1"/>
                <w:color w:val="auto"/>
              </w:rPr>
              <w:t>%</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90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4"/>
              </w:rPr>
              <w:t>August 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7"/>
              </w:rPr>
              <w:t>August 2,</w:t>
            </w:r>
          </w:p>
        </w:tc>
        <w:tc>
          <w:tcPr>
            <w:tcW w:w="160" w:type="dxa"/>
            <w:vAlign w:val="bottom"/>
          </w:tcPr>
          <w:p>
            <w:pPr>
              <w:spacing w:after="0"/>
              <w:rPr>
                <w:sz w:val="11"/>
                <w:szCs w:val="11"/>
                <w:color w:val="auto"/>
              </w:rPr>
            </w:pPr>
          </w:p>
        </w:tc>
        <w:tc>
          <w:tcPr>
            <w:tcW w:w="680" w:type="dxa"/>
            <w:vAlign w:val="bottom"/>
            <w:gridSpan w:val="2"/>
            <w:vMerge w:val="continue"/>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4"/>
              </w:rPr>
              <w:t>August 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00" w:type="dxa"/>
            <w:vAlign w:val="bottom"/>
          </w:tcPr>
          <w:p>
            <w:pPr>
              <w:spacing w:after="0"/>
              <w:rPr>
                <w:sz w:val="14"/>
                <w:szCs w:val="14"/>
                <w:color w:val="auto"/>
              </w:rPr>
            </w:pPr>
          </w:p>
        </w:tc>
        <w:tc>
          <w:tcPr>
            <w:tcW w:w="580" w:type="dxa"/>
            <w:vAlign w:val="bottom"/>
          </w:tcPr>
          <w:p>
            <w:pPr>
              <w:jc w:val="right"/>
              <w:ind w:right="84"/>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700" w:type="dxa"/>
            <w:vAlign w:val="bottom"/>
            <w:gridSpan w:val="2"/>
          </w:tcPr>
          <w:p>
            <w:pPr>
              <w:jc w:val="center"/>
              <w:ind w:left="59"/>
              <w:spacing w:after="0"/>
              <w:rPr>
                <w:sz w:val="20"/>
                <w:szCs w:val="20"/>
                <w:color w:val="auto"/>
              </w:rPr>
            </w:pPr>
            <w:r>
              <w:rPr>
                <w:rFonts w:ascii="Arial" w:cs="Arial" w:eastAsia="Arial" w:hAnsi="Arial"/>
                <w:sz w:val="14"/>
                <w:szCs w:val="14"/>
                <w:b w:val="1"/>
                <w:bCs w:val="1"/>
                <w:color w:val="auto"/>
                <w:w w:val="89"/>
              </w:rPr>
              <w:t>2008</w:t>
            </w: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gridSpan w:val="2"/>
          </w:tcPr>
          <w:p>
            <w:pPr>
              <w:jc w:val="center"/>
              <w:ind w:right="278"/>
              <w:spacing w:after="0"/>
              <w:rPr>
                <w:sz w:val="20"/>
                <w:szCs w:val="20"/>
                <w:color w:val="auto"/>
              </w:rPr>
            </w:pPr>
            <w:r>
              <w:rPr>
                <w:rFonts w:ascii="Arial" w:cs="Arial" w:eastAsia="Arial" w:hAnsi="Arial"/>
                <w:sz w:val="14"/>
                <w:szCs w:val="14"/>
                <w:b w:val="1"/>
                <w:bCs w:val="1"/>
                <w:color w:val="auto"/>
                <w:w w:val="85"/>
              </w:rPr>
              <w:t>Change</w:t>
            </w:r>
          </w:p>
        </w:tc>
        <w:tc>
          <w:tcPr>
            <w:tcW w:w="780" w:type="dxa"/>
            <w:vAlign w:val="bottom"/>
            <w:gridSpan w:val="2"/>
          </w:tcPr>
          <w:p>
            <w:pPr>
              <w:jc w:val="center"/>
              <w:ind w:left="39"/>
              <w:spacing w:after="0"/>
              <w:rPr>
                <w:sz w:val="20"/>
                <w:szCs w:val="20"/>
                <w:color w:val="auto"/>
              </w:rPr>
            </w:pPr>
            <w:r>
              <w:rPr>
                <w:rFonts w:ascii="Arial" w:cs="Arial" w:eastAsia="Arial" w:hAnsi="Arial"/>
                <w:sz w:val="14"/>
                <w:szCs w:val="14"/>
                <w:b w:val="1"/>
                <w:bCs w:val="1"/>
                <w:color w:val="auto"/>
                <w:w w:val="83"/>
              </w:rPr>
              <w:t>2009</w:t>
            </w:r>
          </w:p>
        </w:tc>
        <w:tc>
          <w:tcPr>
            <w:tcW w:w="400" w:type="dxa"/>
            <w:vAlign w:val="bottom"/>
          </w:tcPr>
          <w:p>
            <w:pPr>
              <w:spacing w:after="0"/>
              <w:rPr>
                <w:sz w:val="14"/>
                <w:szCs w:val="14"/>
                <w:color w:val="auto"/>
              </w:rPr>
            </w:pPr>
          </w:p>
        </w:tc>
        <w:tc>
          <w:tcPr>
            <w:tcW w:w="580" w:type="dxa"/>
            <w:vAlign w:val="bottom"/>
          </w:tcPr>
          <w:p>
            <w:pPr>
              <w:jc w:val="right"/>
              <w:ind w:right="8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90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240" w:type="dxa"/>
            <w:vAlign w:val="bottom"/>
          </w:tcPr>
          <w:p>
            <w:pPr>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60" w:type="dxa"/>
            <w:vAlign w:val="bottom"/>
            <w:gridSpan w:val="2"/>
          </w:tcPr>
          <w:p>
            <w:pPr>
              <w:ind w:left="160"/>
              <w:spacing w:after="0"/>
              <w:rPr>
                <w:sz w:val="20"/>
                <w:szCs w:val="20"/>
                <w:color w:val="auto"/>
              </w:rPr>
            </w:pPr>
            <w:r>
              <w:rPr>
                <w:rFonts w:ascii="Arial" w:cs="Arial" w:eastAsia="Arial" w:hAnsi="Arial"/>
                <w:sz w:val="12"/>
                <w:szCs w:val="12"/>
                <w:b w:val="1"/>
                <w:bCs w:val="1"/>
                <w:color w:val="auto"/>
                <w:w w:val="73"/>
              </w:rPr>
              <w:t>except</w:t>
            </w:r>
          </w:p>
        </w:tc>
        <w:tc>
          <w:tcPr>
            <w:tcW w:w="660" w:type="dxa"/>
            <w:vAlign w:val="bottom"/>
            <w:tcBorders>
              <w:top w:val="single" w:sz="8" w:color="auto"/>
            </w:tcBorders>
          </w:tcPr>
          <w:p>
            <w:pPr>
              <w:ind w:left="100"/>
              <w:spacing w:after="0"/>
              <w:rPr>
                <w:sz w:val="20"/>
                <w:szCs w:val="20"/>
                <w:color w:val="auto"/>
              </w:rPr>
            </w:pPr>
            <w:r>
              <w:rPr>
                <w:rFonts w:ascii="Arial" w:cs="Arial" w:eastAsia="Arial" w:hAnsi="Arial"/>
                <w:sz w:val="12"/>
                <w:szCs w:val="12"/>
                <w:b w:val="1"/>
                <w:bCs w:val="1"/>
                <w:color w:val="auto"/>
                <w:w w:val="79"/>
              </w:rPr>
              <w:t>percentage)</w:t>
            </w:r>
          </w:p>
        </w:tc>
        <w:tc>
          <w:tcPr>
            <w:tcW w:w="40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$28,562</w:t>
            </w:r>
          </w:p>
        </w:tc>
        <w:tc>
          <w:tcPr>
            <w:tcW w:w="2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center"/>
              <w:ind w:left="39"/>
              <w:spacing w:after="0"/>
              <w:rPr>
                <w:sz w:val="20"/>
                <w:szCs w:val="20"/>
                <w:color w:val="auto"/>
              </w:rPr>
            </w:pPr>
            <w:r>
              <w:rPr>
                <w:rFonts w:ascii="Arial" w:cs="Arial" w:eastAsia="Arial" w:hAnsi="Arial"/>
                <w:sz w:val="18"/>
                <w:szCs w:val="18"/>
                <w:color w:val="auto"/>
                <w:w w:val="89"/>
              </w:rPr>
              <w:t>$30,989</w:t>
            </w:r>
          </w:p>
        </w:tc>
        <w:tc>
          <w:tcPr>
            <w:tcW w:w="16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58"/>
              <w:spacing w:after="0"/>
              <w:rPr>
                <w:sz w:val="20"/>
                <w:szCs w:val="20"/>
                <w:color w:val="auto"/>
              </w:rPr>
            </w:pPr>
            <w:r>
              <w:rPr>
                <w:rFonts w:ascii="Arial" w:cs="Arial" w:eastAsia="Arial" w:hAnsi="Arial"/>
                <w:sz w:val="18"/>
                <w:szCs w:val="18"/>
                <w:color w:val="auto"/>
              </w:rPr>
              <w:t>(7.8)%</w:t>
            </w:r>
          </w:p>
        </w:tc>
        <w:tc>
          <w:tcPr>
            <w:tcW w:w="780" w:type="dxa"/>
            <w:vAlign w:val="bottom"/>
            <w:gridSpan w:val="2"/>
            <w:shd w:val="clear" w:color="auto" w:fill="CCEEFF"/>
          </w:tcPr>
          <w:p>
            <w:pPr>
              <w:jc w:val="center"/>
              <w:ind w:left="39"/>
              <w:spacing w:after="0"/>
              <w:rPr>
                <w:sz w:val="20"/>
                <w:szCs w:val="20"/>
                <w:color w:val="auto"/>
              </w:rPr>
            </w:pPr>
            <w:r>
              <w:rPr>
                <w:rFonts w:ascii="Arial" w:cs="Arial" w:eastAsia="Arial" w:hAnsi="Arial"/>
                <w:sz w:val="18"/>
                <w:szCs w:val="18"/>
                <w:color w:val="auto"/>
                <w:w w:val="87"/>
              </w:rPr>
              <w:t>$130,058</w:t>
            </w:r>
          </w:p>
        </w:tc>
        <w:tc>
          <w:tcPr>
            <w:tcW w:w="4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$43,940</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196.0%</w:t>
            </w:r>
          </w:p>
        </w:tc>
        <w:tc>
          <w:tcPr>
            <w:tcW w:w="0" w:type="dxa"/>
            <w:vAlign w:val="bottom"/>
          </w:tcPr>
          <w:p>
            <w:pPr>
              <w:spacing w:after="0"/>
              <w:rPr>
                <w:sz w:val="1"/>
                <w:szCs w:val="1"/>
                <w:color w:val="auto"/>
              </w:rPr>
            </w:pPr>
          </w:p>
        </w:tc>
      </w:tr>
      <w:tr>
        <w:trPr>
          <w:trHeight w:val="222"/>
        </w:trPr>
        <w:tc>
          <w:tcPr>
            <w:tcW w:w="590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4.5%</w:t>
            </w: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3.7%</w:t>
            </w:r>
          </w:p>
        </w:tc>
        <w:tc>
          <w:tcPr>
            <w:tcW w:w="2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80" w:type="dxa"/>
            <w:vAlign w:val="bottom"/>
            <w:gridSpan w:val="3"/>
          </w:tcPr>
          <w:p>
            <w:pPr>
              <w:jc w:val="right"/>
              <w:ind w:right="240"/>
              <w:spacing w:after="0"/>
              <w:rPr>
                <w:sz w:val="20"/>
                <w:szCs w:val="20"/>
                <w:color w:val="auto"/>
              </w:rPr>
            </w:pPr>
            <w:r>
              <w:rPr>
                <w:rFonts w:ascii="Arial" w:cs="Arial" w:eastAsia="Arial" w:hAnsi="Arial"/>
                <w:sz w:val="18"/>
                <w:szCs w:val="18"/>
                <w:color w:val="auto"/>
              </w:rPr>
              <w:t>11.2%</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2.7%</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0" w:firstLine="456"/>
        <w:spacing w:after="0" w:line="303" w:lineRule="auto"/>
        <w:rPr>
          <w:sz w:val="20"/>
          <w:szCs w:val="20"/>
          <w:color w:val="auto"/>
        </w:rPr>
      </w:pPr>
      <w:r>
        <w:rPr>
          <w:rFonts w:ascii="Arial" w:cs="Arial" w:eastAsia="Arial" w:hAnsi="Arial"/>
          <w:sz w:val="15"/>
          <w:szCs w:val="15"/>
          <w:color w:val="auto"/>
        </w:rPr>
        <w:t>The decrease in general and administrative expense for the three months ended August 1, 2009 compared to the three months ended August 2, 2008 of $2.4 million was primarily due to a decrease in salary and related costs of $2.3 million due to lower headcount. Stock-based compensation expense was lower by $2.4 million due to older options with relatively higher valuations becoming fully vested along with lower expense as a result of our stock option exchange program.</w:t>
      </w:r>
    </w:p>
    <w:p>
      <w:pPr>
        <w:spacing w:after="0" w:line="1" w:lineRule="exact"/>
        <w:rPr>
          <w:sz w:val="20"/>
          <w:szCs w:val="20"/>
          <w:color w:val="auto"/>
        </w:rPr>
      </w:pPr>
    </w:p>
    <w:p>
      <w:pPr>
        <w:ind w:right="100"/>
        <w:spacing w:after="0" w:line="323" w:lineRule="auto"/>
        <w:rPr>
          <w:sz w:val="20"/>
          <w:szCs w:val="20"/>
          <w:color w:val="auto"/>
        </w:rPr>
      </w:pPr>
      <w:r>
        <w:rPr>
          <w:rFonts w:ascii="Arial" w:cs="Arial" w:eastAsia="Arial" w:hAnsi="Arial"/>
          <w:sz w:val="16"/>
          <w:szCs w:val="16"/>
          <w:color w:val="auto"/>
        </w:rPr>
        <w:t>In addition, various other general and administrative expenses such as outside services and consulting decreased $2.8 million due to cost control efforts. Partially offsetting the decreases was an increase in legal fees of $5.8 million due primarily to increased activity in connection with our litigation matters.</w:t>
      </w:r>
    </w:p>
    <w:p>
      <w:pPr>
        <w:spacing w:after="0" w:line="93"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The increase in general and administrative expense for the six months ended August 1, 2009 compared to the six months ended August 2, 2008 of $86.1 million was primarily the result of a $72.0 million legal settlement in connection with the class action securities litigation related to our historical stock option granting practices recorded in the three months ended May 2, 2009. Legal fees, on a net basis increased by $28.2 million primarily due to $24.5 million of insurance recoveries related to certain litigation activity received in the first quarter ended May 3, 2008. This was partially offset by a $10.0 million settlement with the Securities and Exchange Commission (the “SEC”) investigation regarding our historical stock option granting practices and related accounting matters also recorded in the first quarter ended May 3, 2008. In addition to the settlements, the remaining increase in legal fees of approximately $13.7 million was due to increased litigation matters, including one of our cases ramping up for trial. Partially offsetting the increase was a decrease of $5.1 million in stock-based compensation and $4.0 million of lower salary and related costs due to lower headcount. Finally, various other general and administrative expenses such as outside services and consultants decreased $4.8 million due to cost control efforts.</w:t>
      </w:r>
    </w:p>
    <w:p>
      <w:pPr>
        <w:spacing w:after="0" w:line="12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during the third quarter ending October 31, 2009 will decrease moderately from the level of expense reported during the second quarter ended August 1, 2009, mainly due to lower legal spending.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0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1940" w:type="dxa"/>
            <w:vAlign w:val="bottom"/>
            <w:gridSpan w:val="5"/>
          </w:tcPr>
          <w:p>
            <w:pPr>
              <w:jc w:val="right"/>
              <w:ind w:right="492"/>
              <w:spacing w:after="0"/>
              <w:rPr>
                <w:sz w:val="20"/>
                <w:szCs w:val="20"/>
                <w:color w:val="auto"/>
              </w:rPr>
            </w:pPr>
            <w:r>
              <w:rPr>
                <w:rFonts w:ascii="Arial" w:cs="Arial" w:eastAsia="Arial" w:hAnsi="Arial"/>
                <w:sz w:val="14"/>
                <w:szCs w:val="14"/>
                <w:b w:val="1"/>
                <w:bCs w:val="1"/>
                <w:color w:val="auto"/>
                <w:w w:val="98"/>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194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00" w:type="dxa"/>
            <w:vAlign w:val="bottom"/>
          </w:tcPr>
          <w:p>
            <w:pPr>
              <w:spacing w:after="0"/>
              <w:rPr>
                <w:sz w:val="11"/>
                <w:szCs w:val="11"/>
                <w:color w:val="auto"/>
              </w:rPr>
            </w:pPr>
          </w:p>
        </w:tc>
        <w:tc>
          <w:tcPr>
            <w:tcW w:w="16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4"/>
              </w:rPr>
              <w:t>August 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6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84"/>
              </w:rPr>
              <w:t>August 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00" w:type="dxa"/>
            <w:vAlign w:val="bottom"/>
          </w:tcPr>
          <w:p>
            <w:pPr>
              <w:spacing w:after="0"/>
              <w:rPr>
                <w:sz w:val="14"/>
                <w:szCs w:val="14"/>
                <w:color w:val="auto"/>
              </w:rPr>
            </w:pPr>
          </w:p>
        </w:tc>
        <w:tc>
          <w:tcPr>
            <w:tcW w:w="222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7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900" w:type="dxa"/>
            <w:vAlign w:val="bottom"/>
            <w:gridSpan w:val="2"/>
          </w:tcPr>
          <w:p>
            <w:pPr>
              <w:jc w:val="center"/>
              <w:ind w:right="392"/>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580" w:type="dxa"/>
            <w:vAlign w:val="bottom"/>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0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9"/>
              </w:rPr>
              <w:t>except</w:t>
            </w: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70"/>
              </w:rPr>
              <w:t>percentage)</w:t>
            </w:r>
          </w:p>
        </w:tc>
        <w:tc>
          <w:tcPr>
            <w:tcW w:w="38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4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$26,446</w:t>
            </w:r>
          </w:p>
        </w:tc>
        <w:tc>
          <w:tcPr>
            <w:tcW w:w="110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$34,988</w:t>
            </w:r>
          </w:p>
        </w:tc>
        <w:tc>
          <w:tcPr>
            <w:tcW w:w="90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(24.4)%</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$56,802</w:t>
            </w: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$70,235</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(19.1)%</w:t>
            </w:r>
          </w:p>
        </w:tc>
        <w:tc>
          <w:tcPr>
            <w:tcW w:w="0" w:type="dxa"/>
            <w:vAlign w:val="bottom"/>
          </w:tcPr>
          <w:p>
            <w:pPr>
              <w:spacing w:after="0"/>
              <w:rPr>
                <w:sz w:val="1"/>
                <w:szCs w:val="1"/>
                <w:color w:val="auto"/>
              </w:rPr>
            </w:pPr>
          </w:p>
        </w:tc>
      </w:tr>
      <w:tr>
        <w:trPr>
          <w:trHeight w:val="222"/>
        </w:trPr>
        <w:tc>
          <w:tcPr>
            <w:tcW w:w="4300" w:type="dxa"/>
            <w:vAlign w:val="bottom"/>
          </w:tcPr>
          <w:p>
            <w:pPr>
              <w:spacing w:after="0"/>
              <w:rPr>
                <w:sz w:val="20"/>
                <w:szCs w:val="20"/>
                <w:color w:val="auto"/>
              </w:rPr>
            </w:pPr>
            <w:r>
              <w:rPr>
                <w:rFonts w:ascii="Arial" w:cs="Arial" w:eastAsia="Arial" w:hAnsi="Arial"/>
                <w:sz w:val="18"/>
                <w:szCs w:val="18"/>
                <w:color w:val="auto"/>
              </w:rPr>
              <w:t>% of net revenue</w:t>
            </w:r>
          </w:p>
        </w:tc>
        <w:tc>
          <w:tcPr>
            <w:tcW w:w="2480" w:type="dxa"/>
            <w:vAlign w:val="bottom"/>
            <w:gridSpan w:val="3"/>
          </w:tcPr>
          <w:p>
            <w:pPr>
              <w:jc w:val="right"/>
              <w:ind w:right="120"/>
              <w:spacing w:after="0"/>
              <w:rPr>
                <w:sz w:val="20"/>
                <w:szCs w:val="20"/>
                <w:color w:val="auto"/>
              </w:rPr>
            </w:pPr>
            <w:r>
              <w:rPr>
                <w:rFonts w:ascii="Arial" w:cs="Arial" w:eastAsia="Arial" w:hAnsi="Arial"/>
                <w:sz w:val="18"/>
                <w:szCs w:val="18"/>
                <w:color w:val="auto"/>
              </w:rPr>
              <w:t>4.1%</w:t>
            </w:r>
          </w:p>
        </w:tc>
        <w:tc>
          <w:tcPr>
            <w:tcW w:w="1100" w:type="dxa"/>
            <w:vAlign w:val="bottom"/>
            <w:gridSpan w:val="3"/>
          </w:tcPr>
          <w:p>
            <w:pPr>
              <w:jc w:val="right"/>
              <w:ind w:right="172"/>
              <w:spacing w:after="0"/>
              <w:rPr>
                <w:sz w:val="20"/>
                <w:szCs w:val="20"/>
                <w:color w:val="auto"/>
              </w:rPr>
            </w:pPr>
            <w:r>
              <w:rPr>
                <w:rFonts w:ascii="Arial" w:cs="Arial" w:eastAsia="Arial" w:hAnsi="Arial"/>
                <w:sz w:val="18"/>
                <w:szCs w:val="18"/>
                <w:color w:val="auto"/>
              </w:rPr>
              <w:t>4.1%</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4.9%</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4.3%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300" w:type="dxa"/>
            <w:vAlign w:val="bottom"/>
          </w:tcPr>
          <w:p>
            <w:pPr>
              <w:spacing w:after="0"/>
              <w:rPr>
                <w:sz w:val="24"/>
                <w:szCs w:val="24"/>
                <w:color w:val="auto"/>
              </w:rPr>
            </w:pPr>
          </w:p>
        </w:tc>
        <w:tc>
          <w:tcPr>
            <w:tcW w:w="1640" w:type="dxa"/>
            <w:vAlign w:val="bottom"/>
          </w:tcPr>
          <w:p>
            <w:pPr>
              <w:jc w:val="right"/>
              <w:ind w:right="57"/>
              <w:spacing w:after="0"/>
              <w:rPr>
                <w:sz w:val="20"/>
                <w:szCs w:val="20"/>
                <w:color w:val="auto"/>
              </w:rPr>
            </w:pPr>
            <w:r>
              <w:rPr>
                <w:rFonts w:ascii="Arial" w:cs="Arial" w:eastAsia="Arial" w:hAnsi="Arial"/>
                <w:sz w:val="18"/>
                <w:szCs w:val="18"/>
                <w:color w:val="auto"/>
              </w:rPr>
              <w:t>32</w:t>
            </w: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and six months ended August 1, 2009 compared to the three and six months ended August 2, 2008 was due to amortization of intangible assets from certain acquisitions being fully amortized and the effects of the write-off of certain purchased intangibles during the fourth quarter ended January 31, 2009.</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20" w:type="dxa"/>
            <w:vAlign w:val="bottom"/>
          </w:tcPr>
          <w:p>
            <w:pPr>
              <w:spacing w:after="0"/>
              <w:rPr>
                <w:sz w:val="14"/>
                <w:szCs w:val="14"/>
                <w:color w:val="auto"/>
              </w:rPr>
            </w:pPr>
          </w:p>
        </w:tc>
        <w:tc>
          <w:tcPr>
            <w:tcW w:w="1900" w:type="dxa"/>
            <w:vAlign w:val="bottom"/>
            <w:gridSpan w:val="5"/>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w:t>
            </w:r>
          </w:p>
        </w:tc>
        <w:tc>
          <w:tcPr>
            <w:tcW w:w="400" w:type="dxa"/>
            <w:vAlign w:val="bottom"/>
          </w:tcPr>
          <w:p>
            <w:pPr>
              <w:spacing w:after="0"/>
              <w:rPr>
                <w:sz w:val="14"/>
                <w:szCs w:val="14"/>
                <w:color w:val="auto"/>
              </w:rPr>
            </w:pPr>
          </w:p>
        </w:tc>
        <w:tc>
          <w:tcPr>
            <w:tcW w:w="1920" w:type="dxa"/>
            <w:vAlign w:val="bottom"/>
            <w:gridSpan w:val="4"/>
          </w:tcPr>
          <w:p>
            <w:pPr>
              <w:ind w:left="22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20" w:type="dxa"/>
            <w:vAlign w:val="bottom"/>
          </w:tcPr>
          <w:p>
            <w:pPr>
              <w:spacing w:after="0"/>
              <w:rPr>
                <w:sz w:val="11"/>
                <w:szCs w:val="11"/>
                <w:color w:val="auto"/>
              </w:rPr>
            </w:pPr>
          </w:p>
        </w:tc>
        <w:tc>
          <w:tcPr>
            <w:tcW w:w="8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August 1,</w:t>
            </w:r>
          </w:p>
        </w:tc>
        <w:tc>
          <w:tcPr>
            <w:tcW w:w="1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1"/>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0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84"/>
              </w:rPr>
              <w:t>August 1,</w:t>
            </w:r>
          </w:p>
        </w:tc>
        <w:tc>
          <w:tcPr>
            <w:tcW w:w="56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20" w:type="dxa"/>
            <w:vAlign w:val="bottom"/>
          </w:tcPr>
          <w:p>
            <w:pPr>
              <w:spacing w:after="0"/>
              <w:rPr>
                <w:sz w:val="14"/>
                <w:szCs w:val="14"/>
                <w:color w:val="auto"/>
              </w:rPr>
            </w:pPr>
          </w:p>
        </w:tc>
        <w:tc>
          <w:tcPr>
            <w:tcW w:w="560" w:type="dxa"/>
            <w:vAlign w:val="bottom"/>
          </w:tcPr>
          <w:p>
            <w:pPr>
              <w:ind w:left="140"/>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66"/>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840" w:type="dxa"/>
            <w:vAlign w:val="bottom"/>
            <w:gridSpan w:val="2"/>
          </w:tcPr>
          <w:p>
            <w:pPr>
              <w:jc w:val="center"/>
              <w:ind w:right="332"/>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560" w:type="dxa"/>
            <w:vAlign w:val="bottom"/>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6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0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85"/>
              </w:rPr>
              <w:t>except</w:t>
            </w: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0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00" w:type="dxa"/>
            <w:vAlign w:val="bottom"/>
            <w:vMerge w:val="continue"/>
          </w:tcPr>
          <w:p>
            <w:pPr>
              <w:spacing w:after="0"/>
              <w:rPr>
                <w:sz w:val="12"/>
                <w:szCs w:val="12"/>
                <w:color w:val="auto"/>
              </w:rPr>
            </w:pPr>
          </w:p>
        </w:tc>
        <w:tc>
          <w:tcPr>
            <w:tcW w:w="960" w:type="dxa"/>
            <w:vAlign w:val="bottom"/>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w w:val="95"/>
              </w:rPr>
              <w:t>percentage)</w:t>
            </w:r>
          </w:p>
        </w:tc>
        <w:tc>
          <w:tcPr>
            <w:tcW w:w="5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$ 4,956</w:t>
            </w:r>
          </w:p>
        </w:tc>
        <w:tc>
          <w:tcPr>
            <w:tcW w:w="26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ind w:left="140"/>
              <w:spacing w:after="0"/>
              <w:rPr>
                <w:sz w:val="20"/>
                <w:szCs w:val="20"/>
                <w:color w:val="auto"/>
              </w:rPr>
            </w:pPr>
            <w:r>
              <w:rPr>
                <w:rFonts w:ascii="Arial" w:cs="Arial" w:eastAsia="Arial" w:hAnsi="Arial"/>
                <w:sz w:val="18"/>
                <w:szCs w:val="18"/>
                <w:color w:val="auto"/>
              </w:rPr>
              <w:t>$   —</w:t>
            </w:r>
          </w:p>
        </w:tc>
        <w:tc>
          <w:tcPr>
            <w:tcW w:w="8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w w:val="91"/>
              </w:rPr>
              <w:t>100.0%</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$13,292</w:t>
            </w:r>
          </w:p>
        </w:tc>
        <w:tc>
          <w:tcPr>
            <w:tcW w:w="3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100.0%</w:t>
            </w:r>
          </w:p>
        </w:tc>
        <w:tc>
          <w:tcPr>
            <w:tcW w:w="0" w:type="dxa"/>
            <w:vAlign w:val="bottom"/>
          </w:tcPr>
          <w:p>
            <w:pPr>
              <w:spacing w:after="0"/>
              <w:rPr>
                <w:sz w:val="1"/>
                <w:szCs w:val="1"/>
                <w:color w:val="auto"/>
              </w:rPr>
            </w:pPr>
          </w:p>
        </w:tc>
      </w:tr>
      <w:tr>
        <w:trPr>
          <w:trHeight w:val="222"/>
        </w:trPr>
        <w:tc>
          <w:tcPr>
            <w:tcW w:w="612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0.8%</w:t>
            </w:r>
          </w:p>
        </w:tc>
        <w:tc>
          <w:tcPr>
            <w:tcW w:w="140" w:type="dxa"/>
            <w:vAlign w:val="bottom"/>
          </w:tcPr>
          <w:p>
            <w:pPr>
              <w:spacing w:after="0"/>
              <w:rPr>
                <w:sz w:val="19"/>
                <w:szCs w:val="19"/>
                <w:color w:val="auto"/>
              </w:rPr>
            </w:pPr>
          </w:p>
        </w:tc>
        <w:tc>
          <w:tcPr>
            <w:tcW w:w="940" w:type="dxa"/>
            <w:vAlign w:val="bottom"/>
            <w:gridSpan w:val="2"/>
          </w:tcPr>
          <w:p>
            <w:pPr>
              <w:ind w:left="280"/>
              <w:spacing w:after="0"/>
              <w:rPr>
                <w:sz w:val="20"/>
                <w:szCs w:val="20"/>
                <w:color w:val="auto"/>
              </w:rPr>
            </w:pPr>
            <w:r>
              <w:rPr>
                <w:rFonts w:ascii="Arial" w:cs="Arial" w:eastAsia="Arial" w:hAnsi="Arial"/>
                <w:sz w:val="18"/>
                <w:szCs w:val="18"/>
                <w:color w:val="auto"/>
              </w:rPr>
              <w:t>— %</w:t>
            </w:r>
          </w:p>
        </w:tc>
        <w:tc>
          <w:tcPr>
            <w:tcW w:w="4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1.1%</w:t>
            </w:r>
          </w:p>
        </w:tc>
        <w:tc>
          <w:tcPr>
            <w:tcW w:w="960" w:type="dxa"/>
            <w:vAlign w:val="bottom"/>
            <w:gridSpan w:val="2"/>
          </w:tcPr>
          <w:p>
            <w:pPr>
              <w:ind w:left="300"/>
              <w:spacing w:after="0"/>
              <w:rPr>
                <w:sz w:val="20"/>
                <w:szCs w:val="20"/>
                <w:color w:val="auto"/>
              </w:rPr>
            </w:pPr>
            <w:r>
              <w:rPr>
                <w:rFonts w:ascii="Arial" w:cs="Arial" w:eastAsia="Arial" w:hAnsi="Arial"/>
                <w:sz w:val="18"/>
                <w:szCs w:val="18"/>
                <w:color w:val="auto"/>
              </w:rPr>
              <w:t>— %</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Restructuring charges included in operating expenses increased $5.0 million and $13.3 million in the three and six months ended August 1, 2009, respectively, compared to the three and six months ended August 2, 2008. During the three months ended August 1, 2009, we continued to implement certain cost reduction measures that included reductions in workforce in all functions of the organization worldwide that was announced during the quarter ended May 2, 2009. In addition, we also impaired the leases on some facilities due to vacating certain locations as we attempt to adjust our real estate footprint to match our current business needs. As a result, for the three months ended August 1, 2009, we recorded a restructuring charge of $5.0 million consisting of $1.1 million of severance and related employee benefits to terminated employees, $1.5 million for equipment and other related charges and $2.4 million of additional facilities impairment charges. The facilities impairment charges resulted from vacating certain locations. For the six months ended August 1, 2009, we recorded a restructuring charge of $13.3 million consisting of $8.5 million of severance and related employee benefits to the terminated employees, $2.4 million for equipment and other related charges and $2.4 million of additional facilities impairment charges.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86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w:t>
            </w:r>
          </w:p>
        </w:tc>
        <w:tc>
          <w:tcPr>
            <w:tcW w:w="440" w:type="dxa"/>
            <w:vAlign w:val="bottom"/>
          </w:tcPr>
          <w:p>
            <w:pPr>
              <w:spacing w:after="0"/>
              <w:rPr>
                <w:sz w:val="14"/>
                <w:szCs w:val="14"/>
                <w:color w:val="auto"/>
              </w:rPr>
            </w:pPr>
          </w:p>
        </w:tc>
        <w:tc>
          <w:tcPr>
            <w:tcW w:w="186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2020" w:type="dxa"/>
            <w:vAlign w:val="bottom"/>
          </w:tcPr>
          <w:p>
            <w:pPr>
              <w:spacing w:after="0"/>
              <w:rPr>
                <w:sz w:val="11"/>
                <w:szCs w:val="11"/>
                <w:color w:val="auto"/>
              </w:rPr>
            </w:pPr>
          </w:p>
        </w:tc>
        <w:tc>
          <w:tcPr>
            <w:tcW w:w="8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August 1,</w:t>
            </w:r>
          </w:p>
        </w:tc>
        <w:tc>
          <w:tcPr>
            <w:tcW w:w="1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1"/>
              </w:rPr>
              <w:t>August 1,</w:t>
            </w:r>
          </w:p>
        </w:tc>
        <w:tc>
          <w:tcPr>
            <w:tcW w:w="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0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880" w:type="dxa"/>
            <w:vAlign w:val="bottom"/>
            <w:gridSpan w:val="2"/>
          </w:tcPr>
          <w:p>
            <w:pPr>
              <w:jc w:val="center"/>
              <w:ind w:right="372"/>
              <w:spacing w:after="0"/>
              <w:rPr>
                <w:sz w:val="20"/>
                <w:szCs w:val="20"/>
                <w:color w:val="auto"/>
              </w:rPr>
            </w:pPr>
            <w:r>
              <w:rPr>
                <w:rFonts w:ascii="Arial" w:cs="Arial" w:eastAsia="Arial" w:hAnsi="Arial"/>
                <w:sz w:val="14"/>
                <w:szCs w:val="14"/>
                <w:b w:val="1"/>
                <w:bCs w:val="1"/>
                <w:color w:val="auto"/>
                <w:w w:val="85"/>
              </w:rPr>
              <w:t>Change</w:t>
            </w:r>
          </w:p>
        </w:tc>
        <w:tc>
          <w:tcPr>
            <w:tcW w:w="540" w:type="dxa"/>
            <w:vAlign w:val="bottom"/>
          </w:tcPr>
          <w:p>
            <w:pPr>
              <w:jc w:val="right"/>
              <w:ind w:right="66"/>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6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80" w:type="dxa"/>
            <w:vAlign w:val="bottom"/>
            <w:vMerge w:val="restart"/>
          </w:tcPr>
          <w:p>
            <w:pPr>
              <w:jc w:val="right"/>
              <w:ind w:right="7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4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4"/>
              </w:rPr>
              <w:t>except</w:t>
            </w:r>
          </w:p>
        </w:tc>
        <w:tc>
          <w:tcPr>
            <w:tcW w:w="5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410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40" w:type="dxa"/>
            <w:vAlign w:val="bottom"/>
            <w:vMerge w:val="continue"/>
          </w:tcPr>
          <w:p>
            <w:pPr>
              <w:spacing w:after="0"/>
              <w:rPr>
                <w:sz w:val="12"/>
                <w:szCs w:val="12"/>
                <w:color w:val="auto"/>
              </w:rPr>
            </w:pPr>
          </w:p>
        </w:tc>
        <w:tc>
          <w:tcPr>
            <w:tcW w:w="840" w:type="dxa"/>
            <w:vAlign w:val="bottom"/>
            <w:gridSpan w:val="2"/>
          </w:tcPr>
          <w:p>
            <w:pPr>
              <w:jc w:val="right"/>
              <w:ind w:right="100"/>
              <w:spacing w:after="0" w:line="142" w:lineRule="exact"/>
              <w:rPr>
                <w:sz w:val="20"/>
                <w:szCs w:val="20"/>
                <w:color w:val="auto"/>
              </w:rPr>
            </w:pPr>
            <w:r>
              <w:rPr>
                <w:rFonts w:ascii="Arial" w:cs="Arial" w:eastAsia="Arial" w:hAnsi="Arial"/>
                <w:sz w:val="14"/>
                <w:szCs w:val="14"/>
                <w:b w:val="1"/>
                <w:bCs w:val="1"/>
                <w:color w:val="auto"/>
                <w:w w:val="90"/>
              </w:rPr>
              <w:t>percentage)</w:t>
            </w: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8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$ 1,793</w:t>
            </w:r>
          </w:p>
        </w:tc>
        <w:tc>
          <w:tcPr>
            <w:tcW w:w="106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$ 4.405</w:t>
            </w:r>
          </w:p>
        </w:tc>
        <w:tc>
          <w:tcPr>
            <w:tcW w:w="88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w w:val="98"/>
              </w:rPr>
              <w:t>(59.3)%</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$ 1,721</w:t>
            </w:r>
          </w:p>
        </w:tc>
        <w:tc>
          <w:tcPr>
            <w:tcW w:w="3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$ 6,864</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(74.9)%</w:t>
            </w:r>
          </w:p>
        </w:tc>
        <w:tc>
          <w:tcPr>
            <w:tcW w:w="0" w:type="dxa"/>
            <w:vAlign w:val="bottom"/>
          </w:tcPr>
          <w:p>
            <w:pPr>
              <w:spacing w:after="0"/>
              <w:rPr>
                <w:sz w:val="1"/>
                <w:szCs w:val="1"/>
                <w:color w:val="auto"/>
              </w:rPr>
            </w:pPr>
          </w:p>
        </w:tc>
      </w:tr>
      <w:tr>
        <w:trPr>
          <w:trHeight w:val="222"/>
        </w:trPr>
        <w:tc>
          <w:tcPr>
            <w:tcW w:w="410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3"/>
          </w:tcPr>
          <w:p>
            <w:pPr>
              <w:jc w:val="right"/>
              <w:ind w:right="100"/>
              <w:spacing w:after="0"/>
              <w:rPr>
                <w:sz w:val="20"/>
                <w:szCs w:val="20"/>
                <w:color w:val="auto"/>
              </w:rPr>
            </w:pPr>
            <w:r>
              <w:rPr>
                <w:rFonts w:ascii="Arial" w:cs="Arial" w:eastAsia="Arial" w:hAnsi="Arial"/>
                <w:sz w:val="18"/>
                <w:szCs w:val="18"/>
                <w:color w:val="auto"/>
              </w:rPr>
              <w:t>0.3%</w:t>
            </w:r>
          </w:p>
        </w:tc>
        <w:tc>
          <w:tcPr>
            <w:tcW w:w="1060" w:type="dxa"/>
            <w:vAlign w:val="bottom"/>
            <w:gridSpan w:val="3"/>
          </w:tcPr>
          <w:p>
            <w:pPr>
              <w:jc w:val="right"/>
              <w:ind w:right="172"/>
              <w:spacing w:after="0"/>
              <w:rPr>
                <w:sz w:val="20"/>
                <w:szCs w:val="20"/>
                <w:color w:val="auto"/>
              </w:rPr>
            </w:pPr>
            <w:r>
              <w:rPr>
                <w:rFonts w:ascii="Arial" w:cs="Arial" w:eastAsia="Arial" w:hAnsi="Arial"/>
                <w:sz w:val="18"/>
                <w:szCs w:val="18"/>
                <w:color w:val="auto"/>
              </w:rPr>
              <w:t>0.5%</w:t>
            </w: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0.1%</w:t>
            </w:r>
          </w:p>
        </w:tc>
        <w:tc>
          <w:tcPr>
            <w:tcW w:w="1020" w:type="dxa"/>
            <w:vAlign w:val="bottom"/>
            <w:gridSpan w:val="3"/>
          </w:tcPr>
          <w:p>
            <w:pPr>
              <w:jc w:val="right"/>
              <w:ind w:right="240"/>
              <w:spacing w:after="0"/>
              <w:rPr>
                <w:sz w:val="20"/>
                <w:szCs w:val="20"/>
                <w:color w:val="auto"/>
              </w:rPr>
            </w:pPr>
            <w:r>
              <w:rPr>
                <w:rFonts w:ascii="Arial" w:cs="Arial" w:eastAsia="Arial" w:hAnsi="Arial"/>
                <w:sz w:val="18"/>
                <w:szCs w:val="18"/>
                <w:color w:val="auto"/>
              </w:rPr>
              <w:t>0.4%</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decrease in interest and other income for the three and six months ended August 1, 2009 compared to the three and six months ended August 2, 2008 was primarily due to a decrease in market interest rates and an increase in foreign exchange losses as a result of fluctuations in currencies, which was partially offset by an increase in cash and cash equivalent balances as of August 1, 2009 and a gain on a severance fund in a foreign jurisdiction.</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860" w:type="dxa"/>
            <w:vAlign w:val="bottom"/>
            <w:gridSpan w:val="4"/>
          </w:tcPr>
          <w:p>
            <w:pPr>
              <w:jc w:val="right"/>
              <w:ind w:right="452"/>
              <w:spacing w:after="0"/>
              <w:rPr>
                <w:sz w:val="20"/>
                <w:szCs w:val="20"/>
                <w:color w:val="auto"/>
              </w:rPr>
            </w:pPr>
            <w:r>
              <w:rPr>
                <w:rFonts w:ascii="Arial" w:cs="Arial" w:eastAsia="Arial" w:hAnsi="Arial"/>
                <w:sz w:val="14"/>
                <w:szCs w:val="14"/>
                <w:b w:val="1"/>
                <w:bCs w:val="1"/>
                <w:color w:val="auto"/>
                <w:w w:val="95"/>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00" w:type="dxa"/>
            <w:vAlign w:val="bottom"/>
            <w:gridSpan w:val="4"/>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4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1"/>
              </w:rPr>
              <w:t>August 1,</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Borders>
              <w:top w:val="single" w:sz="8" w:color="auto"/>
            </w:tcBorders>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4"/>
              </w:rPr>
              <w:t>August 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4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540" w:type="dxa"/>
            <w:vAlign w:val="bottom"/>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560" w:type="dxa"/>
            <w:vAlign w:val="bottom"/>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580" w:type="dxa"/>
            <w:vAlign w:val="bottom"/>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364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80" w:type="dxa"/>
            <w:vAlign w:val="bottom"/>
            <w:vMerge w:val="restart"/>
          </w:tcPr>
          <w:p>
            <w:pPr>
              <w:jc w:val="right"/>
              <w:ind w:right="5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4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w w:val="78"/>
              </w:rPr>
              <w:t>except</w:t>
            </w:r>
          </w:p>
        </w:tc>
        <w:tc>
          <w:tcPr>
            <w:tcW w:w="5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364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40" w:type="dxa"/>
            <w:vAlign w:val="bottom"/>
            <w:gridSpan w:val="2"/>
            <w:vMerge w:val="continue"/>
          </w:tcPr>
          <w:p>
            <w:pPr>
              <w:spacing w:after="0"/>
              <w:rPr>
                <w:sz w:val="12"/>
                <w:szCs w:val="12"/>
                <w:color w:val="auto"/>
              </w:rPr>
            </w:pPr>
          </w:p>
        </w:tc>
        <w:tc>
          <w:tcPr>
            <w:tcW w:w="920" w:type="dxa"/>
            <w:vAlign w:val="bottom"/>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w w:val="93"/>
              </w:rPr>
              <w:t>percentage)</w:t>
            </w: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$ 1,514</w:t>
            </w:r>
          </w:p>
        </w:tc>
        <w:tc>
          <w:tcPr>
            <w:tcW w:w="38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$ 5,159</w:t>
            </w:r>
          </w:p>
        </w:tc>
        <w:tc>
          <w:tcPr>
            <w:tcW w:w="3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w w:val="98"/>
              </w:rPr>
              <w:t>(70.7)%</w:t>
            </w:r>
          </w:p>
        </w:tc>
        <w:tc>
          <w:tcPr>
            <w:tcW w:w="10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$ 1,602</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$12,310</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(87.0)%</w:t>
            </w:r>
          </w:p>
        </w:tc>
        <w:tc>
          <w:tcPr>
            <w:tcW w:w="0" w:type="dxa"/>
            <w:vAlign w:val="bottom"/>
          </w:tcPr>
          <w:p>
            <w:pPr>
              <w:spacing w:after="0"/>
              <w:rPr>
                <w:sz w:val="1"/>
                <w:szCs w:val="1"/>
                <w:color w:val="auto"/>
              </w:rPr>
            </w:pPr>
          </w:p>
        </w:tc>
      </w:tr>
      <w:tr>
        <w:trPr>
          <w:trHeight w:val="222"/>
        </w:trPr>
        <w:tc>
          <w:tcPr>
            <w:tcW w:w="3640" w:type="dxa"/>
            <w:vAlign w:val="bottom"/>
          </w:tcPr>
          <w:p>
            <w:pPr>
              <w:spacing w:after="0"/>
              <w:rPr>
                <w:sz w:val="20"/>
                <w:szCs w:val="20"/>
                <w:color w:val="auto"/>
              </w:rPr>
            </w:pPr>
            <w:r>
              <w:rPr>
                <w:rFonts w:ascii="Arial" w:cs="Arial" w:eastAsia="Arial" w:hAnsi="Arial"/>
                <w:sz w:val="18"/>
                <w:szCs w:val="18"/>
                <w:color w:val="auto"/>
              </w:rPr>
              <w:t>% of net revenue</w:t>
            </w:r>
          </w:p>
        </w:tc>
        <w:tc>
          <w:tcPr>
            <w:tcW w:w="3360" w:type="dxa"/>
            <w:vAlign w:val="bottom"/>
            <w:gridSpan w:val="3"/>
          </w:tcPr>
          <w:p>
            <w:pPr>
              <w:jc w:val="right"/>
              <w:ind w:right="220"/>
              <w:spacing w:after="0"/>
              <w:rPr>
                <w:sz w:val="20"/>
                <w:szCs w:val="20"/>
                <w:color w:val="auto"/>
              </w:rPr>
            </w:pPr>
            <w:r>
              <w:rPr>
                <w:rFonts w:ascii="Arial" w:cs="Arial" w:eastAsia="Arial" w:hAnsi="Arial"/>
                <w:sz w:val="18"/>
                <w:szCs w:val="18"/>
                <w:color w:val="auto"/>
              </w:rPr>
              <w:t>0.2%</w:t>
            </w:r>
          </w:p>
        </w:tc>
        <w:tc>
          <w:tcPr>
            <w:tcW w:w="940" w:type="dxa"/>
            <w:vAlign w:val="bottom"/>
            <w:gridSpan w:val="2"/>
          </w:tcPr>
          <w:p>
            <w:pPr>
              <w:jc w:val="right"/>
              <w:ind w:right="172"/>
              <w:spacing w:after="0"/>
              <w:rPr>
                <w:sz w:val="20"/>
                <w:szCs w:val="20"/>
                <w:color w:val="auto"/>
              </w:rPr>
            </w:pPr>
            <w:r>
              <w:rPr>
                <w:rFonts w:ascii="Arial" w:cs="Arial" w:eastAsia="Arial" w:hAnsi="Arial"/>
                <w:sz w:val="18"/>
                <w:szCs w:val="18"/>
                <w:color w:val="auto"/>
              </w:rPr>
              <w:t>0.6%</w:t>
            </w: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gridSpan w:val="3"/>
          </w:tcPr>
          <w:p>
            <w:pPr>
              <w:jc w:val="right"/>
              <w:ind w:right="220"/>
              <w:spacing w:after="0"/>
              <w:rPr>
                <w:sz w:val="20"/>
                <w:szCs w:val="20"/>
                <w:color w:val="auto"/>
              </w:rPr>
            </w:pPr>
            <w:r>
              <w:rPr>
                <w:rFonts w:ascii="Arial" w:cs="Arial" w:eastAsia="Arial" w:hAnsi="Arial"/>
                <w:sz w:val="18"/>
                <w:szCs w:val="18"/>
                <w:color w:val="auto"/>
              </w:rPr>
              <w:t>0.1%</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0.7%</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The decrease in interest expense for the three and six months ended August 1, 2009 compared to the three and six months ended August 2, 2008 was primarily due to repayment of outstanding debt during the fourth quarter ended January 31, 2009. Interest expense for the three and six months ended August 1, 2009 includes interest expense from the settlement of a payroll tax penalty recorded in connection with our historical stock option granting practices. The results for the three and six months ended August 2, 2008 reflect the effect of the reclassification of foreign exchange gains and losses related to uncertain tax positions from provision (benefit) for income taxes to interest and other income, net.</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60" w:type="dxa"/>
            <w:vAlign w:val="bottom"/>
          </w:tcPr>
          <w:p>
            <w:pPr>
              <w:spacing w:after="0"/>
              <w:rPr>
                <w:sz w:val="14"/>
                <w:szCs w:val="14"/>
                <w:color w:val="auto"/>
              </w:rPr>
            </w:pPr>
          </w:p>
        </w:tc>
        <w:tc>
          <w:tcPr>
            <w:tcW w:w="1860" w:type="dxa"/>
            <w:vAlign w:val="bottom"/>
            <w:gridSpan w:val="5"/>
          </w:tcPr>
          <w:p>
            <w:pPr>
              <w:jc w:val="right"/>
              <w:ind w:right="432"/>
              <w:spacing w:after="0"/>
              <w:rPr>
                <w:sz w:val="20"/>
                <w:szCs w:val="20"/>
                <w:color w:val="auto"/>
              </w:rPr>
            </w:pPr>
            <w:r>
              <w:rPr>
                <w:rFonts w:ascii="Arial" w:cs="Arial" w:eastAsia="Arial" w:hAnsi="Arial"/>
                <w:sz w:val="14"/>
                <w:szCs w:val="14"/>
                <w:b w:val="1"/>
                <w:bCs w:val="1"/>
                <w:color w:val="auto"/>
                <w:w w:val="96"/>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198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6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1"/>
              </w:rPr>
              <w:t>August 1,</w:t>
            </w:r>
          </w:p>
        </w:tc>
        <w:tc>
          <w:tcPr>
            <w:tcW w:w="1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2,</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380" w:type="dxa"/>
            <w:vAlign w:val="bottom"/>
          </w:tcPr>
          <w:p>
            <w:pPr>
              <w:spacing w:after="0"/>
              <w:rPr>
                <w:sz w:val="11"/>
                <w:szCs w:val="11"/>
                <w:color w:val="auto"/>
              </w:rPr>
            </w:pPr>
          </w:p>
        </w:tc>
        <w:tc>
          <w:tcPr>
            <w:tcW w:w="92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2,</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60" w:type="dxa"/>
            <w:vAlign w:val="bottom"/>
          </w:tcPr>
          <w:p>
            <w:pPr>
              <w:spacing w:after="0"/>
              <w:rPr>
                <w:sz w:val="14"/>
                <w:szCs w:val="14"/>
                <w:color w:val="auto"/>
              </w:rPr>
            </w:pPr>
          </w:p>
        </w:tc>
        <w:tc>
          <w:tcPr>
            <w:tcW w:w="560" w:type="dxa"/>
            <w:vAlign w:val="bottom"/>
          </w:tcPr>
          <w:p>
            <w:pPr>
              <w:jc w:val="right"/>
              <w:ind w:right="64"/>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820" w:type="dxa"/>
            <w:vAlign w:val="bottom"/>
            <w:gridSpan w:val="2"/>
          </w:tcPr>
          <w:p>
            <w:pPr>
              <w:jc w:val="center"/>
              <w:ind w:right="312"/>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340" w:type="dxa"/>
            <w:vAlign w:val="bottom"/>
          </w:tcPr>
          <w:p>
            <w:pPr>
              <w:spacing w:after="0"/>
              <w:rPr>
                <w:sz w:val="14"/>
                <w:szCs w:val="14"/>
                <w:color w:val="auto"/>
              </w:rPr>
            </w:pPr>
          </w:p>
        </w:tc>
        <w:tc>
          <w:tcPr>
            <w:tcW w:w="68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2008</w:t>
            </w:r>
          </w:p>
        </w:tc>
        <w:tc>
          <w:tcPr>
            <w:tcW w:w="3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606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80" w:type="dxa"/>
            <w:vAlign w:val="bottom"/>
            <w:vMerge w:val="restart"/>
          </w:tcPr>
          <w:p>
            <w:pPr>
              <w:jc w:val="right"/>
              <w:ind w:right="5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0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1300" w:type="dxa"/>
            <w:vAlign w:val="bottom"/>
            <w:gridSpan w:val="3"/>
          </w:tcPr>
          <w:p>
            <w:pPr>
              <w:jc w:val="center"/>
              <w:spacing w:after="0" w:line="142" w:lineRule="exact"/>
              <w:rPr>
                <w:sz w:val="20"/>
                <w:szCs w:val="20"/>
                <w:color w:val="auto"/>
              </w:rPr>
            </w:pPr>
            <w:r>
              <w:rPr>
                <w:rFonts w:ascii="Arial" w:cs="Arial" w:eastAsia="Arial" w:hAnsi="Arial"/>
                <w:sz w:val="14"/>
                <w:szCs w:val="14"/>
                <w:b w:val="1"/>
                <w:bCs w:val="1"/>
                <w:color w:val="auto"/>
                <w:w w:val="84"/>
              </w:rPr>
              <w:t>except percentage)</w:t>
            </w: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$ 9,335</w:t>
            </w:r>
          </w:p>
        </w:tc>
        <w:tc>
          <w:tcPr>
            <w:tcW w:w="26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$ 7,016</w:t>
            </w:r>
          </w:p>
        </w:tc>
        <w:tc>
          <w:tcPr>
            <w:tcW w:w="82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33.1%</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$11,353</w:t>
            </w:r>
          </w:p>
        </w:tc>
        <w:tc>
          <w:tcPr>
            <w:tcW w:w="34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$14,857</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(23.6)%</w:t>
            </w:r>
          </w:p>
        </w:tc>
        <w:tc>
          <w:tcPr>
            <w:tcW w:w="0" w:type="dxa"/>
            <w:vAlign w:val="bottom"/>
          </w:tcPr>
          <w:p>
            <w:pPr>
              <w:spacing w:after="0"/>
              <w:rPr>
                <w:sz w:val="1"/>
                <w:szCs w:val="1"/>
                <w:color w:val="auto"/>
              </w:rPr>
            </w:pPr>
          </w:p>
        </w:tc>
      </w:tr>
      <w:tr>
        <w:trPr>
          <w:trHeight w:val="222"/>
        </w:trPr>
        <w:tc>
          <w:tcPr>
            <w:tcW w:w="6060" w:type="dxa"/>
            <w:vAlign w:val="bottom"/>
          </w:tcPr>
          <w:p>
            <w:pPr>
              <w:spacing w:after="0"/>
              <w:rPr>
                <w:sz w:val="20"/>
                <w:szCs w:val="20"/>
                <w:color w:val="auto"/>
              </w:rPr>
            </w:pPr>
            <w:r>
              <w:rPr>
                <w:rFonts w:ascii="Arial" w:cs="Arial" w:eastAsia="Arial" w:hAnsi="Arial"/>
                <w:sz w:val="18"/>
                <w:szCs w:val="18"/>
                <w:color w:val="auto"/>
              </w:rPr>
              <w:t>% of pre-tax income (loss)</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13.8%</w:t>
            </w:r>
          </w:p>
        </w:tc>
        <w:tc>
          <w:tcPr>
            <w:tcW w:w="1040" w:type="dxa"/>
            <w:vAlign w:val="bottom"/>
            <w:gridSpan w:val="3"/>
          </w:tcPr>
          <w:p>
            <w:pPr>
              <w:jc w:val="right"/>
              <w:ind w:right="152"/>
              <w:spacing w:after="0"/>
              <w:rPr>
                <w:sz w:val="20"/>
                <w:szCs w:val="20"/>
                <w:color w:val="auto"/>
              </w:rPr>
            </w:pPr>
            <w:r>
              <w:rPr>
                <w:rFonts w:ascii="Arial" w:cs="Arial" w:eastAsia="Arial" w:hAnsi="Arial"/>
                <w:sz w:val="18"/>
                <w:szCs w:val="18"/>
                <w:color w:val="auto"/>
              </w:rPr>
              <w:t>9.0%</w:t>
            </w:r>
          </w:p>
        </w:tc>
        <w:tc>
          <w:tcPr>
            <w:tcW w:w="4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(27.3)%</w:t>
            </w:r>
          </w:p>
        </w:tc>
        <w:tc>
          <w:tcPr>
            <w:tcW w:w="1060" w:type="dxa"/>
            <w:vAlign w:val="bottom"/>
            <w:gridSpan w:val="3"/>
          </w:tcPr>
          <w:p>
            <w:pPr>
              <w:jc w:val="right"/>
              <w:ind w:right="240"/>
              <w:spacing w:after="0"/>
              <w:rPr>
                <w:sz w:val="20"/>
                <w:szCs w:val="20"/>
                <w:color w:val="auto"/>
              </w:rPr>
            </w:pPr>
            <w:r>
              <w:rPr>
                <w:rFonts w:ascii="Arial" w:cs="Arial" w:eastAsia="Arial" w:hAnsi="Arial"/>
                <w:sz w:val="18"/>
                <w:szCs w:val="18"/>
                <w:color w:val="auto"/>
              </w:rPr>
              <w:t>9.5%</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87" w:lineRule="auto"/>
        <w:rPr>
          <w:sz w:val="20"/>
          <w:szCs w:val="20"/>
          <w:color w:val="auto"/>
        </w:rPr>
      </w:pPr>
      <w:r>
        <w:rPr>
          <w:rFonts w:ascii="Arial" w:cs="Arial" w:eastAsia="Arial" w:hAnsi="Arial"/>
          <w:sz w:val="16"/>
          <w:szCs w:val="16"/>
          <w:color w:val="auto"/>
        </w:rPr>
        <w:t>For the three months ended August 1, 2009, we recorded an income tax provision of $9.3 million compared to $7.0 million for the three months ended August 2, 2008. For the six months ended August 1, 2009, we recorded an income tax provision of $11.4 million compared to an income tax provision of $14.9 million for the six months ended August 2, 2008. The effective tax rates are influenced by non-tax-deductible expenses, such as stock-based compensation expense, amortization of acquired intangibles, and accounting for uncertain tax positions in accordance with Financial Accounting Standards Board(“FASB”) Interpretation No. 48, “Accounting for Uncertainty in Tax Positions” (“FIN 48”). In addition to the quarterly income tax provision, the effective tax rate for the three months ended August 1, 2009, was impacted by the exclusion of a jurisdiction with a pretax loss for which no benefit would be recognized and such loss was excluded from the calculation of the income tax provision. For the three months ended August 1, 2009, the income tax provision was also increased by the revaluation of a deferred tax asset arising out of a non-U.S. corporate tax rate change effective in the quarter. The provision also included a reduction of $4.0 million and $8.3 million, respectively, for the three month ended and the six months ended August 1, 2009 due to the statute of limitations lapsing for uncertain tax positions and a revaluation of our deferred tax assets due to the impact of a non-US corporate tax rate change.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Our principal source of liquidity as of August 1, 2009 consisted of approximately $1.3 billion of cash and cash equivalents of which $24.5 million is restricted for use in a legal settlement. Since our inception, we have financed our operations through a combination of sales of equity securities, debt financing and cash generated by operations.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Net cash provided by operating activities of $326.9 million for the six months ended August 1, 2009 was the result of $170.8 million in net non-cash operating expenses, $209.1 million net cash provided by changes in working capital items partially offset by a net loss of $53.0 million. Improvements in working capital included a decrease in inventories of $100.6 million primarily due to our efforts to control our inventory levels as a result of the current economic environment and an increase of $133.8 million in accounts payable due to efforts to extend payment periods to vendors. In addition, accrued liabilities and other increased $69.1 million primarily due to a legal settlement in connection with the class action securities litigation. Finally, prepaids and other assets decreased $9.7 million due to a decrease in the receivable from one of our foundries and amortization of computer aided design (“CAD”) software licenses. Significant working capital changes offsetting positive cash flows for the six months ended August 1, 2009 related to an increase in accounts receivable of $106.4 million due to the higher revenue during the three months ended August 1, 2009 as compared to the three months ended January 31, 2009.</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Net cash provided by operating activities of $313.1 million for the six months ended August 2, 2008 was the result of net income of $141.3 million, $208.5 million of non-cash operating expense, partially offset by net $36.7 million of negative changes in working capital. The working capital change was due to an increase in accounts receivable increase in accounts receivable of $138.6 million due primarily to the higher revenue in the quarter, along with the decrease in accrued liabilities and other of $34.0 million attributable to decreases in accrued contingent consideration and accrued sales rebates and increases of $24.5 million in restricted cash. Positive working capital changes offsetting the above items were primarily due to the decrease in inventories of $103.3 million related to the completion of contractual obligations under the original supply agreement with Intel as well as concentrated efforts to reduce inventory levels. Also contributing to positive cash flows was a decrease in prepaids and other assets of $42.8 million primarily due to the utilization of prepaid foundry capacity and prepaid wafers along with accrued employee compensation, which increased $10.0 million due primarily to an increase in accrued vacation, accrued salaries due to timing of the payroll cycle and accrued bonuses.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Net cash used in investing activities was $19.7 million for the six months ended August 1, 2009 compared to $34.2 million for the six months ended August 2, 2008. The net cash used in investing activities for the six months ended August 1, 2009 was due to purchases of property and equipment of $7.2 million and purchases of technology licenses for $12.6 million. The net cash used in investing activities for the six months ended August 2, 2008 was due to purchases of property and equipment of $46.5 million, $1.3 million of purchase of intellectual property licenses and net sales of investments of $13.6 million.</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(Used in) Financing Activities</w:t>
      </w:r>
    </w:p>
    <w:p>
      <w:pPr>
        <w:spacing w:after="0" w:line="90"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Net cash provided by financing activities was $20.2 million for the six months ended August 1, 2009 compared to net cash used in financing activities of $35.3 million for the six months ended August 2, 2008. For the six months ended August 1, 2009, net cash provided by financing activities was attributable to proceeds from the issuance of common shares under our stock options plans. For the six months ended August 2, 2008, net cash used in financing activities was attributable to principal payments on debt obligations and capital leases partially offset by proceeds from the issuance of common shares under our stock option plans.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connection with the acquisition of the communications and applications processor business of Intel, we entered into a product supply agreement with Intel. Although we have met the contractual obligations under the original supply agreement and have transitioned certain products to our fabrication partners, we anticipate that we will continue to source certain legacy application processor cellular and handset inventory from Intel. As of August 1, 2009, we had no non-cancellable purchase orders under this arrangement.</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February 2005 and as amended in March 2005, we entered into an agreement with a foundry to reserve and secure foundry fabrication capacity for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fixed number of wafers at agreed upon prices for a period of five and a half years beginning on October 1, 2005. In return, we agreed to pay the foundry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$174.2 million over a period of 18 months. An amendment extended the term of the agreement and the agreed upon pricing terms until December 31, 2015. As of</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August 1, 2009, all payments (included in prepaids and other current assets and other non-current assets) had been made and approximately $158.6 million of the</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prepayment had been utilized. At August 1, 2009, there were no outstanding commitments under the agreement.</w:t>
      </w:r>
    </w:p>
    <w:p>
      <w:pPr>
        <w:spacing w:after="0" w:line="165" w:lineRule="exact"/>
        <w:rPr>
          <w:sz w:val="20"/>
          <w:szCs w:val="20"/>
          <w:color w:val="auto"/>
        </w:rPr>
      </w:pPr>
    </w:p>
    <w:p>
      <w:pPr>
        <w:ind w:right="260" w:firstLine="456"/>
        <w:spacing w:after="0" w:line="370" w:lineRule="auto"/>
        <w:rPr>
          <w:sz w:val="20"/>
          <w:szCs w:val="20"/>
          <w:color w:val="auto"/>
        </w:rPr>
      </w:pPr>
      <w:r>
        <w:rPr>
          <w:rFonts w:ascii="Arial" w:cs="Arial" w:eastAsia="Arial" w:hAnsi="Arial"/>
          <w:sz w:val="15"/>
          <w:szCs w:val="15"/>
          <w:color w:val="auto"/>
        </w:rPr>
        <w:t>Under our manufacturing relationships with foundries, cancellation of all outstanding purchase orders are allowed but require repayment of all expenses incurred through the date of cancellation. As of August 1, 2009, the amount of open purchase orders to these foundries is approximately $187.8 million.</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August 1, 2009, we had approximately $16.1 million of other outstanding non-cancelable purchase orders for capital purchase obligations.</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August 1, 2009 and the effect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5"/>
          </w:tcPr>
          <w:p>
            <w:pPr>
              <w:jc w:val="center"/>
              <w:ind w:left="42"/>
              <w:spacing w:after="0"/>
              <w:rPr>
                <w:sz w:val="20"/>
                <w:szCs w:val="20"/>
                <w:color w:val="auto"/>
              </w:rPr>
            </w:pPr>
            <w:r>
              <w:rPr>
                <w:rFonts w:ascii="Arial" w:cs="Arial" w:eastAsia="Arial" w:hAnsi="Arial"/>
                <w:sz w:val="14"/>
                <w:szCs w:val="14"/>
                <w:b w:val="1"/>
                <w:bCs w:val="1"/>
                <w:color w:val="auto"/>
                <w:w w:val="86"/>
              </w:rPr>
              <w:t>Payments Due by Period</w:t>
            </w:r>
          </w:p>
        </w:tc>
        <w:tc>
          <w:tcPr>
            <w:tcW w:w="2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r>
      <w:tr>
        <w:trPr>
          <w:trHeight w:val="129"/>
        </w:trPr>
        <w:tc>
          <w:tcPr>
            <w:tcW w:w="5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right"/>
              <w:ind w:right="78"/>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jc w:val="right"/>
              <w:ind w:right="39"/>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jc w:val="right"/>
              <w:ind w:right="42"/>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5"/>
              </w:rPr>
              <w:t>Fiscal</w:t>
            </w:r>
          </w:p>
        </w:tc>
        <w:tc>
          <w:tcPr>
            <w:tcW w:w="220" w:type="dxa"/>
            <w:vAlign w:val="bottom"/>
          </w:tcPr>
          <w:p>
            <w:pPr>
              <w:spacing w:after="0"/>
              <w:rPr>
                <w:sz w:val="11"/>
                <w:szCs w:val="11"/>
                <w:color w:val="auto"/>
              </w:rPr>
            </w:pPr>
          </w:p>
        </w:tc>
        <w:tc>
          <w:tcPr>
            <w:tcW w:w="500" w:type="dxa"/>
            <w:vAlign w:val="bottom"/>
          </w:tcPr>
          <w:p>
            <w:pPr>
              <w:jc w:val="right"/>
              <w:ind w:right="17"/>
              <w:spacing w:after="0" w:line="129" w:lineRule="exact"/>
              <w:rPr>
                <w:sz w:val="20"/>
                <w:szCs w:val="20"/>
                <w:color w:val="auto"/>
              </w:rPr>
            </w:pPr>
            <w:r>
              <w:rPr>
                <w:rFonts w:ascii="Arial" w:cs="Arial" w:eastAsia="Arial" w:hAnsi="Arial"/>
                <w:sz w:val="14"/>
                <w:szCs w:val="14"/>
                <w:b w:val="1"/>
                <w:bCs w:val="1"/>
                <w:color w:val="auto"/>
                <w:w w:val="95"/>
              </w:rPr>
              <w:t>Fiscal</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r>
      <w:tr>
        <w:trPr>
          <w:trHeight w:val="161"/>
        </w:trPr>
        <w:tc>
          <w:tcPr>
            <w:tcW w:w="5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8"/>
              <w:spacing w:after="0"/>
              <w:rPr>
                <w:sz w:val="20"/>
                <w:szCs w:val="20"/>
                <w:color w:val="auto"/>
              </w:rPr>
            </w:pPr>
            <w:r>
              <w:rPr>
                <w:rFonts w:ascii="Arial" w:cs="Arial" w:eastAsia="Arial" w:hAnsi="Arial"/>
                <w:sz w:val="14"/>
                <w:szCs w:val="14"/>
                <w:b w:val="1"/>
                <w:bCs w:val="1"/>
                <w:color w:val="auto"/>
              </w:rPr>
              <w:t>2010</w:t>
            </w:r>
          </w:p>
        </w:tc>
        <w:tc>
          <w:tcPr>
            <w:tcW w:w="80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2011</w:t>
            </w:r>
          </w:p>
        </w:tc>
        <w:tc>
          <w:tcPr>
            <w:tcW w:w="80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800" w:type="dxa"/>
            <w:vAlign w:val="bottom"/>
            <w:gridSpan w:val="2"/>
          </w:tcPr>
          <w:p>
            <w:pPr>
              <w:jc w:val="center"/>
              <w:ind w:left="119"/>
              <w:spacing w:after="0"/>
              <w:rPr>
                <w:sz w:val="20"/>
                <w:szCs w:val="20"/>
                <w:color w:val="auto"/>
              </w:rPr>
            </w:pPr>
            <w:r>
              <w:rPr>
                <w:rFonts w:ascii="Arial" w:cs="Arial" w:eastAsia="Arial" w:hAnsi="Arial"/>
                <w:sz w:val="14"/>
                <w:szCs w:val="14"/>
                <w:b w:val="1"/>
                <w:bCs w:val="1"/>
                <w:color w:val="auto"/>
                <w:w w:val="89"/>
              </w:rPr>
              <w:t>2013</w:t>
            </w:r>
          </w:p>
        </w:tc>
        <w:tc>
          <w:tcPr>
            <w:tcW w:w="720" w:type="dxa"/>
            <w:vAlign w:val="bottom"/>
            <w:gridSpan w:val="2"/>
          </w:tcPr>
          <w:p>
            <w:pPr>
              <w:jc w:val="center"/>
              <w:ind w:left="119"/>
              <w:spacing w:after="0"/>
              <w:rPr>
                <w:sz w:val="20"/>
                <w:szCs w:val="20"/>
                <w:color w:val="auto"/>
              </w:rPr>
            </w:pPr>
            <w:r>
              <w:rPr>
                <w:rFonts w:ascii="Arial" w:cs="Arial" w:eastAsia="Arial" w:hAnsi="Arial"/>
                <w:sz w:val="14"/>
                <w:szCs w:val="14"/>
                <w:b w:val="1"/>
                <w:bCs w:val="1"/>
                <w:color w:val="auto"/>
                <w:w w:val="89"/>
              </w:rPr>
              <w:t>2014</w:t>
            </w:r>
          </w:p>
        </w:tc>
        <w:tc>
          <w:tcPr>
            <w:tcW w:w="2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88"/>
              </w:rPr>
              <w:t>There- after</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6"/>
              <w:spacing w:after="0"/>
              <w:rPr>
                <w:sz w:val="20"/>
                <w:szCs w:val="20"/>
                <w:color w:val="auto"/>
              </w:rPr>
            </w:pPr>
            <w:r>
              <w:rPr>
                <w:rFonts w:ascii="Arial" w:cs="Arial" w:eastAsia="Arial" w:hAnsi="Arial"/>
                <w:sz w:val="14"/>
                <w:szCs w:val="14"/>
                <w:b w:val="1"/>
                <w:bCs w:val="1"/>
                <w:color w:val="auto"/>
              </w:rPr>
              <w:t>Total</w:t>
            </w:r>
          </w:p>
        </w:tc>
      </w:tr>
      <w:tr>
        <w:trPr>
          <w:trHeight w:val="129"/>
        </w:trPr>
        <w:tc>
          <w:tcPr>
            <w:tcW w:w="5820" w:type="dxa"/>
            <w:vAlign w:val="bottom"/>
          </w:tcPr>
          <w:p>
            <w:pPr>
              <w:spacing w:after="0"/>
              <w:rPr>
                <w:sz w:val="11"/>
                <w:szCs w:val="11"/>
                <w:color w:val="auto"/>
              </w:rPr>
            </w:pP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9"/>
              </w:rPr>
              <w:t>(remaining</w:t>
            </w: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r>
      <w:tr>
        <w:trPr>
          <w:trHeight w:val="161"/>
        </w:trPr>
        <w:tc>
          <w:tcPr>
            <w:tcW w:w="5820" w:type="dxa"/>
            <w:vAlign w:val="bottom"/>
          </w:tcPr>
          <w:p>
            <w:pPr>
              <w:spacing w:after="0"/>
              <w:rPr>
                <w:sz w:val="14"/>
                <w:szCs w:val="14"/>
                <w:color w:val="auto"/>
              </w:rPr>
            </w:pPr>
          </w:p>
        </w:tc>
        <w:tc>
          <w:tcPr>
            <w:tcW w:w="680" w:type="dxa"/>
            <w:vAlign w:val="bottom"/>
            <w:gridSpan w:val="2"/>
          </w:tcPr>
          <w:p>
            <w:pPr>
              <w:ind w:left="20"/>
              <w:spacing w:after="0"/>
              <w:rPr>
                <w:sz w:val="20"/>
                <w:szCs w:val="20"/>
                <w:color w:val="auto"/>
              </w:rPr>
            </w:pPr>
            <w:r>
              <w:rPr>
                <w:rFonts w:ascii="Arial" w:cs="Arial" w:eastAsia="Arial" w:hAnsi="Arial"/>
                <w:sz w:val="14"/>
                <w:szCs w:val="14"/>
                <w:b w:val="1"/>
                <w:bCs w:val="1"/>
                <w:color w:val="auto"/>
                <w:w w:val="81"/>
              </w:rPr>
              <w:t>six months)</w:t>
            </w: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r>
      <w:tr>
        <w:trPr>
          <w:trHeight w:val="216"/>
        </w:trPr>
        <w:tc>
          <w:tcPr>
            <w:tcW w:w="5820" w:type="dxa"/>
            <w:vAlign w:val="bottom"/>
          </w:tcPr>
          <w:p>
            <w:pPr>
              <w:ind w:left="440"/>
              <w:spacing w:after="0"/>
              <w:rPr>
                <w:sz w:val="20"/>
                <w:szCs w:val="20"/>
                <w:color w:val="auto"/>
              </w:rPr>
            </w:pPr>
            <w:r>
              <w:rPr>
                <w:rFonts w:ascii="Arial" w:cs="Arial" w:eastAsia="Arial" w:hAnsi="Arial"/>
                <w:sz w:val="18"/>
                <w:szCs w:val="18"/>
                <w:color w:val="auto"/>
              </w:rPr>
              <w:t>Operating leases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18,915</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$32,447</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$21,676</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color w:val="auto"/>
                <w:w w:val="89"/>
              </w:rPr>
              <w:t>$14,585</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color w:val="auto"/>
                <w:w w:val="90"/>
              </w:rPr>
              <w:t>$2,615</w:t>
            </w:r>
          </w:p>
        </w:tc>
        <w:tc>
          <w:tcPr>
            <w:tcW w:w="40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9,716</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99,954</w:t>
            </w:r>
          </w:p>
        </w:tc>
      </w:tr>
      <w:tr>
        <w:trPr>
          <w:trHeight w:val="216"/>
        </w:trPr>
        <w:tc>
          <w:tcPr>
            <w:tcW w:w="5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lease obligations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1,042</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522</w:t>
            </w: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3,648</w:t>
            </w:r>
          </w:p>
        </w:tc>
      </w:tr>
      <w:tr>
        <w:trPr>
          <w:trHeight w:val="216"/>
        </w:trPr>
        <w:tc>
          <w:tcPr>
            <w:tcW w:w="5820" w:type="dxa"/>
            <w:vAlign w:val="bottom"/>
          </w:tcPr>
          <w:p>
            <w:pPr>
              <w:ind w:left="440"/>
              <w:spacing w:after="0"/>
              <w:rPr>
                <w:sz w:val="20"/>
                <w:szCs w:val="20"/>
                <w:color w:val="auto"/>
              </w:rPr>
            </w:pPr>
            <w:r>
              <w:rPr>
                <w:rFonts w:ascii="Arial" w:cs="Arial" w:eastAsia="Arial" w:hAnsi="Arial"/>
                <w:sz w:val="18"/>
                <w:szCs w:val="18"/>
                <w:color w:val="auto"/>
              </w:rPr>
              <w:t>Purchase commitments to foundries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187,776</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jc w:val="right"/>
              <w:ind w:right="2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0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187,776</w:t>
            </w:r>
          </w:p>
        </w:tc>
      </w:tr>
      <w:tr>
        <w:trPr>
          <w:trHeight w:val="216"/>
        </w:trPr>
        <w:tc>
          <w:tcPr>
            <w:tcW w:w="5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purchase obligations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16,053</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16,053</w:t>
            </w:r>
          </w:p>
        </w:tc>
      </w:tr>
      <w:tr>
        <w:trPr>
          <w:trHeight w:val="222"/>
        </w:trPr>
        <w:tc>
          <w:tcPr>
            <w:tcW w:w="582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223,786</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34,531</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22,198</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14,585</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2,615</w:t>
            </w:r>
          </w:p>
        </w:tc>
        <w:tc>
          <w:tcPr>
            <w:tcW w:w="40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9,716</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307,431</w:t>
            </w:r>
          </w:p>
        </w:tc>
      </w:tr>
      <w:tr>
        <w:trPr>
          <w:trHeight w:val="20"/>
        </w:trPr>
        <w:tc>
          <w:tcPr>
            <w:tcW w:w="5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left="5620" w:right="1660" w:hanging="5161"/>
        <w:spacing w:after="0" w:line="440" w:lineRule="auto"/>
        <w:rPr>
          <w:sz w:val="20"/>
          <w:szCs w:val="20"/>
          <w:color w:val="auto"/>
        </w:rPr>
      </w:pPr>
      <w:r>
        <w:rPr>
          <w:rFonts w:ascii="Arial" w:cs="Arial" w:eastAsia="Arial" w:hAnsi="Arial"/>
          <w:sz w:val="18"/>
          <w:szCs w:val="18"/>
          <w:color w:val="auto"/>
        </w:rPr>
        <w:t>Included in operating lease commitments are lease payments for CAD software license agreements and airplane lease commitments. 35</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August 1, 2009, we recorded $111.5 million of unrecognized tax benefits as liabilities in accordance with FIN 48. We also recorded a liability for potential interest and penalties of $25.5 million and $11.1 million, respectively, as of August 1, 2009. During the next 12 months, we believe that audit resolutions and the expiration of statute of limitations could potentially reduce our unrecognized tax benefit by approximately $37.6 million. However, this amount can change because we continue to have ongoing negotiations with various tax authorities throughout the year. At this time, we are unable to make a reasonably reliable estimate of the amount of payments in each year beyond 12 months due to uncertainties in the timing of tax audit outcomes.</w:t>
      </w:r>
    </w:p>
    <w:p>
      <w:pPr>
        <w:spacing w:after="0" w:line="144"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 and</w:t>
      </w:r>
      <w:r>
        <w:rPr>
          <w:rFonts w:ascii="Arial" w:cs="Arial" w:eastAsia="Arial" w:hAnsi="Arial"/>
          <w:sz w:val="16"/>
          <w:szCs w:val="16"/>
          <w:i w:val="1"/>
          <w:iCs w:val="1"/>
          <w:color w:val="auto"/>
        </w:rPr>
        <w:t xml:space="preserve"> </w:t>
      </w:r>
      <w:r>
        <w:rPr>
          <w:rFonts w:ascii="Arial" w:cs="Arial" w:eastAsia="Arial" w:hAnsi="Arial"/>
          <w:sz w:val="16"/>
          <w:szCs w:val="16"/>
          <w:color w:val="auto"/>
        </w:rPr>
        <w:t>from exercise of employee stock options, will be sufficient to cover our working capital needs, capital expenditures, investment requirements and commitments for at least the next 12 months, including the $72 million paid into escrow as part of the preliminary settlement in the shareholder class action lawsuit and the $16 million paid as part of the final settlement of the consolidated shareholder derivative lawsuit during the three months ending October 31, 2009.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August 1, 2009, we did not have any material off-balance-sheet arrangements, as defined in Item 303(a)(4)(ii) of SEC Regulation S-K.</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December 2007, the FASB issued Statement of Financial Accounting Standards (“SFAS”) No. 141 (revised 2007), “Business Combinations” (“SFAS 141R”). SFAS 141R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 related transaction costs and the recognition of changes in the acquirer’s income tax valuation allowance. Although the adoption of SFAS 141R during the first quarter ended May 2, 2009 had no impact on our financial position and results of operations, we expect it will have an impact on our consolidated financial statements, but the nature and magnitude of the specific effects will depend upon the nature, terms and size of the acquisitions we consummate after the effective date of February 1, 2009.</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February 2008, the FASB issued FASB Staff Position (“FSP”) FAS No. 157-2, “Effective Date of FASB Statement No. 157” (“FSP 157-2”), to partially defer SFAS No. 157, “Fair Value Measurements”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during the first quarter ended May 2, 2009 did not have a material impact on our financial position and results of operations.</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adoption of SFAS 161 during the first quarter ended May 2, 2009 did not have a material impact on our financial position and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April 2008, the FASB issued FSP SFAS No. 142-3, “Determination of Useful Life of Intangible Assets” (“FSP 142-3”). FSP 142-3 amends the factors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that should be considered in developing the renewal or extension assumptions used to determine the useful life of a recognized intangible asset under SFAS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No. 142, “Goodwill and Other Intangible Assets.”. FSP 142-3 also requires expanded disclosure related to the determination of intangible asset useful lives. FSP</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142-3 is effective for fiscal years beginning after December 15, 2008. Earlier adoption is not permitted. The adoption of FSP 142-3 during the first quarter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fiscal 2010 did not have an impact on our financial position and results of operations.</w:t>
      </w:r>
    </w:p>
    <w:p>
      <w:pPr>
        <w:spacing w:after="0" w:line="16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April 2009, the FASB issued three related Staff Positions: (i) FSP SFAS No. 157-4, “Determining Fair Value When the Volume and Level of Activity for the Asset or Liability have Significantly Decreased and Identifying Transactions That Are Not Orderly” (“FSP 157-4”), (ii) FSP SFAS No. 115-2 and FSP SFAS No. 124-2, “Recognition and Presentation of Other-Than-Temporary Impairments” (“FSP 115-2 and FSP 124-2”), and (iii) FSP SFAS No. 107-1 and APB 28-1, “Interim Disclosures about Fair Value of Financial Instruments” (“FSP 107-1 and APB 28-1”), which are effective for interim and annual periods ending after June 15, 2009. FSP 157-4 provides guidance on how to determine the fair value of financial assets and liabilities under SFAS 157 in the current economic environment and reemphasizes that the objective of a fair value measurement remains an exit price. If there has been a significant decrease in the volume and level of activity of the asset or liability in relation to normal market activities, quoted market values may not be representative of fair value. As a result, a change in valuation technique or the use of multiple valuation techniques may be appropriate. FSP 115-2 and FSP 124-2 modify the requirements for recognizing other-than-temporarily impaired debt securities and revise the existing impairment model for such securities, by modifying the current intent and ability indicator in determining whether a debt security is other-than-temporarily impaired. FSP 107-1 and APB 28-1 enhance the disclosure of instruments under the scope of SFAS 157 for both interim and annual periods. The implementation of these Staff Positions during the second quarter ended August 1, 2009 did not have a material on financial position and results of operations.</w:t>
      </w:r>
    </w:p>
    <w:p>
      <w:pPr>
        <w:spacing w:after="0" w:line="12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April 2009, the FASB issued FSP SFAS No. 141R-1, “Accounting for Assets Acquired and Liabilities Assumed in a Business Combination That Arise from Contingencies” (“FSP 141R-1”). FSP 141R-1 amends the provisions in SFAS 141R for the initial recognition and measurement, subsequent measurement and accounting, and disclosures for assets and liabilities arising from contingencies in business combinations. The FSP eliminates the distinction between contractual and non-contractual contingencies, including the initial recognition and measurement criteria in SFAS 141R and instead carries forward most of the provisions in SFAS 141R for acquired contingencies. FSP 141R-1 is effective for contingent assets and contingent liabilities acquired in business combinations for which the acquisition date is on or after the beginning of the first annual reporting period beginning on or after December 15, 2008. We expect that FSP 141R-1 could have an impact on our financial position and results of operations, but the nature and magnitude of the specific effects will depend upon the nature, term and size of the acquired contingencies.</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May 2009, the FASB issued SFAS No. 165, “Subsequent Events” (“SFAS 165”), which provides authoritative accounting literature for a topic that was previously addressed only in the auditing literature. The guidance in SFAS 165 largely is similar to the current guidance in the auditing literature with some exceptions that are not intended to result in significant changes in practice. The adoption of SFAS 165 in the second quarter of fiscal 2010 did not have a material impact on our financial position and results of operations.</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June 2009, the FASB issued SFAS No. 168, “The FASB Accounting Standards Codification and the Hierarchy of Generally Accepted Accounting Principles, a replacement of FASB Statement No. 162” (“SFAS 168”), which is effective for interim and annual periods ending after September 15, 2009. SFAS 168 makes the FASB Accounting Standards Codification (“Codification”) the single authoritative source for U.S. GAAP. The Codification replaces all previous U.S. GAAP accounting standards. The adoption of SFAS 168 will only impact references for accounting guidance and we do not expect the adoption of SFAS 168 to have a material impact on our financial position or results of operations.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August 19, 2005, through our subsidiaries Marvell Semiconductor, Inc. (“MSI”) and Marvell International Ltd. (“MIL”), we entered into a License and Manufacturing Services Agreement with C2 Microsystems, Inc. (the “C2Micro License Agreement”). The C2Micro License Agreement has substantially similar terms as other license and manufacturing services agreements with other third parties for similar technology. We recognized none and $1.4 million of revenue under the C2Micro License Agreement during the three months ended August 1, 2009 and August 2, 2008, respectively. We recognized none and $2.6 million of revenue under the C2Micro License Agreement during the six months ended August 1, 2009 and August 2, 2008, respectively. As of August 1, 2009, we had a receivable of $1.4 million from C2 Microsystems. Dr. Sehat Sutardja, our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our Board of Directors, is a</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member of the board of directors of C2 Microsystems and through his ownership, and control of C-Squared venture entities, is also an indirect shareholder of C2 Microsystems. Dr. Pantas Sutardja, our Vice President, Chief Technology Officer and Chief Research and Development Officer, is also a shareholder of C2 Microsystems.</w:t>
      </w:r>
    </w:p>
    <w:p>
      <w:pPr>
        <w:spacing w:after="0" w:line="140"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January 8, 2007, through our subsidiary MIL, we entered into a Library/IP/Software Evaluation License Agreement (the “Evaluation License Agreement”), with VeriSilicon Holdings Co., Ltd. The Evaluation License Agreement has no consideration. We incurred $4,000 and $43,000 of royalty expense from VeriSilicon under a core license agreement assumed from our acquisition of the semiconductor design business of UTStarcom, Inc. during the three months ended August 1, 2009 and August 2, 2008, respectively. We incurred $6,000 and $109,000 of royalty expense under the same license agreement during the six months ended August 1, 2009 and August 2, 2008, respectively. This core license agreement had been assumed by VeriSilicon after its acquisition of certain assets from LSI. In March 2009, we entered into an addendum to this core license agreement with VeriSilicon. We recorded a license fee of $0.5 million and maintenance fees of $80,000 during the first quarter ended May 2, 2009. In June 2009, we entered into the second addendum to the technology license agreement with VeriSilicon for VeriSilicon to perform services for a fee of $40,000. Weili Dai’s brother (and Dr. Sehat Sutardja’s brother-in-law) is the Chairman, President and Chief Executive Officer of VeriSilicon. Ms. Dai is also a shareholder of VeriSilicon.</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On September 28, 2007, through our subsidiary MIL, we entered into a Master Technology Agreement with Sonics, Inc., pursuant to which we have licensed technology from Sonics. The Master Technology Agreement has substantially similar terms as other license agreements with other third parties. We paid $0.1 million under the Master Technology Agreement for maintenance during fiscal 2009. Kuo Wei (Herbert) Chang, a member of our Board of Directors, serves as a member of the board of directors of Sonics and has a direct and/or indirect ownership interest in the equity of Sonics. There was no expense incurred related to the Master Technology Agreement during the three and six months ended August 1, 2009 and August 2, 2008.</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 similar terms as other license agreements with other third parties for similar technology. We recorded none and $0.2 million of expense during the three and six months ended August 2, 2008, respectively, in connection with the Vivante Agreement. In August 2008, we entered into a Technology License Agreement with Vivante. This Technology License Agreement, as amended, also has substantially similar terms as we would expect to obtain for license agreements with other third parties for similar technology. We recorded $2.0 million for the license fee and $0.2 million of maintenance during fiscal 2009 in connection with this Technology License Agreement. In January 2009, we entered into an agreement with Vivante to disclose certain cell libraries to Vivante at no additional cost. In April 2009, we entered into an amendment to the Technology License Agreement with Vivante. We recorded $1.0 million for the license fee and $70,000 of maintenance during the first quarter ended May 2, 2009 in connection with the amendment to the Technology License Agreement. In June 2009, we entered into the second amendment to the Technology License Agreement with Vivante and recorded $0.5 million for the license fee and $50,000 of maintenance during the three months ended August 1, 2009.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maximizing the income we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from 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August 1, 2009 (in thousands). This table does not include money market funds because those funds are not subject to market risk. Except for a settlement security discussed below, auction rate securities are presented with an expected fiscal year maturity date beyond five years because of recent auction failures. Because we have no intent to sell, it is more-likely-than-not that we will not be required to sell the auction rate securities prior to recovery. Therefore, we have classified the auction rate securities based on the stated maturity date.</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0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220" w:type="dxa"/>
            <w:vAlign w:val="bottom"/>
            <w:tcBorders>
              <w:bottom w:val="single" w:sz="8" w:color="auto"/>
            </w:tcBorders>
            <w:gridSpan w:val="7"/>
          </w:tcPr>
          <w:p>
            <w:pPr>
              <w:jc w:val="right"/>
              <w:ind w:right="80"/>
              <w:spacing w:after="0"/>
              <w:rPr>
                <w:sz w:val="20"/>
                <w:szCs w:val="20"/>
                <w:color w:val="auto"/>
              </w:rPr>
            </w:pPr>
            <w:r>
              <w:rPr>
                <w:rFonts w:ascii="Arial" w:cs="Arial" w:eastAsia="Arial" w:hAnsi="Arial"/>
                <w:sz w:val="14"/>
                <w:szCs w:val="14"/>
                <w:b w:val="1"/>
                <w:bCs w:val="1"/>
                <w:color w:val="auto"/>
                <w:w w:val="91"/>
              </w:rPr>
              <w:t>Expected Fiscal Year Maturity Date</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70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6"/>
              </w:rPr>
              <w:t>2009</w:t>
            </w:r>
          </w:p>
        </w:tc>
        <w:tc>
          <w:tcPr>
            <w:tcW w:w="200" w:type="dxa"/>
            <w:vAlign w:val="bottom"/>
          </w:tcPr>
          <w:p>
            <w:pPr>
              <w:spacing w:after="0"/>
              <w:rPr>
                <w:sz w:val="12"/>
                <w:szCs w:val="12"/>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6"/>
              </w:rPr>
              <w:t>2010</w:t>
            </w:r>
          </w:p>
        </w:tc>
        <w:tc>
          <w:tcPr>
            <w:tcW w:w="220" w:type="dxa"/>
            <w:vAlign w:val="bottom"/>
          </w:tcPr>
          <w:p>
            <w:pPr>
              <w:spacing w:after="0"/>
              <w:rPr>
                <w:sz w:val="12"/>
                <w:szCs w:val="12"/>
                <w:color w:val="auto"/>
              </w:rPr>
            </w:pPr>
          </w:p>
        </w:tc>
        <w:tc>
          <w:tcPr>
            <w:tcW w:w="480" w:type="dxa"/>
            <w:vAlign w:val="bottom"/>
          </w:tcPr>
          <w:p>
            <w:pPr>
              <w:jc w:val="right"/>
              <w:ind w:right="22"/>
              <w:spacing w:after="0" w:line="142" w:lineRule="exact"/>
              <w:rPr>
                <w:sz w:val="20"/>
                <w:szCs w:val="20"/>
                <w:color w:val="auto"/>
              </w:rPr>
            </w:pPr>
            <w:r>
              <w:rPr>
                <w:rFonts w:ascii="Arial" w:cs="Arial" w:eastAsia="Arial" w:hAnsi="Arial"/>
                <w:sz w:val="14"/>
                <w:szCs w:val="14"/>
                <w:b w:val="1"/>
                <w:bCs w:val="1"/>
                <w:color w:val="auto"/>
              </w:rPr>
              <w:t>2011</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9"/>
              </w:rPr>
              <w:t>2012</w:t>
            </w:r>
          </w:p>
        </w:tc>
        <w:tc>
          <w:tcPr>
            <w:tcW w:w="200" w:type="dxa"/>
            <w:vAlign w:val="bottom"/>
          </w:tcPr>
          <w:p>
            <w:pPr>
              <w:spacing w:after="0"/>
              <w:rPr>
                <w:sz w:val="12"/>
                <w:szCs w:val="12"/>
                <w:color w:val="auto"/>
              </w:rPr>
            </w:pPr>
          </w:p>
        </w:tc>
        <w:tc>
          <w:tcPr>
            <w:tcW w:w="3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6"/>
              </w:rPr>
              <w:t>2013</w:t>
            </w:r>
          </w:p>
        </w:tc>
        <w:tc>
          <w:tcPr>
            <w:tcW w:w="200" w:type="dxa"/>
            <w:vAlign w:val="bottom"/>
          </w:tcPr>
          <w:p>
            <w:pPr>
              <w:spacing w:after="0"/>
              <w:rPr>
                <w:sz w:val="12"/>
                <w:szCs w:val="12"/>
                <w:color w:val="auto"/>
              </w:rPr>
            </w:pPr>
          </w:p>
        </w:tc>
        <w:tc>
          <w:tcPr>
            <w:tcW w:w="940" w:type="dxa"/>
            <w:vAlign w:val="bottom"/>
            <w:gridSpan w:val="2"/>
          </w:tcPr>
          <w:p>
            <w:pPr>
              <w:jc w:val="right"/>
              <w:ind w:right="320"/>
              <w:spacing w:after="0" w:line="142" w:lineRule="exact"/>
              <w:rPr>
                <w:sz w:val="20"/>
                <w:szCs w:val="20"/>
                <w:color w:val="auto"/>
              </w:rPr>
            </w:pPr>
            <w:r>
              <w:rPr>
                <w:rFonts w:ascii="Arial" w:cs="Arial" w:eastAsia="Arial" w:hAnsi="Arial"/>
                <w:sz w:val="14"/>
                <w:szCs w:val="14"/>
                <w:b w:val="1"/>
                <w:bCs w:val="1"/>
                <w:color w:val="auto"/>
                <w:w w:val="87"/>
              </w:rPr>
              <w:t>Thereafter</w:t>
            </w:r>
          </w:p>
        </w:tc>
        <w:tc>
          <w:tcPr>
            <w:tcW w:w="80" w:type="dxa"/>
            <w:vAlign w:val="bottom"/>
          </w:tcPr>
          <w:p>
            <w:pPr>
              <w:spacing w:after="0"/>
              <w:rPr>
                <w:sz w:val="12"/>
                <w:szCs w:val="12"/>
                <w:color w:val="auto"/>
              </w:rPr>
            </w:pPr>
          </w:p>
        </w:tc>
        <w:tc>
          <w:tcPr>
            <w:tcW w:w="840" w:type="dxa"/>
            <w:vAlign w:val="bottom"/>
            <w:gridSpan w:val="2"/>
          </w:tcPr>
          <w:p>
            <w:pPr>
              <w:jc w:val="right"/>
              <w:ind w:right="40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6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70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52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7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$5,000</w:t>
            </w: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w w:val="85"/>
              </w:rPr>
              <w:t>$—</w:t>
            </w:r>
          </w:p>
        </w:tc>
        <w:tc>
          <w:tcPr>
            <w:tcW w:w="200" w:type="dxa"/>
            <w:vAlign w:val="bottom"/>
            <w:shd w:val="clear" w:color="auto" w:fill="CCEEFF"/>
          </w:tcPr>
          <w:p>
            <w:pPr>
              <w:spacing w:after="0"/>
              <w:rPr>
                <w:sz w:val="18"/>
                <w:szCs w:val="18"/>
                <w:color w:val="auto"/>
              </w:rPr>
            </w:pP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w:t>
            </w:r>
          </w:p>
        </w:tc>
        <w:tc>
          <w:tcPr>
            <w:tcW w:w="114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$ 36,800</w:t>
            </w:r>
          </w:p>
        </w:tc>
        <w:tc>
          <w:tcPr>
            <w:tcW w:w="9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w w:val="98"/>
              </w:rPr>
              <w:t>$41,800</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$ 39,333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700" w:type="dxa"/>
            <w:vAlign w:val="bottom"/>
          </w:tcPr>
          <w:p>
            <w:pPr>
              <w:spacing w:after="0"/>
              <w:rPr>
                <w:sz w:val="20"/>
                <w:szCs w:val="20"/>
                <w:color w:val="auto"/>
              </w:rPr>
            </w:pPr>
            <w:r>
              <w:rPr>
                <w:rFonts w:ascii="Arial" w:cs="Arial" w:eastAsia="Arial" w:hAnsi="Arial"/>
                <w:sz w:val="18"/>
                <w:szCs w:val="18"/>
                <w:color w:val="auto"/>
              </w:rPr>
              <w:t>Average Interest Rate</w:t>
            </w:r>
          </w:p>
        </w:tc>
        <w:tc>
          <w:tcPr>
            <w:tcW w:w="2160" w:type="dxa"/>
            <w:vAlign w:val="bottom"/>
          </w:tcPr>
          <w:p>
            <w:pPr>
              <w:spacing w:after="0"/>
              <w:rPr>
                <w:sz w:val="19"/>
                <w:szCs w:val="19"/>
                <w:color w:val="auto"/>
              </w:rPr>
            </w:pPr>
          </w:p>
        </w:tc>
        <w:tc>
          <w:tcPr>
            <w:tcW w:w="36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6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54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36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ind w:right="160"/>
              <w:spacing w:after="0"/>
              <w:rPr>
                <w:sz w:val="20"/>
                <w:szCs w:val="20"/>
                <w:color w:val="auto"/>
              </w:rPr>
            </w:pPr>
            <w:r>
              <w:rPr>
                <w:rFonts w:ascii="Arial" w:cs="Arial" w:eastAsia="Arial" w:hAnsi="Arial"/>
                <w:sz w:val="18"/>
                <w:szCs w:val="18"/>
                <w:color w:val="auto"/>
              </w:rPr>
              <w:t>1.60%</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1.60%</w:t>
            </w: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As of August 1, 2009 and January 31, 2009, our investment portfolio included $41.8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(the “FFELP”) and are over-collateralized, insured and guaranteed by the U.S. Federal Department of Education (the “DOE”). All auction rate securities held by us are rated by the major independent rating agencies as either AAA or Aaa at the time of purchase.</w:t>
      </w:r>
    </w:p>
    <w:p>
      <w:pPr>
        <w:spacing w:after="0" w:line="12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the fourth quarter ended January 31, 2009, UBS, one of the brokers in which we purchase auction rates securities from, offered a settlement where UBS has the right to call and sell one of the auction securities we purchased from them at par value of $5 million at a future date. As a result of our participation in this settlement, we included the put option from the settlement in the long term investments and elected to apply SFAS No. 159, “The Fair Value Option for Financial Assets and Financial Liabilities” (“SFAS 159”), to measure the put option at fair value. We also elected to transfer this auction rate security to trading securities from available-for-sale pursuant to SFAS 115, “Accounting for Certain Investments in Debt and Equity Securities” (“SFAS 115”), as our intent is to exercise the put option at a future date.</w:t>
      </w:r>
    </w:p>
    <w:p>
      <w:pPr>
        <w:spacing w:after="0" w:line="144" w:lineRule="exact"/>
        <w:rPr>
          <w:sz w:val="20"/>
          <w:szCs w:val="20"/>
          <w:color w:val="auto"/>
        </w:rPr>
      </w:pPr>
    </w:p>
    <w:p>
      <w:pPr>
        <w:jc w:val="both"/>
        <w:ind w:right="40" w:firstLine="456"/>
        <w:spacing w:after="0" w:line="294" w:lineRule="auto"/>
        <w:rPr>
          <w:sz w:val="20"/>
          <w:szCs w:val="20"/>
          <w:color w:val="auto"/>
        </w:rPr>
      </w:pPr>
      <w:r>
        <w:rPr>
          <w:rFonts w:ascii="Arial" w:cs="Arial" w:eastAsia="Arial" w:hAnsi="Arial"/>
          <w:sz w:val="16"/>
          <w:szCs w:val="16"/>
          <w:color w:val="auto"/>
        </w:rPr>
        <w:t>As of August 1, 2009, the estimated fair values of the auction rate securities were $2.5 million less than their par value. We have less than 3.3% of our total cash invested in these auction rate securities, a balance of approximately $1.3 billion in cash and cash equivalents other than auction rate securities and restricted cash, and we continue to generate positive cash flow on a quarterly basis. Based on FSP 115-2, as we have no intent to sell and it is more-likely-than-not that we will not be required to sell the auction rate securities prior to recovery, we concluded the decline in fair values was temporary and recorded the unrealized loss to accumulated other comprehensive loss, a component of shareholders’ equity as of August 1, 2009.</w:t>
      </w:r>
    </w:p>
    <w:p>
      <w:pPr>
        <w:spacing w:after="0" w:line="1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August 1, 2009.</w:t>
      </w:r>
    </w:p>
    <w:p>
      <w:pPr>
        <w:spacing w:after="0" w:line="140"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At any time, fluctuations in interest rates could affect interest earnings on our cash and cash equivalents, or the fair value of our investment portfolio.</w:t>
      </w:r>
    </w:p>
    <w:p>
      <w:pPr>
        <w:spacing w:after="0" w:line="194" w:lineRule="exact"/>
        <w:rPr>
          <w:sz w:val="20"/>
          <w:szCs w:val="20"/>
          <w:color w:val="auto"/>
        </w:rPr>
      </w:pPr>
    </w:p>
    <w:p>
      <w:pPr>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business and strategic purposes. These investments, which totaled $7.1 million at</w:t>
      </w:r>
      <w:r>
        <w:rPr>
          <w:rFonts w:ascii="Arial" w:cs="Arial" w:eastAsia="Arial" w:hAnsi="Arial"/>
          <w:sz w:val="16"/>
          <w:szCs w:val="16"/>
          <w:i w:val="1"/>
          <w:iCs w:val="1"/>
          <w:color w:val="auto"/>
        </w:rPr>
        <w:t xml:space="preserve"> </w:t>
      </w:r>
      <w:r>
        <w:rPr>
          <w:rFonts w:ascii="Arial" w:cs="Arial" w:eastAsia="Arial" w:hAnsi="Arial"/>
          <w:sz w:val="16"/>
          <w:szCs w:val="16"/>
          <w:color w:val="auto"/>
        </w:rPr>
        <w:t>August 1, 2009,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113"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are denominated in U.S. dollars. As a result, we have limited</w:t>
      </w:r>
      <w:r>
        <w:rPr>
          <w:rFonts w:ascii="Arial" w:cs="Arial" w:eastAsia="Arial" w:hAnsi="Arial"/>
          <w:sz w:val="16"/>
          <w:szCs w:val="16"/>
          <w:i w:val="1"/>
          <w:iCs w:val="1"/>
          <w:color w:val="auto"/>
        </w:rPr>
        <w:t xml:space="preserve"> </w:t>
      </w:r>
      <w:r>
        <w:rPr>
          <w:rFonts w:ascii="Arial" w:cs="Arial" w:eastAsia="Arial" w:hAnsi="Arial"/>
          <w:sz w:val="16"/>
          <w:szCs w:val="16"/>
          <w:color w:val="auto"/>
        </w:rPr>
        <w:t>exposure to foreign currency exchange risk. Since we operate in many countries, we pay certain payroll and other operating expenses in local currencies. We also hold certain assets and liabilities, including potential local tax liabilities, in local currency on our balance sheet. We record the related effects of foreign exchange fluctuations on local currency expenses, assets and liabilities to other income and expense. Significant fluctuations in exchange rates in countries where we incur expenses or record assets or liabilities in local currency could affect our business and operating results in the future. Thus, we may experience both realized and unrealized foreign currency gains and losses due to these local currency exposures. There is also a risk that our customers may be negatively impacted in their ability to purchase our products priced in U.S. dollars when there has been significant volatility in foreign currency exchange rates.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Occasionally, we will enter into short-term forward exchange contracts to hedge exposures for purchases denominated in foreign currencies, such as the Israeli Shekel. We do not enter into derivative financial instruments for trading or speculative purposes. Generally, our practice is to hedge only the most significant of our foreign exchange exposures, typically for one to 12 months. We may choose not to hedge certain foreign exchange exposures due to immateriality, offsetting exposures, prohibitive economic cost of hedging particular exposures, and limited availability of appropriate hedging instruments. As of August 1, 2009, we had $29.3 million of notional value in forward contracts designated as cash flow hedges with an unrealized gain of $2.1 million and $28.2 million of notional value in forward contracts not designated as hedges with a realized loss of $0.1 million. We had no forward contracts as of January 31, 2009. For more information see Note 5 – Derivative Financial Instruments in our notes to unaudited condensed consolidated financial statements. If foreign currency rates were to fluctuate by 10% from rates as of August 1, 2009, our consolidated financial position, operating results and cash flows could be materially affected.</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August 1, 2009,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August 1, 2009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31, 2009 and subsequent reports on Forms 10-Q and 8-K. Many of these risks and uncertainties are beyond our control, including business cycles and seasonal trends of the computing, semiconductor and related industries.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operating results have fluctuated in the past and could do so in the future. Because our operating results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design win or order;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90" w:lineRule="exact"/>
        <w:rPr>
          <w:rFonts w:ascii="Arial" w:cs="Arial" w:eastAsia="Arial" w:hAnsi="Arial"/>
          <w:sz w:val="18"/>
          <w:szCs w:val="18"/>
          <w:color w:val="auto"/>
        </w:rPr>
      </w:pPr>
    </w:p>
    <w:p>
      <w:pPr>
        <w:ind w:left="900" w:right="560" w:hanging="446"/>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litigation could result in substantial costs and a diversion of management’s attention and resources that are needed to successfully run our business.</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97"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global financial crisis. As a result, our financial results and the market price of our common shares may decline.</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primarily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revenue and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18"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Recently global credit and financial markets have been experiencing extreme volatility and disruptions, including severely diminished liquidity and credit availability, declines in consumer confidence, declines in economic growth, volatile energy costs, increases in unemployment rates, and uncertainty about economic stability. As a result, we experienced cancellations, deferrals and a significant slowdown in orders and anticipate that these lower revenue levels could continue for the foreseeable future. These conditions make it difficult for our customers, our vendors and us to accurately forecast and plan future business activities, and could cause global businesses to slow spending on our products and services, which would delay and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economic recovery, global or in the hard disk drive and semiconductor industry. If the economy or markets in which we operate continue to deteriorate or do not fully recover,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90"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color w:val="auto"/>
        </w:rPr>
        <w:t>We have experienced significant changes in our management and our Board of Directors in recent years. In May 2007, our former Chief Financial Officer resigned. In addition, our former Executive Vice President and Chief Operating Officer, who is one of our co-founders, resigned from those executive officer positions and as a member of our Board of Directors but continued to serve in various non-executive officer positions for our U.S. operating subsidiary. In June 2008, we hired a Chief Financial Officer to replace our Interim Chief Financial Officer who transitioned to Acting Chief Operating Officer. The service of our Acting Chief Operating Officer concluded in October 2008 and our Chief Financial Officer was appointed to serve as Interim Chief Operating Officer until a permanent replacement can be hired. If we cannot recruit a qualified permanent replacement for the position of Chief Operating Officer, our business may suffer. Moreover, we continue to search for new independent directors to fill the existing vacancies on our Board of Directors, and two of the independent directors currently on our Board of Directors joined our Board of Directors in October 2007 and July 2008, respectively. An independent director was appointed to a new position of Lead Independent Director in April 2009.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The tentative settlement of the pending shareholder class action lawsuit requires the court’s final approval and may not be approved by the court.</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On June 9, 2009, we entered into an agreement to resolve the shareholder class action lawsuit filed against us and certain of our former and current officers and directors relating to our historic stock option granting practices. This class action settlement is subject to preliminary and then, following notice to class members, final approval by the United States District Court for the Northern District of California. On July 31, 2009, the court preliminary approved this settlement. A final approval hearing has been scheduled for November 6, 2009. The court may not grant final approval of this tentative settlement.</w:t>
      </w:r>
    </w:p>
    <w:p>
      <w:pPr>
        <w:spacing w:after="0" w:line="113"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If the tentative class action settlement is not finally approved by the court, the parties might elect or be required to continue litigating this matter. This may cause us to incur substantial additional litigation costs and expenses and other liabilities, and may be distracting to management.</w:t>
      </w:r>
    </w:p>
    <w:p>
      <w:pPr>
        <w:spacing w:after="0" w:line="166" w:lineRule="exact"/>
        <w:rPr>
          <w:sz w:val="20"/>
          <w:szCs w:val="20"/>
          <w:color w:val="auto"/>
        </w:rPr>
      </w:pPr>
    </w:p>
    <w:p>
      <w:pPr>
        <w:ind w:right="66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On May 8, 2008, we announced that we had reached an agreement with the SEC to settle this matter.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97"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5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Securities class action litigation often has been brought against a company following periods of volatility in the market price of its securities. Companies in the semiconductor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2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113"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U.S. sub-prime mortgage defaults have had a significant impact across various sectors of the financial markets, causing global credit and liquidity issues. The short-term funding markets experienced credit issues beginning in the second half of calendar 2007 and continuing to date through the second quarter of calendar 2009,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As of August 1, 2009 and January 31, 2009, our investment portfolio included $41.8 million and $41.9 million, respectively,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w:t>
      </w:r>
    </w:p>
    <w:p>
      <w:pPr>
        <w:spacing w:after="0" w:line="144"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the fourth quarter ended January 31, 2009, UBS, one of the brokers who we purchased auction rate securities from, offered a settlement where UBS has the right to call and sell one of the auction securities we purchased from them at par value of $5 million at a future date. As a result of our participation in this settlement, we included the put option from the settlement in long term investments and elected to apply SFAS 159 to measure the put option at fair value. We also elected to transfer this auction rate security to trading securities from available-for-sale pursuant to SFAS 115, as our intent is to exercise the put option at a future date.</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As of August 1, 2009, the estimated fair values of the auction rate securities were $2.5 million less than their par value. We have less than 3.3% of our total cash invested in these auction rate securities, a cash balance of approximately $1.3 billion in cash and cash equivalents other than auction rate securities and restricted cash, and we continue to generate positive cash flow on a quarterly basis. Based on FSP 115-2, as we have no intent to sell and it is more-likely-than-not that we will not be required to sell the auction rate securities prior to recovery, we concluded the decline in fair values was temporary and recorded the unrealized loss to accumulated other comprehensive income (loss), a component of shareholders’ equity as of August 1, 2009.</w:t>
      </w:r>
    </w:p>
    <w:p>
      <w:pPr>
        <w:spacing w:after="0" w:line="11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August 1, 2009.</w:t>
      </w:r>
    </w:p>
    <w:p>
      <w:pPr>
        <w:spacing w:after="0" w:line="14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94" w:lineRule="exact"/>
        <w:rPr>
          <w:sz w:val="20"/>
          <w:szCs w:val="20"/>
          <w:color w:val="auto"/>
        </w:rPr>
      </w:pPr>
    </w:p>
    <w:p>
      <w:pPr>
        <w:ind w:right="66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In the past three fiscal years, we have completed the acquisition of the communications and applications processor business of Intel and other small acquisitions.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459" w:right="2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Integrating newly acquired businesses or technologies typically entail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0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$229.8 million of intangible assets on our balance sheet as of August 1, 2009. Under GAAP, we are required to review our intangible assets for impairment whenever events or changes in circumstances indicate that the carrying value of these assets may not be recoverable.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201"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some of our customers are participants in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18"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225"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receive a significant amount of our revenues from a limited number of customers. For the six months ended August 1, 2009, two customers accounted for a total of approximately 35%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23" w:lineRule="auto"/>
        <w:rPr>
          <w:sz w:val="20"/>
          <w:szCs w:val="20"/>
          <w:color w:val="auto"/>
        </w:rPr>
      </w:pPr>
      <w:r>
        <w:rPr>
          <w:rFonts w:ascii="Arial" w:cs="Arial" w:eastAsia="Arial" w:hAnsi="Arial"/>
          <w:sz w:val="15"/>
          <w:szCs w:val="15"/>
          <w:color w:val="auto"/>
        </w:rPr>
        <w:t>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 w:lineRule="exact"/>
        <w:rPr>
          <w:sz w:val="20"/>
          <w:szCs w:val="20"/>
          <w:color w:val="auto"/>
        </w:rPr>
      </w:pPr>
    </w:p>
    <w:p>
      <w:pPr>
        <w:ind w:left="900" w:right="740" w:hanging="446"/>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40"/>
          </w:cols>
          <w:pgMar w:left="240" w:top="459" w:right="31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results of operations could suffer.</w:t>
      </w:r>
    </w:p>
    <w:p>
      <w:pPr>
        <w:spacing w:after="0" w:line="113"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rapidly changing nature of the global economy and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our profitability could be adversely affected due to our higher expense levels. For example, in order to reduce expenses in the challenging economic environment, in the fourth quarter ended January 31, 2009 and the first quarter ended May 2, 2009, we implemented certain cost reduction measures to reduce operating expenses. We expect cost savings from these cost reduction measures to be used to offset market forces or to be reinvested in our businesses to strengthen our competitiveness, but we cannot be certain that we will be successful in these efforts.</w:t>
      </w:r>
    </w:p>
    <w:p>
      <w:pPr>
        <w:spacing w:after="0" w:line="199"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51"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To achieve our business objectives, it may be necessary from time to time for us to expand or contract our operations. For example, we have experienced periods of rapid growth and expansion. Through internal growth and acquisitions, we significantly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increased the scope of our operations and expanded our workforce from 1,205 employees, as of January 31, 2003, to 5,079 employees, as of August 1, 2009.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scale down our business further through additional expense and headcount reductions as well as facility consolidations or closures that could result in restructuring charges that would materially and adversely affect our results of operations. For example, in order to reduce expenses in the challenging economic environment, in the fourth quarter ended January 31, 2009 and the first quarter ended May 2, 2009, we implemented certain cost reduction measures to reduce operating expenses.</w:t>
      </w:r>
    </w:p>
    <w:p>
      <w:pPr>
        <w:spacing w:after="0" w:line="123"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current or future business.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forgo revenue opportunities and potentially lose market share and damage our customer relationships. In addition,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335" w:lineRule="auto"/>
        <w:rPr>
          <w:sz w:val="20"/>
          <w:szCs w:val="20"/>
          <w:color w:val="auto"/>
        </w:rPr>
      </w:pPr>
      <w:r>
        <w:rPr>
          <w:rFonts w:ascii="Arial" w:cs="Arial" w:eastAsia="Arial" w:hAnsi="Arial"/>
          <w:sz w:val="15"/>
          <w:szCs w:val="15"/>
          <w:color w:val="auto"/>
        </w:rPr>
        <w:t>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6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in accordance with Auditing Standard No. 5, a process which sometimes leads to modifications in such controls. These modifications could 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changes in existing taxation rules or practices may cause adverse unexpected revenue and expense fluctuations and affect our reported results of operations.</w:t>
      </w:r>
    </w:p>
    <w:p>
      <w:pPr>
        <w:spacing w:after="0" w:line="51"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Changes to existing rules or the questioning of current practices by regulators may adversely affect our reported financial results or the way we conduct our business.</w:t>
      </w:r>
    </w:p>
    <w:p>
      <w:pPr>
        <w:spacing w:after="0" w:line="224"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key employees or the inability to 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17% of our outstanding common shares as of August 1, 2009.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and economic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91% of our net revenue for the six months ended August 1, 2009, 86% of our net revenue in fiscal 2009, 84% of our net revenue in fiscal 2008 and 89% of our net revenue in fiscal 2007.</w:t>
      </w:r>
    </w:p>
    <w:p>
      <w:pPr>
        <w:spacing w:after="0" w:line="10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have substantial operations, including approximately 21% of our workforce as of August 1, 2009,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6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20" w:hanging="446"/>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9"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5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margin.</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380"/>
          </w:cols>
          <w:pgMar w:left="240" w:top="459" w:right="2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125"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40"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products, the customer generally will solely use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201"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We have agreed to indemnify select customers for claims made against our products, where such claims allege infringement of third party intellectual property rights, including, but not limited to, patents, registered trademarks, and/or copyrights. For example, customers have requested us to indemnify them in connection with patent infringement lawsuits filed in Texas by Australia’s Commonwealth Scientific and Industrial Research Organization, or CSIRO, which alleged its asserted patent is essential to the 802.11 wireless standard. We have filed an action, also in Texas, against CSIRO seeking a declaratory judgment that CSIRO’s patent is invalid and unenforceable and that we and our customers do not infringe the CSIRO patent. Similarly, certain customers have asked us to indemnify them in connection with patent infringement lawsuits filed in Texas by Wi-Lan, a Canadian company, who likewise alleges its asserted patents are essential to the 802.11 wireless standard. Marvell is also named as a defendant in those cases. In addition, we filed a declaratory judgment action in California against Wi-Lan asking the court to find that our products do not infringe a certain Wi-Lan patent that Wi-Lan claims read on products that practice IEEE 802.11,</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802.16 and/or Bluetooth standards. Similarly, certain customers have asked us to indemnify them in connection with patent infringement lawsuits filed by PACid Group, LLC. We believe our products do not infringe any valid and enforceable claims of the asserted patents in these litigations under an appropriate construction of these patents’ claims and we will vigorously defend ourselves in these matters.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9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43"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of Singapore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In light of the current economic downturn, we are in discussion with the Economic Development Board of Singapore to amend part of the pioneer conditions for the future years and have come to an agreement that would preserve the 15 year tax exemption status. We expect to receive the final amendments from the Economic Development Board of Singapore before the end of fiscal year. If our Pioneer Status is terminated early, our financial results could be harmed</w:t>
      </w:r>
      <w:r>
        <w:rPr>
          <w:rFonts w:ascii="Arial" w:cs="Arial" w:eastAsia="Arial" w:hAnsi="Arial"/>
          <w:sz w:val="16"/>
          <w:szCs w:val="16"/>
          <w:i w:val="1"/>
          <w:iCs w:val="1"/>
          <w:color w:val="auto"/>
        </w:rPr>
        <w:t>.</w:t>
      </w:r>
    </w:p>
    <w:p>
      <w:pPr>
        <w:spacing w:after="0" w:line="118" w:lineRule="exact"/>
        <w:rPr>
          <w:sz w:val="20"/>
          <w:szCs w:val="20"/>
          <w:color w:val="auto"/>
        </w:rPr>
      </w:pPr>
    </w:p>
    <w:p>
      <w:pPr>
        <w:jc w:val="both"/>
        <w:ind w:firstLine="456"/>
        <w:spacing w:after="0" w:line="302" w:lineRule="auto"/>
        <w:rPr>
          <w:sz w:val="20"/>
          <w:szCs w:val="20"/>
          <w:color w:val="auto"/>
        </w:rPr>
      </w:pPr>
      <w:r>
        <w:rPr>
          <w:rFonts w:ascii="Arial" w:cs="Arial" w:eastAsia="Arial" w:hAnsi="Arial"/>
          <w:sz w:val="15"/>
          <w:szCs w:val="15"/>
          <w:color w:val="auto"/>
        </w:rPr>
        <w:t>Under the law, including Amendment No. 60 to the law that was published in April 2005, by virtue of the “approved or benefited enterprise” status granted to certain of its enterprises, the Israeli subsidiaries are entitled to various tax benefits. Two divisions, Marvell Israel (M.I.S.L.) Ltd. (“MISL”) and Marvell DSPC Ltd., have five approved programs and one program under the amended law. The first program was approved for MISL in 1995 and the most recent was approved in 2006. Marvell DSPC Ltd. has five approved programs and two programs under the amended law; with the first approved in 1990 and the most recent in 2007.</w:t>
      </w:r>
    </w:p>
    <w:p>
      <w:pPr>
        <w:spacing w:after="0" w:line="3" w:lineRule="exact"/>
        <w:rPr>
          <w:sz w:val="20"/>
          <w:szCs w:val="20"/>
          <w:color w:val="auto"/>
        </w:rPr>
      </w:pPr>
    </w:p>
    <w:p>
      <w:pPr>
        <w:jc w:val="both"/>
        <w:ind w:right="60"/>
        <w:spacing w:after="0" w:line="295" w:lineRule="auto"/>
        <w:rPr>
          <w:sz w:val="20"/>
          <w:szCs w:val="20"/>
          <w:color w:val="auto"/>
        </w:rPr>
      </w:pPr>
      <w:r>
        <w:rPr>
          <w:rFonts w:ascii="Arial" w:cs="Arial" w:eastAsia="Arial" w:hAnsi="Arial"/>
          <w:sz w:val="16"/>
          <w:szCs w:val="16"/>
          <w:color w:val="auto"/>
        </w:rPr>
        <w:t>The benefit period is generally 10 to 15 years and begins commencing in the first year in which our Israeli subsidiaries earn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As our tax holidays expire, we expect that we will start paying income tax at the statutory tax rate on our operations within these development regions which will adversely impact our effective tax rate.</w:t>
      </w:r>
    </w:p>
    <w:p>
      <w:pPr>
        <w:spacing w:after="0" w:line="11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Penang, Malaysia, Etoy, Switzerland and Shanghai, China subject us to the risks of owning real property, which include:</w:t>
      </w:r>
    </w:p>
    <w:p>
      <w:pPr>
        <w:spacing w:after="0" w:line="51" w:lineRule="exact"/>
        <w:rPr>
          <w:sz w:val="20"/>
          <w:szCs w:val="20"/>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51"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9"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meeting to approve the action.</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At our 2009 annual general meeting of shareholders held on July 10, 2009, the following proposals were adopted by the votes indicated.</w:t>
      </w:r>
    </w:p>
    <w:p>
      <w:pPr>
        <w:spacing w:after="0" w:line="90" w:lineRule="exact"/>
        <w:rPr>
          <w:sz w:val="20"/>
          <w:szCs w:val="20"/>
          <w:color w:val="auto"/>
        </w:rPr>
      </w:pPr>
    </w:p>
    <w:p>
      <w:pPr>
        <w:ind w:left="460" w:right="22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To elect two Class 3 directors, to hold office for a three-year term until the 2012 annual general meeting of shareholders or until their successors are duly elected and qualified.</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88"/>
              </w:rPr>
              <w:t>Broker</w:t>
            </w:r>
          </w:p>
        </w:tc>
      </w:tr>
      <w:tr>
        <w:trPr>
          <w:trHeight w:val="161"/>
        </w:trPr>
        <w:tc>
          <w:tcPr>
            <w:tcW w:w="798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For</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0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Abstain</w:t>
            </w:r>
          </w:p>
        </w:tc>
        <w:tc>
          <w:tcPr>
            <w:tcW w:w="2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Non-Votes</w:t>
            </w:r>
          </w:p>
        </w:tc>
      </w:tr>
      <w:tr>
        <w:trPr>
          <w:trHeight w:val="210"/>
        </w:trPr>
        <w:tc>
          <w:tcPr>
            <w:tcW w:w="798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 – Class 1 Director</w:t>
            </w:r>
          </w:p>
        </w:tc>
        <w:tc>
          <w:tcPr>
            <w:tcW w:w="98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7"/>
              </w:rPr>
              <w:t>531,382,984</w:t>
            </w:r>
          </w:p>
        </w:tc>
        <w:tc>
          <w:tcPr>
            <w:tcW w:w="1020" w:type="dxa"/>
            <w:vAlign w:val="bottom"/>
            <w:gridSpan w:val="3"/>
            <w:shd w:val="clear" w:color="auto" w:fill="CCEEFF"/>
          </w:tcPr>
          <w:p>
            <w:pPr>
              <w:jc w:val="center"/>
              <w:ind w:right="80"/>
              <w:spacing w:after="0"/>
              <w:rPr>
                <w:sz w:val="20"/>
                <w:szCs w:val="20"/>
                <w:color w:val="auto"/>
              </w:rPr>
            </w:pPr>
            <w:r>
              <w:rPr>
                <w:rFonts w:ascii="Arial" w:cs="Arial" w:eastAsia="Arial" w:hAnsi="Arial"/>
                <w:sz w:val="18"/>
                <w:szCs w:val="18"/>
                <w:color w:val="auto"/>
                <w:w w:val="87"/>
              </w:rPr>
              <w:t>7,081,567</w:t>
            </w:r>
          </w:p>
        </w:tc>
        <w:tc>
          <w:tcPr>
            <w:tcW w:w="80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6"/>
              </w:rPr>
              <w:t>336,292</w:t>
            </w: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t>
            </w:r>
          </w:p>
        </w:tc>
      </w:tr>
      <w:tr>
        <w:trPr>
          <w:trHeight w:val="222"/>
        </w:trPr>
        <w:tc>
          <w:tcPr>
            <w:tcW w:w="7980" w:type="dxa"/>
            <w:vAlign w:val="bottom"/>
          </w:tcPr>
          <w:p>
            <w:pPr>
              <w:spacing w:after="0"/>
              <w:rPr>
                <w:sz w:val="20"/>
                <w:szCs w:val="20"/>
                <w:color w:val="auto"/>
              </w:rPr>
            </w:pPr>
            <w:r>
              <w:rPr>
                <w:rFonts w:ascii="Arial" w:cs="Arial" w:eastAsia="Arial" w:hAnsi="Arial"/>
                <w:sz w:val="18"/>
                <w:szCs w:val="18"/>
                <w:color w:val="auto"/>
              </w:rPr>
              <w:t>Dr. Pantas Sutardja – Class 2 Director</w:t>
            </w:r>
          </w:p>
        </w:tc>
        <w:tc>
          <w:tcPr>
            <w:tcW w:w="980" w:type="dxa"/>
            <w:vAlign w:val="bottom"/>
            <w:gridSpan w:val="2"/>
          </w:tcPr>
          <w:p>
            <w:pPr>
              <w:jc w:val="center"/>
              <w:ind w:right="100"/>
              <w:spacing w:after="0"/>
              <w:rPr>
                <w:sz w:val="20"/>
                <w:szCs w:val="20"/>
                <w:color w:val="auto"/>
              </w:rPr>
            </w:pPr>
            <w:r>
              <w:rPr>
                <w:rFonts w:ascii="Arial" w:cs="Arial" w:eastAsia="Arial" w:hAnsi="Arial"/>
                <w:sz w:val="18"/>
                <w:szCs w:val="18"/>
                <w:color w:val="auto"/>
                <w:w w:val="87"/>
              </w:rPr>
              <w:t>533,093,679</w:t>
            </w:r>
          </w:p>
        </w:tc>
        <w:tc>
          <w:tcPr>
            <w:tcW w:w="1020" w:type="dxa"/>
            <w:vAlign w:val="bottom"/>
            <w:gridSpan w:val="3"/>
          </w:tcPr>
          <w:p>
            <w:pPr>
              <w:jc w:val="center"/>
              <w:ind w:right="80"/>
              <w:spacing w:after="0"/>
              <w:rPr>
                <w:sz w:val="20"/>
                <w:szCs w:val="20"/>
                <w:color w:val="auto"/>
              </w:rPr>
            </w:pPr>
            <w:r>
              <w:rPr>
                <w:rFonts w:ascii="Arial" w:cs="Arial" w:eastAsia="Arial" w:hAnsi="Arial"/>
                <w:sz w:val="18"/>
                <w:szCs w:val="18"/>
                <w:color w:val="auto"/>
                <w:w w:val="87"/>
              </w:rPr>
              <w:t>5,354,498</w:t>
            </w:r>
          </w:p>
        </w:tc>
        <w:tc>
          <w:tcPr>
            <w:tcW w:w="800" w:type="dxa"/>
            <w:vAlign w:val="bottom"/>
            <w:gridSpan w:val="2"/>
          </w:tcPr>
          <w:p>
            <w:pPr>
              <w:jc w:val="center"/>
              <w:ind w:right="200"/>
              <w:spacing w:after="0"/>
              <w:rPr>
                <w:sz w:val="20"/>
                <w:szCs w:val="20"/>
                <w:color w:val="auto"/>
              </w:rPr>
            </w:pPr>
            <w:r>
              <w:rPr>
                <w:rFonts w:ascii="Arial" w:cs="Arial" w:eastAsia="Arial" w:hAnsi="Arial"/>
                <w:sz w:val="18"/>
                <w:szCs w:val="18"/>
                <w:color w:val="auto"/>
                <w:w w:val="86"/>
              </w:rPr>
              <w:t>352,668</w:t>
            </w:r>
          </w:p>
        </w:tc>
        <w:tc>
          <w:tcPr>
            <w:tcW w:w="640" w:type="dxa"/>
            <w:vAlign w:val="bottom"/>
          </w:tcPr>
          <w:p>
            <w:pPr>
              <w:ind w:left="380"/>
              <w:spacing w:after="0"/>
              <w:rPr>
                <w:sz w:val="20"/>
                <w:szCs w:val="20"/>
                <w:color w:val="auto"/>
              </w:rPr>
            </w:pPr>
            <w:r>
              <w:rPr>
                <w:rFonts w:ascii="Arial" w:cs="Arial" w:eastAsia="Arial" w:hAnsi="Arial"/>
                <w:sz w:val="18"/>
                <w:szCs w:val="18"/>
                <w:color w:val="auto"/>
              </w:rPr>
              <w:t>—</w:t>
            </w:r>
          </w:p>
        </w:tc>
      </w:tr>
    </w:tbl>
    <w:p>
      <w:pPr>
        <w:spacing w:after="0" w:line="147"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term of office for directors Kuo Wei (Herbert) Chang, Dr. Juergen Gromer, Dr. John G. Kassakian and Arturo Krueger continued after the annual general meeting of shareholders.</w:t>
      </w:r>
    </w:p>
    <w:p>
      <w:pPr>
        <w:spacing w:after="0" w:line="51" w:lineRule="exact"/>
        <w:rPr>
          <w:sz w:val="20"/>
          <w:szCs w:val="20"/>
          <w:color w:val="auto"/>
        </w:rPr>
      </w:pPr>
    </w:p>
    <w:p>
      <w:pPr>
        <w:ind w:left="460" w:hanging="452"/>
        <w:spacing w:after="0" w:line="259"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2010.</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88"/>
              </w:rPr>
              <w:t>Broker</w:t>
            </w:r>
          </w:p>
        </w:tc>
      </w:tr>
      <w:tr>
        <w:trPr>
          <w:trHeight w:val="161"/>
        </w:trPr>
        <w:tc>
          <w:tcPr>
            <w:tcW w:w="798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For</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0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Abstain</w:t>
            </w:r>
          </w:p>
        </w:tc>
        <w:tc>
          <w:tcPr>
            <w:tcW w:w="2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Non-Votes</w:t>
            </w:r>
          </w:p>
        </w:tc>
      </w:tr>
      <w:tr>
        <w:trPr>
          <w:trHeight w:val="210"/>
        </w:trPr>
        <w:tc>
          <w:tcPr>
            <w:tcW w:w="8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537,563,214</w:t>
            </w:r>
          </w:p>
        </w:tc>
        <w:tc>
          <w:tcPr>
            <w:tcW w:w="10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9"/>
              </w:rPr>
              <w:t>1,093,256</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144,375</w:t>
            </w: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hanging="452"/>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following exhibits are filed as part of this report:</w:t>
      </w:r>
    </w:p>
    <w:p>
      <w:pPr>
        <w:spacing w:after="0" w:line="212" w:lineRule="exact"/>
        <w:rPr>
          <w:sz w:val="20"/>
          <w:szCs w:val="20"/>
          <w:color w:val="auto"/>
        </w:rPr>
      </w:pPr>
    </w:p>
    <w:tbl>
      <w:tblPr>
        <w:tblLayout w:type="fixed"/>
        <w:tblInd w:w="460" w:type="dxa"/>
        <w:tblCellMar>
          <w:top w:w="0" w:type="dxa"/>
          <w:left w:w="0" w:type="dxa"/>
          <w:bottom w:w="0" w:type="dxa"/>
          <w:right w:w="0" w:type="dxa"/>
        </w:tblCellMar>
      </w:tblPr>
      <w:tr>
        <w:trPr>
          <w:trHeight w:val="222"/>
        </w:trPr>
        <w:tc>
          <w:tcPr>
            <w:tcW w:w="1000" w:type="dxa"/>
            <w:vAlign w:val="bottom"/>
          </w:tcPr>
          <w:p>
            <w:pPr>
              <w:ind w:left="100"/>
              <w:spacing w:after="0"/>
              <w:rPr>
                <w:sz w:val="20"/>
                <w:szCs w:val="20"/>
                <w:color w:val="auto"/>
              </w:rPr>
            </w:pPr>
            <w:r>
              <w:rPr>
                <w:rFonts w:ascii="Arial" w:cs="Arial" w:eastAsia="Arial" w:hAnsi="Arial"/>
                <w:sz w:val="18"/>
                <w:szCs w:val="18"/>
                <w:color w:val="auto"/>
              </w:rPr>
              <w:t>10.1†</w:t>
            </w:r>
          </w:p>
        </w:tc>
        <w:tc>
          <w:tcPr>
            <w:tcW w:w="9200" w:type="dxa"/>
            <w:vAlign w:val="bottom"/>
          </w:tcPr>
          <w:p>
            <w:pPr>
              <w:ind w:left="140"/>
              <w:spacing w:after="0"/>
              <w:rPr>
                <w:sz w:val="20"/>
                <w:szCs w:val="20"/>
                <w:color w:val="auto"/>
              </w:rPr>
            </w:pPr>
            <w:r>
              <w:rPr>
                <w:rFonts w:ascii="Arial" w:cs="Arial" w:eastAsia="Arial" w:hAnsi="Arial"/>
                <w:sz w:val="18"/>
                <w:szCs w:val="18"/>
                <w:color w:val="auto"/>
              </w:rPr>
              <w:t>Amendment to the Amended and Restated 1995 Stock Option Plan</w:t>
            </w:r>
          </w:p>
        </w:tc>
      </w:tr>
      <w:tr>
        <w:trPr>
          <w:trHeight w:val="324"/>
        </w:trPr>
        <w:tc>
          <w:tcPr>
            <w:tcW w:w="1000" w:type="dxa"/>
            <w:vAlign w:val="bottom"/>
          </w:tcPr>
          <w:p>
            <w:pPr>
              <w:ind w:left="100"/>
              <w:spacing w:after="0"/>
              <w:rPr>
                <w:sz w:val="20"/>
                <w:szCs w:val="20"/>
                <w:color w:val="auto"/>
              </w:rPr>
            </w:pPr>
            <w:r>
              <w:rPr>
                <w:rFonts w:ascii="Arial" w:cs="Arial" w:eastAsia="Arial" w:hAnsi="Arial"/>
                <w:sz w:val="18"/>
                <w:szCs w:val="18"/>
                <w:color w:val="auto"/>
              </w:rPr>
              <w:t>10.2†</w:t>
            </w:r>
          </w:p>
        </w:tc>
        <w:tc>
          <w:tcPr>
            <w:tcW w:w="9200" w:type="dxa"/>
            <w:vAlign w:val="bottom"/>
          </w:tcPr>
          <w:p>
            <w:pPr>
              <w:ind w:left="140"/>
              <w:spacing w:after="0"/>
              <w:rPr>
                <w:sz w:val="20"/>
                <w:szCs w:val="20"/>
                <w:color w:val="auto"/>
              </w:rPr>
            </w:pPr>
            <w:r>
              <w:rPr>
                <w:rFonts w:ascii="Arial" w:cs="Arial" w:eastAsia="Arial" w:hAnsi="Arial"/>
                <w:sz w:val="18"/>
                <w:szCs w:val="18"/>
                <w:color w:val="auto"/>
              </w:rPr>
              <w:t>Amendment No. 2 to the Amended 2000 Employee Stock Purchase Plan</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31.1</w:t>
            </w:r>
          </w:p>
        </w:tc>
        <w:tc>
          <w:tcPr>
            <w:tcW w:w="9200" w:type="dxa"/>
            <w:vAlign w:val="bottom"/>
          </w:tcPr>
          <w:p>
            <w:pPr>
              <w:ind w:left="14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w:t>
            </w:r>
          </w:p>
        </w:tc>
      </w:tr>
      <w:tr>
        <w:trPr>
          <w:trHeight w:val="222"/>
        </w:trPr>
        <w:tc>
          <w:tcPr>
            <w:tcW w:w="1000" w:type="dxa"/>
            <w:vAlign w:val="bottom"/>
          </w:tcPr>
          <w:p>
            <w:pPr>
              <w:spacing w:after="0"/>
              <w:rPr>
                <w:sz w:val="19"/>
                <w:szCs w:val="19"/>
                <w:color w:val="auto"/>
              </w:rPr>
            </w:pPr>
          </w:p>
        </w:tc>
        <w:tc>
          <w:tcPr>
            <w:tcW w:w="9200" w:type="dxa"/>
            <w:vAlign w:val="bottom"/>
          </w:tcPr>
          <w:p>
            <w:pPr>
              <w:ind w:left="140"/>
              <w:spacing w:after="0"/>
              <w:rPr>
                <w:sz w:val="20"/>
                <w:szCs w:val="20"/>
                <w:color w:val="auto"/>
              </w:rPr>
            </w:pPr>
            <w:r>
              <w:rPr>
                <w:rFonts w:ascii="Arial" w:cs="Arial" w:eastAsia="Arial" w:hAnsi="Arial"/>
                <w:sz w:val="18"/>
                <w:szCs w:val="18"/>
                <w:color w:val="auto"/>
              </w:rPr>
              <w:t>Oxley Act of 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31.2</w:t>
            </w:r>
          </w:p>
        </w:tc>
        <w:tc>
          <w:tcPr>
            <w:tcW w:w="9200" w:type="dxa"/>
            <w:vAlign w:val="bottom"/>
          </w:tcPr>
          <w:p>
            <w:pPr>
              <w:ind w:left="140"/>
              <w:spacing w:after="0"/>
              <w:rPr>
                <w:sz w:val="20"/>
                <w:szCs w:val="20"/>
                <w:color w:val="auto"/>
              </w:rPr>
            </w:pPr>
            <w:r>
              <w:rPr>
                <w:rFonts w:ascii="Arial" w:cs="Arial" w:eastAsia="Arial" w:hAnsi="Arial"/>
                <w:sz w:val="18"/>
                <w:szCs w:val="18"/>
                <w:color w:val="auto"/>
                <w:w w:val="88"/>
              </w:rPr>
              <w:t>Certification of Chief Financial Officer pursuant to 18 U.S.C. Section 1350, as adopted pursuant to Section 302 of the Sarbanes-</w:t>
            </w:r>
          </w:p>
        </w:tc>
      </w:tr>
      <w:tr>
        <w:trPr>
          <w:trHeight w:val="222"/>
        </w:trPr>
        <w:tc>
          <w:tcPr>
            <w:tcW w:w="1000" w:type="dxa"/>
            <w:vAlign w:val="bottom"/>
          </w:tcPr>
          <w:p>
            <w:pPr>
              <w:spacing w:after="0"/>
              <w:rPr>
                <w:sz w:val="19"/>
                <w:szCs w:val="19"/>
                <w:color w:val="auto"/>
              </w:rPr>
            </w:pPr>
          </w:p>
        </w:tc>
        <w:tc>
          <w:tcPr>
            <w:tcW w:w="9200" w:type="dxa"/>
            <w:vAlign w:val="bottom"/>
          </w:tcPr>
          <w:p>
            <w:pPr>
              <w:ind w:left="140"/>
              <w:spacing w:after="0"/>
              <w:rPr>
                <w:sz w:val="20"/>
                <w:szCs w:val="20"/>
                <w:color w:val="auto"/>
              </w:rPr>
            </w:pPr>
            <w:r>
              <w:rPr>
                <w:rFonts w:ascii="Arial" w:cs="Arial" w:eastAsia="Arial" w:hAnsi="Arial"/>
                <w:sz w:val="18"/>
                <w:szCs w:val="18"/>
                <w:color w:val="auto"/>
              </w:rPr>
              <w:t>Oxley Act of 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32.1*</w:t>
            </w:r>
          </w:p>
        </w:tc>
        <w:tc>
          <w:tcPr>
            <w:tcW w:w="9200" w:type="dxa"/>
            <w:vAlign w:val="bottom"/>
          </w:tcPr>
          <w:p>
            <w:pPr>
              <w:ind w:left="14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w:t>
            </w:r>
          </w:p>
        </w:tc>
      </w:tr>
      <w:tr>
        <w:trPr>
          <w:trHeight w:val="222"/>
        </w:trPr>
        <w:tc>
          <w:tcPr>
            <w:tcW w:w="1000" w:type="dxa"/>
            <w:vAlign w:val="bottom"/>
          </w:tcPr>
          <w:p>
            <w:pPr>
              <w:spacing w:after="0"/>
              <w:rPr>
                <w:sz w:val="19"/>
                <w:szCs w:val="19"/>
                <w:color w:val="auto"/>
              </w:rPr>
            </w:pPr>
          </w:p>
        </w:tc>
        <w:tc>
          <w:tcPr>
            <w:tcW w:w="9200" w:type="dxa"/>
            <w:vAlign w:val="bottom"/>
          </w:tcPr>
          <w:p>
            <w:pPr>
              <w:ind w:left="140"/>
              <w:spacing w:after="0"/>
              <w:rPr>
                <w:sz w:val="20"/>
                <w:szCs w:val="20"/>
                <w:color w:val="auto"/>
              </w:rPr>
            </w:pPr>
            <w:r>
              <w:rPr>
                <w:rFonts w:ascii="Arial" w:cs="Arial" w:eastAsia="Arial" w:hAnsi="Arial"/>
                <w:sz w:val="18"/>
                <w:szCs w:val="18"/>
                <w:color w:val="auto"/>
              </w:rPr>
              <w:t>Oxley Act of 2002</w:t>
            </w:r>
          </w:p>
        </w:tc>
      </w:tr>
      <w:tr>
        <w:trPr>
          <w:trHeight w:val="318"/>
        </w:trPr>
        <w:tc>
          <w:tcPr>
            <w:tcW w:w="1000" w:type="dxa"/>
            <w:vAlign w:val="bottom"/>
          </w:tcPr>
          <w:p>
            <w:pPr>
              <w:ind w:left="100"/>
              <w:spacing w:after="0"/>
              <w:rPr>
                <w:sz w:val="20"/>
                <w:szCs w:val="20"/>
                <w:color w:val="auto"/>
              </w:rPr>
            </w:pPr>
            <w:r>
              <w:rPr>
                <w:rFonts w:ascii="Arial" w:cs="Arial" w:eastAsia="Arial" w:hAnsi="Arial"/>
                <w:sz w:val="18"/>
                <w:szCs w:val="18"/>
                <w:color w:val="auto"/>
              </w:rPr>
              <w:t>32.2*</w:t>
            </w:r>
          </w:p>
        </w:tc>
        <w:tc>
          <w:tcPr>
            <w:tcW w:w="9200" w:type="dxa"/>
            <w:vAlign w:val="bottom"/>
          </w:tcPr>
          <w:p>
            <w:pPr>
              <w:ind w:left="140"/>
              <w:spacing w:after="0"/>
              <w:rPr>
                <w:sz w:val="20"/>
                <w:szCs w:val="20"/>
                <w:color w:val="auto"/>
              </w:rPr>
            </w:pPr>
            <w:r>
              <w:rPr>
                <w:rFonts w:ascii="Arial" w:cs="Arial" w:eastAsia="Arial" w:hAnsi="Arial"/>
                <w:sz w:val="18"/>
                <w:szCs w:val="18"/>
                <w:color w:val="auto"/>
                <w:w w:val="88"/>
              </w:rPr>
              <w:t>Certification of Chief Financial Officer pursuant to 18 U.S.C. Section 1350, as adopted pursuant to Section 906 of the Sarbanes-</w:t>
            </w:r>
          </w:p>
        </w:tc>
      </w:tr>
      <w:tr>
        <w:trPr>
          <w:trHeight w:val="222"/>
        </w:trPr>
        <w:tc>
          <w:tcPr>
            <w:tcW w:w="1000" w:type="dxa"/>
            <w:vAlign w:val="bottom"/>
          </w:tcPr>
          <w:p>
            <w:pPr>
              <w:spacing w:after="0"/>
              <w:rPr>
                <w:sz w:val="19"/>
                <w:szCs w:val="19"/>
                <w:color w:val="auto"/>
              </w:rPr>
            </w:pPr>
          </w:p>
        </w:tc>
        <w:tc>
          <w:tcPr>
            <w:tcW w:w="9200" w:type="dxa"/>
            <w:vAlign w:val="bottom"/>
          </w:tcPr>
          <w:p>
            <w:pPr>
              <w:ind w:left="140"/>
              <w:spacing w:after="0"/>
              <w:rPr>
                <w:sz w:val="20"/>
                <w:szCs w:val="20"/>
                <w:color w:val="auto"/>
              </w:rPr>
            </w:pPr>
            <w:r>
              <w:rPr>
                <w:rFonts w:ascii="Arial" w:cs="Arial" w:eastAsia="Arial" w:hAnsi="Arial"/>
                <w:sz w:val="18"/>
                <w:szCs w:val="18"/>
                <w:color w:val="auto"/>
              </w:rPr>
              <w:t>Oxley Act of 2002</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101.INS**</w:t>
            </w:r>
          </w:p>
        </w:tc>
        <w:tc>
          <w:tcPr>
            <w:tcW w:w="9200" w:type="dxa"/>
            <w:vAlign w:val="bottom"/>
          </w:tcPr>
          <w:p>
            <w:pPr>
              <w:ind w:left="140"/>
              <w:spacing w:after="0"/>
              <w:rPr>
                <w:sz w:val="20"/>
                <w:szCs w:val="20"/>
                <w:color w:val="auto"/>
              </w:rPr>
            </w:pPr>
            <w:r>
              <w:rPr>
                <w:rFonts w:ascii="Arial" w:cs="Arial" w:eastAsia="Arial" w:hAnsi="Arial"/>
                <w:sz w:val="18"/>
                <w:szCs w:val="18"/>
                <w:color w:val="auto"/>
              </w:rPr>
              <w:t>XBRL Instance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101.SCH**</w:t>
            </w:r>
          </w:p>
        </w:tc>
        <w:tc>
          <w:tcPr>
            <w:tcW w:w="9200" w:type="dxa"/>
            <w:vAlign w:val="bottom"/>
          </w:tcPr>
          <w:p>
            <w:pPr>
              <w:ind w:left="1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101.CAL**</w:t>
            </w:r>
          </w:p>
        </w:tc>
        <w:tc>
          <w:tcPr>
            <w:tcW w:w="9200" w:type="dxa"/>
            <w:vAlign w:val="bottom"/>
          </w:tcPr>
          <w:p>
            <w:pPr>
              <w:ind w:left="1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101.LAB**</w:t>
            </w:r>
          </w:p>
        </w:tc>
        <w:tc>
          <w:tcPr>
            <w:tcW w:w="9200" w:type="dxa"/>
            <w:vAlign w:val="bottom"/>
          </w:tcPr>
          <w:p>
            <w:pPr>
              <w:ind w:left="1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000" w:type="dxa"/>
            <w:vAlign w:val="bottom"/>
          </w:tcPr>
          <w:p>
            <w:pPr>
              <w:spacing w:after="0"/>
              <w:rPr>
                <w:sz w:val="20"/>
                <w:szCs w:val="20"/>
                <w:color w:val="auto"/>
              </w:rPr>
            </w:pPr>
            <w:r>
              <w:rPr>
                <w:rFonts w:ascii="Arial" w:cs="Arial" w:eastAsia="Arial" w:hAnsi="Arial"/>
                <w:sz w:val="18"/>
                <w:szCs w:val="18"/>
                <w:color w:val="auto"/>
              </w:rPr>
              <w:t>101.PRE**</w:t>
            </w:r>
          </w:p>
        </w:tc>
        <w:tc>
          <w:tcPr>
            <w:tcW w:w="9200" w:type="dxa"/>
            <w:vAlign w:val="bottom"/>
          </w:tcPr>
          <w:p>
            <w:pPr>
              <w:ind w:left="1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330835</wp:posOffset>
            </wp:positionH>
            <wp:positionV relativeFrom="paragraph">
              <wp:posOffset>95885</wp:posOffset>
            </wp:positionV>
            <wp:extent cx="51435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514350" cy="8890"/>
                    </a:xfrm>
                    <a:prstGeom prst="rect">
                      <a:avLst/>
                    </a:prstGeom>
                    <a:noFill/>
                  </pic:spPr>
                </pic:pic>
              </a:graphicData>
            </a:graphic>
          </wp:anchor>
        </w:drawing>
      </w:r>
    </w:p>
    <w:p>
      <w:pPr>
        <w:spacing w:after="0" w:line="298" w:lineRule="exact"/>
        <w:rPr>
          <w:sz w:val="20"/>
          <w:szCs w:val="20"/>
          <w:color w:val="auto"/>
        </w:rPr>
      </w:pPr>
    </w:p>
    <w:p>
      <w:pPr>
        <w:ind w:left="900" w:hanging="446"/>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Indicates management compensatory plan, contract or arrangement.</w:t>
      </w:r>
    </w:p>
    <w:p>
      <w:pPr>
        <w:spacing w:after="0" w:line="15" w:lineRule="exact"/>
        <w:rPr>
          <w:sz w:val="20"/>
          <w:szCs w:val="20"/>
          <w:color w:val="auto"/>
        </w:rPr>
      </w:pPr>
    </w:p>
    <w:p>
      <w:pPr>
        <w:ind w:left="900" w:right="60" w:hanging="446"/>
        <w:spacing w:after="0" w:line="281" w:lineRule="auto"/>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w:t>
      </w:r>
    </w:p>
    <w:p>
      <w:pPr>
        <w:spacing w:after="0" w:line="1" w:lineRule="exact"/>
        <w:rPr>
          <w:sz w:val="20"/>
          <w:szCs w:val="20"/>
          <w:color w:val="auto"/>
        </w:rPr>
      </w:pPr>
    </w:p>
    <w:p>
      <w:pPr>
        <w:jc w:val="both"/>
        <w:ind w:left="900"/>
        <w:spacing w:after="0" w:line="250" w:lineRule="auto"/>
        <w:rPr>
          <w:sz w:val="20"/>
          <w:szCs w:val="20"/>
          <w:color w:val="auto"/>
        </w:rPr>
      </w:pPr>
      <w:r>
        <w:rPr>
          <w:rFonts w:ascii="Arial" w:cs="Arial" w:eastAsia="Arial" w:hAnsi="Arial"/>
          <w:sz w:val="18"/>
          <w:szCs w:val="18"/>
          <w:color w:val="auto"/>
        </w:rPr>
        <w:t>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900" w:right="80" w:hanging="446"/>
        <w:spacing w:after="0" w:line="292" w:lineRule="auto"/>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60"/>
          </w:cols>
          <w:pgMar w:left="240" w:top="459" w:right="29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7900" w:type="dxa"/>
            <w:vAlign w:val="bottom"/>
            <w:gridSpan w:val="2"/>
          </w:tcPr>
          <w:p>
            <w:pPr>
              <w:ind w:left="240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20" w:type="dxa"/>
            <w:vAlign w:val="bottom"/>
          </w:tcPr>
          <w:p>
            <w:pPr>
              <w:spacing w:after="0"/>
              <w:rPr>
                <w:sz w:val="24"/>
                <w:szCs w:val="24"/>
                <w:color w:val="auto"/>
              </w:rPr>
            </w:pPr>
          </w:p>
        </w:tc>
        <w:tc>
          <w:tcPr>
            <w:tcW w:w="14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4"/>
              </w:rPr>
              <w:t>September 10, 2009</w:t>
            </w:r>
          </w:p>
        </w:tc>
        <w:tc>
          <w:tcPr>
            <w:tcW w:w="2100" w:type="dxa"/>
            <w:vAlign w:val="bottom"/>
          </w:tcPr>
          <w:p>
            <w:pPr>
              <w:spacing w:after="0"/>
              <w:rPr>
                <w:sz w:val="24"/>
                <w:szCs w:val="24"/>
                <w:color w:val="auto"/>
              </w:rPr>
            </w:pPr>
          </w:p>
        </w:tc>
        <w:tc>
          <w:tcPr>
            <w:tcW w:w="7900" w:type="dxa"/>
            <w:vAlign w:val="bottom"/>
            <w:gridSpan w:val="2"/>
          </w:tcPr>
          <w:p>
            <w:pPr>
              <w:ind w:left="2400"/>
              <w:spacing w:after="0"/>
              <w:rPr>
                <w:sz w:val="20"/>
                <w:szCs w:val="20"/>
                <w:color w:val="auto"/>
              </w:rPr>
            </w:pPr>
            <w:r>
              <w:rPr>
                <w:rFonts w:ascii="Arial" w:cs="Arial" w:eastAsia="Arial" w:hAnsi="Arial"/>
                <w:sz w:val="18"/>
                <w:szCs w:val="18"/>
                <w:color w:val="auto"/>
              </w:rPr>
              <w:t>By:  /s/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c>
          <w:tcPr>
            <w:tcW w:w="0" w:type="dxa"/>
            <w:vAlign w:val="bottom"/>
          </w:tcPr>
          <w:p>
            <w:pPr>
              <w:spacing w:after="0"/>
              <w:rPr>
                <w:sz w:val="1"/>
                <w:szCs w:val="1"/>
                <w:color w:val="auto"/>
              </w:rPr>
            </w:pPr>
          </w:p>
        </w:tc>
      </w:tr>
      <w:tr>
        <w:trPr>
          <w:trHeight w:val="21"/>
        </w:trPr>
        <w:tc>
          <w:tcPr>
            <w:tcW w:w="3520" w:type="dxa"/>
            <w:vAlign w:val="bottom"/>
            <w:gridSpan w:val="3"/>
            <w:vMerge w:val="restart"/>
          </w:tcPr>
          <w:p>
            <w:pPr>
              <w:spacing w:after="0"/>
              <w:rPr>
                <w:sz w:val="20"/>
                <w:szCs w:val="20"/>
                <w:color w:val="auto"/>
              </w:rPr>
            </w:pPr>
            <w:r>
              <w:rPr>
                <w:rFonts w:ascii="Arial" w:cs="Arial" w:eastAsia="Arial" w:hAnsi="Arial"/>
                <w:sz w:val="18"/>
                <w:szCs w:val="18"/>
                <w:color w:val="auto"/>
              </w:rPr>
              <w:t>Date</w:t>
            </w:r>
          </w:p>
        </w:tc>
        <w:tc>
          <w:tcPr>
            <w:tcW w:w="276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15"/>
        </w:trPr>
        <w:tc>
          <w:tcPr>
            <w:tcW w:w="3520" w:type="dxa"/>
            <w:vAlign w:val="bottom"/>
            <w:gridSpan w:val="3"/>
            <w:vMerge w:val="continue"/>
          </w:tcPr>
          <w:p>
            <w:pPr>
              <w:spacing w:after="0"/>
              <w:rPr>
                <w:sz w:val="18"/>
                <w:szCs w:val="18"/>
                <w:color w:val="auto"/>
              </w:rPr>
            </w:pPr>
          </w:p>
        </w:tc>
        <w:tc>
          <w:tcPr>
            <w:tcW w:w="276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Clyde R. Hosein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2100" w:type="dxa"/>
            <w:vAlign w:val="bottom"/>
          </w:tcPr>
          <w:p>
            <w:pPr>
              <w:spacing w:after="0"/>
              <w:rPr>
                <w:sz w:val="19"/>
                <w:szCs w:val="19"/>
                <w:color w:val="auto"/>
              </w:rPr>
            </w:pPr>
          </w:p>
        </w:tc>
        <w:tc>
          <w:tcPr>
            <w:tcW w:w="276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i w:val="1"/>
                <w:iCs w:val="1"/>
                <w:color w:val="auto"/>
                <w:w w:val="93"/>
              </w:rPr>
              <w:t>Chief Financial Officer, Interim Chief Operating Officer and Secretary</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2760" w:type="dxa"/>
            <w:vAlign w:val="bottom"/>
          </w:tcPr>
          <w:p>
            <w:pPr>
              <w:jc w:val="right"/>
              <w:ind w:right="392"/>
              <w:spacing w:after="0"/>
              <w:rPr>
                <w:sz w:val="20"/>
                <w:szCs w:val="20"/>
                <w:color w:val="auto"/>
              </w:rPr>
            </w:pPr>
            <w:r>
              <w:rPr>
                <w:rFonts w:ascii="Arial" w:cs="Arial" w:eastAsia="Arial" w:hAnsi="Arial"/>
                <w:sz w:val="18"/>
                <w:szCs w:val="18"/>
                <w:color w:val="auto"/>
              </w:rPr>
              <w:t>58</w:t>
            </w:r>
          </w:p>
        </w:tc>
        <w:tc>
          <w:tcPr>
            <w:tcW w:w="5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260" w:type="dxa"/>
            <w:vAlign w:val="bottom"/>
          </w:tcPr>
          <w:p>
            <w:pPr>
              <w:ind w:left="3160"/>
              <w:spacing w:after="0"/>
              <w:rPr>
                <w:sz w:val="20"/>
                <w:szCs w:val="20"/>
                <w:color w:val="auto"/>
              </w:rPr>
            </w:pPr>
            <w:r>
              <w:rPr>
                <w:rFonts w:ascii="Arial" w:cs="Arial" w:eastAsia="Arial" w:hAnsi="Arial"/>
                <w:sz w:val="18"/>
                <w:szCs w:val="18"/>
                <w:b w:val="1"/>
                <w:bCs w:val="1"/>
                <w:color w:val="auto"/>
              </w:rPr>
              <w:t>EXHIBIT INDEX</w:t>
            </w:r>
          </w:p>
        </w:tc>
      </w:tr>
      <w:tr>
        <w:trPr>
          <w:trHeight w:val="340"/>
        </w:trPr>
        <w:tc>
          <w:tcPr>
            <w:tcW w:w="10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260" w:type="dxa"/>
            <w:vAlign w:val="bottom"/>
          </w:tcPr>
          <w:p>
            <w:pPr>
              <w:spacing w:after="0"/>
              <w:rPr>
                <w:sz w:val="24"/>
                <w:szCs w:val="24"/>
                <w:color w:val="auto"/>
              </w:rPr>
            </w:pPr>
          </w:p>
        </w:tc>
      </w:tr>
      <w:tr>
        <w:trPr>
          <w:trHeight w:val="161"/>
        </w:trPr>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Number</w:t>
            </w:r>
          </w:p>
        </w:tc>
        <w:tc>
          <w:tcPr>
            <w:tcW w:w="5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9260" w:type="dxa"/>
            <w:vAlign w:val="bottom"/>
          </w:tcPr>
          <w:p>
            <w:pPr>
              <w:spacing w:after="0"/>
              <w:rPr>
                <w:sz w:val="14"/>
                <w:szCs w:val="14"/>
                <w:color w:val="auto"/>
              </w:rPr>
            </w:pPr>
          </w:p>
        </w:tc>
      </w:tr>
      <w:tr>
        <w:trPr>
          <w:trHeight w:val="216"/>
        </w:trPr>
        <w:tc>
          <w:tcPr>
            <w:tcW w:w="1000" w:type="dxa"/>
            <w:vAlign w:val="bottom"/>
            <w:gridSpan w:val="2"/>
          </w:tcPr>
          <w:p>
            <w:pPr>
              <w:jc w:val="center"/>
              <w:ind w:right="160"/>
              <w:spacing w:after="0"/>
              <w:rPr>
                <w:sz w:val="20"/>
                <w:szCs w:val="20"/>
                <w:color w:val="auto"/>
              </w:rPr>
            </w:pPr>
            <w:r>
              <w:rPr>
                <w:rFonts w:ascii="Arial" w:cs="Arial" w:eastAsia="Arial" w:hAnsi="Arial"/>
                <w:sz w:val="18"/>
                <w:szCs w:val="18"/>
                <w:color w:val="auto"/>
                <w:w w:val="88"/>
              </w:rPr>
              <w:t>10.1†</w:t>
            </w:r>
          </w:p>
        </w:tc>
        <w:tc>
          <w:tcPr>
            <w:tcW w:w="160" w:type="dxa"/>
            <w:vAlign w:val="bottom"/>
          </w:tcPr>
          <w:p>
            <w:pPr>
              <w:spacing w:after="0"/>
              <w:rPr>
                <w:sz w:val="18"/>
                <w:szCs w:val="18"/>
                <w:color w:val="auto"/>
              </w:rPr>
            </w:pPr>
          </w:p>
        </w:tc>
        <w:tc>
          <w:tcPr>
            <w:tcW w:w="720" w:type="dxa"/>
            <w:vAlign w:val="bottom"/>
          </w:tcPr>
          <w:p>
            <w:pPr>
              <w:spacing w:after="0"/>
              <w:rPr>
                <w:sz w:val="20"/>
                <w:szCs w:val="20"/>
                <w:color w:val="auto"/>
              </w:rPr>
            </w:pPr>
            <w:r>
              <w:rPr>
                <w:rFonts w:ascii="Arial" w:cs="Arial" w:eastAsia="Arial" w:hAnsi="Arial"/>
                <w:sz w:val="18"/>
                <w:szCs w:val="18"/>
                <w:color w:val="auto"/>
                <w:w w:val="72"/>
              </w:rPr>
              <w:t>Amendment</w:t>
            </w:r>
          </w:p>
        </w:tc>
        <w:tc>
          <w:tcPr>
            <w:tcW w:w="9260" w:type="dxa"/>
            <w:vAlign w:val="bottom"/>
          </w:tcPr>
          <w:p>
            <w:pPr>
              <w:ind w:left="200"/>
              <w:spacing w:after="0"/>
              <w:rPr>
                <w:sz w:val="20"/>
                <w:szCs w:val="20"/>
                <w:color w:val="auto"/>
              </w:rPr>
            </w:pPr>
            <w:r>
              <w:rPr>
                <w:rFonts w:ascii="Arial" w:cs="Arial" w:eastAsia="Arial" w:hAnsi="Arial"/>
                <w:sz w:val="18"/>
                <w:szCs w:val="18"/>
                <w:color w:val="auto"/>
              </w:rPr>
              <w:t>to the Amended and Restated 1995 Stock Option Plan</w:t>
            </w:r>
          </w:p>
        </w:tc>
      </w:tr>
      <w:tr>
        <w:trPr>
          <w:trHeight w:val="316"/>
        </w:trPr>
        <w:tc>
          <w:tcPr>
            <w:tcW w:w="1000" w:type="dxa"/>
            <w:vAlign w:val="bottom"/>
            <w:gridSpan w:val="2"/>
          </w:tcPr>
          <w:p>
            <w:pPr>
              <w:jc w:val="center"/>
              <w:ind w:right="160"/>
              <w:spacing w:after="0"/>
              <w:rPr>
                <w:sz w:val="20"/>
                <w:szCs w:val="20"/>
                <w:color w:val="auto"/>
              </w:rPr>
            </w:pPr>
            <w:r>
              <w:rPr>
                <w:rFonts w:ascii="Arial" w:cs="Arial" w:eastAsia="Arial" w:hAnsi="Arial"/>
                <w:sz w:val="18"/>
                <w:szCs w:val="18"/>
                <w:color w:val="auto"/>
                <w:w w:val="88"/>
              </w:rPr>
              <w:t>10.2†</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Amendment No. 2 to the Amended 2000 Employee Stock Purchase Plan</w:t>
            </w:r>
          </w:p>
        </w:tc>
      </w:tr>
      <w:tr>
        <w:trPr>
          <w:trHeight w:val="318"/>
        </w:trPr>
        <w:tc>
          <w:tcPr>
            <w:tcW w:w="1000" w:type="dxa"/>
            <w:vAlign w:val="bottom"/>
            <w:gridSpan w:val="2"/>
          </w:tcPr>
          <w:p>
            <w:pPr>
              <w:jc w:val="center"/>
              <w:ind w:right="140"/>
              <w:spacing w:after="0"/>
              <w:rPr>
                <w:sz w:val="20"/>
                <w:szCs w:val="20"/>
                <w:color w:val="auto"/>
              </w:rPr>
            </w:pPr>
            <w:r>
              <w:rPr>
                <w:rFonts w:ascii="Arial" w:cs="Arial" w:eastAsia="Arial" w:hAnsi="Arial"/>
                <w:sz w:val="18"/>
                <w:szCs w:val="18"/>
                <w:color w:val="auto"/>
                <w:w w:val="85"/>
              </w:rPr>
              <w:t>31.1</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Sarbanes-Oxley Act of</w:t>
            </w:r>
          </w:p>
        </w:tc>
      </w:tr>
      <w:tr>
        <w:trPr>
          <w:trHeight w:val="222"/>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80" w:type="dxa"/>
            <w:vAlign w:val="bottom"/>
            <w:gridSpan w:val="2"/>
          </w:tcPr>
          <w:p>
            <w:pPr>
              <w:ind w:left="160"/>
              <w:spacing w:after="0"/>
              <w:rPr>
                <w:sz w:val="20"/>
                <w:szCs w:val="20"/>
                <w:color w:val="auto"/>
              </w:rPr>
            </w:pPr>
            <w:r>
              <w:rPr>
                <w:rFonts w:ascii="Arial" w:cs="Arial" w:eastAsia="Arial" w:hAnsi="Arial"/>
                <w:sz w:val="18"/>
                <w:szCs w:val="18"/>
                <w:color w:val="auto"/>
              </w:rPr>
              <w:t>2002</w:t>
            </w:r>
          </w:p>
        </w:tc>
        <w:tc>
          <w:tcPr>
            <w:tcW w:w="9260" w:type="dxa"/>
            <w:vAlign w:val="bottom"/>
          </w:tcPr>
          <w:p>
            <w:pPr>
              <w:spacing w:after="0"/>
              <w:rPr>
                <w:sz w:val="19"/>
                <w:szCs w:val="19"/>
                <w:color w:val="auto"/>
              </w:rPr>
            </w:pPr>
          </w:p>
        </w:tc>
      </w:tr>
      <w:tr>
        <w:trPr>
          <w:trHeight w:val="318"/>
        </w:trPr>
        <w:tc>
          <w:tcPr>
            <w:tcW w:w="1000" w:type="dxa"/>
            <w:vAlign w:val="bottom"/>
            <w:gridSpan w:val="2"/>
          </w:tcPr>
          <w:p>
            <w:pPr>
              <w:jc w:val="center"/>
              <w:ind w:right="140"/>
              <w:spacing w:after="0"/>
              <w:rPr>
                <w:sz w:val="20"/>
                <w:szCs w:val="20"/>
                <w:color w:val="auto"/>
              </w:rPr>
            </w:pPr>
            <w:r>
              <w:rPr>
                <w:rFonts w:ascii="Arial" w:cs="Arial" w:eastAsia="Arial" w:hAnsi="Arial"/>
                <w:sz w:val="18"/>
                <w:szCs w:val="18"/>
                <w:color w:val="auto"/>
                <w:w w:val="85"/>
              </w:rPr>
              <w:t>31.2</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302 of the Sarbanes-Oxley Act of</w:t>
            </w:r>
          </w:p>
        </w:tc>
      </w:tr>
      <w:tr>
        <w:trPr>
          <w:trHeight w:val="222"/>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80" w:type="dxa"/>
            <w:vAlign w:val="bottom"/>
            <w:gridSpan w:val="2"/>
          </w:tcPr>
          <w:p>
            <w:pPr>
              <w:ind w:left="160"/>
              <w:spacing w:after="0"/>
              <w:rPr>
                <w:sz w:val="20"/>
                <w:szCs w:val="20"/>
                <w:color w:val="auto"/>
              </w:rPr>
            </w:pPr>
            <w:r>
              <w:rPr>
                <w:rFonts w:ascii="Arial" w:cs="Arial" w:eastAsia="Arial" w:hAnsi="Arial"/>
                <w:sz w:val="18"/>
                <w:szCs w:val="18"/>
                <w:color w:val="auto"/>
              </w:rPr>
              <w:t>2002</w:t>
            </w:r>
          </w:p>
        </w:tc>
        <w:tc>
          <w:tcPr>
            <w:tcW w:w="9260" w:type="dxa"/>
            <w:vAlign w:val="bottom"/>
          </w:tcPr>
          <w:p>
            <w:pPr>
              <w:spacing w:after="0"/>
              <w:rPr>
                <w:sz w:val="19"/>
                <w:szCs w:val="19"/>
                <w:color w:val="auto"/>
              </w:rPr>
            </w:pPr>
          </w:p>
        </w:tc>
      </w:tr>
      <w:tr>
        <w:trPr>
          <w:trHeight w:val="318"/>
        </w:trPr>
        <w:tc>
          <w:tcPr>
            <w:tcW w:w="1000" w:type="dxa"/>
            <w:vAlign w:val="bottom"/>
            <w:gridSpan w:val="2"/>
          </w:tcPr>
          <w:p>
            <w:pPr>
              <w:jc w:val="center"/>
              <w:ind w:right="160"/>
              <w:spacing w:after="0"/>
              <w:rPr>
                <w:sz w:val="20"/>
                <w:szCs w:val="20"/>
                <w:color w:val="auto"/>
              </w:rPr>
            </w:pPr>
            <w:r>
              <w:rPr>
                <w:rFonts w:ascii="Arial" w:cs="Arial" w:eastAsia="Arial" w:hAnsi="Arial"/>
                <w:sz w:val="18"/>
                <w:szCs w:val="18"/>
                <w:color w:val="auto"/>
                <w:w w:val="95"/>
              </w:rPr>
              <w:t>32.1*</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Sarbanes-Oxley Act of</w:t>
            </w:r>
          </w:p>
        </w:tc>
      </w:tr>
      <w:tr>
        <w:trPr>
          <w:trHeight w:val="222"/>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80" w:type="dxa"/>
            <w:vAlign w:val="bottom"/>
            <w:gridSpan w:val="2"/>
          </w:tcPr>
          <w:p>
            <w:pPr>
              <w:ind w:left="160"/>
              <w:spacing w:after="0"/>
              <w:rPr>
                <w:sz w:val="20"/>
                <w:szCs w:val="20"/>
                <w:color w:val="auto"/>
              </w:rPr>
            </w:pPr>
            <w:r>
              <w:rPr>
                <w:rFonts w:ascii="Arial" w:cs="Arial" w:eastAsia="Arial" w:hAnsi="Arial"/>
                <w:sz w:val="18"/>
                <w:szCs w:val="18"/>
                <w:color w:val="auto"/>
              </w:rPr>
              <w:t>2002</w:t>
            </w:r>
          </w:p>
        </w:tc>
        <w:tc>
          <w:tcPr>
            <w:tcW w:w="9260" w:type="dxa"/>
            <w:vAlign w:val="bottom"/>
          </w:tcPr>
          <w:p>
            <w:pPr>
              <w:spacing w:after="0"/>
              <w:rPr>
                <w:sz w:val="19"/>
                <w:szCs w:val="19"/>
                <w:color w:val="auto"/>
              </w:rPr>
            </w:pPr>
          </w:p>
        </w:tc>
      </w:tr>
      <w:tr>
        <w:trPr>
          <w:trHeight w:val="318"/>
        </w:trPr>
        <w:tc>
          <w:tcPr>
            <w:tcW w:w="1000" w:type="dxa"/>
            <w:vAlign w:val="bottom"/>
            <w:gridSpan w:val="2"/>
          </w:tcPr>
          <w:p>
            <w:pPr>
              <w:jc w:val="center"/>
              <w:ind w:right="160"/>
              <w:spacing w:after="0"/>
              <w:rPr>
                <w:sz w:val="20"/>
                <w:szCs w:val="20"/>
                <w:color w:val="auto"/>
              </w:rPr>
            </w:pPr>
            <w:r>
              <w:rPr>
                <w:rFonts w:ascii="Arial" w:cs="Arial" w:eastAsia="Arial" w:hAnsi="Arial"/>
                <w:sz w:val="18"/>
                <w:szCs w:val="18"/>
                <w:color w:val="auto"/>
                <w:w w:val="95"/>
              </w:rPr>
              <w:t>32.2*</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906 of the Sarbanes-Oxley Act of</w:t>
            </w:r>
          </w:p>
        </w:tc>
      </w:tr>
      <w:tr>
        <w:trPr>
          <w:trHeight w:val="222"/>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880" w:type="dxa"/>
            <w:vAlign w:val="bottom"/>
            <w:gridSpan w:val="2"/>
          </w:tcPr>
          <w:p>
            <w:pPr>
              <w:ind w:left="160"/>
              <w:spacing w:after="0"/>
              <w:rPr>
                <w:sz w:val="20"/>
                <w:szCs w:val="20"/>
                <w:color w:val="auto"/>
              </w:rPr>
            </w:pPr>
            <w:r>
              <w:rPr>
                <w:rFonts w:ascii="Arial" w:cs="Arial" w:eastAsia="Arial" w:hAnsi="Arial"/>
                <w:sz w:val="18"/>
                <w:szCs w:val="18"/>
                <w:color w:val="auto"/>
              </w:rPr>
              <w:t>2002</w:t>
            </w:r>
          </w:p>
        </w:tc>
        <w:tc>
          <w:tcPr>
            <w:tcW w:w="9260" w:type="dxa"/>
            <w:vAlign w:val="bottom"/>
          </w:tcPr>
          <w:p>
            <w:pPr>
              <w:spacing w:after="0"/>
              <w:rPr>
                <w:sz w:val="19"/>
                <w:szCs w:val="19"/>
                <w:color w:val="auto"/>
              </w:rPr>
            </w:pPr>
          </w:p>
        </w:tc>
      </w:tr>
      <w:tr>
        <w:trPr>
          <w:trHeight w:val="324"/>
        </w:trPr>
        <w:tc>
          <w:tcPr>
            <w:tcW w:w="100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XBRL Instance Document</w:t>
            </w:r>
          </w:p>
        </w:tc>
      </w:tr>
      <w:tr>
        <w:trPr>
          <w:trHeight w:val="324"/>
        </w:trPr>
        <w:tc>
          <w:tcPr>
            <w:tcW w:w="1000" w:type="dxa"/>
            <w:vAlign w:val="bottom"/>
            <w:gridSpan w:val="2"/>
          </w:tcPr>
          <w:p>
            <w:pPr>
              <w:ind w:left="20"/>
              <w:spacing w:after="0"/>
              <w:rPr>
                <w:sz w:val="20"/>
                <w:szCs w:val="20"/>
                <w:color w:val="auto"/>
              </w:rPr>
            </w:pPr>
            <w:r>
              <w:rPr>
                <w:rFonts w:ascii="Arial" w:cs="Arial" w:eastAsia="Arial" w:hAnsi="Arial"/>
                <w:sz w:val="18"/>
                <w:szCs w:val="18"/>
                <w:color w:val="auto"/>
              </w:rPr>
              <w:t>101.SCH**</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101.CAL**</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101.LAB**</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000" w:type="dxa"/>
            <w:vAlign w:val="bottom"/>
            <w:gridSpan w:val="2"/>
          </w:tcPr>
          <w:p>
            <w:pPr>
              <w:ind w:left="20"/>
              <w:spacing w:after="0"/>
              <w:rPr>
                <w:sz w:val="20"/>
                <w:szCs w:val="20"/>
                <w:color w:val="auto"/>
              </w:rPr>
            </w:pPr>
            <w:r>
              <w:rPr>
                <w:rFonts w:ascii="Arial" w:cs="Arial" w:eastAsia="Arial" w:hAnsi="Arial"/>
                <w:sz w:val="18"/>
                <w:szCs w:val="18"/>
                <w:color w:val="auto"/>
              </w:rPr>
              <w:t>101.PRE**</w:t>
            </w:r>
          </w:p>
        </w:tc>
        <w:tc>
          <w:tcPr>
            <w:tcW w:w="10140" w:type="dxa"/>
            <w:vAlign w:val="bottom"/>
            <w:gridSpan w:val="3"/>
          </w:tcPr>
          <w:p>
            <w:pPr>
              <w:ind w:left="16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Indicates management compensatory plan, contract or arrangement.</w:t>
      </w:r>
    </w:p>
    <w:p>
      <w:pPr>
        <w:spacing w:after="0" w:line="15" w:lineRule="exact"/>
        <w:rPr>
          <w:sz w:val="20"/>
          <w:szCs w:val="20"/>
          <w:color w:val="auto"/>
        </w:rPr>
      </w:pPr>
    </w:p>
    <w:p>
      <w:pPr>
        <w:ind w:left="460" w:right="120" w:hanging="452"/>
        <w:spacing w:after="0" w:line="281"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w:t>
      </w:r>
    </w:p>
    <w:p>
      <w:pPr>
        <w:spacing w:after="0" w:line="1" w:lineRule="exact"/>
        <w:rPr>
          <w:sz w:val="20"/>
          <w:szCs w:val="20"/>
          <w:color w:val="auto"/>
        </w:rPr>
      </w:pPr>
    </w:p>
    <w:p>
      <w:pPr>
        <w:ind w:left="460" w:right="40"/>
        <w:spacing w:after="0" w:line="250" w:lineRule="auto"/>
        <w:rPr>
          <w:sz w:val="20"/>
          <w:szCs w:val="20"/>
          <w:color w:val="auto"/>
        </w:rPr>
      </w:pPr>
      <w:r>
        <w:rPr>
          <w:rFonts w:ascii="Arial" w:cs="Arial" w:eastAsia="Arial" w:hAnsi="Arial"/>
          <w:sz w:val="18"/>
          <w:szCs w:val="18"/>
          <w:color w:val="auto"/>
        </w:rPr>
        <w:t>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hanging="452"/>
        <w:spacing w:after="0" w:line="253"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ectPr>
          <w:pgSz w:w="11900" w:h="16838" w:orient="portrait"/>
          <w:cols w:equalWidth="0" w:num="1">
            <w:col w:w="11380"/>
          </w:cols>
          <w:pgMar w:left="240" w:top="459" w:right="279" w:bottom="1440" w:gutter="0" w:footer="0" w:header="0"/>
        </w:sectPr>
      </w:pPr>
    </w:p>
    <w:bookmarkStart w:id="59" w:name="page60"/>
    <w:bookmarkEnd w:id="59"/>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Marvell Technology Group Ltd. Amended and Restated 1995 Stock Option Plan (the “Plan”) is hereby amended effective June 10, 2009, as follows: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1. The first sentence of Section 3 of the Plan is amended to provide in its entirety as follows:</w:t>
      </w:r>
    </w:p>
    <w:p>
      <w:pPr>
        <w:spacing w:after="0" w:line="171"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Subject to Section 14, Shares that may be issued with respect to Awards granted under the Plan shall not exceed an aggregate of 60,260,394 Shares of Common Stock; provided however, that on the first business day of each fiscal year starting January 31, 2010 or after, and continuing until the earlier of January 31, 2013 or termination of the Plan, there shall be added to this Plan the lesser of an additional (i) 40,000,000 shares of Common Stock, or (ii) 5.0% of the outstanding shares of capital stock on such date, or (iii) an amount determined by the Board (provided that the amount approved by the Board shall not be greater than (i) or (ii)).</w:t>
      </w:r>
    </w:p>
    <w:p>
      <w:pPr>
        <w:sectPr>
          <w:pgSz w:w="11900" w:h="16838" w:orient="portrait"/>
          <w:cols w:equalWidth="0" w:num="1">
            <w:col w:w="11420"/>
          </w:cols>
          <w:pgMar w:left="240" w:top="125" w:right="239" w:bottom="1440" w:gutter="0" w:footer="0" w:header="0"/>
        </w:sectPr>
      </w:pPr>
    </w:p>
    <w:bookmarkStart w:id="60" w:name="page61"/>
    <w:bookmarkEnd w:id="60"/>
    <w:p>
      <w:pPr>
        <w:jc w:val="right"/>
        <w:spacing w:after="0"/>
        <w:rPr>
          <w:sz w:val="20"/>
          <w:szCs w:val="20"/>
          <w:color w:val="auto"/>
        </w:rPr>
      </w:pPr>
      <w:r>
        <w:rPr>
          <w:rFonts w:ascii="Arial" w:cs="Arial" w:eastAsia="Arial" w:hAnsi="Arial"/>
          <w:sz w:val="18"/>
          <w:szCs w:val="18"/>
          <w:b w:val="1"/>
          <w:bCs w:val="1"/>
          <w:color w:val="auto"/>
        </w:rPr>
        <w:t>Exhibit 10.2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 NO. 2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2000 EMPLOYEE STOCK PURCHASE PLAN</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Marvell Technology Group Ltd. Amended 2000 Employee Stock Purchase Plan (the “Plan”) is hereby amended effective June 10, 2009, as follows:</w:t>
      </w:r>
    </w:p>
    <w:p>
      <w:pPr>
        <w:spacing w:after="0" w:line="194" w:lineRule="exact"/>
        <w:rPr>
          <w:sz w:val="20"/>
          <w:szCs w:val="20"/>
          <w:color w:val="auto"/>
        </w:rPr>
      </w:pPr>
    </w:p>
    <w:p>
      <w:pPr>
        <w:ind w:left="860" w:hanging="396"/>
        <w:spacing w:after="0"/>
        <w:tabs>
          <w:tab w:leader="none" w:pos="8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Section 12(a)(ii) of the Plan is amended to provide in its entirety as follows:</w:t>
      </w:r>
    </w:p>
    <w:p>
      <w:pPr>
        <w:spacing w:after="0" w:line="90" w:lineRule="exact"/>
        <w:rPr>
          <w:sz w:val="20"/>
          <w:szCs w:val="20"/>
          <w:color w:val="auto"/>
        </w:rPr>
      </w:pPr>
    </w:p>
    <w:p>
      <w:pPr>
        <w:ind w:right="500" w:firstLine="913"/>
        <w:spacing w:after="0" w:line="259" w:lineRule="auto"/>
        <w:rPr>
          <w:sz w:val="20"/>
          <w:szCs w:val="20"/>
          <w:color w:val="auto"/>
        </w:rPr>
      </w:pPr>
      <w:r>
        <w:rPr>
          <w:rFonts w:ascii="Arial" w:cs="Arial" w:eastAsia="Arial" w:hAnsi="Arial"/>
          <w:sz w:val="18"/>
          <w:szCs w:val="18"/>
          <w:color w:val="auto"/>
        </w:rPr>
        <w:t>“(ii) Beginning the first business day of each calendar year starting January 1, 2010 or after, the lesser of an additional (A) 8,000,000 shares of Common Stock, or (B) 1.5% of the outstanding shares of capital stock on such date, or (C) an amount determined by the Board (provided that the amount approved by the Board shall not be greater than (A) or (B)).”</w:t>
      </w:r>
    </w:p>
    <w:p>
      <w:pPr>
        <w:sectPr>
          <w:pgSz w:w="11900" w:h="16838" w:orient="portrait"/>
          <w:cols w:equalWidth="0" w:num="1">
            <w:col w:w="11420"/>
          </w:cols>
          <w:pgMar w:left="240" w:top="125" w:right="23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w:t>
      </w:r>
    </w:p>
    <w:p>
      <w:pPr>
        <w:spacing w:after="0" w:line="44" w:lineRule="exact"/>
        <w:rPr>
          <w:sz w:val="20"/>
          <w:szCs w:val="20"/>
          <w:color w:val="auto"/>
        </w:rPr>
      </w:pPr>
    </w:p>
    <w:p>
      <w:pPr>
        <w:ind w:left="1580"/>
        <w:spacing w:after="0"/>
        <w:rPr>
          <w:sz w:val="20"/>
          <w:szCs w:val="20"/>
          <w:color w:val="auto"/>
        </w:rPr>
      </w:pPr>
      <w:r>
        <w:rPr>
          <w:rFonts w:ascii="Arial" w:cs="Arial" w:eastAsia="Arial" w:hAnsi="Arial"/>
          <w:sz w:val="18"/>
          <w:szCs w:val="18"/>
          <w:b w:val="1"/>
          <w:bCs w:val="1"/>
          <w:color w:val="auto"/>
        </w:rPr>
        <w:t>AND 15d-14(a), AS 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0"/>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880" w:type="dxa"/>
            <w:vAlign w:val="bottom"/>
            <w:gridSpan w:val="3"/>
          </w:tcPr>
          <w:p>
            <w:pPr>
              <w:spacing w:after="0"/>
              <w:rPr>
                <w:sz w:val="20"/>
                <w:szCs w:val="20"/>
                <w:color w:val="auto"/>
              </w:rPr>
            </w:pPr>
            <w:r>
              <w:rPr>
                <w:rFonts w:ascii="Arial" w:cs="Arial" w:eastAsia="Arial" w:hAnsi="Arial"/>
                <w:sz w:val="18"/>
                <w:szCs w:val="18"/>
                <w:color w:val="auto"/>
              </w:rPr>
              <w:t>Date: September 10, 2009</w:t>
            </w:r>
          </w:p>
        </w:tc>
        <w:tc>
          <w:tcPr>
            <w:tcW w:w="7540" w:type="dxa"/>
            <w:vAlign w:val="bottom"/>
            <w:gridSpan w:val="2"/>
          </w:tcPr>
          <w:p>
            <w:pPr>
              <w:ind w:left="2040"/>
              <w:spacing w:after="0"/>
              <w:rPr>
                <w:sz w:val="20"/>
                <w:szCs w:val="20"/>
                <w:color w:val="auto"/>
              </w:rPr>
            </w:pPr>
            <w:r>
              <w:rPr>
                <w:rFonts w:ascii="Arial" w:cs="Arial" w:eastAsia="Arial" w:hAnsi="Arial"/>
                <w:sz w:val="18"/>
                <w:szCs w:val="18"/>
                <w:color w:val="auto"/>
              </w:rPr>
              <w:t>By:  /s/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r>
              <w:rPr>
                <w:rFonts w:ascii="Arial" w:cs="Arial" w:eastAsia="Arial" w:hAnsi="Arial"/>
                <w:sz w:val="18"/>
                <w:szCs w:val="18"/>
                <w:color w:val="auto"/>
              </w:rPr>
              <w:t xml:space="preserve"> P</w:t>
            </w:r>
            <w:r>
              <w:rPr>
                <w:rFonts w:ascii="Arial" w:cs="Arial" w:eastAsia="Arial" w:hAnsi="Arial"/>
                <w:sz w:val="14"/>
                <w:szCs w:val="14"/>
                <w:color w:val="auto"/>
              </w:rPr>
              <w:t>H</w:t>
            </w:r>
            <w:r>
              <w:rPr>
                <w:rFonts w:ascii="Arial" w:cs="Arial" w:eastAsia="Arial" w:hAnsi="Arial"/>
                <w:sz w:val="18"/>
                <w:szCs w:val="18"/>
                <w:color w:val="auto"/>
              </w:rPr>
              <w:t>.D.</w:t>
            </w:r>
          </w:p>
        </w:tc>
      </w:tr>
      <w:tr>
        <w:trPr>
          <w:trHeight w:val="21"/>
        </w:trPr>
        <w:tc>
          <w:tcPr>
            <w:tcW w:w="440" w:type="dxa"/>
            <w:vAlign w:val="bottom"/>
          </w:tcPr>
          <w:p>
            <w:pPr>
              <w:spacing w:after="0" w:line="20" w:lineRule="exact"/>
              <w:rPr>
                <w:sz w:val="1"/>
                <w:szCs w:val="1"/>
                <w:color w:val="auto"/>
              </w:rPr>
            </w:pPr>
          </w:p>
        </w:tc>
        <w:tc>
          <w:tcPr>
            <w:tcW w:w="1400" w:type="dxa"/>
            <w:vAlign w:val="bottom"/>
            <w:tcBorders>
              <w:top w:val="single" w:sz="8" w:color="auto"/>
            </w:tcBorders>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r>
      <w:tr>
        <w:trPr>
          <w:trHeight w:val="201"/>
        </w:trPr>
        <w:tc>
          <w:tcPr>
            <w:tcW w:w="4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2040" w:type="dxa"/>
            <w:vAlign w:val="bottom"/>
          </w:tcPr>
          <w:p>
            <w:pPr>
              <w:spacing w:after="0"/>
              <w:rPr>
                <w:sz w:val="17"/>
                <w:szCs w:val="17"/>
                <w:color w:val="auto"/>
              </w:rPr>
            </w:pPr>
          </w:p>
        </w:tc>
        <w:tc>
          <w:tcPr>
            <w:tcW w:w="2400" w:type="dxa"/>
            <w:vAlign w:val="bottom"/>
          </w:tcPr>
          <w:p>
            <w:pPr>
              <w:spacing w:after="0"/>
              <w:rPr>
                <w:sz w:val="17"/>
                <w:szCs w:val="17"/>
                <w:color w:val="auto"/>
              </w:rPr>
            </w:pPr>
          </w:p>
        </w:tc>
        <w:tc>
          <w:tcPr>
            <w:tcW w:w="5140" w:type="dxa"/>
            <w:vAlign w:val="bottom"/>
          </w:tcPr>
          <w:p>
            <w:pPr>
              <w:spacing w:after="0" w:line="201" w:lineRule="exact"/>
              <w:rPr>
                <w:sz w:val="20"/>
                <w:szCs w:val="20"/>
                <w:color w:val="auto"/>
              </w:rPr>
            </w:pPr>
            <w:r>
              <w:rPr>
                <w:rFonts w:ascii="Arial" w:cs="Arial" w:eastAsia="Arial" w:hAnsi="Arial"/>
                <w:sz w:val="18"/>
                <w:szCs w:val="18"/>
                <w:color w:val="auto"/>
              </w:rPr>
              <w:t>Sehat Sutardja, Ph.D.</w:t>
            </w:r>
          </w:p>
        </w:tc>
      </w:tr>
      <w:tr>
        <w:trPr>
          <w:trHeight w:val="222"/>
        </w:trPr>
        <w:tc>
          <w:tcPr>
            <w:tcW w:w="44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2040" w:type="dxa"/>
            <w:vAlign w:val="bottom"/>
          </w:tcPr>
          <w:p>
            <w:pPr>
              <w:spacing w:after="0"/>
              <w:rPr>
                <w:sz w:val="19"/>
                <w:szCs w:val="19"/>
                <w:color w:val="auto"/>
              </w:rPr>
            </w:pPr>
          </w:p>
        </w:tc>
        <w:tc>
          <w:tcPr>
            <w:tcW w:w="240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President and Chief Executive Officer</w:t>
            </w:r>
          </w:p>
        </w:tc>
      </w:tr>
    </w:tbl>
    <w:p>
      <w:pPr>
        <w:sectPr>
          <w:pgSz w:w="11900" w:h="16838" w:orient="portrait"/>
          <w:cols w:equalWidth="0" w:num="1">
            <w:col w:w="11420"/>
          </w:cols>
          <w:pgMar w:left="240" w:top="125" w:right="23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CHIEF FINANCIAL OFFICER PURSUANT TO SECURITIES EXCHANGE ACT RULES 13a-14(a) AND 15d-14(a), AS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 w:leader="none" w:pos="66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September 10, 2009</w:t>
      </w:r>
      <w:r>
        <w:rPr>
          <w:sz w:val="20"/>
          <w:szCs w:val="20"/>
          <w:color w:val="auto"/>
        </w:rPr>
        <w:tab/>
      </w:r>
      <w:r>
        <w:rPr>
          <w:rFonts w:ascii="Arial" w:cs="Arial" w:eastAsia="Arial" w:hAnsi="Arial"/>
          <w:sz w:val="18"/>
          <w:szCs w:val="18"/>
          <w:color w:val="auto"/>
        </w:rPr>
        <w:t>By:  /s/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6"/>
          <w:szCs w:val="16"/>
          <w:color w:val="auto"/>
        </w:rPr>
        <w:t>Chief Financial Officer, Interim Chief Operating Officer and Secretary</w:t>
      </w:r>
    </w:p>
    <w:p>
      <w:pPr>
        <w:sectPr>
          <w:pgSz w:w="11900" w:h="16838" w:orient="portrait"/>
          <w:cols w:equalWidth="0" w:num="1">
            <w:col w:w="11420"/>
          </w:cols>
          <w:pgMar w:left="240" w:top="125" w:right="2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STATEMENT OF THE PRESIDENT AND CHIEF EXECUTIVE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tabs>
          <w:tab w:leader="none" w:pos="718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10, 2009</w:t>
      </w:r>
    </w:p>
    <w:p>
      <w:pPr>
        <w:sectPr>
          <w:pgSz w:w="11900" w:h="16838" w:orient="portrait"/>
          <w:cols w:equalWidth="0" w:num="1">
            <w:col w:w="11420"/>
          </w:cols>
          <w:pgMar w:left="240" w:top="125" w:right="23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PURSUANT TO 18 U.S.C. § 1350, AS ADOPTED PURSUANT TO</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1, 2009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tabs>
          <w:tab w:leader="none" w:pos="718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10, 2009</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EF438D"/>
    <w:multiLevelType w:val="hybridMultilevel"/>
    <w:lvl w:ilvl="0">
      <w:lvlJc w:val="left"/>
      <w:lvlText w:val="☒"/>
      <w:numFmt w:val="bullet"/>
      <w:start w:val="1"/>
    </w:lvl>
  </w:abstractNum>
  <w:abstractNum w:abstractNumId="1">
    <w:nsid w:val="140E0F76"/>
    <w:multiLevelType w:val="hybridMultilevel"/>
    <w:lvl w:ilvl="0">
      <w:lvlJc w:val="left"/>
      <w:lvlText w:val="☐"/>
      <w:numFmt w:val="bullet"/>
      <w:start w:val="1"/>
    </w:lvl>
  </w:abstractNum>
  <w:abstractNum w:abstractNumId="2">
    <w:nsid w:val="3352255A"/>
    <w:multiLevelType w:val="hybridMultilevel"/>
    <w:lvl w:ilvl="0">
      <w:lvlJc w:val="left"/>
      <w:lvlText w:val="•"/>
      <w:numFmt w:val="bullet"/>
      <w:start w:val="1"/>
    </w:lvl>
  </w:abstractNum>
  <w:abstractNum w:abstractNumId="3">
    <w:nsid w:val="109CF92E"/>
    <w:multiLevelType w:val="hybridMultilevel"/>
    <w:lvl w:ilvl="0">
      <w:lvlJc w:val="left"/>
      <w:lvlText w:val="•"/>
      <w:numFmt w:val="bullet"/>
      <w:start w:val="1"/>
    </w:lvl>
  </w:abstractNum>
  <w:abstractNum w:abstractNumId="4">
    <w:nsid w:val="DED7263"/>
    <w:multiLevelType w:val="hybridMultilevel"/>
    <w:lvl w:ilvl="0">
      <w:lvlJc w:val="left"/>
      <w:lvlText w:val="•"/>
      <w:numFmt w:val="bullet"/>
      <w:start w:val="1"/>
    </w:lvl>
  </w:abstractNum>
  <w:abstractNum w:abstractNumId="5">
    <w:nsid w:val="7FDCC233"/>
    <w:multiLevelType w:val="hybridMultilevel"/>
    <w:lvl w:ilvl="0">
      <w:lvlJc w:val="left"/>
      <w:lvlText w:val="•"/>
      <w:numFmt w:val="bullet"/>
      <w:start w:val="1"/>
    </w:lvl>
  </w:abstractNum>
  <w:abstractNum w:abstractNumId="6">
    <w:nsid w:val="1BEFD79F"/>
    <w:multiLevelType w:val="hybridMultilevel"/>
    <w:lvl w:ilvl="0">
      <w:lvlJc w:val="left"/>
      <w:lvlText w:val="•"/>
      <w:numFmt w:val="bullet"/>
      <w:start w:val="1"/>
    </w:lvl>
  </w:abstractNum>
  <w:abstractNum w:abstractNumId="7">
    <w:nsid w:val="41A7C4C9"/>
    <w:multiLevelType w:val="hybridMultilevel"/>
    <w:lvl w:ilvl="0">
      <w:lvlJc w:val="left"/>
      <w:lvlText w:val="•"/>
      <w:numFmt w:val="bullet"/>
      <w:start w:val="1"/>
    </w:lvl>
  </w:abstractNum>
  <w:abstractNum w:abstractNumId="8">
    <w:nsid w:val="6B68079A"/>
    <w:multiLevelType w:val="hybridMultilevel"/>
    <w:lvl w:ilvl="0">
      <w:lvlJc w:val="left"/>
      <w:lvlText w:val="•"/>
      <w:numFmt w:val="bullet"/>
      <w:start w:val="1"/>
    </w:lvl>
  </w:abstractNum>
  <w:abstractNum w:abstractNumId="9">
    <w:nsid w:val="4E6AFB66"/>
    <w:multiLevelType w:val="hybridMultilevel"/>
    <w:lvl w:ilvl="0">
      <w:lvlJc w:val="left"/>
      <w:lvlText w:val="%1."/>
      <w:numFmt w:val="decimal"/>
      <w:start w:val="1"/>
    </w:lvl>
  </w:abstractNum>
  <w:abstractNum w:abstractNumId="10">
    <w:nsid w:val="25E45D32"/>
    <w:multiLevelType w:val="hybridMultilevel"/>
    <w:lvl w:ilvl="0">
      <w:lvlJc w:val="left"/>
      <w:lvlText w:val="%1."/>
      <w:numFmt w:val="decimal"/>
      <w:start w:val="2"/>
    </w:lvl>
  </w:abstractNum>
  <w:abstractNum w:abstractNumId="11">
    <w:nsid w:val="519B500D"/>
    <w:multiLevelType w:val="hybridMultilevel"/>
    <w:lvl w:ilvl="0">
      <w:lvlJc w:val="left"/>
      <w:lvlText w:val="(%1)"/>
      <w:numFmt w:val="lowerLetter"/>
      <w:start w:val="1"/>
    </w:lvl>
  </w:abstractNum>
  <w:abstractNum w:abstractNumId="12">
    <w:nsid w:val="431BD7B7"/>
    <w:multiLevelType w:val="hybridMultilevel"/>
    <w:lvl w:ilvl="0">
      <w:lvlJc w:val="left"/>
      <w:lvlText w:val="†"/>
      <w:numFmt w:val="bullet"/>
      <w:start w:val="1"/>
    </w:lvl>
  </w:abstractNum>
  <w:abstractNum w:abstractNumId="13">
    <w:nsid w:val="3F2DBA31"/>
    <w:multiLevelType w:val="hybridMultilevel"/>
    <w:lvl w:ilvl="0">
      <w:lvlJc w:val="left"/>
      <w:lvlText w:val="*"/>
      <w:numFmt w:val="bullet"/>
      <w:start w:val="1"/>
    </w:lvl>
  </w:abstractNum>
  <w:abstractNum w:abstractNumId="14">
    <w:nsid w:val="7C83E458"/>
    <w:multiLevelType w:val="hybridMultilevel"/>
    <w:lvl w:ilvl="0">
      <w:lvlJc w:val="left"/>
      <w:lvlText w:val="**"/>
      <w:numFmt w:val="bullet"/>
      <w:start w:val="1"/>
    </w:lvl>
  </w:abstractNum>
  <w:abstractNum w:abstractNumId="15">
    <w:nsid w:val="257130A3"/>
    <w:multiLevelType w:val="hybridMultilevel"/>
    <w:lvl w:ilvl="0">
      <w:lvlJc w:val="left"/>
      <w:lvlText w:val="†"/>
      <w:numFmt w:val="bullet"/>
      <w:start w:val="1"/>
    </w:lvl>
  </w:abstractNum>
  <w:abstractNum w:abstractNumId="16">
    <w:nsid w:val="62BBD95A"/>
    <w:multiLevelType w:val="hybridMultilevel"/>
    <w:lvl w:ilvl="0">
      <w:lvlJc w:val="left"/>
      <w:lvlText w:val="*"/>
      <w:numFmt w:val="bullet"/>
      <w:start w:val="1"/>
    </w:lvl>
  </w:abstractNum>
  <w:abstractNum w:abstractNumId="17">
    <w:nsid w:val="436C6125"/>
    <w:multiLevelType w:val="hybridMultilevel"/>
    <w:lvl w:ilvl="0">
      <w:lvlJc w:val="left"/>
      <w:lvlText w:val="**"/>
      <w:numFmt w:val="bullet"/>
      <w:start w:val="1"/>
    </w:lvl>
  </w:abstractNum>
  <w:abstractNum w:abstractNumId="18">
    <w:nsid w:val="628C895D"/>
    <w:multiLevelType w:val="hybridMultilevel"/>
    <w:lvl w:ilvl="0">
      <w:lvlJc w:val="left"/>
      <w:lvlText w:val="%1."/>
      <w:numFmt w:val="decimal"/>
      <w:start w:val="1"/>
    </w:lvl>
  </w:abstractNum>
  <w:abstractNum w:abstractNumId="19">
    <w:nsid w:val="333AB105"/>
    <w:multiLevelType w:val="hybridMultilevel"/>
    <w:lvl w:ilvl="0">
      <w:lvlJc w:val="left"/>
      <w:lvlText w:val="%1."/>
      <w:numFmt w:val="decimal"/>
      <w:start w:val="1"/>
    </w:lvl>
    <w:lvl w:ilvl="1">
      <w:lvlJc w:val="left"/>
      <w:lvlText w:val="%2)"/>
      <w:numFmt w:val="lowerLetter"/>
      <w:start w:val="1"/>
    </w:lvl>
  </w:abstractNum>
  <w:abstractNum w:abstractNumId="20">
    <w:nsid w:val="721DA317"/>
    <w:multiLevelType w:val="hybridMultilevel"/>
    <w:lvl w:ilvl="0">
      <w:lvlJc w:val="left"/>
      <w:lvlText w:val="%1."/>
      <w:numFmt w:val="decimal"/>
      <w:start w:val="1"/>
    </w:lvl>
    <w:lvl w:ilvl="1">
      <w:lvlJc w:val="left"/>
      <w:lvlText w:val="%2)"/>
      <w:numFmt w:val="lowerLetter"/>
      <w:start w:val="1"/>
    </w:lvl>
  </w:abstractNum>
  <w:abstractNum w:abstractNumId="21">
    <w:nsid w:val="2443A858"/>
    <w:multiLevelType w:val="hybridMultilevel"/>
    <w:lvl w:ilvl="0">
      <w:lvlJc w:val="left"/>
      <w:lvlText w:val="(%1)"/>
      <w:numFmt w:val="lowerRoman"/>
      <w:start w:val="1"/>
    </w:lvl>
  </w:abstractNum>
  <w:abstractNum w:abstractNumId="22">
    <w:nsid w:val="2D1D5AE9"/>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2019-12-10T17:13:21Z</dcterms:created>
  <dcterms:modified xsi:type="dcterms:W3CDTF">2019-12-10T17:13:21Z</dcterms:modified>
</cp:coreProperties>
</file>