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left="2080"/>
        <w:spacing w:after="0"/>
        <w:rPr>
          <w:sz w:val="20"/>
          <w:szCs w:val="20"/>
          <w:color w:val="auto"/>
        </w:rPr>
      </w:pPr>
      <w:r>
        <w:rPr>
          <w:rFonts w:ascii="Century Gothic" w:cs="Century Gothic" w:eastAsia="Century Gothic" w:hAnsi="Century Gothic"/>
          <w:sz w:val="20"/>
          <w:szCs w:val="20"/>
          <w:b w:val="1"/>
          <w:bCs w:val="1"/>
          <w:color w:val="auto"/>
        </w:rPr>
        <w:t>UNITED STATES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267335</wp:posOffset>
            </wp:positionH>
            <wp:positionV relativeFrom="paragraph">
              <wp:posOffset>-113030</wp:posOffset>
            </wp:positionV>
            <wp:extent cx="734695" cy="7435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left="2080"/>
        <w:spacing w:after="0"/>
        <w:rPr>
          <w:sz w:val="20"/>
          <w:szCs w:val="20"/>
          <w:color w:val="auto"/>
        </w:rPr>
      </w:pPr>
      <w:r>
        <w:rPr>
          <w:rFonts w:ascii="Century Gothic" w:cs="Century Gothic" w:eastAsia="Century Gothic" w:hAnsi="Century Gothic"/>
          <w:sz w:val="24"/>
          <w:szCs w:val="24"/>
          <w:b w:val="1"/>
          <w:bCs w:val="1"/>
          <w:color w:val="auto"/>
        </w:rPr>
        <w:t>SECURITIES AND EXCHANGE COMMISSION</w:t>
      </w:r>
    </w:p>
    <w:p>
      <w:pPr>
        <w:ind w:left="4480"/>
        <w:spacing w:after="0"/>
        <w:rPr>
          <w:sz w:val="20"/>
          <w:szCs w:val="20"/>
          <w:color w:val="auto"/>
        </w:rPr>
      </w:pPr>
      <w:r>
        <w:rPr>
          <w:rFonts w:ascii="Century Gothic" w:cs="Century Gothic" w:eastAsia="Century Gothic" w:hAnsi="Century Gothic"/>
          <w:sz w:val="20"/>
          <w:szCs w:val="20"/>
          <w:b w:val="1"/>
          <w:bCs w:val="1"/>
          <w:color w:val="auto"/>
        </w:rPr>
        <w:t>WASHINGTON, D.C. 20549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4" w:lineRule="exact"/>
        <w:rPr>
          <w:sz w:val="24"/>
          <w:szCs w:val="24"/>
          <w:color w:val="auto"/>
        </w:rPr>
      </w:pPr>
    </w:p>
    <w:p>
      <w:pPr>
        <w:jc w:val="center"/>
        <w:ind w:right="7320"/>
        <w:spacing w:after="0"/>
        <w:rPr>
          <w:sz w:val="20"/>
          <w:szCs w:val="20"/>
          <w:color w:val="auto"/>
        </w:rPr>
      </w:pPr>
      <w:r>
        <w:rPr>
          <w:rFonts w:ascii="Century Gothic" w:cs="Century Gothic" w:eastAsia="Century Gothic" w:hAnsi="Century Gothic"/>
          <w:sz w:val="14"/>
          <w:szCs w:val="14"/>
          <w:color w:val="auto"/>
        </w:rPr>
        <w:t>DIVISION OF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jc w:val="center"/>
        <w:ind w:right="7340"/>
        <w:spacing w:after="0"/>
        <w:rPr>
          <w:sz w:val="20"/>
          <w:szCs w:val="20"/>
          <w:color w:val="auto"/>
        </w:rPr>
      </w:pPr>
      <w:r>
        <w:rPr>
          <w:rFonts w:ascii="Century Gothic" w:cs="Century Gothic" w:eastAsia="Century Gothic" w:hAnsi="Century Gothic"/>
          <w:sz w:val="13"/>
          <w:szCs w:val="13"/>
          <w:color w:val="auto"/>
        </w:rPr>
        <w:t>CORPORATION FINANCE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jc w:val="center"/>
        <w:ind w:right="7320"/>
        <w:spacing w:after="0"/>
        <w:rPr>
          <w:sz w:val="20"/>
          <w:szCs w:val="20"/>
          <w:color w:val="auto"/>
        </w:rPr>
      </w:pPr>
      <w:r>
        <w:rPr>
          <w:rFonts w:ascii="Century Gothic" w:cs="Century Gothic" w:eastAsia="Century Gothic" w:hAnsi="Century Gothic"/>
          <w:sz w:val="14"/>
          <w:szCs w:val="14"/>
          <w:color w:val="auto"/>
        </w:rPr>
        <w:t>Mail Stop 3030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ind w:left="6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August 20, 2009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2" w:lineRule="exact"/>
        <w:rPr>
          <w:sz w:val="24"/>
          <w:szCs w:val="24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Via U.S. Mail and Facsimile to (408) 222-1917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Clyde R. Hosein</w:t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Chief Financial Officer</w:t>
      </w: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Marvell Technology Group Ltd.</w:t>
      </w: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5488 Marvell Lane</w:t>
      </w: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Santa Clara, CA 95054</w:t>
      </w: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ind w:left="1080"/>
        <w:spacing w:after="0"/>
        <w:tabs>
          <w:tab w:leader="none" w:pos="17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Re:</w:t>
        <w:tab/>
        <w:t>Marvell Technology Group Ltd.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18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Definitive Proxy Statement on Schedule 14A</w:t>
      </w:r>
    </w:p>
    <w:p>
      <w:pPr>
        <w:ind w:left="1800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Filed May 29, 2009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18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File No. 000-30877</w:t>
      </w: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Dear Mr. Hosein: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ind w:left="360" w:right="480" w:firstLine="720"/>
        <w:spacing w:after="0" w:line="25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We have completed our limited review of your definitive proxy statement and have no further comments at this time. You may contact Joe McCann at (202) 551-6262 with any questions.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6" w:lineRule="exact"/>
        <w:rPr>
          <w:sz w:val="24"/>
          <w:szCs w:val="24"/>
          <w:color w:val="auto"/>
        </w:rPr>
      </w:pPr>
    </w:p>
    <w:p>
      <w:pPr>
        <w:ind w:left="6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Sincerely,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8" w:lineRule="exact"/>
        <w:rPr>
          <w:sz w:val="24"/>
          <w:szCs w:val="24"/>
          <w:color w:val="auto"/>
        </w:rPr>
      </w:pPr>
    </w:p>
    <w:p>
      <w:pPr>
        <w:ind w:left="6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Tim Buchmiller</w:t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6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Senior Attorney</w:t>
      </w:r>
    </w:p>
    <w:sectPr>
      <w:pgSz w:w="12240" w:h="15840" w:orient="portrait"/>
      <w:cols w:equalWidth="0" w:num="1">
        <w:col w:w="9360"/>
      </w:cols>
      <w:pgMar w:left="1440" w:top="696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2019-12-10T17:06:13Z</dcterms:created>
  <dcterms:modified xsi:type="dcterms:W3CDTF">2019-12-10T17:06:13Z</dcterms:modified>
</cp:coreProperties>
</file>