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1"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Date of Report (Date of earliest event reported): August 27, 2009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194945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9"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ind w:right="-319"/>
        <w:spacing w:after="0"/>
        <w:rPr>
          <w:sz w:val="20"/>
          <w:szCs w:val="20"/>
          <w:color w:val="auto"/>
        </w:rPr>
      </w:pPr>
      <w:r>
        <w:rPr>
          <w:rFonts w:ascii="Arial" w:cs="Arial" w:eastAsia="Arial" w:hAnsi="Arial"/>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180340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sectPr>
      </w:pPr>
    </w:p>
    <w:p>
      <w:pPr>
        <w:spacing w:after="0" w:line="200" w:lineRule="exact"/>
        <w:rPr>
          <w:sz w:val="24"/>
          <w:szCs w:val="24"/>
          <w:color w:val="auto"/>
        </w:rPr>
      </w:pPr>
    </w:p>
    <w:p>
      <w:pPr>
        <w:spacing w:after="0" w:line="313"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3"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3"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01" w:right="55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2040"/>
          </w:cols>
          <w:pgMar w:left="240" w:top="301"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On August 27, 2009, Marvell Technology Group Ltd. (“Marvell”) issued a press release regarding its financial results for its second fiscal quarter ended August 1, 2009.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one-time costs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1460" w:hanging="547"/>
        <w:spacing w:after="0" w:line="268" w:lineRule="auto"/>
        <w:tabs>
          <w:tab w:leader="none" w:pos="1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target utilized to measure the achievement of stock-based bonus compensation for certain Marvell executive officers;</w:t>
      </w:r>
    </w:p>
    <w:p>
      <w:pPr>
        <w:spacing w:after="0" w:line="50" w:lineRule="exact"/>
        <w:rPr>
          <w:rFonts w:ascii="Arial" w:cs="Arial" w:eastAsia="Arial" w:hAnsi="Arial"/>
          <w:sz w:val="18"/>
          <w:szCs w:val="18"/>
          <w:color w:val="auto"/>
        </w:rPr>
      </w:pPr>
    </w:p>
    <w:p>
      <w:pPr>
        <w:ind w:left="1460" w:hanging="547"/>
        <w:spacing w:after="0"/>
        <w:tabs>
          <w:tab w:leader="none" w:pos="1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1460" w:hanging="547"/>
        <w:spacing w:after="0"/>
        <w:tabs>
          <w:tab w:leader="none" w:pos="1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1460" w:hanging="547"/>
        <w:spacing w:after="0"/>
        <w:tabs>
          <w:tab w:leader="none" w:pos="1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1460" w:right="40" w:hanging="547"/>
        <w:spacing w:after="0" w:line="256" w:lineRule="auto"/>
        <w:tabs>
          <w:tab w:leader="none" w:pos="14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1460" w:right="260" w:hanging="547"/>
        <w:spacing w:after="0" w:line="259" w:lineRule="auto"/>
        <w:tabs>
          <w:tab w:leader="none" w:pos="14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ind w:left="1460" w:right="160" w:hanging="547"/>
        <w:spacing w:after="0" w:line="298" w:lineRule="auto"/>
        <w:tabs>
          <w:tab w:leader="none" w:pos="146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Restructuring</w:t>
      </w:r>
      <w:r>
        <w:rPr>
          <w:rFonts w:ascii="Arial" w:cs="Arial" w:eastAsia="Arial" w:hAnsi="Arial"/>
          <w:sz w:val="16"/>
          <w:szCs w:val="16"/>
          <w:color w:val="auto"/>
        </w:rPr>
        <w:t>. Restructuring represents charges that are not directly related to Marvell’s ongoing or core business results. Management</w:t>
      </w:r>
      <w:r>
        <w:rPr>
          <w:rFonts w:ascii="Arial" w:cs="Arial" w:eastAsia="Arial" w:hAnsi="Arial"/>
          <w:sz w:val="16"/>
          <w:szCs w:val="16"/>
          <w:i w:val="1"/>
          <w:iCs w:val="1"/>
          <w:color w:val="auto"/>
        </w:rPr>
        <w:t xml:space="preserve"> </w:t>
      </w:r>
      <w:r>
        <w:rPr>
          <w:rFonts w:ascii="Arial" w:cs="Arial" w:eastAsia="Arial" w:hAnsi="Arial"/>
          <w:sz w:val="16"/>
          <w:szCs w:val="16"/>
          <w:color w:val="auto"/>
        </w:rPr>
        <w:t>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1460" w:right="260" w:hanging="547"/>
        <w:spacing w:after="0" w:line="298" w:lineRule="auto"/>
        <w:tabs>
          <w:tab w:leader="none" w:pos="146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For</w:t>
      </w:r>
      <w:r>
        <w:rPr>
          <w:rFonts w:ascii="Arial" w:cs="Arial" w:eastAsia="Arial" w:hAnsi="Arial"/>
          <w:sz w:val="16"/>
          <w:szCs w:val="16"/>
          <w:i w:val="1"/>
          <w:iCs w:val="1"/>
          <w:color w:val="auto"/>
        </w:rPr>
        <w:t xml:space="preserve"> </w:t>
      </w:r>
      <w:r>
        <w:rPr>
          <w:rFonts w:ascii="Arial" w:cs="Arial" w:eastAsia="Arial" w:hAnsi="Arial"/>
          <w:sz w:val="16"/>
          <w:szCs w:val="16"/>
          <w:color w:val="auto"/>
        </w:rPr>
        <w:t>example, in the first quarter ended May 2, 2009, Marvell recorded a $72 million charge in connection with the settlement of a class action lawsuit related to its historical stock option granting practices. As the litigation directly related to stock compensation costs, which are consistently excluded from Marvell’s non-GAAP results, the Company excluded the settlement costs as well.</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1460" w:hanging="547"/>
        <w:spacing w:after="0" w:line="291" w:lineRule="auto"/>
        <w:tabs>
          <w:tab w:leader="none" w:pos="146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SFAS 123R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4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90"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August 27, 2009.</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3" w:name="page4"/>
    <w:bookmarkEnd w:id="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August 27, 2009</w:t>
      </w:r>
    </w:p>
    <w:p>
      <w:pPr>
        <w:spacing w:after="0" w:line="212" w:lineRule="exact"/>
        <w:rPr>
          <w:sz w:val="20"/>
          <w:szCs w:val="20"/>
          <w:color w:val="auto"/>
        </w:rPr>
      </w:pPr>
    </w:p>
    <w:p>
      <w:pPr>
        <w:ind w:left="614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140"/>
        <w:spacing w:after="0"/>
        <w:tabs>
          <w:tab w:leader="none" w:pos="6760" w:val="left"/>
        </w:tabs>
        <w:rPr>
          <w:sz w:val="20"/>
          <w:szCs w:val="20"/>
          <w:color w:val="auto"/>
        </w:rPr>
      </w:pPr>
      <w:r>
        <w:rPr>
          <w:rFonts w:ascii="Arial" w:cs="Arial" w:eastAsia="Arial" w:hAnsi="Arial"/>
          <w:sz w:val="18"/>
          <w:szCs w:val="18"/>
          <w:color w:val="auto"/>
        </w:rPr>
        <w:t>By: /s/</w:t>
      </w:r>
      <w:r>
        <w:rPr>
          <w:sz w:val="20"/>
          <w:szCs w:val="20"/>
          <w:color w:val="auto"/>
        </w:rPr>
        <w:tab/>
      </w:r>
      <w:r>
        <w:rPr>
          <w:rFonts w:ascii="Arial" w:cs="Arial" w:eastAsia="Arial" w:hAnsi="Arial"/>
          <w:sz w:val="16"/>
          <w:szCs w:val="16"/>
          <w:color w:val="auto"/>
        </w:rPr>
        <w:t>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4087495</wp:posOffset>
            </wp:positionH>
            <wp:positionV relativeFrom="paragraph">
              <wp:posOffset>10795</wp:posOffset>
            </wp:positionV>
            <wp:extent cx="316420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164205" cy="8890"/>
                    </a:xfrm>
                    <a:prstGeom prst="rect">
                      <a:avLst/>
                    </a:prstGeom>
                    <a:noFill/>
                  </pic:spPr>
                </pic:pic>
              </a:graphicData>
            </a:graphic>
          </wp:anchor>
        </w:drawing>
      </w:r>
    </w:p>
    <w:p>
      <w:pPr>
        <w:spacing w:after="0" w:line="16" w:lineRule="exact"/>
        <w:rPr>
          <w:sz w:val="20"/>
          <w:szCs w:val="20"/>
          <w:color w:val="auto"/>
        </w:rPr>
      </w:pPr>
    </w:p>
    <w:p>
      <w:pPr>
        <w:ind w:left="64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i w:val="1"/>
          <w:iCs w:val="1"/>
          <w:color w:val="auto"/>
        </w:rPr>
        <w:t>Chief Financial Officer, Interim Chief Operating Officer and Secretary</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EXHIBIT INDEX</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0" w:type="dxa"/>
            <w:vAlign w:val="bottom"/>
            <w:gridSpan w:val="2"/>
          </w:tcPr>
          <w:p>
            <w:pPr>
              <w:jc w:val="right"/>
              <w:spacing w:after="0"/>
              <w:rPr>
                <w:sz w:val="20"/>
                <w:szCs w:val="20"/>
                <w:color w:val="auto"/>
              </w:rPr>
            </w:pPr>
            <w:r>
              <w:rPr>
                <w:rFonts w:ascii="Arial" w:cs="Arial" w:eastAsia="Arial" w:hAnsi="Arial"/>
                <w:sz w:val="14"/>
                <w:szCs w:val="14"/>
                <w:b w:val="1"/>
                <w:bCs w:val="1"/>
                <w:color w:val="auto"/>
                <w:w w:val="87"/>
              </w:rPr>
              <w:t>Exhibit No.</w:t>
            </w:r>
          </w:p>
        </w:tc>
        <w:tc>
          <w:tcPr>
            <w:tcW w:w="440" w:type="dxa"/>
            <w:vAlign w:val="bottom"/>
          </w:tcPr>
          <w:p>
            <w:pPr>
              <w:spacing w:after="0"/>
              <w:rPr>
                <w:sz w:val="14"/>
                <w:szCs w:val="14"/>
                <w:color w:val="auto"/>
              </w:rPr>
            </w:pPr>
          </w:p>
        </w:tc>
        <w:tc>
          <w:tcPr>
            <w:tcW w:w="264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40" w:type="dxa"/>
            <w:vAlign w:val="bottom"/>
            <w:vMerge w:val="restart"/>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00" w:type="dxa"/>
            <w:vAlign w:val="bottom"/>
          </w:tcPr>
          <w:p>
            <w:pPr>
              <w:jc w:val="right"/>
              <w:ind w:right="72"/>
              <w:spacing w:after="0"/>
              <w:rPr>
                <w:sz w:val="20"/>
                <w:szCs w:val="20"/>
                <w:color w:val="auto"/>
              </w:rPr>
            </w:pPr>
            <w:r>
              <w:rPr>
                <w:rFonts w:ascii="Arial" w:cs="Arial" w:eastAsia="Arial" w:hAnsi="Arial"/>
                <w:sz w:val="18"/>
                <w:szCs w:val="18"/>
                <w:color w:val="auto"/>
              </w:rPr>
              <w:t>99.1</w:t>
            </w:r>
          </w:p>
        </w:tc>
        <w:tc>
          <w:tcPr>
            <w:tcW w:w="440" w:type="dxa"/>
            <w:vAlign w:val="bottom"/>
            <w:vMerge w:val="continue"/>
          </w:tcPr>
          <w:p>
            <w:pPr>
              <w:spacing w:after="0"/>
              <w:rPr>
                <w:sz w:val="18"/>
                <w:szCs w:val="18"/>
                <w:color w:val="auto"/>
              </w:rPr>
            </w:pPr>
          </w:p>
        </w:tc>
        <w:tc>
          <w:tcPr>
            <w:tcW w:w="2640" w:type="dxa"/>
            <w:vAlign w:val="bottom"/>
            <w:gridSpan w:val="2"/>
          </w:tcPr>
          <w:p>
            <w:pPr>
              <w:spacing w:after="0"/>
              <w:rPr>
                <w:sz w:val="20"/>
                <w:szCs w:val="20"/>
                <w:color w:val="auto"/>
              </w:rPr>
            </w:pPr>
            <w:r>
              <w:rPr>
                <w:rFonts w:ascii="Arial" w:cs="Arial" w:eastAsia="Arial" w:hAnsi="Arial"/>
                <w:sz w:val="18"/>
                <w:szCs w:val="18"/>
                <w:color w:val="auto"/>
                <w:w w:val="84"/>
              </w:rPr>
              <w:t>Press Release dated August 27, 2009.</w:t>
            </w:r>
          </w:p>
        </w:tc>
        <w:tc>
          <w:tcPr>
            <w:tcW w:w="0" w:type="dxa"/>
            <w:vAlign w:val="bottom"/>
          </w:tcPr>
          <w:p>
            <w:pPr>
              <w:spacing w:after="0"/>
              <w:rPr>
                <w:sz w:val="1"/>
                <w:szCs w:val="1"/>
                <w:color w:val="auto"/>
              </w:rPr>
            </w:pPr>
          </w:p>
        </w:tc>
      </w:tr>
    </w:tbl>
    <w:p>
      <w:pPr>
        <w:spacing w:after="0" w:line="134"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219"/>
          </w:cols>
          <w:pgMar w:left="240" w:top="274" w:right="1440"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52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76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620" w:type="dxa"/>
            <w:vAlign w:val="bottom"/>
          </w:tcPr>
          <w:p>
            <w:pPr>
              <w:spacing w:after="0"/>
              <w:rPr>
                <w:sz w:val="19"/>
                <w:szCs w:val="19"/>
                <w:color w:val="auto"/>
              </w:rPr>
            </w:pPr>
          </w:p>
        </w:tc>
      </w:tr>
      <w:tr>
        <w:trPr>
          <w:trHeight w:val="318"/>
        </w:trPr>
        <w:tc>
          <w:tcPr>
            <w:tcW w:w="526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4700" w:type="dxa"/>
            <w:vAlign w:val="bottom"/>
            <w:gridSpan w:val="3"/>
          </w:tcPr>
          <w:p>
            <w:pPr>
              <w:ind w:left="2760"/>
              <w:spacing w:after="0"/>
              <w:rPr>
                <w:sz w:val="20"/>
                <w:szCs w:val="20"/>
                <w:color w:val="auto"/>
              </w:rPr>
            </w:pPr>
            <w:r>
              <w:rPr>
                <w:rFonts w:ascii="Arial" w:cs="Arial" w:eastAsia="Arial" w:hAnsi="Arial"/>
                <w:sz w:val="18"/>
                <w:szCs w:val="18"/>
                <w:color w:val="auto"/>
              </w:rPr>
              <w:t>Tom Hayes</w:t>
            </w:r>
          </w:p>
        </w:tc>
      </w:tr>
      <w:tr>
        <w:trPr>
          <w:trHeight w:val="216"/>
        </w:trPr>
        <w:tc>
          <w:tcPr>
            <w:tcW w:w="52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700" w:type="dxa"/>
            <w:vAlign w:val="bottom"/>
            <w:gridSpan w:val="3"/>
          </w:tcPr>
          <w:p>
            <w:pPr>
              <w:ind w:left="2760"/>
              <w:spacing w:after="0"/>
              <w:rPr>
                <w:sz w:val="20"/>
                <w:szCs w:val="20"/>
                <w:color w:val="auto"/>
              </w:rPr>
            </w:pPr>
            <w:r>
              <w:rPr>
                <w:rFonts w:ascii="Arial" w:cs="Arial" w:eastAsia="Arial" w:hAnsi="Arial"/>
                <w:sz w:val="18"/>
                <w:szCs w:val="18"/>
                <w:color w:val="auto"/>
                <w:w w:val="87"/>
              </w:rPr>
              <w:t>Corporate Communications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3680" w:type="dxa"/>
            <w:vAlign w:val="bottom"/>
          </w:tcPr>
          <w:p>
            <w:pPr>
              <w:spacing w:after="0"/>
              <w:rPr>
                <w:sz w:val="18"/>
                <w:szCs w:val="18"/>
                <w:color w:val="auto"/>
              </w:rPr>
            </w:pPr>
          </w:p>
        </w:tc>
        <w:tc>
          <w:tcPr>
            <w:tcW w:w="4080" w:type="dxa"/>
            <w:vAlign w:val="bottom"/>
            <w:gridSpan w:val="2"/>
          </w:tcPr>
          <w:p>
            <w:pPr>
              <w:ind w:left="2760"/>
              <w:spacing w:after="0"/>
              <w:rPr>
                <w:sz w:val="20"/>
                <w:szCs w:val="20"/>
                <w:color w:val="auto"/>
              </w:rPr>
            </w:pPr>
            <w:r>
              <w:rPr>
                <w:rFonts w:ascii="Arial" w:cs="Arial" w:eastAsia="Arial" w:hAnsi="Arial"/>
                <w:sz w:val="18"/>
                <w:szCs w:val="18"/>
                <w:color w:val="auto"/>
              </w:rPr>
              <w:t>408-222-2815</w:t>
            </w:r>
          </w:p>
        </w:tc>
        <w:tc>
          <w:tcPr>
            <w:tcW w:w="620" w:type="dxa"/>
            <w:vAlign w:val="bottom"/>
          </w:tcPr>
          <w:p>
            <w:pPr>
              <w:spacing w:after="0"/>
              <w:rPr>
                <w:sz w:val="18"/>
                <w:szCs w:val="18"/>
                <w:color w:val="auto"/>
              </w:rPr>
            </w:pPr>
          </w:p>
        </w:tc>
      </w:tr>
      <w:tr>
        <w:trPr>
          <w:trHeight w:val="184"/>
        </w:trPr>
        <w:tc>
          <w:tcPr>
            <w:tcW w:w="526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4700" w:type="dxa"/>
            <w:vAlign w:val="bottom"/>
            <w:gridSpan w:val="3"/>
          </w:tcPr>
          <w:p>
            <w:pPr>
              <w:ind w:left="2760"/>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3680" w:type="dxa"/>
            <w:vAlign w:val="bottom"/>
          </w:tcPr>
          <w:p>
            <w:pPr>
              <w:spacing w:after="0" w:line="20" w:lineRule="exact"/>
              <w:rPr>
                <w:sz w:val="1"/>
                <w:szCs w:val="1"/>
                <w:color w:val="auto"/>
              </w:rPr>
            </w:pPr>
          </w:p>
        </w:tc>
        <w:tc>
          <w:tcPr>
            <w:tcW w:w="276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r>
    </w:tbl>
    <w:p>
      <w:pPr>
        <w:spacing w:after="0" w:line="337" w:lineRule="exact"/>
        <w:rPr>
          <w:sz w:val="20"/>
          <w:szCs w:val="20"/>
          <w:color w:val="auto"/>
        </w:rPr>
      </w:pPr>
    </w:p>
    <w:p>
      <w:pPr>
        <w:ind w:left="3040"/>
        <w:spacing w:after="0"/>
        <w:rPr>
          <w:sz w:val="20"/>
          <w:szCs w:val="20"/>
          <w:color w:val="auto"/>
        </w:rPr>
      </w:pPr>
      <w:r>
        <w:rPr>
          <w:rFonts w:ascii="Arial" w:cs="Arial" w:eastAsia="Arial" w:hAnsi="Arial"/>
          <w:sz w:val="18"/>
          <w:szCs w:val="18"/>
          <w:b w:val="1"/>
          <w:bCs w:val="1"/>
          <w:color w:val="auto"/>
        </w:rPr>
        <w:t>Marvell Technology Group Ltd. Reports Fiscal Second Quarter Results</w:t>
      </w:r>
    </w:p>
    <w:p>
      <w:pPr>
        <w:spacing w:after="0" w:line="177" w:lineRule="exact"/>
        <w:rPr>
          <w:sz w:val="20"/>
          <w:szCs w:val="20"/>
          <w:color w:val="auto"/>
        </w:rPr>
      </w:pPr>
    </w:p>
    <w:p>
      <w:pPr>
        <w:ind w:left="3780"/>
        <w:spacing w:after="0"/>
        <w:rPr>
          <w:sz w:val="20"/>
          <w:szCs w:val="20"/>
          <w:color w:val="auto"/>
        </w:rPr>
      </w:pPr>
      <w:r>
        <w:rPr>
          <w:rFonts w:ascii="Arial" w:cs="Arial" w:eastAsia="Arial" w:hAnsi="Arial"/>
          <w:sz w:val="18"/>
          <w:szCs w:val="18"/>
          <w:b w:val="1"/>
          <w:bCs w:val="1"/>
          <w:i w:val="1"/>
          <w:iCs w:val="1"/>
          <w:color w:val="auto"/>
        </w:rPr>
        <w:t>Revenue: $640.6 Million, Up 23 Percent Sequentially</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GAAP Net Income: $58.5 Million, $0.09 per share EPS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$175.3 Million, 27 Percent of Revenues</w:t>
      </w:r>
    </w:p>
    <w:p>
      <w:pPr>
        <w:spacing w:after="0" w:line="159" w:lineRule="exact"/>
        <w:rPr>
          <w:sz w:val="20"/>
          <w:szCs w:val="20"/>
          <w:color w:val="auto"/>
        </w:rPr>
      </w:pPr>
    </w:p>
    <w:p>
      <w:pPr>
        <w:ind w:right="200"/>
        <w:spacing w:after="0" w:line="275" w:lineRule="auto"/>
        <w:rPr>
          <w:sz w:val="20"/>
          <w:szCs w:val="20"/>
          <w:color w:val="auto"/>
        </w:rPr>
      </w:pPr>
      <w:r>
        <w:rPr>
          <w:rFonts w:ascii="Arial" w:cs="Arial" w:eastAsia="Arial" w:hAnsi="Arial"/>
          <w:sz w:val="18"/>
          <w:szCs w:val="18"/>
          <w:b w:val="1"/>
          <w:bCs w:val="1"/>
          <w:color w:val="auto"/>
        </w:rPr>
        <w:t xml:space="preserve">Santa Clara, California (August 27, 2009) </w:t>
      </w:r>
      <w:r>
        <w:rPr>
          <w:rFonts w:ascii="Arial" w:cs="Arial" w:eastAsia="Arial" w:hAnsi="Arial"/>
          <w:sz w:val="18"/>
          <w:szCs w:val="18"/>
          <w:color w:val="auto"/>
        </w:rPr>
        <w:t>— Marvell Technology Group Ltd. (NASDAQ: MRVL), a world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financial results for the second quarter of fiscal 2010, ended August 1, 2009.</w:t>
      </w:r>
    </w:p>
    <w:p>
      <w:pPr>
        <w:spacing w:after="0" w:line="126" w:lineRule="exact"/>
        <w:rPr>
          <w:sz w:val="20"/>
          <w:szCs w:val="20"/>
          <w:color w:val="auto"/>
        </w:rPr>
      </w:pPr>
    </w:p>
    <w:p>
      <w:pPr>
        <w:ind w:right="440"/>
        <w:spacing w:after="0" w:line="332" w:lineRule="auto"/>
        <w:rPr>
          <w:sz w:val="20"/>
          <w:szCs w:val="20"/>
          <w:color w:val="auto"/>
        </w:rPr>
      </w:pPr>
      <w:r>
        <w:rPr>
          <w:rFonts w:ascii="Arial" w:cs="Arial" w:eastAsia="Arial" w:hAnsi="Arial"/>
          <w:sz w:val="16"/>
          <w:szCs w:val="16"/>
          <w:color w:val="auto"/>
        </w:rPr>
        <w:t>Net revenue for the second quarter of fiscal 2010 was $640.6 million, a 23 percent sequential increase from $521.4 million in the first quarter of fiscal 2010, ended May 2, 2009 and a 24 percent decrease from $842.6 million in the second quarter of fiscal 2009, ended August 2, 2008.</w:t>
      </w:r>
    </w:p>
    <w:p>
      <w:pPr>
        <w:spacing w:after="0" w:line="85" w:lineRule="exact"/>
        <w:rPr>
          <w:sz w:val="20"/>
          <w:szCs w:val="20"/>
          <w:color w:val="auto"/>
        </w:rPr>
      </w:pPr>
    </w:p>
    <w:p>
      <w:pPr>
        <w:ind w:right="320"/>
        <w:spacing w:after="0" w:line="259" w:lineRule="auto"/>
        <w:rPr>
          <w:sz w:val="20"/>
          <w:szCs w:val="20"/>
          <w:color w:val="auto"/>
        </w:rPr>
      </w:pPr>
      <w:r>
        <w:rPr>
          <w:rFonts w:ascii="Arial" w:cs="Arial" w:eastAsia="Arial" w:hAnsi="Arial"/>
          <w:sz w:val="18"/>
          <w:szCs w:val="18"/>
          <w:color w:val="auto"/>
        </w:rPr>
        <w:t>GAAP net income was $58.5 million, or $0.09 per share (diluted), for the second quarter of fiscal 2010, as compared to a GAAP net loss of $111.5 million, or $0.18 per share (diluted), for the first quarter of fiscal 2010. For the second quarter of fiscal 2009 GAAP net income was $71.4 million, or $0.11 per share (diluted).</w:t>
      </w:r>
    </w:p>
    <w:p>
      <w:pPr>
        <w:spacing w:after="0" w:line="140" w:lineRule="exact"/>
        <w:rPr>
          <w:sz w:val="20"/>
          <w:szCs w:val="20"/>
          <w:color w:val="auto"/>
        </w:rPr>
      </w:pPr>
    </w:p>
    <w:p>
      <w:pPr>
        <w:ind w:right="320"/>
        <w:spacing w:after="0" w:line="259" w:lineRule="auto"/>
        <w:rPr>
          <w:sz w:val="20"/>
          <w:szCs w:val="20"/>
          <w:color w:val="auto"/>
        </w:rPr>
      </w:pPr>
      <w:r>
        <w:rPr>
          <w:rFonts w:ascii="Arial" w:cs="Arial" w:eastAsia="Arial" w:hAnsi="Arial"/>
          <w:sz w:val="18"/>
          <w:szCs w:val="18"/>
          <w:color w:val="auto"/>
        </w:rPr>
        <w:t>Non-GAAP net income was $118.7 million, or $0.18 per share (diluted), for the second quarter of fiscal 2010, an increase of 272 percent from non-GAAP net income of $31.9 million, or $0.05 per share (diluted), for the first quarter of fiscal 2010, and a 23 percent decrease compared with non-GAAP net income of $154.0 million, or $0.24 per share (diluted), for the second quarter of fiscal 2009.</w:t>
      </w:r>
    </w:p>
    <w:p>
      <w:pPr>
        <w:spacing w:after="0" w:line="140" w:lineRule="exact"/>
        <w:rPr>
          <w:sz w:val="20"/>
          <w:szCs w:val="20"/>
          <w:color w:val="auto"/>
        </w:rPr>
      </w:pPr>
    </w:p>
    <w:p>
      <w:pPr>
        <w:ind w:right="340"/>
        <w:spacing w:after="0" w:line="256" w:lineRule="auto"/>
        <w:rPr>
          <w:sz w:val="20"/>
          <w:szCs w:val="20"/>
          <w:color w:val="auto"/>
        </w:rPr>
      </w:pPr>
      <w:r>
        <w:rPr>
          <w:rFonts w:ascii="Arial" w:cs="Arial" w:eastAsia="Arial" w:hAnsi="Arial"/>
          <w:sz w:val="18"/>
          <w:szCs w:val="18"/>
          <w:color w:val="auto"/>
        </w:rPr>
        <w:t>“We are pleased with the results reported for the second quarter of fiscal 2010,” said Dr. Sehat Sutardja, Marvell Chairman and Chief Executive Officer. “Our sequential revenue growth reflects both an improving economy and the acceptance by customers of our new and existing products. Additionally, the financial discipline we have adopted continued to deliver positive benefits during the second quarter, allowing us to achieve our long-term profitability and cash flow targets well ahead of schedule.”</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5" w:right="239" w:bottom="1440" w:gutter="0" w:footer="0" w:header="0"/>
        </w:sectPr>
      </w:pPr>
    </w:p>
    <w:bookmarkStart w:id="6" w:name="page7"/>
    <w:bookmarkEnd w:id="6"/>
    <w:p>
      <w:pPr>
        <w:ind w:right="1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reports net income or loss, basic and diluted net income or loss per share in accordance with U.S. generally accepted accounting principles (GAAP) and on a non-GAAP basis as outlined below. Reconciliations of GAAP net income or loss to non-GAAP net income for the three months ended August 1, 2009, May 2, 2009 and August 2, 2008, respectively, appear in the financial statements below.</w:t>
      </w:r>
    </w:p>
    <w:p>
      <w:pPr>
        <w:spacing w:after="0" w:line="140"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GAAP gross margin for the second quarter of fiscal 2010 was 55.0 percent, compared to 50.6 percent for the first quarter of fiscal 2010 and 51.8 percent for the second quarter of fiscal 2009. Non-GAAP gross margin for the second quarter of fiscal 2010 increased to 55.3 percent, compared to 51.6 percent for the first quarter of fiscal 2010 and 52.3 percent for the second quarter of fiscal 2009.</w:t>
      </w:r>
    </w:p>
    <w:p>
      <w:pPr>
        <w:spacing w:after="0" w:line="140"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Shares used to compute GAAP net income per diluted share for the second quarter of fiscal 2010 were 648 million shares, compared with 619 million shares in the first quarter of fiscal 2010 and 638 million shares in the second quarter of fiscal 2009. Shares used to compute non-GAAP net income per diluted share for the second quarter of fiscal 2010 were 652 million shares, compared with 637 million shares for the first quarter of fiscal 2010 and 640 million shares for the second quarter of fiscal 2009.</w:t>
      </w:r>
    </w:p>
    <w:p>
      <w:pPr>
        <w:spacing w:after="0" w:line="143"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Cash flow from operations for the second quarter of fiscal 2010 was $182.3 million, up 26 percent sequentially from $144.5 million reported in the first quarter of fiscal 2010 and down less than one percent from $182.9 million in the second quarter of fiscal 2009. Free cash flow, defined as cash flow from operations less capital expenditures and purchases of IP licenses, was $175.3 million, up 33 percent sequentially from $131.8 million in the first quarter of fiscal 2010 and up 6 percent from $165.6 million in the second quarter of fiscal 2009.</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 xml:space="preserve">Marvell will be conducting a conference call on August 27, 2009 at 1:45 p.m. PDT to discuss results for the second quarter ended August 1, 2009. Interested parties may dial-in to the conference call at </w:t>
      </w:r>
      <w:r>
        <w:rPr>
          <w:rFonts w:ascii="Arial" w:cs="Arial" w:eastAsia="Arial" w:hAnsi="Arial"/>
          <w:sz w:val="18"/>
          <w:szCs w:val="18"/>
          <w:b w:val="1"/>
          <w:bCs w:val="1"/>
          <w:color w:val="auto"/>
        </w:rPr>
        <w:t>1-800-510-9661, pass-code 55940109</w:t>
      </w:r>
      <w:r>
        <w:rPr>
          <w:rFonts w:ascii="Arial" w:cs="Arial" w:eastAsia="Arial" w:hAnsi="Arial"/>
          <w:sz w:val="18"/>
          <w:szCs w:val="18"/>
          <w:color w:val="auto"/>
        </w:rPr>
        <w:t xml:space="preserve">. The call is being webcast by ThomsonReuters and can be accessed at Marvell’s website under the Investor Events section of the Investor Relations page at </w:t>
      </w:r>
      <w:r>
        <w:rPr>
          <w:rFonts w:ascii="Arial" w:cs="Arial" w:eastAsia="Arial" w:hAnsi="Arial"/>
          <w:sz w:val="18"/>
          <w:szCs w:val="18"/>
          <w:u w:val="single" w:color="auto"/>
          <w:color w:val="auto"/>
        </w:rPr>
        <w:t>http://www.marvell.com/investors/events.jsp</w:t>
      </w:r>
      <w:r>
        <w:rPr>
          <w:rFonts w:ascii="Arial" w:cs="Arial" w:eastAsia="Arial" w:hAnsi="Arial"/>
          <w:sz w:val="18"/>
          <w:szCs w:val="18"/>
          <w:color w:val="auto"/>
        </w:rPr>
        <w:t>. Replay on the internet will be available following the call until September 24, 2009.</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Discussion of Non-GAAP Financial Measures</w:t>
      </w:r>
    </w:p>
    <w:p>
      <w:pPr>
        <w:spacing w:after="0" w:line="96"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w:t>
      </w:r>
    </w:p>
    <w:p>
      <w:pPr>
        <w:spacing w:after="0" w:line="120"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Technology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w:t>
      </w:r>
      <w:r>
        <w:rPr>
          <w:rFonts w:ascii="Arial" w:cs="Arial" w:eastAsia="Arial" w:hAnsi="Arial"/>
          <w:sz w:val="18"/>
          <w:szCs w:val="18"/>
          <w:u w:val="single" w:color="auto"/>
          <w:color w:val="auto"/>
        </w:rPr>
        <w:t>www.marvell.com</w:t>
      </w:r>
    </w:p>
    <w:p>
      <w:pPr>
        <w:spacing w:after="0" w:line="13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40"/>
          </w:cols>
          <w:pgMar w:left="240" w:top="274" w:right="31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Forward-Looking Statements</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the Company’s expectations regarding the economy and acceptance by customers of the Company’s new and existing products; and statements concerning the Company’s use of non-GAAP financial measures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the Company’s reliance on major customers and suppliers; market acceptance of new products; uncertainty in the worldwide economic environment; successful execution of the Company’s restructuring plan and other risks detailed in Marvell’s SEC filings. When Marvell files its Form 10-Q for the second quarter of fiscal 2010,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Marvell’s latest Annual Report on Form 10-K for the year end January 31, 2009, Quarterly Reports on Form 10-Q and Current Reports on Form 8-K, as filed with the SEC and other factors detailed from time to time in Marvell’s filings with the SEC. Marvell undertakes no obligation to revise or update publicly any forward-looking statements.</w:t>
      </w:r>
    </w:p>
    <w:p>
      <w:pPr>
        <w:spacing w:after="0" w:line="11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60" w:type="dxa"/>
            <w:vAlign w:val="bottom"/>
            <w:gridSpan w:val="4"/>
          </w:tcPr>
          <w:p>
            <w:pPr>
              <w:jc w:val="right"/>
              <w:ind w:right="2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1440" w:type="dxa"/>
            <w:vAlign w:val="bottom"/>
          </w:tcPr>
          <w:p>
            <w:pPr>
              <w:spacing w:after="0"/>
              <w:rPr>
                <w:sz w:val="11"/>
                <w:szCs w:val="11"/>
                <w:color w:val="auto"/>
              </w:rPr>
            </w:pPr>
          </w:p>
        </w:tc>
        <w:tc>
          <w:tcPr>
            <w:tcW w:w="680" w:type="dxa"/>
            <w:vAlign w:val="bottom"/>
            <w:tcBorders>
              <w:top w:val="single" w:sz="8" w:color="auto"/>
            </w:tcBorders>
            <w:gridSpan w:val="3"/>
          </w:tcPr>
          <w:p>
            <w:pPr>
              <w:jc w:val="right"/>
              <w:ind w:right="80"/>
              <w:spacing w:after="0" w:line="129" w:lineRule="exact"/>
              <w:rPr>
                <w:sz w:val="20"/>
                <w:szCs w:val="20"/>
                <w:color w:val="auto"/>
              </w:rPr>
            </w:pPr>
            <w:r>
              <w:rPr>
                <w:rFonts w:ascii="Arial" w:cs="Arial" w:eastAsia="Arial" w:hAnsi="Arial"/>
                <w:sz w:val="14"/>
                <w:szCs w:val="14"/>
                <w:b w:val="1"/>
                <w:bCs w:val="1"/>
                <w:color w:val="auto"/>
                <w:w w:val="90"/>
              </w:rPr>
              <w:t>August 1,</w:t>
            </w:r>
          </w:p>
        </w:tc>
        <w:tc>
          <w:tcPr>
            <w:tcW w:w="2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rPr>
              <w:t>May 2,</w:t>
            </w: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2,</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7"/>
              </w:rPr>
              <w:t>August 1,</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87"/>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640,620</w:t>
            </w:r>
          </w:p>
        </w:tc>
        <w:tc>
          <w:tcPr>
            <w:tcW w:w="2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521,434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842,575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1,162,054</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1,646,650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1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288,059</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257,630</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405,913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545,689</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794,755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352,561</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263,804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436,662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616,365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851,895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1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192,664</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200,249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249,714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392,913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488,189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32,384</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32,646</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41,834</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65,030</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87,922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28,562</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101,496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30,989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130,058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43,940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26,446</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30,356</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34,988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56,802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70,235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4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4,956</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8,336</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13,292</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00" w:type="dxa"/>
            <w:vAlign w:val="bottom"/>
          </w:tcPr>
          <w:p>
            <w:pPr>
              <w:ind w:left="860"/>
              <w:spacing w:after="0"/>
              <w:rPr>
                <w:sz w:val="20"/>
                <w:szCs w:val="20"/>
                <w:color w:val="auto"/>
              </w:rPr>
            </w:pPr>
            <w:r>
              <w:rPr>
                <w:rFonts w:ascii="Arial" w:cs="Arial" w:eastAsia="Arial" w:hAnsi="Arial"/>
                <w:sz w:val="18"/>
                <w:szCs w:val="18"/>
                <w:color w:val="auto"/>
              </w:rPr>
              <w:t>Total operating expenses</w:t>
            </w:r>
          </w:p>
        </w:tc>
        <w:tc>
          <w:tcPr>
            <w:tcW w:w="144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285,012</w:t>
            </w: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373,083</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357,525</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658,095</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690,286</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67,549</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5"/>
              </w:rPr>
              <w:t>(109,279)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79,137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(41,730)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161,609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1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279</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8"/>
                <w:szCs w:val="18"/>
                <w:color w:val="auto"/>
              </w:rPr>
              <w:t>(160)</w:t>
            </w:r>
          </w:p>
        </w:tc>
        <w:tc>
          <w:tcPr>
            <w:tcW w:w="10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(754)</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119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(5,446)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1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67,828</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5"/>
              </w:rPr>
              <w:t>(109,439)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78,383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(41,611)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156,163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9,335</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2,018</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7,016</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11,353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58,493</w:t>
            </w:r>
          </w:p>
        </w:tc>
        <w:tc>
          <w:tcPr>
            <w:tcW w:w="2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5"/>
              </w:rPr>
              <w:t>(111,457)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71,367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(52,964)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141,306</w:t>
            </w:r>
          </w:p>
        </w:tc>
        <w:tc>
          <w:tcPr>
            <w:tcW w:w="0" w:type="dxa"/>
            <w:vAlign w:val="bottom"/>
          </w:tcPr>
          <w:p>
            <w:pPr>
              <w:spacing w:after="0"/>
              <w:rPr>
                <w:sz w:val="1"/>
                <w:szCs w:val="1"/>
                <w:color w:val="auto"/>
              </w:rPr>
            </w:pPr>
          </w:p>
        </w:tc>
      </w:tr>
      <w:tr>
        <w:trPr>
          <w:trHeight w:val="20"/>
        </w:trPr>
        <w:tc>
          <w:tcPr>
            <w:tcW w:w="5020" w:type="dxa"/>
            <w:vAlign w:val="bottom"/>
            <w:gridSpan w:val="2"/>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5020" w:type="dxa"/>
            <w:vAlign w:val="bottom"/>
            <w:gridSpan w:val="2"/>
          </w:tcPr>
          <w:p>
            <w:pPr>
              <w:spacing w:after="0"/>
              <w:rPr>
                <w:sz w:val="20"/>
                <w:szCs w:val="20"/>
                <w:color w:val="auto"/>
              </w:rPr>
            </w:pPr>
            <w:r>
              <w:rPr>
                <w:rFonts w:ascii="Arial" w:cs="Arial" w:eastAsia="Arial" w:hAnsi="Arial"/>
                <w:sz w:val="18"/>
                <w:szCs w:val="18"/>
                <w:color w:val="auto"/>
              </w:rPr>
              <w:t>Basic net income (loss) per share</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0.09</w:t>
            </w:r>
          </w:p>
        </w:tc>
        <w:tc>
          <w:tcPr>
            <w:tcW w:w="20" w:type="dxa"/>
            <w:vAlign w:val="bottom"/>
          </w:tcPr>
          <w:p>
            <w:pPr>
              <w:spacing w:after="0"/>
              <w:rPr>
                <w:sz w:val="24"/>
                <w:szCs w:val="24"/>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80"/>
              <w:spacing w:after="0"/>
              <w:rPr>
                <w:sz w:val="20"/>
                <w:szCs w:val="20"/>
                <w:color w:val="auto"/>
              </w:rPr>
            </w:pPr>
            <w:r>
              <w:rPr>
                <w:rFonts w:ascii="Arial" w:cs="Arial" w:eastAsia="Arial" w:hAnsi="Arial"/>
                <w:sz w:val="18"/>
                <w:szCs w:val="18"/>
                <w:color w:val="auto"/>
              </w:rPr>
              <w:t>(0.18)</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320" w:type="dxa"/>
            <w:vAlign w:val="bottom"/>
          </w:tcPr>
          <w:p>
            <w:pPr>
              <w:spacing w:after="0"/>
              <w:rPr>
                <w:sz w:val="24"/>
                <w:szCs w:val="24"/>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(0.09)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2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(0.09)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0.22</w:t>
            </w:r>
          </w:p>
        </w:tc>
        <w:tc>
          <w:tcPr>
            <w:tcW w:w="0" w:type="dxa"/>
            <w:vAlign w:val="bottom"/>
          </w:tcPr>
          <w:p>
            <w:pPr>
              <w:spacing w:after="0"/>
              <w:rPr>
                <w:sz w:val="1"/>
                <w:szCs w:val="1"/>
                <w:color w:val="auto"/>
              </w:rPr>
            </w:pPr>
          </w:p>
        </w:tc>
      </w:tr>
      <w:tr>
        <w:trPr>
          <w:trHeight w:val="20"/>
        </w:trPr>
        <w:tc>
          <w:tcPr>
            <w:tcW w:w="5020" w:type="dxa"/>
            <w:vAlign w:val="bottom"/>
            <w:gridSpan w:val="2"/>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6"/>
        </w:trPr>
        <w:tc>
          <w:tcPr>
            <w:tcW w:w="5020" w:type="dxa"/>
            <w:vAlign w:val="bottom"/>
            <w:gridSpan w:val="2"/>
          </w:tcPr>
          <w:p>
            <w:pPr>
              <w:spacing w:after="0"/>
              <w:rPr>
                <w:sz w:val="20"/>
                <w:szCs w:val="20"/>
                <w:color w:val="auto"/>
              </w:rPr>
            </w:pPr>
            <w:r>
              <w:rPr>
                <w:rFonts w:ascii="Arial" w:cs="Arial" w:eastAsia="Arial" w:hAnsi="Arial"/>
                <w:sz w:val="18"/>
                <w:szCs w:val="18"/>
                <w:color w:val="auto"/>
              </w:rPr>
              <w:t>Shares used in computing basic earnings per share</w:t>
            </w:r>
          </w:p>
        </w:tc>
        <w:tc>
          <w:tcPr>
            <w:tcW w:w="1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620,881</w:t>
            </w: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618,677</w:t>
            </w: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606,860</w:t>
            </w: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619,779</w:t>
            </w:r>
          </w:p>
        </w:tc>
        <w:tc>
          <w:tcPr>
            <w:tcW w:w="80" w:type="dxa"/>
            <w:vAlign w:val="bottom"/>
          </w:tcPr>
          <w:p>
            <w:pPr>
              <w:spacing w:after="0"/>
              <w:rPr>
                <w:sz w:val="24"/>
                <w:szCs w:val="24"/>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604,041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648,110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618,677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637,832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619,779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631,091</w:t>
            </w: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1440" w:type="dxa"/>
            <w:vAlign w:val="bottom"/>
          </w:tcPr>
          <w:p>
            <w:pPr>
              <w:jc w:val="right"/>
              <w:ind w:right="612"/>
              <w:spacing w:after="0"/>
              <w:rPr>
                <w:sz w:val="20"/>
                <w:szCs w:val="20"/>
                <w:color w:val="auto"/>
              </w:rPr>
            </w:pPr>
            <w:r>
              <w:rPr>
                <w:rFonts w:ascii="Arial" w:cs="Arial" w:eastAsia="Arial" w:hAnsi="Arial"/>
                <w:sz w:val="18"/>
                <w:szCs w:val="18"/>
                <w:color w:val="auto"/>
              </w:rPr>
              <w:t>5</w:t>
            </w: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Non-GAAP Adjustments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Reconciliation of GAAP net income (loss) to non-GAAP net income:</w:t>
      </w:r>
    </w:p>
    <w:p>
      <w:pPr>
        <w:spacing w:after="0" w:line="9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80" w:type="dxa"/>
            <w:vAlign w:val="bottom"/>
            <w:gridSpan w:val="4"/>
          </w:tcPr>
          <w:p>
            <w:pPr>
              <w:jc w:val="center"/>
              <w:ind w:right="8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7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860" w:type="dxa"/>
            <w:vAlign w:val="bottom"/>
            <w:tcBorders>
              <w:top w:val="single" w:sz="8" w:color="auto"/>
            </w:tcBorders>
            <w:gridSpan w:val="3"/>
          </w:tcPr>
          <w:p>
            <w:pPr>
              <w:jc w:val="right"/>
              <w:ind w:right="240"/>
              <w:spacing w:after="0" w:line="129" w:lineRule="exact"/>
              <w:rPr>
                <w:sz w:val="20"/>
                <w:szCs w:val="20"/>
                <w:color w:val="auto"/>
              </w:rPr>
            </w:pPr>
            <w:r>
              <w:rPr>
                <w:rFonts w:ascii="Arial" w:cs="Arial" w:eastAsia="Arial" w:hAnsi="Arial"/>
                <w:sz w:val="14"/>
                <w:szCs w:val="14"/>
                <w:b w:val="1"/>
                <w:bCs w:val="1"/>
                <w:color w:val="auto"/>
                <w:w w:val="93"/>
              </w:rPr>
              <w:t>August 1,</w:t>
            </w: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gridSpan w:val="2"/>
          </w:tcPr>
          <w:p>
            <w:pPr>
              <w:jc w:val="center"/>
              <w:ind w:right="460"/>
              <w:spacing w:after="0" w:line="129" w:lineRule="exact"/>
              <w:rPr>
                <w:sz w:val="20"/>
                <w:szCs w:val="20"/>
                <w:color w:val="auto"/>
              </w:rPr>
            </w:pPr>
            <w:r>
              <w:rPr>
                <w:rFonts w:ascii="Arial" w:cs="Arial" w:eastAsia="Arial" w:hAnsi="Arial"/>
                <w:sz w:val="14"/>
                <w:szCs w:val="14"/>
                <w:b w:val="1"/>
                <w:bCs w:val="1"/>
                <w:color w:val="auto"/>
                <w:w w:val="93"/>
              </w:rPr>
              <w:t>May 2,</w:t>
            </w:r>
          </w:p>
        </w:tc>
        <w:tc>
          <w:tcPr>
            <w:tcW w:w="1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August 2,</w:t>
            </w:r>
          </w:p>
        </w:tc>
        <w:tc>
          <w:tcPr>
            <w:tcW w:w="480" w:type="dxa"/>
            <w:vAlign w:val="bottom"/>
          </w:tcPr>
          <w:p>
            <w:pPr>
              <w:spacing w:after="0"/>
              <w:rPr>
                <w:sz w:val="11"/>
                <w:szCs w:val="11"/>
                <w:color w:val="auto"/>
              </w:rPr>
            </w:pPr>
          </w:p>
        </w:tc>
        <w:tc>
          <w:tcPr>
            <w:tcW w:w="1140" w:type="dxa"/>
            <w:vAlign w:val="bottom"/>
            <w:tcBorders>
              <w:top w:val="single" w:sz="8" w:color="auto"/>
            </w:tcBorders>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90"/>
              </w:rPr>
              <w:t>August 1,</w:t>
            </w: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August 2,</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9"/>
              </w:rPr>
              <w:t>2009</w:t>
            </w: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2008</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58,493</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5"/>
              </w:rPr>
              <w:t>(111,457)</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71,367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9"/>
              </w:rPr>
              <w:t>(52,964)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141,306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tcPr>
          <w:p>
            <w:pPr>
              <w:spacing w:after="0"/>
              <w:rPr>
                <w:sz w:val="20"/>
                <w:szCs w:val="20"/>
                <w:color w:val="auto"/>
              </w:rPr>
            </w:pPr>
            <w:r>
              <w:rPr>
                <w:rFonts w:ascii="Arial" w:cs="Arial" w:eastAsia="Arial" w:hAnsi="Arial"/>
                <w:sz w:val="18"/>
                <w:szCs w:val="18"/>
                <w:color w:val="auto"/>
              </w:rPr>
              <w:t>Stock-based compensation</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30,015</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31,648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47,627</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61,663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92,853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26,446</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30,356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34,988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56,802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70,235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tcPr>
          <w:p>
            <w:pPr>
              <w:spacing w:after="0"/>
              <w:rPr>
                <w:sz w:val="20"/>
                <w:szCs w:val="20"/>
                <w:color w:val="auto"/>
              </w:rPr>
            </w:pPr>
            <w:r>
              <w:rPr>
                <w:rFonts w:ascii="Arial" w:cs="Arial" w:eastAsia="Arial" w:hAnsi="Arial"/>
                <w:sz w:val="18"/>
                <w:szCs w:val="18"/>
                <w:color w:val="auto"/>
              </w:rPr>
              <w:t>Restructuring</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4,956</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8,336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13,292</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xml:space="preserve">Legal/Tax settlements </w:t>
            </w:r>
            <w:r>
              <w:rPr>
                <w:rFonts w:ascii="Arial" w:cs="Arial" w:eastAsia="Arial" w:hAnsi="Arial"/>
                <w:sz w:val="18"/>
                <w:szCs w:val="18"/>
                <w:i w:val="1"/>
                <w:iCs w:val="1"/>
                <w:color w:val="auto"/>
              </w:rPr>
              <w:t>(a)</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(1,202)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72,000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70,798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00" w:type="dxa"/>
            <w:vAlign w:val="bottom"/>
            <w:gridSpan w:val="2"/>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(a)</w:t>
            </w:r>
          </w:p>
        </w:tc>
        <w:tc>
          <w:tcPr>
            <w:tcW w:w="9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990</w:t>
            </w: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990</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118,708</w:t>
            </w: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31,873</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153,982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150,581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304,394</w:t>
            </w:r>
          </w:p>
        </w:tc>
        <w:tc>
          <w:tcPr>
            <w:tcW w:w="0" w:type="dxa"/>
            <w:vAlign w:val="bottom"/>
          </w:tcPr>
          <w:p>
            <w:pPr>
              <w:spacing w:after="0"/>
              <w:rPr>
                <w:sz w:val="1"/>
                <w:szCs w:val="1"/>
                <w:color w:val="auto"/>
              </w:rPr>
            </w:pPr>
          </w:p>
        </w:tc>
      </w:tr>
      <w:tr>
        <w:trPr>
          <w:trHeight w:val="20"/>
        </w:trPr>
        <w:tc>
          <w:tcPr>
            <w:tcW w:w="1160" w:type="dxa"/>
            <w:vAlign w:val="bottom"/>
            <w:gridSpan w:val="2"/>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4920" w:type="dxa"/>
            <w:vAlign w:val="bottom"/>
            <w:gridSpan w:val="3"/>
          </w:tcPr>
          <w:p>
            <w:pPr>
              <w:spacing w:after="0"/>
              <w:rPr>
                <w:sz w:val="20"/>
                <w:szCs w:val="20"/>
                <w:color w:val="auto"/>
              </w:rPr>
            </w:pPr>
            <w:r>
              <w:rPr>
                <w:rFonts w:ascii="Arial" w:cs="Arial" w:eastAsia="Arial" w:hAnsi="Arial"/>
                <w:sz w:val="18"/>
                <w:szCs w:val="18"/>
                <w:color w:val="auto"/>
              </w:rPr>
              <w:t>GAAP weighted average shares - diluted</w:t>
            </w: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648,110</w:t>
            </w: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w w:val="92"/>
              </w:rPr>
              <w:t>618,677</w:t>
            </w: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637,832</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619,779</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631,091</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9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3,651</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17,928</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2,315</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24,404</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1,203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20" w:type="dxa"/>
            <w:vAlign w:val="bottom"/>
            <w:gridSpan w:val="3"/>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(b)</w:t>
            </w: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651,761</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w w:val="92"/>
              </w:rPr>
              <w:t>636,605</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640,147</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644,183</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632,294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1140" w:type="dxa"/>
            <w:vAlign w:val="bottom"/>
          </w:tcPr>
          <w:p>
            <w:pPr>
              <w:spacing w:after="0"/>
              <w:rPr>
                <w:sz w:val="8"/>
                <w:szCs w:val="8"/>
                <w:color w:val="auto"/>
              </w:rPr>
            </w:pPr>
          </w:p>
        </w:tc>
        <w:tc>
          <w:tcPr>
            <w:tcW w:w="37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6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diluted net income (loss) per share</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(0.18)</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0.11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(0.09)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0.22</w:t>
            </w:r>
          </w:p>
        </w:tc>
        <w:tc>
          <w:tcPr>
            <w:tcW w:w="0" w:type="dxa"/>
            <w:vAlign w:val="bottom"/>
          </w:tcPr>
          <w:p>
            <w:pPr>
              <w:spacing w:after="0"/>
              <w:rPr>
                <w:sz w:val="1"/>
                <w:szCs w:val="1"/>
                <w:color w:val="auto"/>
              </w:rPr>
            </w:pPr>
          </w:p>
        </w:tc>
      </w:tr>
      <w:tr>
        <w:trPr>
          <w:trHeight w:val="20"/>
        </w:trPr>
        <w:tc>
          <w:tcPr>
            <w:tcW w:w="4920" w:type="dxa"/>
            <w:vAlign w:val="bottom"/>
            <w:gridSpan w:val="3"/>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920" w:type="dxa"/>
            <w:vAlign w:val="bottom"/>
            <w:gridSpan w:val="3"/>
            <w:vMerge w:val="continue"/>
          </w:tcPr>
          <w:p>
            <w:pPr>
              <w:spacing w:after="0"/>
              <w:rPr>
                <w:sz w:val="18"/>
                <w:szCs w:val="18"/>
                <w:color w:val="auto"/>
              </w:rPr>
            </w:pP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0.18</w:t>
            </w:r>
          </w:p>
        </w:tc>
        <w:tc>
          <w:tcPr>
            <w:tcW w:w="180" w:type="dxa"/>
            <w:vAlign w:val="bottom"/>
          </w:tcPr>
          <w:p>
            <w:pPr>
              <w:spacing w:after="0"/>
              <w:rPr>
                <w:sz w:val="18"/>
                <w:szCs w:val="18"/>
                <w:color w:val="auto"/>
              </w:rPr>
            </w:pP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0.05</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0.24</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0.23</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0.48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1140" w:type="dxa"/>
            <w:vAlign w:val="bottom"/>
          </w:tcPr>
          <w:p>
            <w:pPr>
              <w:spacing w:after="0"/>
              <w:rPr>
                <w:sz w:val="8"/>
                <w:szCs w:val="8"/>
                <w:color w:val="auto"/>
              </w:rPr>
            </w:pPr>
          </w:p>
        </w:tc>
        <w:tc>
          <w:tcPr>
            <w:tcW w:w="37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6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352,561</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2"/>
              </w:rPr>
              <w:t>263,804</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436,662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616,365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851,895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1,810</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4,116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3,755</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5,926</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6,828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(a)</w:t>
            </w:r>
          </w:p>
        </w:tc>
        <w:tc>
          <w:tcPr>
            <w:tcW w:w="9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20" w:type="dxa"/>
            <w:vAlign w:val="bottom"/>
            <w:gridSpan w:val="3"/>
          </w:tcPr>
          <w:p>
            <w:pPr>
              <w:spacing w:after="0"/>
              <w:rPr>
                <w:sz w:val="20"/>
                <w:szCs w:val="20"/>
                <w:color w:val="auto"/>
              </w:rPr>
            </w:pPr>
            <w:r>
              <w:rPr>
                <w:rFonts w:ascii="Arial" w:cs="Arial" w:eastAsia="Arial" w:hAnsi="Arial"/>
                <w:sz w:val="18"/>
                <w:szCs w:val="18"/>
                <w:color w:val="auto"/>
              </w:rPr>
              <w:t>Non-GAAP gross profit</w:t>
            </w:r>
          </w:p>
        </w:tc>
        <w:tc>
          <w:tcPr>
            <w:tcW w:w="10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354,371</w:t>
            </w:r>
          </w:p>
        </w:tc>
        <w:tc>
          <w:tcPr>
            <w:tcW w:w="180" w:type="dxa"/>
            <w:vAlign w:val="bottom"/>
          </w:tcPr>
          <w:p>
            <w:pPr>
              <w:spacing w:after="0"/>
              <w:rPr>
                <w:sz w:val="19"/>
                <w:szCs w:val="19"/>
                <w:color w:val="auto"/>
              </w:rPr>
            </w:pP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w w:val="92"/>
              </w:rPr>
              <w:t>268,910</w:t>
            </w: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440,417</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82"/>
              </w:rPr>
              <w:t>623,281</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858,723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1140" w:type="dxa"/>
            <w:vAlign w:val="bottom"/>
          </w:tcPr>
          <w:p>
            <w:pPr>
              <w:spacing w:after="0"/>
              <w:rPr>
                <w:sz w:val="8"/>
                <w:szCs w:val="8"/>
                <w:color w:val="auto"/>
              </w:rPr>
            </w:pPr>
          </w:p>
        </w:tc>
        <w:tc>
          <w:tcPr>
            <w:tcW w:w="37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6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gross profit as a % of revenue</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55.0%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50.6%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51.8%</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53.0%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0.3%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0.8%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(a)</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4920" w:type="dxa"/>
            <w:vAlign w:val="bottom"/>
            <w:gridSpan w:val="3"/>
            <w:vMerge w:val="restart"/>
          </w:tcPr>
          <w:p>
            <w:pPr>
              <w:spacing w:after="0"/>
              <w:rPr>
                <w:sz w:val="20"/>
                <w:szCs w:val="20"/>
                <w:color w:val="auto"/>
              </w:rPr>
            </w:pPr>
            <w:r>
              <w:rPr>
                <w:rFonts w:ascii="Arial" w:cs="Arial" w:eastAsia="Arial" w:hAnsi="Arial"/>
                <w:sz w:val="18"/>
                <w:szCs w:val="18"/>
                <w:color w:val="auto"/>
              </w:rPr>
              <w:t>Non-GAAP gross profit</w:t>
            </w:r>
          </w:p>
        </w:tc>
        <w:tc>
          <w:tcPr>
            <w:tcW w:w="9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920" w:type="dxa"/>
            <w:vAlign w:val="bottom"/>
            <w:gridSpan w:val="3"/>
            <w:vMerge w:val="continue"/>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55.3%</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51.6%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52.3%</w:t>
            </w:r>
          </w:p>
        </w:tc>
        <w:tc>
          <w:tcPr>
            <w:tcW w:w="10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53.6%</w:t>
            </w:r>
          </w:p>
        </w:tc>
        <w:tc>
          <w:tcPr>
            <w:tcW w:w="100" w:type="dxa"/>
            <w:vAlign w:val="bottom"/>
          </w:tcPr>
          <w:p>
            <w:pPr>
              <w:spacing w:after="0"/>
              <w:rPr>
                <w:sz w:val="19"/>
                <w:szCs w:val="19"/>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52.1%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1140" w:type="dxa"/>
            <w:vAlign w:val="bottom"/>
          </w:tcPr>
          <w:p>
            <w:pPr>
              <w:spacing w:after="0"/>
              <w:rPr>
                <w:sz w:val="8"/>
                <w:szCs w:val="8"/>
                <w:color w:val="auto"/>
              </w:rPr>
            </w:pPr>
          </w:p>
        </w:tc>
        <w:tc>
          <w:tcPr>
            <w:tcW w:w="37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6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192,664</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2"/>
              </w:rPr>
              <w:t>200,249</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249,714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392,913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488,189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(22,193)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w w:val="98"/>
              </w:rPr>
              <w:t>(21,737)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w w:val="92"/>
              </w:rPr>
              <w:t>(32,998)</w:t>
            </w: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w w:val="89"/>
              </w:rPr>
              <w:t>(43,930)</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(62,930)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Payroll tax penalty</w:t>
            </w:r>
          </w:p>
        </w:tc>
        <w:tc>
          <w:tcPr>
            <w:tcW w:w="9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1,820</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1,820</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20" w:type="dxa"/>
            <w:vAlign w:val="bottom"/>
            <w:gridSpan w:val="3"/>
          </w:tcPr>
          <w:p>
            <w:pPr>
              <w:spacing w:after="0"/>
              <w:rPr>
                <w:sz w:val="20"/>
                <w:szCs w:val="20"/>
                <w:color w:val="auto"/>
              </w:rPr>
            </w:pPr>
            <w:r>
              <w:rPr>
                <w:rFonts w:ascii="Arial" w:cs="Arial" w:eastAsia="Arial" w:hAnsi="Arial"/>
                <w:sz w:val="18"/>
                <w:szCs w:val="18"/>
                <w:color w:val="auto"/>
              </w:rPr>
              <w:t>Non-GAAP research and development</w:t>
            </w:r>
          </w:p>
        </w:tc>
        <w:tc>
          <w:tcPr>
            <w:tcW w:w="10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172,291</w:t>
            </w:r>
          </w:p>
        </w:tc>
        <w:tc>
          <w:tcPr>
            <w:tcW w:w="180" w:type="dxa"/>
            <w:vAlign w:val="bottom"/>
          </w:tcPr>
          <w:p>
            <w:pPr>
              <w:spacing w:after="0"/>
              <w:rPr>
                <w:sz w:val="19"/>
                <w:szCs w:val="19"/>
                <w:color w:val="auto"/>
              </w:rPr>
            </w:pP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w w:val="92"/>
              </w:rPr>
              <w:t>178,512</w:t>
            </w: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216,716</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82"/>
              </w:rPr>
              <w:t>350,803</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425,259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1140" w:type="dxa"/>
            <w:vAlign w:val="bottom"/>
          </w:tcPr>
          <w:p>
            <w:pPr>
              <w:spacing w:after="0"/>
              <w:rPr>
                <w:sz w:val="8"/>
                <w:szCs w:val="8"/>
                <w:color w:val="auto"/>
              </w:rPr>
            </w:pPr>
          </w:p>
        </w:tc>
        <w:tc>
          <w:tcPr>
            <w:tcW w:w="37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6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32,384</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32,646</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41,834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65,030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87,922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(3,659)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(3,711)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(6,159)</w:t>
            </w: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(7,370)</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(13,507)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Payroll tax penalty</w:t>
            </w:r>
          </w:p>
        </w:tc>
        <w:tc>
          <w:tcPr>
            <w:tcW w:w="9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659</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659</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20" w:type="dxa"/>
            <w:vAlign w:val="bottom"/>
            <w:gridSpan w:val="3"/>
          </w:tcPr>
          <w:p>
            <w:pPr>
              <w:spacing w:after="0"/>
              <w:rPr>
                <w:sz w:val="20"/>
                <w:szCs w:val="20"/>
                <w:color w:val="auto"/>
              </w:rPr>
            </w:pPr>
            <w:r>
              <w:rPr>
                <w:rFonts w:ascii="Arial" w:cs="Arial" w:eastAsia="Arial" w:hAnsi="Arial"/>
                <w:sz w:val="18"/>
                <w:szCs w:val="18"/>
                <w:color w:val="auto"/>
              </w:rPr>
              <w:t>Non-GAAP selling and marketing</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29,384</w:t>
            </w:r>
          </w:p>
        </w:tc>
        <w:tc>
          <w:tcPr>
            <w:tcW w:w="180" w:type="dxa"/>
            <w:vAlign w:val="bottom"/>
          </w:tcPr>
          <w:p>
            <w:pPr>
              <w:spacing w:after="0"/>
              <w:rPr>
                <w:sz w:val="19"/>
                <w:szCs w:val="19"/>
                <w:color w:val="auto"/>
              </w:rPr>
            </w:pP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28,935</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35,675</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58,319</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74,415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1140" w:type="dxa"/>
            <w:vAlign w:val="bottom"/>
          </w:tcPr>
          <w:p>
            <w:pPr>
              <w:spacing w:after="0"/>
              <w:rPr>
                <w:sz w:val="8"/>
                <w:szCs w:val="8"/>
                <w:color w:val="auto"/>
              </w:rPr>
            </w:pPr>
          </w:p>
        </w:tc>
        <w:tc>
          <w:tcPr>
            <w:tcW w:w="37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6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28,562</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2"/>
              </w:rPr>
              <w:t>101,496</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30,989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130,058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(2,353)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(2,084)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(4,715)</w:t>
            </w: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(4,437)</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(9,588)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Legal settlement</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8"/>
              </w:rPr>
              <w:t>(72,000)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9"/>
              </w:rPr>
              <w:t>(72,000)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00" w:type="dxa"/>
            <w:vAlign w:val="bottom"/>
            <w:gridSpan w:val="2"/>
          </w:tcPr>
          <w:p>
            <w:pPr>
              <w:ind w:left="420"/>
              <w:spacing w:after="0"/>
              <w:rPr>
                <w:sz w:val="20"/>
                <w:szCs w:val="20"/>
                <w:color w:val="auto"/>
              </w:rPr>
            </w:pPr>
            <w:r>
              <w:rPr>
                <w:rFonts w:ascii="Arial" w:cs="Arial" w:eastAsia="Arial" w:hAnsi="Arial"/>
                <w:sz w:val="18"/>
                <w:szCs w:val="18"/>
                <w:color w:val="auto"/>
              </w:rPr>
              <w:t>Payroll tax penalty</w:t>
            </w:r>
          </w:p>
        </w:tc>
        <w:tc>
          <w:tcPr>
            <w:tcW w:w="9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158</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158</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26,367</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27,412</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26,274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53,779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34,352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1140" w:type="dxa"/>
            <w:vAlign w:val="bottom"/>
            <w:tcBorders>
              <w:bottom w:val="single" w:sz="8" w:color="auto"/>
            </w:tcBorders>
          </w:tcPr>
          <w:p>
            <w:pPr>
              <w:spacing w:after="0"/>
              <w:rPr>
                <w:sz w:val="8"/>
                <w:szCs w:val="8"/>
                <w:color w:val="auto"/>
              </w:rPr>
            </w:pPr>
          </w:p>
        </w:tc>
        <w:tc>
          <w:tcPr>
            <w:tcW w:w="37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6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60" w:hanging="452"/>
        <w:spacing w:after="0" w:line="253"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Fiscal quarter ended August 1, 2009 includes the net impact of our settlement with the IRS related to our historical stock option granting practices. As the composition of the settlement was different than the initial reserve, the net benefit includes a $2.6 million benefit to operating expense with an offset of $1.4 million of interest expense.</w:t>
      </w:r>
    </w:p>
    <w:p>
      <w:pPr>
        <w:ind w:left="460" w:right="460"/>
        <w:spacing w:after="0" w:line="281" w:lineRule="auto"/>
        <w:rPr>
          <w:rFonts w:ascii="Arial" w:cs="Arial" w:eastAsia="Arial" w:hAnsi="Arial"/>
          <w:sz w:val="18"/>
          <w:szCs w:val="18"/>
          <w:i w:val="1"/>
          <w:iCs w:val="1"/>
          <w:color w:val="auto"/>
        </w:rPr>
      </w:pPr>
      <w:r>
        <w:rPr>
          <w:rFonts w:ascii="Arial" w:cs="Arial" w:eastAsia="Arial" w:hAnsi="Arial"/>
          <w:sz w:val="16"/>
          <w:szCs w:val="16"/>
          <w:color w:val="auto"/>
        </w:rPr>
        <w:t>Fiscal quarter ended May 2, 2009 includes a $72.0 million charge recorded in connection with the settlement of a class action securities litigation and $990K of underutilization charges recorded in connection with the rampdown of the Malaysia test operations.</w:t>
      </w:r>
    </w:p>
    <w:p>
      <w:pPr>
        <w:spacing w:after="0" w:line="1" w:lineRule="exact"/>
        <w:rPr>
          <w:rFonts w:ascii="Arial" w:cs="Arial" w:eastAsia="Arial" w:hAnsi="Arial"/>
          <w:sz w:val="18"/>
          <w:szCs w:val="18"/>
          <w:i w:val="1"/>
          <w:iCs w:val="1"/>
          <w:color w:val="auto"/>
        </w:rPr>
      </w:pPr>
    </w:p>
    <w:p>
      <w:pPr>
        <w:jc w:val="both"/>
        <w:ind w:left="460" w:right="360" w:hanging="452"/>
        <w:spacing w:after="0" w:line="255"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For purposes of calculating non-GAAP diluted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 shares under the GAAP treasury method.</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0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7"/>
              </w:rPr>
              <w:t>August 1,</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30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Current assets:</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1,279,307</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951,909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328,462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222,101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211,383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310,654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w w:val="91"/>
              </w:rPr>
              <w:t>Prepaid expenses, deferred income taxes and other current assets</w:t>
            </w:r>
          </w:p>
        </w:tc>
        <w:tc>
          <w:tcPr>
            <w:tcW w:w="40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70,770</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75,651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1,889,922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1,560,315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352,719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390,853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39,333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40,541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2,227,440</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2,284,164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0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132,117</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30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1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4,641,531</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4,414,200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00" w:type="dxa"/>
            <w:vAlign w:val="bottom"/>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408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Current liabilities:</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268,541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139,028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248,122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175,135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Income taxes payable</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48,554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35,803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Deferred income</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42,027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57,895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40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1,862</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530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0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609,106</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409,648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1,501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0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173,852</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173,034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784,459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585,133</w:t>
            </w:r>
          </w:p>
        </w:tc>
        <w:tc>
          <w:tcPr>
            <w:tcW w:w="0" w:type="dxa"/>
            <w:vAlign w:val="bottom"/>
          </w:tcPr>
          <w:p>
            <w:pPr>
              <w:spacing w:after="0"/>
              <w:rPr>
                <w:sz w:val="1"/>
                <w:szCs w:val="1"/>
                <w:color w:val="auto"/>
              </w:rPr>
            </w:pPr>
          </w:p>
        </w:tc>
      </w:tr>
      <w:tr>
        <w:trPr>
          <w:trHeight w:val="330"/>
        </w:trPr>
        <w:tc>
          <w:tcPr>
            <w:tcW w:w="5320" w:type="dxa"/>
            <w:vAlign w:val="bottom"/>
            <w:gridSpan w:val="2"/>
          </w:tcPr>
          <w:p>
            <w:pPr>
              <w:spacing w:after="0"/>
              <w:rPr>
                <w:sz w:val="20"/>
                <w:szCs w:val="20"/>
                <w:color w:val="auto"/>
              </w:rPr>
            </w:pPr>
            <w:r>
              <w:rPr>
                <w:rFonts w:ascii="Arial" w:cs="Arial" w:eastAsia="Arial" w:hAnsi="Arial"/>
                <w:sz w:val="18"/>
                <w:szCs w:val="18"/>
                <w:color w:val="auto"/>
              </w:rPr>
              <w:t>Shareholders’ equity:</w:t>
            </w:r>
          </w:p>
        </w:tc>
        <w:tc>
          <w:tcPr>
            <w:tcW w:w="408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20" w:type="dxa"/>
            <w:vAlign w:val="bottom"/>
            <w:tcBorders>
              <w:top w:val="single" w:sz="8" w:color="auto"/>
            </w:tcBorders>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2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Common stock</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1,245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Additional paid-in capital</w:t>
            </w:r>
          </w:p>
        </w:tc>
        <w:tc>
          <w:tcPr>
            <w:tcW w:w="40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4,453,177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4,372,265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Accumulated other comprehensive income (loss)</w:t>
            </w:r>
          </w:p>
        </w:tc>
        <w:tc>
          <w:tcPr>
            <w:tcW w:w="40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(673)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(718)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Accumulated deficit</w:t>
            </w:r>
          </w:p>
        </w:tc>
        <w:tc>
          <w:tcPr>
            <w:tcW w:w="40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(596,677)</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(543,713)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shareholders’ equity</w:t>
            </w:r>
          </w:p>
        </w:tc>
        <w:tc>
          <w:tcPr>
            <w:tcW w:w="408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3,857,072</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3,829,067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5300" w:type="dxa"/>
            <w:vAlign w:val="bottom"/>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1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4,641,531</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4,414,200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00" w:type="dxa"/>
            <w:vAlign w:val="bottom"/>
          </w:tcPr>
          <w:p>
            <w:pPr>
              <w:spacing w:after="0" w:line="20" w:lineRule="exact"/>
              <w:rPr>
                <w:sz w:val="1"/>
                <w:szCs w:val="1"/>
                <w:color w:val="auto"/>
              </w:rPr>
            </w:pPr>
          </w:p>
        </w:tc>
        <w:tc>
          <w:tcPr>
            <w:tcW w:w="4080" w:type="dxa"/>
            <w:vAlign w:val="bottom"/>
            <w:vMerge w:val="restart"/>
          </w:tcPr>
          <w:p>
            <w:pPr>
              <w:jc w:val="right"/>
              <w:ind w:right="355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5300" w:type="dxa"/>
            <w:vAlign w:val="bottom"/>
          </w:tcPr>
          <w:p>
            <w:pPr>
              <w:spacing w:after="0"/>
              <w:rPr>
                <w:sz w:val="24"/>
                <w:szCs w:val="24"/>
                <w:color w:val="auto"/>
              </w:rPr>
            </w:pPr>
          </w:p>
        </w:tc>
        <w:tc>
          <w:tcPr>
            <w:tcW w:w="40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4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6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20" w:type="dxa"/>
            <w:vAlign w:val="bottom"/>
            <w:tcBorders>
              <w:top w:val="single" w:sz="8" w:color="auto"/>
            </w:tcBorders>
            <w:gridSpan w:val="2"/>
          </w:tcPr>
          <w:p>
            <w:pPr>
              <w:jc w:val="right"/>
              <w:ind w:right="440"/>
              <w:spacing w:after="0" w:line="129" w:lineRule="exact"/>
              <w:rPr>
                <w:sz w:val="20"/>
                <w:szCs w:val="20"/>
                <w:color w:val="auto"/>
              </w:rPr>
            </w:pPr>
            <w:r>
              <w:rPr>
                <w:rFonts w:ascii="Arial" w:cs="Arial" w:eastAsia="Arial" w:hAnsi="Arial"/>
                <w:sz w:val="14"/>
                <w:szCs w:val="14"/>
                <w:b w:val="1"/>
                <w:bCs w:val="1"/>
                <w:color w:val="auto"/>
                <w:w w:val="87"/>
              </w:rPr>
              <w:t>August 1,</w:t>
            </w: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1"/>
              </w:rPr>
              <w:t>August 2,</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7"/>
              </w:rPr>
              <w:t>August 1,</w:t>
            </w:r>
          </w:p>
        </w:tc>
        <w:tc>
          <w:tcPr>
            <w:tcW w:w="1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ind w:right="15"/>
              <w:spacing w:after="0" w:line="129" w:lineRule="exact"/>
              <w:rPr>
                <w:sz w:val="20"/>
                <w:szCs w:val="20"/>
                <w:color w:val="auto"/>
              </w:rPr>
            </w:pPr>
            <w:r>
              <w:rPr>
                <w:rFonts w:ascii="Arial" w:cs="Arial" w:eastAsia="Arial" w:hAnsi="Arial"/>
                <w:sz w:val="14"/>
                <w:szCs w:val="14"/>
                <w:b w:val="1"/>
                <w:bCs w:val="1"/>
                <w:color w:val="auto"/>
                <w:w w:val="97"/>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jc w:val="right"/>
              <w:ind w:right="153"/>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74"/>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880" w:type="dxa"/>
            <w:vAlign w:val="bottom"/>
            <w:gridSpan w:val="2"/>
          </w:tcPr>
          <w:p>
            <w:pPr>
              <w:jc w:val="right"/>
              <w:ind w:right="155"/>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58,493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71,367</w:t>
            </w:r>
          </w:p>
        </w:tc>
        <w:tc>
          <w:tcPr>
            <w:tcW w:w="180" w:type="dxa"/>
            <w:vAlign w:val="bottom"/>
          </w:tcPr>
          <w:p>
            <w:pPr>
              <w:spacing w:after="0"/>
              <w:rPr>
                <w:sz w:val="18"/>
                <w:szCs w:val="18"/>
                <w:color w:val="auto"/>
              </w:rPr>
            </w:pPr>
          </w:p>
        </w:tc>
        <w:tc>
          <w:tcPr>
            <w:tcW w:w="2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(52,964)</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$ 141,306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25,030</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28,032</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50,405</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56,650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30,015</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47,627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61,663</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92,853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26,446</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34,988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56,802</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70,235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(1,733)</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(4,374)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(3,076)</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(10,757)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Net impact of derivative contracts</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(1,302)</w:t>
            </w:r>
          </w:p>
        </w:tc>
        <w:tc>
          <w:tcPr>
            <w:tcW w:w="10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(827)</w:t>
            </w:r>
          </w:p>
        </w:tc>
        <w:tc>
          <w:tcPr>
            <w:tcW w:w="14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(325)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(69)</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Deferred income taxes</w:t>
            </w:r>
          </w:p>
        </w:tc>
        <w:tc>
          <w:tcPr>
            <w:tcW w:w="8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5,868</w:t>
            </w:r>
          </w:p>
        </w:tc>
        <w:tc>
          <w:tcPr>
            <w:tcW w:w="10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5,868</w:t>
            </w:r>
          </w:p>
        </w:tc>
        <w:tc>
          <w:tcPr>
            <w:tcW w:w="14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1"/>
              </w:rPr>
              <w:t>Changes in assets and liabilities, net of assets acquired and liabilities assumed in acquisitions: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860"/>
              <w:spacing w:after="0"/>
              <w:rPr>
                <w:sz w:val="20"/>
                <w:szCs w:val="20"/>
                <w:color w:val="auto"/>
              </w:rPr>
            </w:pPr>
            <w:r>
              <w:rPr>
                <w:rFonts w:ascii="Arial" w:cs="Arial" w:eastAsia="Arial" w:hAnsi="Arial"/>
                <w:sz w:val="18"/>
                <w:szCs w:val="18"/>
                <w:color w:val="auto"/>
              </w:rPr>
              <w:t>Restricted cash</w:t>
            </w:r>
          </w:p>
        </w:tc>
        <w:tc>
          <w:tcPr>
            <w:tcW w:w="8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(43,095)</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5"/>
              </w:rPr>
              <w:t>(100,474)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(106,361)</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(138,626)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(5,694)</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47,409</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100,587</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103,327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(4,582)</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10,344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9,748</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42,810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103,043</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68,954</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133,781</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5,878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6,079</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(15,192)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69,059</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(33,999)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(14,007)</w:t>
            </w:r>
          </w:p>
        </w:tc>
        <w:tc>
          <w:tcPr>
            <w:tcW w:w="10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(6,968)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(974)</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9,995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Income taxes payable</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3,585</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(842)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4,928</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5,814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30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9"/>
                <w:szCs w:val="19"/>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(5,773)</w:t>
            </w: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2,338</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(1,708)</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(7,415)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182,333</w:t>
            </w: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182,884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326,862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313,077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(10,172)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Sales and maturities of short-term and long-term investments</w:t>
            </w:r>
          </w:p>
        </w:tc>
        <w:tc>
          <w:tcPr>
            <w:tcW w:w="8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50</w:t>
            </w:r>
          </w:p>
        </w:tc>
        <w:tc>
          <w:tcPr>
            <w:tcW w:w="10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50</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23,793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(3,250)</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(1,250)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(12,550)</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(3,765)</w:t>
            </w:r>
          </w:p>
        </w:tc>
        <w:tc>
          <w:tcPr>
            <w:tcW w:w="10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(16,010)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(7,179)</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(46,532)</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3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(6,965)</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(17,306)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(19,679)</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(34,161)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20,636</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50,602</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21,021</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67,656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Principal payments on capital lease and debt obligations</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(442)</w:t>
            </w:r>
          </w:p>
        </w:tc>
        <w:tc>
          <w:tcPr>
            <w:tcW w:w="10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85"/>
              </w:rPr>
              <w:t>(101,280)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(875)</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(103,405)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325</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00" w:type="dxa"/>
            <w:vAlign w:val="bottom"/>
          </w:tcPr>
          <w:p>
            <w:pPr>
              <w:ind w:left="860"/>
              <w:spacing w:after="0"/>
              <w:rPr>
                <w:sz w:val="20"/>
                <w:szCs w:val="20"/>
                <w:color w:val="auto"/>
              </w:rPr>
            </w:pPr>
            <w:r>
              <w:rPr>
                <w:rFonts w:ascii="Arial" w:cs="Arial" w:eastAsia="Arial" w:hAnsi="Arial"/>
                <w:sz w:val="18"/>
                <w:szCs w:val="18"/>
                <w:color w:val="auto"/>
              </w:rPr>
              <w:t>Net cash provided by (used in) financing activities</w:t>
            </w:r>
          </w:p>
        </w:tc>
        <w:tc>
          <w:tcPr>
            <w:tcW w:w="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20,234</w:t>
            </w:r>
          </w:p>
        </w:tc>
        <w:tc>
          <w:tcPr>
            <w:tcW w:w="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(50,353)</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20,215</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(35,255)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Net increase in cash and cash equivalents</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195,602</w:t>
            </w: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115,225</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327,398</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243,661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320" w:type="dxa"/>
            <w:vAlign w:val="bottom"/>
            <w:gridSpan w:val="2"/>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1,059,205</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744,084</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927,409</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615,648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1,254,807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859,309</w:t>
            </w:r>
          </w:p>
        </w:tc>
        <w:tc>
          <w:tcPr>
            <w:tcW w:w="1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4"/>
              </w:rPr>
              <w:t>1,254,807</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$ 859,309</w:t>
            </w:r>
          </w:p>
        </w:tc>
        <w:tc>
          <w:tcPr>
            <w:tcW w:w="0" w:type="dxa"/>
            <w:vAlign w:val="bottom"/>
          </w:tcPr>
          <w:p>
            <w:pPr>
              <w:spacing w:after="0"/>
              <w:rPr>
                <w:sz w:val="1"/>
                <w:szCs w:val="1"/>
                <w:color w:val="auto"/>
              </w:rPr>
            </w:pPr>
          </w:p>
        </w:tc>
      </w:tr>
      <w:tr>
        <w:trPr>
          <w:trHeight w:val="20"/>
        </w:trPr>
        <w:tc>
          <w:tcPr>
            <w:tcW w:w="7320" w:type="dxa"/>
            <w:vAlign w:val="bottom"/>
            <w:gridSpan w:val="2"/>
            <w:vMerge w:val="restart"/>
          </w:tcPr>
          <w:p>
            <w:pPr>
              <w:jc w:val="right"/>
              <w:ind w:right="1472"/>
              <w:spacing w:after="0"/>
              <w:rPr>
                <w:sz w:val="20"/>
                <w:szCs w:val="20"/>
                <w:color w:val="auto"/>
              </w:rPr>
            </w:pPr>
            <w:r>
              <w:rPr>
                <w:rFonts w:ascii="Arial" w:cs="Arial" w:eastAsia="Arial" w:hAnsi="Arial"/>
                <w:sz w:val="18"/>
                <w:szCs w:val="18"/>
                <w:color w:val="auto"/>
              </w:rPr>
              <w:t>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732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2019-12-10T16:22:55Z</dcterms:created>
  <dcterms:modified xsi:type="dcterms:W3CDTF">2019-12-10T16:22:55Z</dcterms:modified>
</cp:coreProperties>
</file>