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53" w:lineRule="exact"/>
        <w:rPr>
          <w:sz w:val="24"/>
          <w:szCs w:val="24"/>
          <w:color w:val="auto"/>
        </w:rPr>
      </w:pPr>
    </w:p>
    <w:p>
      <w:pPr>
        <w:jc w:val="center"/>
        <w:ind w:left="2100"/>
        <w:spacing w:after="0"/>
        <w:rPr>
          <w:sz w:val="20"/>
          <w:szCs w:val="20"/>
          <w:color w:val="auto"/>
        </w:rPr>
      </w:pPr>
      <w:r>
        <w:rPr>
          <w:rFonts w:ascii="Century Gothic" w:cs="Century Gothic" w:eastAsia="Century Gothic" w:hAnsi="Century Gothic"/>
          <w:sz w:val="20"/>
          <w:szCs w:val="20"/>
          <w:b w:val="1"/>
          <w:bCs w:val="1"/>
          <w:color w:val="auto"/>
        </w:rPr>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267335</wp:posOffset>
            </wp:positionH>
            <wp:positionV relativeFrom="paragraph">
              <wp:posOffset>-113030</wp:posOffset>
            </wp:positionV>
            <wp:extent cx="734695" cy="7435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34695" cy="743585"/>
                    </a:xfrm>
                    <a:prstGeom prst="rect">
                      <a:avLst/>
                    </a:prstGeom>
                    <a:noFill/>
                  </pic:spPr>
                </pic:pic>
              </a:graphicData>
            </a:graphic>
          </wp:anchor>
        </w:drawing>
      </w:r>
    </w:p>
    <w:p>
      <w:pPr>
        <w:spacing w:after="0" w:line="3" w:lineRule="exact"/>
        <w:rPr>
          <w:sz w:val="24"/>
          <w:szCs w:val="24"/>
          <w:color w:val="auto"/>
        </w:rPr>
      </w:pPr>
    </w:p>
    <w:p>
      <w:pPr>
        <w:jc w:val="center"/>
        <w:ind w:left="2100"/>
        <w:spacing w:after="0"/>
        <w:rPr>
          <w:sz w:val="20"/>
          <w:szCs w:val="20"/>
          <w:color w:val="auto"/>
        </w:rPr>
      </w:pPr>
      <w:r>
        <w:rPr>
          <w:rFonts w:ascii="Century Gothic" w:cs="Century Gothic" w:eastAsia="Century Gothic" w:hAnsi="Century Gothic"/>
          <w:sz w:val="24"/>
          <w:szCs w:val="24"/>
          <w:b w:val="1"/>
          <w:bCs w:val="1"/>
          <w:color w:val="auto"/>
        </w:rPr>
        <w:t>SECURITIES AND EXCHANGE COMMISSION</w:t>
      </w:r>
    </w:p>
    <w:p>
      <w:pPr>
        <w:ind w:left="4480"/>
        <w:spacing w:after="0"/>
        <w:rPr>
          <w:sz w:val="20"/>
          <w:szCs w:val="20"/>
          <w:color w:val="auto"/>
        </w:rPr>
      </w:pPr>
      <w:r>
        <w:rPr>
          <w:rFonts w:ascii="Century Gothic" w:cs="Century Gothic" w:eastAsia="Century Gothic" w:hAnsi="Century Gothic"/>
          <w:sz w:val="20"/>
          <w:szCs w:val="20"/>
          <w:b w:val="1"/>
          <w:bCs w:val="1"/>
          <w:color w:val="auto"/>
        </w:rPr>
        <w:t>WASHINGTON, D.C. 20549</w:t>
      </w:r>
    </w:p>
    <w:p>
      <w:pPr>
        <w:spacing w:after="0" w:line="200" w:lineRule="exact"/>
        <w:rPr>
          <w:sz w:val="24"/>
          <w:szCs w:val="24"/>
          <w:color w:val="auto"/>
        </w:rPr>
      </w:pPr>
    </w:p>
    <w:p>
      <w:pPr>
        <w:spacing w:after="0" w:line="274" w:lineRule="exact"/>
        <w:rPr>
          <w:sz w:val="24"/>
          <w:szCs w:val="24"/>
          <w:color w:val="auto"/>
        </w:rPr>
      </w:pPr>
    </w:p>
    <w:p>
      <w:pPr>
        <w:ind w:left="640"/>
        <w:spacing w:after="0"/>
        <w:rPr>
          <w:sz w:val="20"/>
          <w:szCs w:val="20"/>
          <w:color w:val="auto"/>
        </w:rPr>
      </w:pPr>
      <w:r>
        <w:rPr>
          <w:rFonts w:ascii="Century Gothic" w:cs="Century Gothic" w:eastAsia="Century Gothic" w:hAnsi="Century Gothic"/>
          <w:sz w:val="14"/>
          <w:szCs w:val="14"/>
          <w:color w:val="auto"/>
        </w:rPr>
        <w:t>DIVISION OF</w:t>
      </w:r>
    </w:p>
    <w:p>
      <w:pPr>
        <w:spacing w:after="0" w:line="6" w:lineRule="exact"/>
        <w:rPr>
          <w:sz w:val="24"/>
          <w:szCs w:val="24"/>
          <w:color w:val="auto"/>
        </w:rPr>
      </w:pPr>
    </w:p>
    <w:p>
      <w:pPr>
        <w:ind w:left="180"/>
        <w:spacing w:after="0"/>
        <w:rPr>
          <w:sz w:val="20"/>
          <w:szCs w:val="20"/>
          <w:color w:val="auto"/>
        </w:rPr>
      </w:pPr>
      <w:r>
        <w:rPr>
          <w:rFonts w:ascii="Century Gothic" w:cs="Century Gothic" w:eastAsia="Century Gothic" w:hAnsi="Century Gothic"/>
          <w:sz w:val="14"/>
          <w:szCs w:val="14"/>
          <w:color w:val="auto"/>
        </w:rPr>
        <w:t>CORPORATION FINANCE</w:t>
      </w:r>
    </w:p>
    <w:p>
      <w:pPr>
        <w:ind w:left="480"/>
        <w:spacing w:after="0"/>
        <w:rPr>
          <w:sz w:val="20"/>
          <w:szCs w:val="20"/>
          <w:color w:val="auto"/>
        </w:rPr>
      </w:pPr>
      <w:r>
        <w:rPr>
          <w:rFonts w:ascii="Century Gothic" w:cs="Century Gothic" w:eastAsia="Century Gothic" w:hAnsi="Century Gothic"/>
          <w:sz w:val="14"/>
          <w:szCs w:val="14"/>
          <w:color w:val="auto"/>
        </w:rPr>
        <w:t>Mail Stop 3030</w:t>
      </w:r>
    </w:p>
    <w:p>
      <w:pPr>
        <w:spacing w:after="0" w:line="200" w:lineRule="exact"/>
        <w:rPr>
          <w:sz w:val="24"/>
          <w:szCs w:val="24"/>
          <w:color w:val="auto"/>
        </w:rPr>
      </w:pPr>
    </w:p>
    <w:p>
      <w:pPr>
        <w:spacing w:after="0" w:line="331" w:lineRule="exact"/>
        <w:rPr>
          <w:sz w:val="24"/>
          <w:szCs w:val="24"/>
          <w:color w:val="auto"/>
        </w:rPr>
      </w:pPr>
    </w:p>
    <w:p>
      <w:pPr>
        <w:ind w:left="6120"/>
        <w:spacing w:after="0"/>
        <w:rPr>
          <w:sz w:val="20"/>
          <w:szCs w:val="20"/>
          <w:color w:val="auto"/>
        </w:rPr>
      </w:pPr>
      <w:r>
        <w:rPr>
          <w:rFonts w:ascii="Times New Roman" w:cs="Times New Roman" w:eastAsia="Times New Roman" w:hAnsi="Times New Roman"/>
          <w:sz w:val="24"/>
          <w:szCs w:val="24"/>
          <w:color w:val="auto"/>
        </w:rPr>
        <w:t>August 3, 2009</w:t>
      </w:r>
    </w:p>
    <w:p>
      <w:pPr>
        <w:spacing w:after="0" w:line="276"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Via U.S. Mail and Facsimile (408) 222-1917</w:t>
      </w:r>
    </w:p>
    <w:p>
      <w:pPr>
        <w:spacing w:after="0" w:line="276"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Clyde R. Hosein</w:t>
      </w:r>
    </w:p>
    <w:p>
      <w:pPr>
        <w:spacing w:after="0" w:line="26"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Chief Financial Officer</w:t>
      </w: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5488 Marvell Lane</w:t>
      </w:r>
    </w:p>
    <w:p>
      <w:pPr>
        <w:ind w:left="360"/>
        <w:spacing w:after="0"/>
        <w:rPr>
          <w:sz w:val="20"/>
          <w:szCs w:val="20"/>
          <w:color w:val="auto"/>
        </w:rPr>
      </w:pPr>
      <w:r>
        <w:rPr>
          <w:rFonts w:ascii="Times New Roman" w:cs="Times New Roman" w:eastAsia="Times New Roman" w:hAnsi="Times New Roman"/>
          <w:sz w:val="24"/>
          <w:szCs w:val="24"/>
          <w:color w:val="auto"/>
        </w:rPr>
        <w:t>Santa Clara, CA 95054</w:t>
      </w:r>
    </w:p>
    <w:p>
      <w:pPr>
        <w:spacing w:after="0" w:line="246" w:lineRule="exact"/>
        <w:rPr>
          <w:sz w:val="24"/>
          <w:szCs w:val="24"/>
          <w:color w:val="auto"/>
        </w:rPr>
      </w:pPr>
    </w:p>
    <w:p>
      <w:pPr>
        <w:ind w:left="1080"/>
        <w:spacing w:after="0"/>
        <w:tabs>
          <w:tab w:leader="none" w:pos="1780" w:val="left"/>
        </w:tabs>
        <w:rPr>
          <w:sz w:val="20"/>
          <w:szCs w:val="20"/>
          <w:color w:val="auto"/>
        </w:rPr>
      </w:pPr>
      <w:r>
        <w:rPr>
          <w:rFonts w:ascii="Times New Roman" w:cs="Times New Roman" w:eastAsia="Times New Roman" w:hAnsi="Times New Roman"/>
          <w:sz w:val="24"/>
          <w:szCs w:val="24"/>
          <w:b w:val="1"/>
          <w:bCs w:val="1"/>
          <w:color w:val="auto"/>
        </w:rPr>
        <w:t>Re:</w:t>
        <w:tab/>
        <w:t>Marvell Technology Group Ltd.</w:t>
      </w:r>
    </w:p>
    <w:p>
      <w:pPr>
        <w:spacing w:after="0" w:line="32" w:lineRule="exact"/>
        <w:rPr>
          <w:sz w:val="24"/>
          <w:szCs w:val="24"/>
          <w:color w:val="auto"/>
        </w:rPr>
      </w:pPr>
    </w:p>
    <w:p>
      <w:pPr>
        <w:ind w:left="1800"/>
        <w:spacing w:after="0"/>
        <w:rPr>
          <w:sz w:val="20"/>
          <w:szCs w:val="20"/>
          <w:color w:val="auto"/>
        </w:rPr>
      </w:pPr>
      <w:r>
        <w:rPr>
          <w:rFonts w:ascii="Times New Roman" w:cs="Times New Roman" w:eastAsia="Times New Roman" w:hAnsi="Times New Roman"/>
          <w:sz w:val="24"/>
          <w:szCs w:val="24"/>
          <w:b w:val="1"/>
          <w:bCs w:val="1"/>
          <w:color w:val="auto"/>
        </w:rPr>
        <w:t>Definitive Proxy Statement on Schedule 14A</w:t>
      </w:r>
    </w:p>
    <w:p>
      <w:pPr>
        <w:ind w:left="1800"/>
        <w:spacing w:after="0" w:line="238" w:lineRule="auto"/>
        <w:rPr>
          <w:sz w:val="20"/>
          <w:szCs w:val="20"/>
          <w:color w:val="auto"/>
        </w:rPr>
      </w:pPr>
      <w:r>
        <w:rPr>
          <w:rFonts w:ascii="Times New Roman" w:cs="Times New Roman" w:eastAsia="Times New Roman" w:hAnsi="Times New Roman"/>
          <w:sz w:val="24"/>
          <w:szCs w:val="24"/>
          <w:b w:val="1"/>
          <w:bCs w:val="1"/>
          <w:color w:val="auto"/>
        </w:rPr>
        <w:t>Filed May 29, 2009</w:t>
      </w:r>
    </w:p>
    <w:p>
      <w:pPr>
        <w:spacing w:after="0" w:line="1" w:lineRule="exact"/>
        <w:rPr>
          <w:sz w:val="24"/>
          <w:szCs w:val="24"/>
          <w:color w:val="auto"/>
        </w:rPr>
      </w:pPr>
    </w:p>
    <w:p>
      <w:pPr>
        <w:ind w:left="1800"/>
        <w:spacing w:after="0"/>
        <w:rPr>
          <w:sz w:val="20"/>
          <w:szCs w:val="20"/>
          <w:color w:val="auto"/>
        </w:rPr>
      </w:pPr>
      <w:r>
        <w:rPr>
          <w:rFonts w:ascii="Times New Roman" w:cs="Times New Roman" w:eastAsia="Times New Roman" w:hAnsi="Times New Roman"/>
          <w:sz w:val="24"/>
          <w:szCs w:val="24"/>
          <w:b w:val="1"/>
          <w:bCs w:val="1"/>
          <w:color w:val="auto"/>
        </w:rPr>
        <w:t>File No. 000-30877</w:t>
      </w:r>
    </w:p>
    <w:p>
      <w:pPr>
        <w:spacing w:after="0" w:line="248"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Dear Mr. Hosein:</w:t>
      </w:r>
    </w:p>
    <w:p>
      <w:pPr>
        <w:spacing w:after="0" w:line="276" w:lineRule="exact"/>
        <w:rPr>
          <w:sz w:val="24"/>
          <w:szCs w:val="24"/>
          <w:color w:val="auto"/>
        </w:rPr>
      </w:pPr>
    </w:p>
    <w:p>
      <w:pPr>
        <w:ind w:left="360" w:right="380" w:firstLine="720"/>
        <w:spacing w:after="0" w:line="271" w:lineRule="auto"/>
        <w:rPr>
          <w:sz w:val="20"/>
          <w:szCs w:val="20"/>
          <w:color w:val="auto"/>
        </w:rPr>
      </w:pPr>
      <w:r>
        <w:rPr>
          <w:rFonts w:ascii="Times New Roman" w:cs="Times New Roman" w:eastAsia="Times New Roman" w:hAnsi="Times New Roman"/>
          <w:sz w:val="24"/>
          <w:szCs w:val="24"/>
          <w:color w:val="auto"/>
        </w:rPr>
        <w:t>We have reviewed your response letter dated July 9, 2009 and have one follow-up comment included below.</w:t>
      </w:r>
    </w:p>
    <w:p>
      <w:pPr>
        <w:spacing w:after="0" w:line="205" w:lineRule="exact"/>
        <w:rPr>
          <w:sz w:val="24"/>
          <w:szCs w:val="24"/>
          <w:color w:val="auto"/>
        </w:rPr>
      </w:pPr>
    </w:p>
    <w:p>
      <w:pPr>
        <w:ind w:left="360" w:right="620" w:firstLine="720"/>
        <w:spacing w:after="0" w:line="261" w:lineRule="auto"/>
        <w:rPr>
          <w:sz w:val="20"/>
          <w:szCs w:val="20"/>
          <w:color w:val="auto"/>
        </w:rPr>
      </w:pPr>
      <w:r>
        <w:rPr>
          <w:rFonts w:ascii="Times New Roman" w:cs="Times New Roman" w:eastAsia="Times New Roman" w:hAnsi="Times New Roman"/>
          <w:sz w:val="23"/>
          <w:szCs w:val="23"/>
          <w:color w:val="auto"/>
        </w:rPr>
        <w:t>Please understand that the purpose of our review process is to assist you in your compliance with the applicable disclosure requirements and to enhance the overall disclosure in your filing. We look forward to working with you in these respects. We welcome any questions you may have about our comments or any other aspect of our review. Feel free to call us at the telephone numbers listed at the end of this letter.</w:t>
      </w:r>
    </w:p>
    <w:p>
      <w:pPr>
        <w:spacing w:after="0" w:line="218" w:lineRule="exact"/>
        <w:rPr>
          <w:sz w:val="24"/>
          <w:szCs w:val="24"/>
          <w:color w:val="auto"/>
        </w:rPr>
      </w:pPr>
    </w:p>
    <w:p>
      <w:pPr>
        <w:ind w:left="1080" w:right="600" w:hanging="720"/>
        <w:spacing w:after="0" w:line="250" w:lineRule="auto"/>
        <w:tabs>
          <w:tab w:leader="none" w:pos="1081" w:val="left"/>
        </w:tabs>
        <w:numPr>
          <w:ilvl w:val="0"/>
          <w:numId w:val="1"/>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have reviewed your response to prior comment 1 in your letter dated July 9, 2009. To the extent that you have not previously disclosed in your filings the substantive portions of that response, please confirm to us that you will disclose the substantive portions of that response in your next applicable future filing.</w:t>
      </w:r>
    </w:p>
    <w:p>
      <w:pPr>
        <w:spacing w:after="0" w:line="230" w:lineRule="exact"/>
        <w:rPr>
          <w:sz w:val="24"/>
          <w:szCs w:val="24"/>
          <w:color w:val="auto"/>
        </w:rPr>
      </w:pPr>
    </w:p>
    <w:p>
      <w:pPr>
        <w:ind w:left="360" w:right="500" w:firstLine="720"/>
        <w:spacing w:after="0" w:line="247" w:lineRule="auto"/>
        <w:rPr>
          <w:sz w:val="20"/>
          <w:szCs w:val="20"/>
          <w:color w:val="auto"/>
        </w:rPr>
      </w:pPr>
      <w:r>
        <w:rPr>
          <w:rFonts w:ascii="Times New Roman" w:cs="Times New Roman" w:eastAsia="Times New Roman" w:hAnsi="Times New Roman"/>
          <w:sz w:val="24"/>
          <w:szCs w:val="24"/>
          <w:color w:val="auto"/>
        </w:rPr>
        <w:t>As appropriate, please respond to our comment within 10 business days or tell us when you will provide us with a response. Please furnish a cover letter that keys your response to our comment. Detailed cover letters greatly facilitate our review. Please understand that we may have additional comments after reviewing your response to our comment.</w:t>
      </w:r>
    </w:p>
    <w:p>
      <w:pPr>
        <w:sectPr>
          <w:pgSz w:w="12240" w:h="15840" w:orient="portrait"/>
          <w:cols w:equalWidth="0" w:num="1">
            <w:col w:w="9360"/>
          </w:cols>
          <w:pgMar w:left="1440" w:top="1440" w:right="1440" w:bottom="1440" w:gutter="0" w:footer="0" w:header="0"/>
        </w:sectPr>
      </w:pPr>
    </w:p>
    <w:bookmarkStart w:id="1" w:name="page2"/>
    <w:bookmarkEnd w:id="1"/>
    <w:p>
      <w:pPr>
        <w:ind w:left="360"/>
        <w:spacing w:after="0"/>
        <w:rPr>
          <w:sz w:val="20"/>
          <w:szCs w:val="20"/>
          <w:color w:val="auto"/>
        </w:rPr>
      </w:pPr>
      <w:r>
        <w:rPr>
          <w:rFonts w:ascii="Times New Roman" w:cs="Times New Roman" w:eastAsia="Times New Roman" w:hAnsi="Times New Roman"/>
          <w:sz w:val="24"/>
          <w:szCs w:val="24"/>
          <w:color w:val="auto"/>
        </w:rPr>
        <w:t>Clyde R. Hosein</w:t>
      </w:r>
    </w:p>
    <w:p>
      <w:pPr>
        <w:spacing w:after="0" w:line="2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August 3, 2009</w:t>
      </w:r>
    </w:p>
    <w:p>
      <w:pPr>
        <w:ind w:left="360"/>
        <w:spacing w:after="0"/>
        <w:rPr>
          <w:sz w:val="20"/>
          <w:szCs w:val="20"/>
          <w:color w:val="auto"/>
        </w:rPr>
      </w:pPr>
      <w:r>
        <w:rPr>
          <w:rFonts w:ascii="Times New Roman" w:cs="Times New Roman" w:eastAsia="Times New Roman" w:hAnsi="Times New Roman"/>
          <w:sz w:val="24"/>
          <w:szCs w:val="24"/>
          <w:color w:val="auto"/>
        </w:rPr>
        <w:t>Page 2</w:t>
      </w:r>
    </w:p>
    <w:p>
      <w:pPr>
        <w:spacing w:after="0" w:line="250" w:lineRule="exact"/>
        <w:rPr>
          <w:sz w:val="20"/>
          <w:szCs w:val="20"/>
          <w:color w:val="auto"/>
        </w:rPr>
      </w:pPr>
    </w:p>
    <w:p>
      <w:pPr>
        <w:ind w:left="360" w:right="440" w:firstLine="720"/>
        <w:spacing w:after="0" w:line="246" w:lineRule="auto"/>
        <w:rPr>
          <w:sz w:val="20"/>
          <w:szCs w:val="20"/>
          <w:color w:val="auto"/>
        </w:rPr>
      </w:pPr>
      <w:r>
        <w:rPr>
          <w:rFonts w:ascii="Times New Roman" w:cs="Times New Roman" w:eastAsia="Times New Roman" w:hAnsi="Times New Roman"/>
          <w:sz w:val="24"/>
          <w:szCs w:val="24"/>
          <w:color w:val="auto"/>
        </w:rPr>
        <w:t>We urge all persons who are responsible for the accuracy and adequacy of the disclosure in the filing to be certain that the filing includes all information required under the Securities Exchange Act of 1934 and that they have provided all information investors require for an informed investment decision. Since the company and its management are in possession of all facts relating to a company's disclosure, they are responsible for the accuracy and adequacy of the disclosures they have made.</w:t>
      </w:r>
    </w:p>
    <w:p>
      <w:pPr>
        <w:spacing w:after="0" w:line="235" w:lineRule="exact"/>
        <w:rPr>
          <w:sz w:val="20"/>
          <w:szCs w:val="20"/>
          <w:color w:val="auto"/>
        </w:rPr>
      </w:pPr>
    </w:p>
    <w:p>
      <w:pPr>
        <w:ind w:left="360" w:right="1160" w:firstLine="720"/>
        <w:spacing w:after="0" w:line="271" w:lineRule="auto"/>
        <w:rPr>
          <w:sz w:val="20"/>
          <w:szCs w:val="20"/>
          <w:color w:val="auto"/>
        </w:rPr>
      </w:pPr>
      <w:r>
        <w:rPr>
          <w:rFonts w:ascii="Times New Roman" w:cs="Times New Roman" w:eastAsia="Times New Roman" w:hAnsi="Times New Roman"/>
          <w:sz w:val="24"/>
          <w:szCs w:val="24"/>
          <w:color w:val="auto"/>
        </w:rPr>
        <w:t>You may contact Tim Buchmiller at (202) 551-3635 or Joseph McCann at (202) 551-6262 if you have questions on our comment.</w:t>
      </w:r>
    </w:p>
    <w:p>
      <w:pPr>
        <w:spacing w:after="0" w:line="200" w:lineRule="exact"/>
        <w:rPr>
          <w:sz w:val="20"/>
          <w:szCs w:val="20"/>
          <w:color w:val="auto"/>
        </w:rPr>
      </w:pPr>
    </w:p>
    <w:p>
      <w:pPr>
        <w:spacing w:after="0" w:line="281"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Sincerely,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Tim Buchmiller</w:t>
      </w:r>
    </w:p>
    <w:p>
      <w:pPr>
        <w:spacing w:after="0" w:line="26"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Senior Attorney</w:t>
      </w:r>
    </w:p>
    <w:sectPr>
      <w:pgSz w:w="12240" w:h="15840" w:orient="portrait"/>
      <w:cols w:equalWidth="0" w:num="1">
        <w:col w:w="9360"/>
      </w:cols>
      <w:pgMar w:left="1440" w:top="70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roman"/>
    <w:pitch w:val="variable"/>
    <w:sig w:usb0="00000287" w:usb1="00000000" w:usb2="00000000" w:usb3="00000000" w:csb0="2000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2019-12-10T17:18:12Z</dcterms:created>
  <dcterms:modified xsi:type="dcterms:W3CDTF">2019-12-10T17:18:12Z</dcterms:modified>
</cp:coreProperties>
</file>