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spacing w:after="0"/>
        <w:rPr>
          <w:rFonts w:ascii="Arial" w:cs="Arial" w:eastAsia="Arial" w:hAnsi="Arial"/>
          <w:sz w:val="18"/>
          <w:szCs w:val="18"/>
          <w:b w:val="1"/>
          <w:bCs w:val="1"/>
          <w:u w:val="single" w:color="auto"/>
          <w:color w:val="0000EE"/>
        </w:rPr>
      </w:pPr>
      <w:hyperlink w:anchor="page2">
        <w:r>
          <w:rPr>
            <w:rFonts w:ascii="Arial" w:cs="Arial" w:eastAsia="Arial" w:hAnsi="Arial"/>
            <w:sz w:val="18"/>
            <w:szCs w:val="18"/>
            <w:b w:val="1"/>
            <w:bCs w:val="1"/>
            <w:u w:val="single" w:color="auto"/>
            <w:color w:val="0000EE"/>
          </w:rPr>
          <w:t>Table of Contents</w:t>
        </w:r>
      </w:hyperlink>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5080</wp:posOffset>
            </wp:positionH>
            <wp:positionV relativeFrom="paragraph">
              <wp:posOffset>205740</wp:posOffset>
            </wp:positionV>
            <wp:extent cx="7246620" cy="889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7246620" cy="8890"/>
                    </a:xfrm>
                    <a:prstGeom prst="rect">
                      <a:avLst/>
                    </a:prstGeom>
                    <a:noFill/>
                  </pic:spPr>
                </pic:pic>
              </a:graphicData>
            </a:graphic>
          </wp:anchor>
        </w:drawing>
        <w:drawing>
          <wp:anchor simplePos="0" relativeHeight="251657728" behindDoc="1" locked="0" layoutInCell="0" allowOverlap="1">
            <wp:simplePos x="0" y="0"/>
            <wp:positionH relativeFrom="column">
              <wp:posOffset>5080</wp:posOffset>
            </wp:positionH>
            <wp:positionV relativeFrom="paragraph">
              <wp:posOffset>231140</wp:posOffset>
            </wp:positionV>
            <wp:extent cx="7246620" cy="889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7246620" cy="8890"/>
                    </a:xfrm>
                    <a:prstGeom prst="rect">
                      <a:avLst/>
                    </a:prstGeom>
                    <a:noFill/>
                  </pic:spPr>
                </pic:pic>
              </a:graphicData>
            </a:graphic>
          </wp:anchor>
        </w:drawing>
      </w:r>
    </w:p>
    <w:p>
      <w:pPr>
        <w:spacing w:after="0" w:line="357" w:lineRule="exact"/>
        <w:rPr>
          <w:sz w:val="24"/>
          <w:szCs w:val="24"/>
          <w:color w:val="auto"/>
        </w:rPr>
      </w:pPr>
    </w:p>
    <w:p>
      <w:pPr>
        <w:jc w:val="center"/>
        <w:ind w:right="-19"/>
        <w:spacing w:after="0"/>
        <w:rPr>
          <w:sz w:val="20"/>
          <w:szCs w:val="20"/>
          <w:color w:val="auto"/>
        </w:rPr>
      </w:pPr>
      <w:r>
        <w:rPr>
          <w:rFonts w:ascii="Arial" w:cs="Arial" w:eastAsia="Arial" w:hAnsi="Arial"/>
          <w:sz w:val="32"/>
          <w:szCs w:val="32"/>
          <w:b w:val="1"/>
          <w:bCs w:val="1"/>
          <w:color w:val="auto"/>
        </w:rPr>
        <w:t>UNITED STATES</w:t>
      </w:r>
    </w:p>
    <w:p>
      <w:pPr>
        <w:spacing w:after="0" w:line="31" w:lineRule="exact"/>
        <w:rPr>
          <w:sz w:val="24"/>
          <w:szCs w:val="24"/>
          <w:color w:val="auto"/>
        </w:rPr>
      </w:pPr>
    </w:p>
    <w:p>
      <w:pPr>
        <w:jc w:val="center"/>
        <w:ind w:right="-19"/>
        <w:spacing w:after="0"/>
        <w:rPr>
          <w:sz w:val="20"/>
          <w:szCs w:val="20"/>
          <w:color w:val="auto"/>
        </w:rPr>
      </w:pPr>
      <w:r>
        <w:rPr>
          <w:rFonts w:ascii="Arial" w:cs="Arial" w:eastAsia="Arial" w:hAnsi="Arial"/>
          <w:sz w:val="32"/>
          <w:szCs w:val="32"/>
          <w:b w:val="1"/>
          <w:bCs w:val="1"/>
          <w:color w:val="auto"/>
        </w:rPr>
        <w:t>SECURITIES AND EXCHANGE COMMISSION</w:t>
      </w:r>
    </w:p>
    <w:p>
      <w:pPr>
        <w:jc w:val="center"/>
        <w:ind w:right="-19"/>
        <w:spacing w:after="0"/>
        <w:rPr>
          <w:sz w:val="20"/>
          <w:szCs w:val="20"/>
          <w:color w:val="auto"/>
        </w:rPr>
      </w:pPr>
      <w:r>
        <w:rPr>
          <w:rFonts w:ascii="Arial" w:cs="Arial" w:eastAsia="Arial" w:hAnsi="Arial"/>
          <w:sz w:val="22"/>
          <w:szCs w:val="22"/>
          <w:b w:val="1"/>
          <w:bCs w:val="1"/>
          <w:color w:val="auto"/>
        </w:rPr>
        <w:t>Washington, D.C. 20549</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2869565</wp:posOffset>
            </wp:positionH>
            <wp:positionV relativeFrom="paragraph">
              <wp:posOffset>107315</wp:posOffset>
            </wp:positionV>
            <wp:extent cx="1517650" cy="889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1517650" cy="8890"/>
                    </a:xfrm>
                    <a:prstGeom prst="rect">
                      <a:avLst/>
                    </a:prstGeom>
                    <a:noFill/>
                  </pic:spPr>
                </pic:pic>
              </a:graphicData>
            </a:graphic>
          </wp:anchor>
        </w:drawing>
      </w:r>
    </w:p>
    <w:p>
      <w:pPr>
        <w:spacing w:after="0" w:line="203" w:lineRule="exact"/>
        <w:rPr>
          <w:sz w:val="24"/>
          <w:szCs w:val="24"/>
          <w:color w:val="auto"/>
        </w:rPr>
      </w:pPr>
    </w:p>
    <w:p>
      <w:pPr>
        <w:jc w:val="center"/>
        <w:ind w:right="-19"/>
        <w:spacing w:after="0"/>
        <w:rPr>
          <w:sz w:val="20"/>
          <w:szCs w:val="20"/>
          <w:color w:val="auto"/>
        </w:rPr>
      </w:pPr>
      <w:r>
        <w:rPr>
          <w:rFonts w:ascii="Arial" w:cs="Arial" w:eastAsia="Arial" w:hAnsi="Arial"/>
          <w:sz w:val="32"/>
          <w:szCs w:val="32"/>
          <w:b w:val="1"/>
          <w:bCs w:val="1"/>
          <w:color w:val="auto"/>
        </w:rPr>
        <w:t>FORM 10-Q</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2869565</wp:posOffset>
            </wp:positionH>
            <wp:positionV relativeFrom="paragraph">
              <wp:posOffset>127000</wp:posOffset>
            </wp:positionV>
            <wp:extent cx="1517650" cy="889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1517650" cy="8890"/>
                    </a:xfrm>
                    <a:prstGeom prst="rect">
                      <a:avLst/>
                    </a:prstGeom>
                    <a:noFill/>
                  </pic:spPr>
                </pic:pic>
              </a:graphicData>
            </a:graphic>
          </wp:anchor>
        </w:drawing>
      </w:r>
    </w:p>
    <w:p>
      <w:pPr>
        <w:spacing w:after="0" w:line="260" w:lineRule="exact"/>
        <w:rPr>
          <w:sz w:val="24"/>
          <w:szCs w:val="24"/>
          <w:color w:val="auto"/>
        </w:rPr>
      </w:pPr>
    </w:p>
    <w:p>
      <w:pPr>
        <w:spacing w:after="0"/>
        <w:rPr>
          <w:sz w:val="20"/>
          <w:szCs w:val="20"/>
          <w:color w:val="auto"/>
        </w:rPr>
      </w:pPr>
      <w:r>
        <w:rPr>
          <w:rFonts w:ascii="Arial" w:cs="Arial" w:eastAsia="Arial" w:hAnsi="Arial"/>
          <w:sz w:val="18"/>
          <w:szCs w:val="18"/>
          <w:b w:val="1"/>
          <w:bCs w:val="1"/>
          <w:color w:val="auto"/>
        </w:rPr>
        <w:t>(Mark One)</w:t>
      </w:r>
    </w:p>
    <w:p>
      <w:pPr>
        <w:spacing w:after="0" w:line="20" w:lineRule="exact"/>
        <w:rPr>
          <w:sz w:val="24"/>
          <w:szCs w:val="24"/>
          <w:color w:val="auto"/>
        </w:rPr>
      </w:pPr>
    </w:p>
    <w:p>
      <w:pPr>
        <w:ind w:left="460" w:right="460" w:hanging="452"/>
        <w:spacing w:after="0" w:line="237" w:lineRule="auto"/>
        <w:tabs>
          <w:tab w:leader="none" w:pos="460" w:val="left"/>
        </w:tabs>
        <w:numPr>
          <w:ilvl w:val="0"/>
          <w:numId w:val="1"/>
        </w:numPr>
        <w:rPr>
          <w:rFonts w:ascii="MS PGothic" w:cs="MS PGothic" w:eastAsia="MS PGothic" w:hAnsi="MS PGothic"/>
          <w:sz w:val="22"/>
          <w:szCs w:val="22"/>
          <w:color w:val="auto"/>
          <w:highlight w:val="black"/>
        </w:rPr>
      </w:pPr>
      <w:r>
        <w:rPr>
          <w:rFonts w:ascii="Arial" w:cs="Arial" w:eastAsia="Arial" w:hAnsi="Arial"/>
          <w:sz w:val="22"/>
          <w:szCs w:val="22"/>
          <w:b w:val="1"/>
          <w:bCs w:val="1"/>
          <w:color w:val="auto"/>
        </w:rPr>
        <w:t>QUARTERLY REPORT PURSUANT TO SECTION 13 OR 15(d) OF THE SECURITIES EXCHANGE ACT OF 1934</w:t>
      </w:r>
    </w:p>
    <w:p>
      <w:pPr>
        <w:spacing w:after="0" w:line="138" w:lineRule="exact"/>
        <w:rPr>
          <w:sz w:val="24"/>
          <w:szCs w:val="24"/>
          <w:color w:val="auto"/>
        </w:rPr>
      </w:pPr>
    </w:p>
    <w:p>
      <w:pPr>
        <w:ind w:left="460"/>
        <w:spacing w:after="0"/>
        <w:rPr>
          <w:sz w:val="20"/>
          <w:szCs w:val="20"/>
          <w:color w:val="auto"/>
        </w:rPr>
      </w:pPr>
      <w:r>
        <w:rPr>
          <w:rFonts w:ascii="Arial" w:cs="Arial" w:eastAsia="Arial" w:hAnsi="Arial"/>
          <w:sz w:val="18"/>
          <w:szCs w:val="18"/>
          <w:b w:val="1"/>
          <w:bCs w:val="1"/>
          <w:color w:val="auto"/>
        </w:rPr>
        <w:t>For the quarterly period ended October 31, 2009</w:t>
      </w:r>
    </w:p>
    <w:p>
      <w:pPr>
        <w:spacing w:after="0" w:line="171" w:lineRule="exact"/>
        <w:rPr>
          <w:sz w:val="24"/>
          <w:szCs w:val="24"/>
          <w:color w:val="auto"/>
        </w:rPr>
      </w:pPr>
    </w:p>
    <w:p>
      <w:pPr>
        <w:jc w:val="center"/>
        <w:ind w:right="-19"/>
        <w:spacing w:after="0"/>
        <w:rPr>
          <w:sz w:val="20"/>
          <w:szCs w:val="20"/>
          <w:color w:val="auto"/>
        </w:rPr>
      </w:pPr>
      <w:r>
        <w:rPr>
          <w:rFonts w:ascii="Arial" w:cs="Arial" w:eastAsia="Arial" w:hAnsi="Arial"/>
          <w:sz w:val="18"/>
          <w:szCs w:val="18"/>
          <w:b w:val="1"/>
          <w:bCs w:val="1"/>
          <w:color w:val="auto"/>
        </w:rPr>
        <w:t>or</w:t>
      </w:r>
    </w:p>
    <w:p>
      <w:pPr>
        <w:spacing w:after="0" w:line="199" w:lineRule="exact"/>
        <w:rPr>
          <w:sz w:val="24"/>
          <w:szCs w:val="24"/>
          <w:color w:val="auto"/>
        </w:rPr>
      </w:pPr>
    </w:p>
    <w:p>
      <w:pPr>
        <w:ind w:left="460" w:hanging="452"/>
        <w:spacing w:after="0"/>
        <w:tabs>
          <w:tab w:leader="none" w:pos="460" w:val="left"/>
        </w:tabs>
        <w:numPr>
          <w:ilvl w:val="0"/>
          <w:numId w:val="2"/>
        </w:numPr>
        <w:rPr>
          <w:rFonts w:ascii="MS PGothic" w:cs="MS PGothic" w:eastAsia="MS PGothic" w:hAnsi="MS PGothic"/>
          <w:sz w:val="21"/>
          <w:szCs w:val="21"/>
          <w:color w:val="auto"/>
          <w:highlight w:val="black"/>
        </w:rPr>
      </w:pPr>
      <w:r>
        <w:rPr>
          <w:rFonts w:ascii="Arial" w:cs="Arial" w:eastAsia="Arial" w:hAnsi="Arial"/>
          <w:sz w:val="21"/>
          <w:szCs w:val="21"/>
          <w:b w:val="1"/>
          <w:bCs w:val="1"/>
          <w:color w:val="auto"/>
        </w:rPr>
        <w:t>TRANSITION REPORT PURSUANT TO SECTION 13 or 15(d) OF THE SECURITIES EXCHANGE ACT OF 1934</w:t>
      </w:r>
    </w:p>
    <w:p>
      <w:pPr>
        <w:spacing w:after="0" w:line="190" w:lineRule="exact"/>
        <w:rPr>
          <w:sz w:val="24"/>
          <w:szCs w:val="24"/>
          <w:color w:val="auto"/>
        </w:rPr>
      </w:pPr>
    </w:p>
    <w:p>
      <w:pPr>
        <w:ind w:left="460"/>
        <w:spacing w:after="0"/>
        <w:tabs>
          <w:tab w:leader="none" w:pos="3320" w:val="left"/>
        </w:tabs>
        <w:rPr>
          <w:sz w:val="20"/>
          <w:szCs w:val="20"/>
          <w:color w:val="auto"/>
        </w:rPr>
      </w:pPr>
      <w:r>
        <w:rPr>
          <w:rFonts w:ascii="Arial" w:cs="Arial" w:eastAsia="Arial" w:hAnsi="Arial"/>
          <w:sz w:val="18"/>
          <w:szCs w:val="18"/>
          <w:b w:val="1"/>
          <w:bCs w:val="1"/>
          <w:color w:val="auto"/>
        </w:rPr>
        <w:t>For the transition period from</w:t>
      </w:r>
      <w:r>
        <w:rPr>
          <w:sz w:val="20"/>
          <w:szCs w:val="20"/>
          <w:color w:val="auto"/>
        </w:rPr>
        <w:tab/>
      </w:r>
      <w:r>
        <w:rPr>
          <w:rFonts w:ascii="Arial" w:cs="Arial" w:eastAsia="Arial" w:hAnsi="Arial"/>
          <w:sz w:val="16"/>
          <w:szCs w:val="16"/>
          <w:b w:val="1"/>
          <w:bCs w:val="1"/>
          <w:color w:val="auto"/>
        </w:rPr>
        <w:t>to</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1763395</wp:posOffset>
            </wp:positionH>
            <wp:positionV relativeFrom="paragraph">
              <wp:posOffset>-10160</wp:posOffset>
            </wp:positionV>
            <wp:extent cx="817245" cy="889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extLst>
                    </a:blip>
                    <a:srcRect/>
                    <a:stretch>
                      <a:fillRect/>
                    </a:stretch>
                  </pic:blipFill>
                  <pic:spPr bwMode="auto">
                    <a:xfrm>
                      <a:off x="0" y="0"/>
                      <a:ext cx="817245" cy="8890"/>
                    </a:xfrm>
                    <a:prstGeom prst="rect">
                      <a:avLst/>
                    </a:prstGeom>
                    <a:noFill/>
                  </pic:spPr>
                </pic:pic>
              </a:graphicData>
            </a:graphic>
          </wp:anchor>
        </w:drawing>
      </w:r>
    </w:p>
    <w:p>
      <w:pPr>
        <w:spacing w:after="0" w:line="151" w:lineRule="exact"/>
        <w:rPr>
          <w:sz w:val="24"/>
          <w:szCs w:val="24"/>
          <w:color w:val="auto"/>
        </w:rPr>
      </w:pPr>
    </w:p>
    <w:p>
      <w:pPr>
        <w:jc w:val="center"/>
        <w:ind w:right="-19"/>
        <w:spacing w:after="0"/>
        <w:rPr>
          <w:sz w:val="20"/>
          <w:szCs w:val="20"/>
          <w:color w:val="auto"/>
        </w:rPr>
      </w:pPr>
      <w:r>
        <w:rPr>
          <w:rFonts w:ascii="Arial" w:cs="Arial" w:eastAsia="Arial" w:hAnsi="Arial"/>
          <w:sz w:val="18"/>
          <w:szCs w:val="18"/>
          <w:b w:val="1"/>
          <w:bCs w:val="1"/>
          <w:color w:val="auto"/>
        </w:rPr>
        <w:t>Commission file number: 0-30877</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2869565</wp:posOffset>
            </wp:positionH>
            <wp:positionV relativeFrom="paragraph">
              <wp:posOffset>118110</wp:posOffset>
            </wp:positionV>
            <wp:extent cx="1517650" cy="889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extLst>
                    </a:blip>
                    <a:srcRect/>
                    <a:stretch>
                      <a:fillRect/>
                    </a:stretch>
                  </pic:blipFill>
                  <pic:spPr bwMode="auto">
                    <a:xfrm>
                      <a:off x="0" y="0"/>
                      <a:ext cx="1517650" cy="8890"/>
                    </a:xfrm>
                    <a:prstGeom prst="rect">
                      <a:avLst/>
                    </a:prstGeom>
                    <a:noFill/>
                  </pic:spPr>
                </pic:pic>
              </a:graphicData>
            </a:graphic>
          </wp:anchor>
        </w:drawing>
      </w:r>
    </w:p>
    <w:p>
      <w:pPr>
        <w:spacing w:after="0" w:line="217" w:lineRule="exact"/>
        <w:rPr>
          <w:sz w:val="24"/>
          <w:szCs w:val="24"/>
          <w:color w:val="auto"/>
        </w:rPr>
      </w:pPr>
    </w:p>
    <w:p>
      <w:pPr>
        <w:jc w:val="center"/>
        <w:ind w:right="-19"/>
        <w:spacing w:after="0"/>
        <w:rPr>
          <w:sz w:val="20"/>
          <w:szCs w:val="20"/>
          <w:color w:val="auto"/>
        </w:rPr>
      </w:pPr>
      <w:r>
        <w:rPr>
          <w:rFonts w:ascii="Arial" w:cs="Arial" w:eastAsia="Arial" w:hAnsi="Arial"/>
          <w:sz w:val="43"/>
          <w:szCs w:val="43"/>
          <w:b w:val="1"/>
          <w:bCs w:val="1"/>
          <w:color w:val="auto"/>
        </w:rPr>
        <w:t>Marvell Technology Group Ltd.</w:t>
      </w:r>
    </w:p>
    <w:p>
      <w:pPr>
        <w:spacing w:after="0" w:line="54" w:lineRule="exact"/>
        <w:rPr>
          <w:sz w:val="24"/>
          <w:szCs w:val="24"/>
          <w:color w:val="auto"/>
        </w:rPr>
      </w:pPr>
    </w:p>
    <w:p>
      <w:pPr>
        <w:jc w:val="center"/>
        <w:ind w:right="-19"/>
        <w:spacing w:after="0"/>
        <w:rPr>
          <w:sz w:val="20"/>
          <w:szCs w:val="20"/>
          <w:color w:val="auto"/>
        </w:rPr>
      </w:pPr>
      <w:r>
        <w:rPr>
          <w:rFonts w:ascii="Arial" w:cs="Arial" w:eastAsia="Arial" w:hAnsi="Arial"/>
          <w:sz w:val="18"/>
          <w:szCs w:val="18"/>
          <w:b w:val="1"/>
          <w:bCs w:val="1"/>
          <w:color w:val="auto"/>
        </w:rPr>
        <w:t>(Exact name of registrant as specified in its charter)</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2869565</wp:posOffset>
            </wp:positionH>
            <wp:positionV relativeFrom="paragraph">
              <wp:posOffset>113665</wp:posOffset>
            </wp:positionV>
            <wp:extent cx="1517650" cy="889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extLst>
                        <a:ext uri="{28A0092B-C50C-407E-A947-70E740481C1C}"/>
                      </a:extLst>
                    </a:blip>
                    <a:srcRect/>
                    <a:stretch>
                      <a:fillRect/>
                    </a:stretch>
                  </pic:blipFill>
                  <pic:spPr bwMode="auto">
                    <a:xfrm>
                      <a:off x="0" y="0"/>
                      <a:ext cx="1517650" cy="8890"/>
                    </a:xfrm>
                    <a:prstGeom prst="rect">
                      <a:avLst/>
                    </a:prstGeom>
                    <a:noFill/>
                  </pic:spPr>
                </pic:pic>
              </a:graphicData>
            </a:graphic>
          </wp:anchor>
        </w:drawing>
      </w:r>
    </w:p>
    <w:p>
      <w:pPr>
        <w:sectPr>
          <w:pgSz w:w="11900" w:h="16838" w:orient="portrait"/>
          <w:cols w:equalWidth="0" w:num="1">
            <w:col w:w="11420"/>
          </w:cols>
          <w:pgMar w:left="240" w:top="230" w:right="239" w:bottom="1440" w:gutter="0" w:footer="0" w:header="0"/>
        </w:sectPr>
      </w:pPr>
    </w:p>
    <w:p>
      <w:pPr>
        <w:spacing w:after="0" w:line="286" w:lineRule="exact"/>
        <w:rPr>
          <w:sz w:val="24"/>
          <w:szCs w:val="24"/>
          <w:color w:val="auto"/>
        </w:rPr>
      </w:pPr>
    </w:p>
    <w:p>
      <w:pPr>
        <w:ind w:left="2520"/>
        <w:spacing w:after="0"/>
        <w:rPr>
          <w:sz w:val="20"/>
          <w:szCs w:val="20"/>
          <w:color w:val="auto"/>
        </w:rPr>
      </w:pPr>
      <w:r>
        <w:rPr>
          <w:rFonts w:ascii="Arial" w:cs="Arial" w:eastAsia="Arial" w:hAnsi="Arial"/>
          <w:sz w:val="16"/>
          <w:szCs w:val="16"/>
          <w:b w:val="1"/>
          <w:bCs w:val="1"/>
          <w:color w:val="auto"/>
        </w:rPr>
        <w:t>Bermuda</w:t>
      </w:r>
    </w:p>
    <w:p>
      <w:pPr>
        <w:spacing w:after="0" w:line="20" w:lineRule="exact"/>
        <w:rPr>
          <w:sz w:val="24"/>
          <w:szCs w:val="24"/>
          <w:color w:val="auto"/>
        </w:rPr>
      </w:pPr>
      <w:r>
        <w:rPr>
          <w:sz w:val="24"/>
          <w:szCs w:val="24"/>
          <w:color w:val="auto"/>
        </w:rPr>
        <w:br w:type="column"/>
      </w:r>
    </w:p>
    <w:p>
      <w:pPr>
        <w:spacing w:after="0" w:line="266" w:lineRule="exact"/>
        <w:rPr>
          <w:sz w:val="24"/>
          <w:szCs w:val="24"/>
          <w:color w:val="auto"/>
        </w:rPr>
      </w:pPr>
    </w:p>
    <w:p>
      <w:pPr>
        <w:spacing w:after="0"/>
        <w:rPr>
          <w:sz w:val="20"/>
          <w:szCs w:val="20"/>
          <w:color w:val="auto"/>
        </w:rPr>
      </w:pPr>
      <w:r>
        <w:rPr>
          <w:rFonts w:ascii="Arial" w:cs="Arial" w:eastAsia="Arial" w:hAnsi="Arial"/>
          <w:sz w:val="15"/>
          <w:szCs w:val="15"/>
          <w:b w:val="1"/>
          <w:bCs w:val="1"/>
          <w:color w:val="auto"/>
        </w:rPr>
        <w:t>77-0481679</w:t>
      </w:r>
    </w:p>
    <w:p>
      <w:pPr>
        <w:spacing w:after="0" w:line="55" w:lineRule="exact"/>
        <w:rPr>
          <w:sz w:val="24"/>
          <w:szCs w:val="24"/>
          <w:color w:val="auto"/>
        </w:rPr>
      </w:pPr>
    </w:p>
    <w:p>
      <w:pPr>
        <w:sectPr>
          <w:pgSz w:w="11900" w:h="16838" w:orient="portrait"/>
          <w:cols w:equalWidth="0" w:num="2">
            <w:col w:w="7540" w:space="720"/>
            <w:col w:w="3160"/>
          </w:cols>
          <w:pgMar w:left="240" w:top="230" w:right="239" w:bottom="1440" w:gutter="0" w:footer="0" w:header="0"/>
          <w:type w:val="continuous"/>
        </w:sectPr>
      </w:pPr>
    </w:p>
    <w:p>
      <w:pPr>
        <w:ind w:left="2020"/>
        <w:spacing w:after="0"/>
        <w:rPr>
          <w:sz w:val="20"/>
          <w:szCs w:val="20"/>
          <w:color w:val="auto"/>
        </w:rPr>
      </w:pPr>
      <w:r>
        <w:rPr>
          <w:rFonts w:ascii="Arial" w:cs="Arial" w:eastAsia="Arial" w:hAnsi="Arial"/>
          <w:sz w:val="12"/>
          <w:szCs w:val="12"/>
          <w:b w:val="1"/>
          <w:bCs w:val="1"/>
          <w:color w:val="auto"/>
        </w:rPr>
        <w:t>(State or other jurisdiction of</w:t>
      </w:r>
    </w:p>
    <w:p>
      <w:pPr>
        <w:spacing w:after="0" w:line="14" w:lineRule="exact"/>
        <w:rPr>
          <w:sz w:val="24"/>
          <w:szCs w:val="24"/>
          <w:color w:val="auto"/>
        </w:rPr>
      </w:pPr>
    </w:p>
    <w:p>
      <w:pPr>
        <w:ind w:left="1980"/>
        <w:spacing w:after="0"/>
        <w:rPr>
          <w:sz w:val="20"/>
          <w:szCs w:val="20"/>
          <w:color w:val="auto"/>
        </w:rPr>
      </w:pPr>
      <w:r>
        <w:rPr>
          <w:rFonts w:ascii="Arial" w:cs="Arial" w:eastAsia="Arial" w:hAnsi="Arial"/>
          <w:sz w:val="12"/>
          <w:szCs w:val="12"/>
          <w:b w:val="1"/>
          <w:bCs w:val="1"/>
          <w:color w:val="auto"/>
        </w:rPr>
        <w:t>incorporation or organization)</w:t>
      </w:r>
    </w:p>
    <w:p>
      <w:pPr>
        <w:spacing w:after="0" w:line="20" w:lineRule="exact"/>
        <w:rPr>
          <w:sz w:val="24"/>
          <w:szCs w:val="24"/>
          <w:color w:val="auto"/>
        </w:rPr>
      </w:pPr>
      <w:r>
        <w:rPr>
          <w:sz w:val="24"/>
          <w:szCs w:val="24"/>
          <w:color w:val="auto"/>
        </w:rPr>
        <w:br w:type="column"/>
      </w:r>
    </w:p>
    <w:p>
      <w:pPr>
        <w:ind w:left="40"/>
        <w:spacing w:after="0"/>
        <w:rPr>
          <w:sz w:val="20"/>
          <w:szCs w:val="20"/>
          <w:color w:val="auto"/>
        </w:rPr>
      </w:pPr>
      <w:r>
        <w:rPr>
          <w:rFonts w:ascii="Arial" w:cs="Arial" w:eastAsia="Arial" w:hAnsi="Arial"/>
          <w:sz w:val="12"/>
          <w:szCs w:val="12"/>
          <w:b w:val="1"/>
          <w:bCs w:val="1"/>
          <w:color w:val="auto"/>
        </w:rPr>
        <w:t>(I.R.S. Employer</w:t>
      </w:r>
    </w:p>
    <w:p>
      <w:pPr>
        <w:spacing w:after="0" w:line="14" w:lineRule="exact"/>
        <w:rPr>
          <w:sz w:val="24"/>
          <w:szCs w:val="24"/>
          <w:color w:val="auto"/>
        </w:rPr>
      </w:pPr>
    </w:p>
    <w:p>
      <w:pPr>
        <w:spacing w:after="0"/>
        <w:rPr>
          <w:sz w:val="20"/>
          <w:szCs w:val="20"/>
          <w:color w:val="auto"/>
        </w:rPr>
      </w:pPr>
      <w:r>
        <w:rPr>
          <w:rFonts w:ascii="Arial" w:cs="Arial" w:eastAsia="Arial" w:hAnsi="Arial"/>
          <w:sz w:val="12"/>
          <w:szCs w:val="12"/>
          <w:b w:val="1"/>
          <w:bCs w:val="1"/>
          <w:color w:val="auto"/>
        </w:rPr>
        <w:t>Identification No.)</w:t>
      </w:r>
    </w:p>
    <w:p>
      <w:pPr>
        <w:spacing w:after="0" w:line="171" w:lineRule="exact"/>
        <w:rPr>
          <w:sz w:val="24"/>
          <w:szCs w:val="24"/>
          <w:color w:val="auto"/>
        </w:rPr>
      </w:pPr>
    </w:p>
    <w:p>
      <w:pPr>
        <w:sectPr>
          <w:pgSz w:w="11900" w:h="16838" w:orient="portrait"/>
          <w:cols w:equalWidth="0" w:num="2">
            <w:col w:w="7440" w:space="720"/>
            <w:col w:w="3260"/>
          </w:cols>
          <w:pgMar w:left="240" w:top="230" w:right="239" w:bottom="1440" w:gutter="0" w:footer="0" w:header="0"/>
          <w:type w:val="continuous"/>
        </w:sectPr>
      </w:pPr>
    </w:p>
    <w:p>
      <w:pPr>
        <w:jc w:val="center"/>
        <w:spacing w:after="0"/>
        <w:rPr>
          <w:sz w:val="20"/>
          <w:szCs w:val="20"/>
          <w:color w:val="auto"/>
        </w:rPr>
      </w:pPr>
      <w:r>
        <w:rPr>
          <w:rFonts w:ascii="Arial" w:cs="Arial" w:eastAsia="Arial" w:hAnsi="Arial"/>
          <w:sz w:val="16"/>
          <w:szCs w:val="16"/>
          <w:b w:val="1"/>
          <w:bCs w:val="1"/>
          <w:color w:val="auto"/>
        </w:rPr>
        <w:t>Canon’s Court, 22 Victoria Street, Hamilton HM 12, Bermuda</w:t>
      </w:r>
    </w:p>
    <w:p>
      <w:pPr>
        <w:spacing w:after="0" w:line="44" w:lineRule="exact"/>
        <w:rPr>
          <w:sz w:val="24"/>
          <w:szCs w:val="24"/>
          <w:color w:val="auto"/>
        </w:rPr>
      </w:pPr>
    </w:p>
    <w:p>
      <w:pPr>
        <w:jc w:val="center"/>
        <w:spacing w:after="0"/>
        <w:rPr>
          <w:sz w:val="20"/>
          <w:szCs w:val="20"/>
          <w:color w:val="auto"/>
        </w:rPr>
      </w:pPr>
      <w:r>
        <w:rPr>
          <w:rFonts w:ascii="Arial" w:cs="Arial" w:eastAsia="Arial" w:hAnsi="Arial"/>
          <w:sz w:val="18"/>
          <w:szCs w:val="18"/>
          <w:b w:val="1"/>
          <w:bCs w:val="1"/>
          <w:color w:val="auto"/>
        </w:rPr>
        <w:t>(441) 296-6395</w:t>
      </w:r>
    </w:p>
    <w:p>
      <w:pPr>
        <w:jc w:val="center"/>
        <w:spacing w:after="0"/>
        <w:rPr>
          <w:sz w:val="20"/>
          <w:szCs w:val="20"/>
          <w:color w:val="auto"/>
        </w:rPr>
      </w:pPr>
      <w:r>
        <w:rPr>
          <w:rFonts w:ascii="Arial" w:cs="Arial" w:eastAsia="Arial" w:hAnsi="Arial"/>
          <w:sz w:val="14"/>
          <w:szCs w:val="14"/>
          <w:b w:val="1"/>
          <w:bCs w:val="1"/>
          <w:color w:val="auto"/>
        </w:rPr>
        <w:t>(Address, including Zip Code, of principal executive offices and</w:t>
      </w:r>
    </w:p>
    <w:p>
      <w:pPr>
        <w:jc w:val="center"/>
        <w:spacing w:after="0"/>
        <w:rPr>
          <w:sz w:val="20"/>
          <w:szCs w:val="20"/>
          <w:color w:val="auto"/>
        </w:rPr>
      </w:pPr>
      <w:r>
        <w:rPr>
          <w:rFonts w:ascii="Arial" w:cs="Arial" w:eastAsia="Arial" w:hAnsi="Arial"/>
          <w:sz w:val="14"/>
          <w:szCs w:val="14"/>
          <w:b w:val="1"/>
          <w:bCs w:val="1"/>
          <w:color w:val="auto"/>
        </w:rPr>
        <w:t>registrant’s telephone number, including area code)</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2869565</wp:posOffset>
            </wp:positionH>
            <wp:positionV relativeFrom="paragraph">
              <wp:posOffset>93980</wp:posOffset>
            </wp:positionV>
            <wp:extent cx="1517650" cy="889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5">
                      <a:extLst>
                        <a:ext uri="{28A0092B-C50C-407E-A947-70E740481C1C}"/>
                      </a:extLst>
                    </a:blip>
                    <a:srcRect/>
                    <a:stretch>
                      <a:fillRect/>
                    </a:stretch>
                  </pic:blipFill>
                  <pic:spPr bwMode="auto">
                    <a:xfrm>
                      <a:off x="0" y="0"/>
                      <a:ext cx="1517650" cy="8890"/>
                    </a:xfrm>
                    <a:prstGeom prst="rect">
                      <a:avLst/>
                    </a:prstGeom>
                    <a:noFill/>
                  </pic:spPr>
                </pic:pic>
              </a:graphicData>
            </a:graphic>
          </wp:anchor>
        </w:drawing>
      </w:r>
    </w:p>
    <w:p>
      <w:pPr>
        <w:sectPr>
          <w:pgSz w:w="11900" w:h="16838" w:orient="portrait"/>
          <w:cols w:equalWidth="0" w:num="1">
            <w:col w:w="11420"/>
          </w:cols>
          <w:pgMar w:left="240" w:top="230" w:right="239" w:bottom="1440" w:gutter="0" w:footer="0" w:header="0"/>
          <w:type w:val="continuous"/>
        </w:sectPr>
      </w:pPr>
    </w:p>
    <w:p>
      <w:pPr>
        <w:spacing w:after="0" w:line="235" w:lineRule="exact"/>
        <w:rPr>
          <w:sz w:val="24"/>
          <w:szCs w:val="24"/>
          <w:color w:val="auto"/>
        </w:rPr>
      </w:pPr>
    </w:p>
    <w:p>
      <w:pPr>
        <w:ind w:right="280" w:firstLine="456"/>
        <w:spacing w:after="0" w:line="225" w:lineRule="exact"/>
        <w:rPr>
          <w:sz w:val="20"/>
          <w:szCs w:val="20"/>
          <w:color w:val="auto"/>
        </w:rPr>
      </w:pPr>
      <w:r>
        <w:rPr>
          <w:rFonts w:ascii="Arial" w:cs="Arial" w:eastAsia="Arial" w:hAnsi="Arial"/>
          <w:sz w:val="18"/>
          <w:szCs w:val="18"/>
          <w:color w:val="auto"/>
        </w:rPr>
        <w:t xml:space="preserve">Indicate by check mark whether the registrant (1) has filed all reports required to be filed by Section 13 or 15(d) of the Securities Exchange Act of 1934 during the preceding 12 months (or for such shorter period that the registrant was required to file such reports), and (2) has been subject to such filing requirements for the past 90 days. </w:t>
      </w:r>
      <w:r>
        <w:rPr>
          <w:rFonts w:ascii="MS PGothic" w:cs="MS PGothic" w:eastAsia="MS PGothic" w:hAnsi="MS PGothic"/>
          <w:sz w:val="18"/>
          <w:szCs w:val="18"/>
          <w:color w:val="auto"/>
        </w:rPr>
        <w:t>☒</w:t>
      </w:r>
      <w:r>
        <w:rPr>
          <w:rFonts w:ascii="Arial" w:cs="Arial" w:eastAsia="Arial" w:hAnsi="Arial"/>
          <w:sz w:val="18"/>
          <w:szCs w:val="18"/>
          <w:color w:val="auto"/>
        </w:rPr>
        <w:t xml:space="preserve"> Yes </w:t>
      </w:r>
      <w:r>
        <w:rPr>
          <w:rFonts w:ascii="MS PGothic" w:cs="MS PGothic" w:eastAsia="MS PGothic" w:hAnsi="MS PGothic"/>
          <w:sz w:val="18"/>
          <w:szCs w:val="18"/>
          <w:color w:val="auto"/>
        </w:rPr>
        <w:t>☐</w:t>
      </w:r>
      <w:r>
        <w:rPr>
          <w:rFonts w:ascii="Arial" w:cs="Arial" w:eastAsia="Arial" w:hAnsi="Arial"/>
          <w:sz w:val="18"/>
          <w:szCs w:val="18"/>
          <w:color w:val="auto"/>
        </w:rPr>
        <w:t xml:space="preserve"> No</w:t>
      </w:r>
    </w:p>
    <w:p>
      <w:pPr>
        <w:spacing w:after="0" w:line="138" w:lineRule="exact"/>
        <w:rPr>
          <w:sz w:val="24"/>
          <w:szCs w:val="24"/>
          <w:color w:val="auto"/>
        </w:rPr>
      </w:pPr>
    </w:p>
    <w:p>
      <w:pPr>
        <w:jc w:val="both"/>
        <w:ind w:right="60" w:firstLine="456"/>
        <w:spacing w:after="0" w:line="225" w:lineRule="exact"/>
        <w:rPr>
          <w:sz w:val="20"/>
          <w:szCs w:val="20"/>
          <w:color w:val="auto"/>
        </w:rPr>
      </w:pPr>
      <w:r>
        <w:rPr>
          <w:rFonts w:ascii="Arial" w:cs="Arial" w:eastAsia="Arial" w:hAnsi="Arial"/>
          <w:sz w:val="18"/>
          <w:szCs w:val="18"/>
          <w:color w:val="auto"/>
        </w:rPr>
        <w:t xml:space="preserve">Indicate by check mark whether the registrant has submitted electronically and posted on its corporate Web site, if any, every Interactive Data File required to be submitted and posted pursuant to Rule 405 of Regulation S-T (§232.405 of this chapter) during the preceding 12 months (or for such shorter period that the registrant was required to submit and post such files). </w:t>
      </w:r>
      <w:r>
        <w:rPr>
          <w:rFonts w:ascii="MS PGothic" w:cs="MS PGothic" w:eastAsia="MS PGothic" w:hAnsi="MS PGothic"/>
          <w:sz w:val="18"/>
          <w:szCs w:val="18"/>
          <w:color w:val="auto"/>
        </w:rPr>
        <w:t>☒</w:t>
      </w:r>
      <w:r>
        <w:rPr>
          <w:rFonts w:ascii="Arial" w:cs="Arial" w:eastAsia="Arial" w:hAnsi="Arial"/>
          <w:sz w:val="18"/>
          <w:szCs w:val="18"/>
          <w:color w:val="auto"/>
        </w:rPr>
        <w:t xml:space="preserve"> Yes </w:t>
      </w:r>
      <w:r>
        <w:rPr>
          <w:rFonts w:ascii="MS PGothic" w:cs="MS PGothic" w:eastAsia="MS PGothic" w:hAnsi="MS PGothic"/>
          <w:sz w:val="18"/>
          <w:szCs w:val="18"/>
          <w:color w:val="auto"/>
        </w:rPr>
        <w:t>☐</w:t>
      </w:r>
      <w:r>
        <w:rPr>
          <w:rFonts w:ascii="Arial" w:cs="Arial" w:eastAsia="Arial" w:hAnsi="Arial"/>
          <w:sz w:val="18"/>
          <w:szCs w:val="18"/>
          <w:color w:val="auto"/>
        </w:rPr>
        <w:t xml:space="preserve"> No</w:t>
      </w:r>
    </w:p>
    <w:p>
      <w:pPr>
        <w:spacing w:after="0" w:line="138" w:lineRule="exact"/>
        <w:rPr>
          <w:sz w:val="24"/>
          <w:szCs w:val="24"/>
          <w:color w:val="auto"/>
        </w:rPr>
      </w:pPr>
    </w:p>
    <w:p>
      <w:pPr>
        <w:ind w:right="220" w:firstLine="456"/>
        <w:spacing w:after="0" w:line="332" w:lineRule="auto"/>
        <w:rPr>
          <w:sz w:val="20"/>
          <w:szCs w:val="20"/>
          <w:color w:val="auto"/>
        </w:rPr>
      </w:pPr>
      <w:r>
        <w:rPr>
          <w:rFonts w:ascii="Arial" w:cs="Arial" w:eastAsia="Arial" w:hAnsi="Arial"/>
          <w:sz w:val="16"/>
          <w:szCs w:val="16"/>
          <w:color w:val="auto"/>
        </w:rPr>
        <w:t>Indicate by check mark whether the registrant is a large accelerated filer, an accelerated filer, a non-accelerated filer, or a smaller reporting company. See the definitions of “large accelerated filer,” “accelerated filer” and “smaller reporting company” in Rule 12b-2 of the Exchange Act. (Check one):</w:t>
      </w:r>
    </w:p>
    <w:p>
      <w:pPr>
        <w:spacing w:after="0" w:line="93" w:lineRule="exact"/>
        <w:rPr>
          <w:sz w:val="24"/>
          <w:szCs w:val="24"/>
          <w:color w:val="auto"/>
        </w:rPr>
      </w:pPr>
    </w:p>
    <w:tbl>
      <w:tblPr>
        <w:tblLayout w:type="fixed"/>
        <w:tblInd w:w="0" w:type="dxa"/>
        <w:tblCellMar>
          <w:top w:w="0" w:type="dxa"/>
          <w:left w:w="0" w:type="dxa"/>
          <w:bottom w:w="0" w:type="dxa"/>
          <w:right w:w="0" w:type="dxa"/>
        </w:tblCellMar>
      </w:tblPr>
      <w:tr>
        <w:trPr>
          <w:trHeight w:val="275"/>
        </w:trPr>
        <w:tc>
          <w:tcPr>
            <w:tcW w:w="1760" w:type="dxa"/>
            <w:vAlign w:val="bottom"/>
          </w:tcPr>
          <w:p>
            <w:pPr>
              <w:spacing w:after="0"/>
              <w:rPr>
                <w:sz w:val="20"/>
                <w:szCs w:val="20"/>
                <w:color w:val="auto"/>
              </w:rPr>
            </w:pPr>
            <w:r>
              <w:rPr>
                <w:rFonts w:ascii="Arial" w:cs="Arial" w:eastAsia="Arial" w:hAnsi="Arial"/>
                <w:sz w:val="18"/>
                <w:szCs w:val="18"/>
                <w:color w:val="auto"/>
                <w:w w:val="97"/>
              </w:rPr>
              <w:t>Large accelerated filer</w:t>
            </w:r>
          </w:p>
        </w:tc>
        <w:tc>
          <w:tcPr>
            <w:tcW w:w="6760" w:type="dxa"/>
            <w:vAlign w:val="bottom"/>
          </w:tcPr>
          <w:p>
            <w:pPr>
              <w:ind w:left="160"/>
              <w:spacing w:after="0" w:line="181" w:lineRule="exact"/>
              <w:rPr>
                <w:sz w:val="20"/>
                <w:szCs w:val="20"/>
                <w:color w:val="auto"/>
              </w:rPr>
            </w:pPr>
            <w:r>
              <w:rPr>
                <w:rFonts w:ascii="MS PGothic" w:cs="MS PGothic" w:eastAsia="MS PGothic" w:hAnsi="MS PGothic"/>
                <w:sz w:val="18"/>
                <w:szCs w:val="18"/>
                <w:color w:val="auto"/>
              </w:rPr>
              <w:t>☒</w:t>
            </w:r>
          </w:p>
        </w:tc>
        <w:tc>
          <w:tcPr>
            <w:tcW w:w="2500" w:type="dxa"/>
            <w:vAlign w:val="bottom"/>
          </w:tcPr>
          <w:p>
            <w:pPr>
              <w:ind w:left="340"/>
              <w:spacing w:after="0"/>
              <w:rPr>
                <w:sz w:val="20"/>
                <w:szCs w:val="20"/>
                <w:color w:val="auto"/>
              </w:rPr>
            </w:pPr>
            <w:r>
              <w:rPr>
                <w:rFonts w:ascii="Arial" w:cs="Arial" w:eastAsia="Arial" w:hAnsi="Arial"/>
                <w:sz w:val="18"/>
                <w:szCs w:val="18"/>
                <w:color w:val="auto"/>
              </w:rPr>
              <w:t>Accelerated filer</w:t>
            </w:r>
          </w:p>
        </w:tc>
        <w:tc>
          <w:tcPr>
            <w:tcW w:w="400" w:type="dxa"/>
            <w:vAlign w:val="bottom"/>
          </w:tcPr>
          <w:p>
            <w:pPr>
              <w:ind w:left="240"/>
              <w:spacing w:after="0" w:line="181" w:lineRule="exact"/>
              <w:rPr>
                <w:sz w:val="20"/>
                <w:szCs w:val="20"/>
                <w:color w:val="auto"/>
              </w:rPr>
            </w:pPr>
            <w:r>
              <w:rPr>
                <w:rFonts w:ascii="MS PGothic" w:cs="MS PGothic" w:eastAsia="MS PGothic" w:hAnsi="MS PGothic"/>
                <w:sz w:val="18"/>
                <w:szCs w:val="18"/>
                <w:color w:val="auto"/>
                <w:w w:val="77"/>
              </w:rPr>
              <w:t>☐</w:t>
            </w:r>
          </w:p>
        </w:tc>
      </w:tr>
      <w:tr>
        <w:trPr>
          <w:trHeight w:val="324"/>
        </w:trPr>
        <w:tc>
          <w:tcPr>
            <w:tcW w:w="1760" w:type="dxa"/>
            <w:vAlign w:val="bottom"/>
          </w:tcPr>
          <w:p>
            <w:pPr>
              <w:spacing w:after="0"/>
              <w:rPr>
                <w:sz w:val="20"/>
                <w:szCs w:val="20"/>
                <w:color w:val="auto"/>
              </w:rPr>
            </w:pPr>
            <w:r>
              <w:rPr>
                <w:rFonts w:ascii="Arial" w:cs="Arial" w:eastAsia="Arial" w:hAnsi="Arial"/>
                <w:sz w:val="18"/>
                <w:szCs w:val="18"/>
                <w:color w:val="auto"/>
              </w:rPr>
              <w:t>Non-accelerated filer</w:t>
            </w:r>
          </w:p>
        </w:tc>
        <w:tc>
          <w:tcPr>
            <w:tcW w:w="6760" w:type="dxa"/>
            <w:vAlign w:val="bottom"/>
          </w:tcPr>
          <w:p>
            <w:pPr>
              <w:ind w:left="160"/>
              <w:spacing w:after="0" w:line="207" w:lineRule="exact"/>
              <w:rPr>
                <w:sz w:val="20"/>
                <w:szCs w:val="20"/>
                <w:color w:val="auto"/>
              </w:rPr>
            </w:pPr>
            <w:r>
              <w:rPr>
                <w:rFonts w:ascii="MS PGothic" w:cs="MS PGothic" w:eastAsia="MS PGothic" w:hAnsi="MS PGothic"/>
                <w:sz w:val="18"/>
                <w:szCs w:val="18"/>
                <w:color w:val="auto"/>
              </w:rPr>
              <w:t>☐</w:t>
            </w:r>
            <w:r>
              <w:rPr>
                <w:rFonts w:ascii="Arial" w:cs="Arial" w:eastAsia="Arial" w:hAnsi="Arial"/>
                <w:sz w:val="18"/>
                <w:szCs w:val="18"/>
                <w:color w:val="auto"/>
              </w:rPr>
              <w:t xml:space="preserve"> (Do not check if a smaller reporting company)</w:t>
            </w:r>
          </w:p>
        </w:tc>
        <w:tc>
          <w:tcPr>
            <w:tcW w:w="2500" w:type="dxa"/>
            <w:vAlign w:val="bottom"/>
          </w:tcPr>
          <w:p>
            <w:pPr>
              <w:ind w:left="340"/>
              <w:spacing w:after="0"/>
              <w:rPr>
                <w:sz w:val="20"/>
                <w:szCs w:val="20"/>
                <w:color w:val="auto"/>
              </w:rPr>
            </w:pPr>
            <w:r>
              <w:rPr>
                <w:rFonts w:ascii="Arial" w:cs="Arial" w:eastAsia="Arial" w:hAnsi="Arial"/>
                <w:sz w:val="18"/>
                <w:szCs w:val="18"/>
                <w:color w:val="auto"/>
                <w:w w:val="99"/>
              </w:rPr>
              <w:t>Smaller reporting company</w:t>
            </w:r>
          </w:p>
        </w:tc>
        <w:tc>
          <w:tcPr>
            <w:tcW w:w="400" w:type="dxa"/>
            <w:vAlign w:val="bottom"/>
          </w:tcPr>
          <w:p>
            <w:pPr>
              <w:ind w:left="240"/>
              <w:spacing w:after="0" w:line="181" w:lineRule="exact"/>
              <w:rPr>
                <w:sz w:val="20"/>
                <w:szCs w:val="20"/>
                <w:color w:val="auto"/>
              </w:rPr>
            </w:pPr>
            <w:r>
              <w:rPr>
                <w:rFonts w:ascii="MS PGothic" w:cs="MS PGothic" w:eastAsia="MS PGothic" w:hAnsi="MS PGothic"/>
                <w:sz w:val="18"/>
                <w:szCs w:val="18"/>
                <w:color w:val="auto"/>
                <w:w w:val="77"/>
              </w:rPr>
              <w:t>☐</w:t>
            </w:r>
          </w:p>
        </w:tc>
      </w:tr>
      <w:tr>
        <w:trPr>
          <w:trHeight w:val="378"/>
        </w:trPr>
        <w:tc>
          <w:tcPr>
            <w:tcW w:w="8520" w:type="dxa"/>
            <w:vAlign w:val="bottom"/>
            <w:gridSpan w:val="2"/>
          </w:tcPr>
          <w:p>
            <w:pPr>
              <w:ind w:left="460"/>
              <w:spacing w:after="0"/>
              <w:rPr>
                <w:sz w:val="20"/>
                <w:szCs w:val="20"/>
                <w:color w:val="auto"/>
              </w:rPr>
            </w:pPr>
            <w:r>
              <w:rPr>
                <w:rFonts w:ascii="Arial" w:cs="Arial" w:eastAsia="Arial" w:hAnsi="Arial"/>
                <w:sz w:val="18"/>
                <w:szCs w:val="18"/>
                <w:color w:val="auto"/>
                <w:w w:val="89"/>
              </w:rPr>
              <w:t>Indicate by check mark whether the registrant is a shell company (as defined in Rule 12b-2 of the Exchange Act).</w:t>
            </w:r>
          </w:p>
        </w:tc>
        <w:tc>
          <w:tcPr>
            <w:tcW w:w="2500" w:type="dxa"/>
            <w:vAlign w:val="bottom"/>
          </w:tcPr>
          <w:p>
            <w:pPr>
              <w:ind w:left="100"/>
              <w:spacing w:after="0" w:line="207" w:lineRule="exact"/>
              <w:rPr>
                <w:sz w:val="20"/>
                <w:szCs w:val="20"/>
                <w:color w:val="auto"/>
              </w:rPr>
            </w:pPr>
            <w:r>
              <w:rPr>
                <w:rFonts w:ascii="MS PGothic" w:cs="MS PGothic" w:eastAsia="MS PGothic" w:hAnsi="MS PGothic"/>
                <w:sz w:val="18"/>
                <w:szCs w:val="18"/>
                <w:color w:val="auto"/>
              </w:rPr>
              <w:t>☐</w:t>
            </w:r>
            <w:r>
              <w:rPr>
                <w:rFonts w:ascii="Arial" w:cs="Arial" w:eastAsia="Arial" w:hAnsi="Arial"/>
                <w:sz w:val="18"/>
                <w:szCs w:val="18"/>
                <w:color w:val="auto"/>
              </w:rPr>
              <w:t xml:space="preserve"> Yes  </w:t>
            </w:r>
            <w:r>
              <w:rPr>
                <w:rFonts w:ascii="MS PGothic" w:cs="MS PGothic" w:eastAsia="MS PGothic" w:hAnsi="MS PGothic"/>
                <w:sz w:val="18"/>
                <w:szCs w:val="18"/>
                <w:color w:val="auto"/>
              </w:rPr>
              <w:t>☒</w:t>
            </w:r>
            <w:r>
              <w:rPr>
                <w:rFonts w:ascii="Arial" w:cs="Arial" w:eastAsia="Arial" w:hAnsi="Arial"/>
                <w:sz w:val="18"/>
                <w:szCs w:val="18"/>
                <w:color w:val="auto"/>
              </w:rPr>
              <w:t xml:space="preserve"> No</w:t>
            </w:r>
          </w:p>
        </w:tc>
        <w:tc>
          <w:tcPr>
            <w:tcW w:w="400" w:type="dxa"/>
            <w:vAlign w:val="bottom"/>
          </w:tcPr>
          <w:p>
            <w:pPr>
              <w:spacing w:after="0"/>
              <w:rPr>
                <w:sz w:val="24"/>
                <w:szCs w:val="24"/>
                <w:color w:val="auto"/>
              </w:rPr>
            </w:pPr>
          </w:p>
        </w:tc>
      </w:tr>
      <w:tr>
        <w:trPr>
          <w:trHeight w:val="358"/>
        </w:trPr>
        <w:tc>
          <w:tcPr>
            <w:tcW w:w="8520" w:type="dxa"/>
            <w:vAlign w:val="bottom"/>
            <w:gridSpan w:val="2"/>
          </w:tcPr>
          <w:p>
            <w:pPr>
              <w:ind w:left="460"/>
              <w:spacing w:after="0"/>
              <w:rPr>
                <w:sz w:val="20"/>
                <w:szCs w:val="20"/>
                <w:color w:val="auto"/>
              </w:rPr>
            </w:pPr>
            <w:r>
              <w:rPr>
                <w:rFonts w:ascii="Arial" w:cs="Arial" w:eastAsia="Arial" w:hAnsi="Arial"/>
                <w:sz w:val="18"/>
                <w:szCs w:val="18"/>
                <w:color w:val="auto"/>
                <w:w w:val="90"/>
              </w:rPr>
              <w:t>The number of common shares of the registrant outstanding as of November 30, 2009 was 624,839,852 shares.</w:t>
            </w:r>
          </w:p>
        </w:tc>
        <w:tc>
          <w:tcPr>
            <w:tcW w:w="2500" w:type="dxa"/>
            <w:vAlign w:val="bottom"/>
          </w:tcPr>
          <w:p>
            <w:pPr>
              <w:spacing w:after="0"/>
              <w:rPr>
                <w:sz w:val="24"/>
                <w:szCs w:val="24"/>
                <w:color w:val="auto"/>
              </w:rPr>
            </w:pPr>
          </w:p>
        </w:tc>
        <w:tc>
          <w:tcPr>
            <w:tcW w:w="400" w:type="dxa"/>
            <w:vAlign w:val="bottom"/>
          </w:tcPr>
          <w:p>
            <w:pPr>
              <w:spacing w:after="0"/>
              <w:rPr>
                <w:sz w:val="24"/>
                <w:szCs w:val="24"/>
                <w:color w:val="auto"/>
              </w:rPr>
            </w:pPr>
          </w:p>
        </w:tc>
      </w:tr>
      <w:tr>
        <w:trPr>
          <w:trHeight w:val="124"/>
        </w:trPr>
        <w:tc>
          <w:tcPr>
            <w:tcW w:w="1760" w:type="dxa"/>
            <w:vAlign w:val="bottom"/>
            <w:tcBorders>
              <w:bottom w:val="single" w:sz="8" w:color="auto"/>
            </w:tcBorders>
          </w:tcPr>
          <w:p>
            <w:pPr>
              <w:spacing w:after="0"/>
              <w:rPr>
                <w:sz w:val="10"/>
                <w:szCs w:val="10"/>
                <w:color w:val="auto"/>
              </w:rPr>
            </w:pPr>
          </w:p>
        </w:tc>
        <w:tc>
          <w:tcPr>
            <w:tcW w:w="6760" w:type="dxa"/>
            <w:vAlign w:val="bottom"/>
            <w:tcBorders>
              <w:bottom w:val="single" w:sz="8" w:color="auto"/>
            </w:tcBorders>
          </w:tcPr>
          <w:p>
            <w:pPr>
              <w:spacing w:after="0"/>
              <w:rPr>
                <w:sz w:val="10"/>
                <w:szCs w:val="10"/>
                <w:color w:val="auto"/>
              </w:rPr>
            </w:pPr>
          </w:p>
        </w:tc>
        <w:tc>
          <w:tcPr>
            <w:tcW w:w="2500" w:type="dxa"/>
            <w:vAlign w:val="bottom"/>
            <w:tcBorders>
              <w:bottom w:val="single" w:sz="8" w:color="auto"/>
            </w:tcBorders>
          </w:tcPr>
          <w:p>
            <w:pPr>
              <w:spacing w:after="0"/>
              <w:rPr>
                <w:sz w:val="10"/>
                <w:szCs w:val="10"/>
                <w:color w:val="auto"/>
              </w:rPr>
            </w:pPr>
          </w:p>
        </w:tc>
        <w:tc>
          <w:tcPr>
            <w:tcW w:w="400" w:type="dxa"/>
            <w:vAlign w:val="bottom"/>
            <w:tcBorders>
              <w:bottom w:val="single" w:sz="8" w:color="auto"/>
            </w:tcBorders>
          </w:tcPr>
          <w:p>
            <w:pPr>
              <w:spacing w:after="0"/>
              <w:rPr>
                <w:sz w:val="10"/>
                <w:szCs w:val="10"/>
                <w:color w:val="auto"/>
              </w:rPr>
            </w:pPr>
          </w:p>
        </w:tc>
      </w:tr>
      <w:tr>
        <w:trPr>
          <w:trHeight w:val="21"/>
        </w:trPr>
        <w:tc>
          <w:tcPr>
            <w:tcW w:w="1760" w:type="dxa"/>
            <w:vAlign w:val="bottom"/>
            <w:tcBorders>
              <w:bottom w:val="single" w:sz="8" w:color="auto"/>
            </w:tcBorders>
          </w:tcPr>
          <w:p>
            <w:pPr>
              <w:spacing w:after="0" w:line="20" w:lineRule="exact"/>
              <w:rPr>
                <w:sz w:val="1"/>
                <w:szCs w:val="1"/>
                <w:color w:val="auto"/>
              </w:rPr>
            </w:pPr>
          </w:p>
        </w:tc>
        <w:tc>
          <w:tcPr>
            <w:tcW w:w="6760" w:type="dxa"/>
            <w:vAlign w:val="bottom"/>
            <w:tcBorders>
              <w:bottom w:val="single" w:sz="8" w:color="auto"/>
            </w:tcBorders>
          </w:tcPr>
          <w:p>
            <w:pPr>
              <w:spacing w:after="0" w:line="20" w:lineRule="exact"/>
              <w:rPr>
                <w:sz w:val="1"/>
                <w:szCs w:val="1"/>
                <w:color w:val="auto"/>
              </w:rPr>
            </w:pPr>
          </w:p>
        </w:tc>
        <w:tc>
          <w:tcPr>
            <w:tcW w:w="2500" w:type="dxa"/>
            <w:vAlign w:val="bottom"/>
            <w:tcBorders>
              <w:bottom w:val="single" w:sz="8" w:color="auto"/>
            </w:tcBorders>
          </w:tcPr>
          <w:p>
            <w:pPr>
              <w:spacing w:after="0" w:line="20" w:lineRule="exact"/>
              <w:rPr>
                <w:sz w:val="1"/>
                <w:szCs w:val="1"/>
                <w:color w:val="auto"/>
              </w:rPr>
            </w:pPr>
          </w:p>
        </w:tc>
        <w:tc>
          <w:tcPr>
            <w:tcW w:w="400" w:type="dxa"/>
            <w:vAlign w:val="bottom"/>
            <w:tcBorders>
              <w:bottom w:val="single" w:sz="8" w:color="auto"/>
            </w:tcBorders>
          </w:tcPr>
          <w:p>
            <w:pPr>
              <w:spacing w:after="0" w:line="20" w:lineRule="exact"/>
              <w:rPr>
                <w:sz w:val="1"/>
                <w:szCs w:val="1"/>
                <w:color w:val="auto"/>
              </w:rPr>
            </w:pPr>
          </w:p>
        </w:tc>
      </w:tr>
    </w:tbl>
    <w:p>
      <w:pPr>
        <w:sectPr>
          <w:pgSz w:w="11900" w:h="16838" w:orient="portrait"/>
          <w:cols w:equalWidth="0" w:num="1">
            <w:col w:w="11420"/>
          </w:cols>
          <w:pgMar w:left="240" w:top="230" w:right="239" w:bottom="1440" w:gutter="0" w:footer="0" w:header="0"/>
          <w:type w:val="continuous"/>
        </w:sectPr>
      </w:pPr>
    </w:p>
    <w:bookmarkStart w:id="1" w:name="page2"/>
    <w:bookmarkEnd w:id="1"/>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6">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TABLE OF CONTENTS</w:t>
      </w:r>
    </w:p>
    <w:p>
      <w:pPr>
        <w:spacing w:after="0" w:line="213"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74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520" w:type="dxa"/>
            <w:vAlign w:val="bottom"/>
          </w:tcPr>
          <w:p>
            <w:pPr>
              <w:spacing w:after="0"/>
              <w:rPr>
                <w:sz w:val="14"/>
                <w:szCs w:val="14"/>
                <w:color w:val="auto"/>
              </w:rPr>
            </w:pPr>
          </w:p>
        </w:tc>
        <w:tc>
          <w:tcPr>
            <w:tcW w:w="280" w:type="dxa"/>
            <w:vAlign w:val="bottom"/>
          </w:tcPr>
          <w:p>
            <w:pPr>
              <w:spacing w:after="0"/>
              <w:rPr>
                <w:sz w:val="14"/>
                <w:szCs w:val="14"/>
                <w:color w:val="auto"/>
              </w:rPr>
            </w:pPr>
          </w:p>
        </w:tc>
        <w:tc>
          <w:tcPr>
            <w:tcW w:w="40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540" w:type="dxa"/>
            <w:vAlign w:val="bottom"/>
          </w:tcPr>
          <w:p>
            <w:pPr>
              <w:spacing w:after="0"/>
              <w:rPr>
                <w:sz w:val="14"/>
                <w:szCs w:val="14"/>
                <w:color w:val="auto"/>
              </w:rPr>
            </w:pPr>
          </w:p>
        </w:tc>
        <w:tc>
          <w:tcPr>
            <w:tcW w:w="7980" w:type="dxa"/>
            <w:vAlign w:val="bottom"/>
            <w:gridSpan w:val="13"/>
            <w:vMerge w:val="restart"/>
          </w:tcPr>
          <w:p>
            <w:pPr>
              <w:jc w:val="center"/>
              <w:ind w:right="2880"/>
              <w:spacing w:after="0"/>
              <w:rPr>
                <w:rFonts w:ascii="Arial" w:cs="Arial" w:eastAsia="Arial" w:hAnsi="Arial"/>
                <w:sz w:val="18"/>
                <w:szCs w:val="18"/>
                <w:b w:val="1"/>
                <w:bCs w:val="1"/>
                <w:color w:val="0000EE"/>
                <w:w w:val="99"/>
              </w:rPr>
            </w:pPr>
            <w:hyperlink w:anchor="page3">
              <w:r>
                <w:rPr>
                  <w:rFonts w:ascii="Arial" w:cs="Arial" w:eastAsia="Arial" w:hAnsi="Arial"/>
                  <w:sz w:val="18"/>
                  <w:szCs w:val="18"/>
                  <w:b w:val="1"/>
                  <w:bCs w:val="1"/>
                  <w:color w:val="0000EE"/>
                  <w:w w:val="99"/>
                </w:rPr>
                <w:t>PART I. FINANCIAL INFORMATION</w:t>
              </w:r>
            </w:hyperlink>
          </w:p>
        </w:tc>
        <w:tc>
          <w:tcPr>
            <w:tcW w:w="280" w:type="dxa"/>
            <w:vAlign w:val="bottom"/>
            <w:tcBorders>
              <w:bottom w:val="single" w:sz="8" w:color="auto"/>
            </w:tcBorders>
          </w:tcPr>
          <w:p>
            <w:pPr>
              <w:jc w:val="right"/>
              <w:spacing w:after="0"/>
              <w:rPr>
                <w:sz w:val="20"/>
                <w:szCs w:val="20"/>
                <w:color w:val="auto"/>
              </w:rPr>
            </w:pPr>
            <w:r>
              <w:rPr>
                <w:rFonts w:ascii="Arial" w:cs="Arial" w:eastAsia="Arial" w:hAnsi="Arial"/>
                <w:sz w:val="14"/>
                <w:szCs w:val="14"/>
                <w:b w:val="1"/>
                <w:bCs w:val="1"/>
                <w:color w:val="auto"/>
                <w:w w:val="77"/>
              </w:rPr>
              <w:t>Page</w:t>
            </w:r>
          </w:p>
        </w:tc>
        <w:tc>
          <w:tcPr>
            <w:tcW w:w="0" w:type="dxa"/>
            <w:vAlign w:val="bottom"/>
          </w:tcPr>
          <w:p>
            <w:pPr>
              <w:spacing w:after="0"/>
              <w:rPr>
                <w:sz w:val="1"/>
                <w:szCs w:val="1"/>
                <w:color w:val="auto"/>
              </w:rPr>
            </w:pPr>
          </w:p>
        </w:tc>
      </w:tr>
      <w:tr>
        <w:trPr>
          <w:trHeight w:val="169"/>
        </w:trPr>
        <w:tc>
          <w:tcPr>
            <w:tcW w:w="74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520" w:type="dxa"/>
            <w:vAlign w:val="bottom"/>
          </w:tcPr>
          <w:p>
            <w:pPr>
              <w:spacing w:after="0"/>
              <w:rPr>
                <w:sz w:val="14"/>
                <w:szCs w:val="14"/>
                <w:color w:val="auto"/>
              </w:rPr>
            </w:pPr>
          </w:p>
        </w:tc>
        <w:tc>
          <w:tcPr>
            <w:tcW w:w="280" w:type="dxa"/>
            <w:vAlign w:val="bottom"/>
          </w:tcPr>
          <w:p>
            <w:pPr>
              <w:spacing w:after="0"/>
              <w:rPr>
                <w:sz w:val="14"/>
                <w:szCs w:val="14"/>
                <w:color w:val="auto"/>
              </w:rPr>
            </w:pPr>
          </w:p>
        </w:tc>
        <w:tc>
          <w:tcPr>
            <w:tcW w:w="40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540" w:type="dxa"/>
            <w:vAlign w:val="bottom"/>
          </w:tcPr>
          <w:p>
            <w:pPr>
              <w:spacing w:after="0"/>
              <w:rPr>
                <w:sz w:val="14"/>
                <w:szCs w:val="14"/>
                <w:color w:val="auto"/>
              </w:rPr>
            </w:pPr>
          </w:p>
        </w:tc>
        <w:tc>
          <w:tcPr>
            <w:tcW w:w="7980" w:type="dxa"/>
            <w:vAlign w:val="bottom"/>
            <w:gridSpan w:val="13"/>
            <w:vMerge w:val="continue"/>
          </w:tcPr>
          <w:p>
            <w:pPr>
              <w:spacing w:after="0"/>
              <w:rPr>
                <w:sz w:val="14"/>
                <w:szCs w:val="14"/>
                <w:color w:val="auto"/>
              </w:rPr>
            </w:pPr>
          </w:p>
        </w:tc>
        <w:tc>
          <w:tcPr>
            <w:tcW w:w="28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304"/>
        </w:trPr>
        <w:tc>
          <w:tcPr>
            <w:tcW w:w="880" w:type="dxa"/>
            <w:vAlign w:val="bottom"/>
            <w:gridSpan w:val="2"/>
          </w:tcPr>
          <w:p>
            <w:pPr>
              <w:spacing w:after="0"/>
              <w:rPr>
                <w:sz w:val="20"/>
                <w:szCs w:val="20"/>
                <w:color w:val="auto"/>
              </w:rPr>
            </w:pPr>
            <w:r>
              <w:rPr>
                <w:rFonts w:ascii="Arial" w:cs="Arial" w:eastAsia="Arial" w:hAnsi="Arial"/>
                <w:sz w:val="18"/>
                <w:szCs w:val="18"/>
                <w:color w:val="auto"/>
              </w:rPr>
              <w:t>Item 1.</w:t>
            </w:r>
          </w:p>
        </w:tc>
        <w:tc>
          <w:tcPr>
            <w:tcW w:w="3340" w:type="dxa"/>
            <w:vAlign w:val="bottom"/>
            <w:gridSpan w:val="9"/>
          </w:tcPr>
          <w:p>
            <w:pPr>
              <w:spacing w:after="0"/>
              <w:rPr>
                <w:rFonts w:ascii="Arial" w:cs="Arial" w:eastAsia="Arial" w:hAnsi="Arial"/>
                <w:sz w:val="18"/>
                <w:szCs w:val="18"/>
                <w:color w:val="0000EE"/>
              </w:rPr>
            </w:pPr>
            <w:hyperlink w:anchor="page3">
              <w:r>
                <w:rPr>
                  <w:rFonts w:ascii="Arial" w:cs="Arial" w:eastAsia="Arial" w:hAnsi="Arial"/>
                  <w:sz w:val="18"/>
                  <w:szCs w:val="18"/>
                  <w:color w:val="0000EE"/>
                </w:rPr>
                <w:t>Financial Statements:</w:t>
              </w:r>
            </w:hyperlink>
          </w:p>
        </w:tc>
        <w:tc>
          <w:tcPr>
            <w:tcW w:w="2980" w:type="dxa"/>
            <w:vAlign w:val="bottom"/>
            <w:tcBorders>
              <w:top w:val="single" w:sz="8" w:color="0000EE"/>
            </w:tcBorders>
            <w:gridSpan w:val="8"/>
          </w:tcPr>
          <w:p>
            <w:pPr>
              <w:spacing w:after="0"/>
              <w:rPr>
                <w:sz w:val="24"/>
                <w:szCs w:val="24"/>
                <w:color w:val="auto"/>
              </w:rPr>
            </w:pPr>
          </w:p>
        </w:tc>
        <w:tc>
          <w:tcPr>
            <w:tcW w:w="3940" w:type="dxa"/>
            <w:vAlign w:val="bottom"/>
            <w:gridSpan w:val="4"/>
          </w:tcPr>
          <w:p>
            <w:pPr>
              <w:spacing w:after="0"/>
              <w:rPr>
                <w:sz w:val="24"/>
                <w:szCs w:val="24"/>
                <w:color w:val="auto"/>
              </w:rPr>
            </w:pPr>
          </w:p>
        </w:tc>
        <w:tc>
          <w:tcPr>
            <w:tcW w:w="28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0"/>
        </w:trPr>
        <w:tc>
          <w:tcPr>
            <w:tcW w:w="74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80" w:type="dxa"/>
            <w:vAlign w:val="bottom"/>
            <w:shd w:val="clear" w:color="auto" w:fill="0000EE"/>
          </w:tcPr>
          <w:p>
            <w:pPr>
              <w:spacing w:after="0" w:line="20" w:lineRule="exact"/>
              <w:rPr>
                <w:sz w:val="1"/>
                <w:szCs w:val="1"/>
                <w:color w:val="auto"/>
              </w:rPr>
            </w:pPr>
          </w:p>
        </w:tc>
        <w:tc>
          <w:tcPr>
            <w:tcW w:w="520" w:type="dxa"/>
            <w:vAlign w:val="bottom"/>
            <w:shd w:val="clear" w:color="auto" w:fill="0000EE"/>
          </w:tcPr>
          <w:p>
            <w:pPr>
              <w:spacing w:after="0" w:line="20" w:lineRule="exact"/>
              <w:rPr>
                <w:sz w:val="1"/>
                <w:szCs w:val="1"/>
                <w:color w:val="auto"/>
              </w:rPr>
            </w:pPr>
          </w:p>
        </w:tc>
        <w:tc>
          <w:tcPr>
            <w:tcW w:w="280" w:type="dxa"/>
            <w:vAlign w:val="bottom"/>
            <w:shd w:val="clear" w:color="auto" w:fill="0000EE"/>
          </w:tcPr>
          <w:p>
            <w:pPr>
              <w:spacing w:after="0" w:line="20" w:lineRule="exact"/>
              <w:rPr>
                <w:sz w:val="1"/>
                <w:szCs w:val="1"/>
                <w:color w:val="auto"/>
              </w:rPr>
            </w:pPr>
          </w:p>
        </w:tc>
        <w:tc>
          <w:tcPr>
            <w:tcW w:w="400" w:type="dxa"/>
            <w:vAlign w:val="bottom"/>
            <w:shd w:val="clear" w:color="auto" w:fill="0000EE"/>
          </w:tcPr>
          <w:p>
            <w:pPr>
              <w:spacing w:after="0" w:line="20" w:lineRule="exact"/>
              <w:rPr>
                <w:sz w:val="1"/>
                <w:szCs w:val="1"/>
                <w:color w:val="auto"/>
              </w:rPr>
            </w:pPr>
          </w:p>
        </w:tc>
        <w:tc>
          <w:tcPr>
            <w:tcW w:w="20" w:type="dxa"/>
            <w:vAlign w:val="bottom"/>
            <w:shd w:val="clear" w:color="auto" w:fill="0000EE"/>
          </w:tcPr>
          <w:p>
            <w:pPr>
              <w:spacing w:after="0" w:line="20" w:lineRule="exact"/>
              <w:rPr>
                <w:sz w:val="1"/>
                <w:szCs w:val="1"/>
                <w:color w:val="auto"/>
              </w:rPr>
            </w:pPr>
          </w:p>
        </w:tc>
        <w:tc>
          <w:tcPr>
            <w:tcW w:w="220" w:type="dxa"/>
            <w:vAlign w:val="bottom"/>
            <w:shd w:val="clear" w:color="auto" w:fill="0000EE"/>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540" w:type="dxa"/>
            <w:vAlign w:val="bottom"/>
          </w:tcPr>
          <w:p>
            <w:pPr>
              <w:spacing w:after="0" w:line="20" w:lineRule="exact"/>
              <w:rPr>
                <w:sz w:val="1"/>
                <w:szCs w:val="1"/>
                <w:color w:val="auto"/>
              </w:rPr>
            </w:pPr>
          </w:p>
        </w:tc>
        <w:tc>
          <w:tcPr>
            <w:tcW w:w="1200" w:type="dxa"/>
            <w:vAlign w:val="bottom"/>
            <w:gridSpan w:val="2"/>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56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420" w:type="dxa"/>
            <w:vAlign w:val="bottom"/>
          </w:tcPr>
          <w:p>
            <w:pPr>
              <w:spacing w:after="0" w:line="20" w:lineRule="exact"/>
              <w:rPr>
                <w:sz w:val="1"/>
                <w:szCs w:val="1"/>
                <w:color w:val="auto"/>
              </w:rPr>
            </w:pPr>
          </w:p>
        </w:tc>
        <w:tc>
          <w:tcPr>
            <w:tcW w:w="150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540" w:type="dxa"/>
            <w:vAlign w:val="bottom"/>
            <w:gridSpan w:val="2"/>
          </w:tcPr>
          <w:p>
            <w:pPr>
              <w:spacing w:after="0" w:line="20" w:lineRule="exact"/>
              <w:rPr>
                <w:sz w:val="1"/>
                <w:szCs w:val="1"/>
                <w:color w:val="auto"/>
              </w:rPr>
            </w:pPr>
          </w:p>
        </w:tc>
        <w:tc>
          <w:tcPr>
            <w:tcW w:w="2360" w:type="dxa"/>
            <w:vAlign w:val="bottom"/>
          </w:tcPr>
          <w:p>
            <w:pPr>
              <w:spacing w:after="0" w:line="20" w:lineRule="exact"/>
              <w:rPr>
                <w:sz w:val="1"/>
                <w:szCs w:val="1"/>
                <w:color w:val="auto"/>
              </w:rPr>
            </w:pPr>
          </w:p>
        </w:tc>
        <w:tc>
          <w:tcPr>
            <w:tcW w:w="640" w:type="dxa"/>
            <w:vAlign w:val="bottom"/>
          </w:tcPr>
          <w:p>
            <w:pPr>
              <w:spacing w:after="0" w:line="20" w:lineRule="exact"/>
              <w:rPr>
                <w:sz w:val="1"/>
                <w:szCs w:val="1"/>
                <w:color w:val="auto"/>
              </w:rPr>
            </w:pPr>
          </w:p>
        </w:tc>
        <w:tc>
          <w:tcPr>
            <w:tcW w:w="420" w:type="dxa"/>
            <w:vAlign w:val="bottom"/>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96"/>
        </w:trPr>
        <w:tc>
          <w:tcPr>
            <w:tcW w:w="740" w:type="dxa"/>
            <w:vAlign w:val="bottom"/>
          </w:tcPr>
          <w:p>
            <w:pPr>
              <w:spacing w:after="0"/>
              <w:rPr>
                <w:sz w:val="17"/>
                <w:szCs w:val="17"/>
                <w:color w:val="auto"/>
              </w:rPr>
            </w:pPr>
          </w:p>
        </w:tc>
        <w:tc>
          <w:tcPr>
            <w:tcW w:w="140" w:type="dxa"/>
            <w:vAlign w:val="bottom"/>
          </w:tcPr>
          <w:p>
            <w:pPr>
              <w:spacing w:after="0"/>
              <w:rPr>
                <w:sz w:val="17"/>
                <w:szCs w:val="17"/>
                <w:color w:val="auto"/>
              </w:rPr>
            </w:pPr>
          </w:p>
        </w:tc>
        <w:tc>
          <w:tcPr>
            <w:tcW w:w="6840" w:type="dxa"/>
            <w:vAlign w:val="bottom"/>
            <w:tcBorders>
              <w:bottom w:val="single" w:sz="8" w:color="0000EE"/>
            </w:tcBorders>
            <w:gridSpan w:val="18"/>
          </w:tcPr>
          <w:p>
            <w:pPr>
              <w:spacing w:after="0" w:line="196" w:lineRule="exact"/>
              <w:rPr>
                <w:rFonts w:ascii="Arial" w:cs="Arial" w:eastAsia="Arial" w:hAnsi="Arial"/>
                <w:sz w:val="18"/>
                <w:szCs w:val="18"/>
                <w:color w:val="0000EE"/>
                <w:w w:val="86"/>
              </w:rPr>
            </w:pPr>
            <w:hyperlink w:anchor="page3">
              <w:r>
                <w:rPr>
                  <w:rFonts w:ascii="Arial" w:cs="Arial" w:eastAsia="Arial" w:hAnsi="Arial"/>
                  <w:sz w:val="18"/>
                  <w:szCs w:val="18"/>
                  <w:color w:val="0000EE"/>
                  <w:w w:val="86"/>
                </w:rPr>
                <w:t>Unaudited Condensed Consolidated Balance Sheets as of October 31, 2009 and January 31, 2009</w:t>
              </w:r>
            </w:hyperlink>
          </w:p>
        </w:tc>
        <w:tc>
          <w:tcPr>
            <w:tcW w:w="3420" w:type="dxa"/>
            <w:vAlign w:val="bottom"/>
            <w:gridSpan w:val="3"/>
          </w:tcPr>
          <w:p>
            <w:pPr>
              <w:spacing w:after="0"/>
              <w:rPr>
                <w:sz w:val="17"/>
                <w:szCs w:val="17"/>
                <w:color w:val="auto"/>
              </w:rPr>
            </w:pPr>
          </w:p>
        </w:tc>
        <w:tc>
          <w:tcPr>
            <w:tcW w:w="280" w:type="dxa"/>
            <w:vAlign w:val="bottom"/>
          </w:tcPr>
          <w:p>
            <w:pPr>
              <w:jc w:val="right"/>
              <w:spacing w:after="0" w:line="196" w:lineRule="exact"/>
              <w:rPr>
                <w:sz w:val="20"/>
                <w:szCs w:val="20"/>
                <w:color w:val="auto"/>
              </w:rPr>
            </w:pPr>
            <w:r>
              <w:rPr>
                <w:rFonts w:ascii="Arial" w:cs="Arial" w:eastAsia="Arial" w:hAnsi="Arial"/>
                <w:sz w:val="18"/>
                <w:szCs w:val="18"/>
                <w:color w:val="auto"/>
              </w:rPr>
              <w:t>3</w:t>
            </w:r>
          </w:p>
        </w:tc>
        <w:tc>
          <w:tcPr>
            <w:tcW w:w="0" w:type="dxa"/>
            <w:vAlign w:val="bottom"/>
          </w:tcPr>
          <w:p>
            <w:pPr>
              <w:spacing w:after="0"/>
              <w:rPr>
                <w:sz w:val="1"/>
                <w:szCs w:val="1"/>
                <w:color w:val="auto"/>
              </w:rPr>
            </w:pPr>
          </w:p>
        </w:tc>
      </w:tr>
      <w:tr>
        <w:trPr>
          <w:trHeight w:val="196"/>
        </w:trPr>
        <w:tc>
          <w:tcPr>
            <w:tcW w:w="740" w:type="dxa"/>
            <w:vAlign w:val="bottom"/>
          </w:tcPr>
          <w:p>
            <w:pPr>
              <w:spacing w:after="0"/>
              <w:rPr>
                <w:sz w:val="17"/>
                <w:szCs w:val="17"/>
                <w:color w:val="auto"/>
              </w:rPr>
            </w:pPr>
          </w:p>
        </w:tc>
        <w:tc>
          <w:tcPr>
            <w:tcW w:w="140" w:type="dxa"/>
            <w:vAlign w:val="bottom"/>
          </w:tcPr>
          <w:p>
            <w:pPr>
              <w:spacing w:after="0"/>
              <w:rPr>
                <w:sz w:val="17"/>
                <w:szCs w:val="17"/>
                <w:color w:val="auto"/>
              </w:rPr>
            </w:pPr>
          </w:p>
        </w:tc>
        <w:tc>
          <w:tcPr>
            <w:tcW w:w="10260" w:type="dxa"/>
            <w:vAlign w:val="bottom"/>
            <w:gridSpan w:val="21"/>
          </w:tcPr>
          <w:p>
            <w:pPr>
              <w:spacing w:after="0" w:line="196" w:lineRule="exact"/>
              <w:rPr>
                <w:rFonts w:ascii="Arial" w:cs="Arial" w:eastAsia="Arial" w:hAnsi="Arial"/>
                <w:sz w:val="18"/>
                <w:szCs w:val="18"/>
                <w:color w:val="0000EE"/>
                <w:w w:val="90"/>
              </w:rPr>
            </w:pPr>
            <w:hyperlink w:anchor="page4">
              <w:r>
                <w:rPr>
                  <w:rFonts w:ascii="Arial" w:cs="Arial" w:eastAsia="Arial" w:hAnsi="Arial"/>
                  <w:sz w:val="18"/>
                  <w:szCs w:val="18"/>
                  <w:color w:val="0000EE"/>
                  <w:w w:val="90"/>
                </w:rPr>
                <w:t>Unaudited Condensed Consolidated Statements of Operations for the three and nine months ended October 31, 2009 and November 1, 2008</w:t>
              </w:r>
            </w:hyperlink>
          </w:p>
        </w:tc>
        <w:tc>
          <w:tcPr>
            <w:tcW w:w="280" w:type="dxa"/>
            <w:vAlign w:val="bottom"/>
          </w:tcPr>
          <w:p>
            <w:pPr>
              <w:jc w:val="right"/>
              <w:spacing w:after="0" w:line="196" w:lineRule="exact"/>
              <w:rPr>
                <w:sz w:val="20"/>
                <w:szCs w:val="20"/>
                <w:color w:val="auto"/>
              </w:rPr>
            </w:pPr>
            <w:r>
              <w:rPr>
                <w:rFonts w:ascii="Arial" w:cs="Arial" w:eastAsia="Arial" w:hAnsi="Arial"/>
                <w:sz w:val="18"/>
                <w:szCs w:val="18"/>
                <w:color w:val="auto"/>
              </w:rPr>
              <w:t>4</w:t>
            </w:r>
          </w:p>
        </w:tc>
        <w:tc>
          <w:tcPr>
            <w:tcW w:w="0" w:type="dxa"/>
            <w:vAlign w:val="bottom"/>
          </w:tcPr>
          <w:p>
            <w:pPr>
              <w:spacing w:after="0"/>
              <w:rPr>
                <w:sz w:val="1"/>
                <w:szCs w:val="1"/>
                <w:color w:val="auto"/>
              </w:rPr>
            </w:pPr>
          </w:p>
        </w:tc>
      </w:tr>
      <w:tr>
        <w:trPr>
          <w:trHeight w:val="196"/>
        </w:trPr>
        <w:tc>
          <w:tcPr>
            <w:tcW w:w="740" w:type="dxa"/>
            <w:vAlign w:val="bottom"/>
          </w:tcPr>
          <w:p>
            <w:pPr>
              <w:spacing w:after="0"/>
              <w:rPr>
                <w:sz w:val="17"/>
                <w:szCs w:val="17"/>
                <w:color w:val="auto"/>
              </w:rPr>
            </w:pPr>
          </w:p>
        </w:tc>
        <w:tc>
          <w:tcPr>
            <w:tcW w:w="140" w:type="dxa"/>
            <w:vAlign w:val="bottom"/>
          </w:tcPr>
          <w:p>
            <w:pPr>
              <w:spacing w:after="0"/>
              <w:rPr>
                <w:sz w:val="17"/>
                <w:szCs w:val="17"/>
                <w:color w:val="auto"/>
              </w:rPr>
            </w:pPr>
          </w:p>
        </w:tc>
        <w:tc>
          <w:tcPr>
            <w:tcW w:w="9840" w:type="dxa"/>
            <w:vAlign w:val="bottom"/>
            <w:tcBorders>
              <w:top w:val="single" w:sz="8" w:color="0000EE"/>
            </w:tcBorders>
            <w:gridSpan w:val="20"/>
          </w:tcPr>
          <w:p>
            <w:pPr>
              <w:spacing w:after="0" w:line="196" w:lineRule="exact"/>
              <w:rPr>
                <w:rFonts w:ascii="Arial" w:cs="Arial" w:eastAsia="Arial" w:hAnsi="Arial"/>
                <w:sz w:val="18"/>
                <w:szCs w:val="18"/>
                <w:color w:val="0000EE"/>
                <w:w w:val="93"/>
              </w:rPr>
            </w:pPr>
            <w:hyperlink w:anchor="page5">
              <w:r>
                <w:rPr>
                  <w:rFonts w:ascii="Arial" w:cs="Arial" w:eastAsia="Arial" w:hAnsi="Arial"/>
                  <w:sz w:val="18"/>
                  <w:szCs w:val="18"/>
                  <w:color w:val="0000EE"/>
                  <w:w w:val="93"/>
                </w:rPr>
                <w:t>Unaudited Condensed Consolidated Statements of Cash Flows for the nine months ended October 31, 2009 and November 1, 2008</w:t>
              </w:r>
            </w:hyperlink>
          </w:p>
        </w:tc>
        <w:tc>
          <w:tcPr>
            <w:tcW w:w="420" w:type="dxa"/>
            <w:vAlign w:val="bottom"/>
          </w:tcPr>
          <w:p>
            <w:pPr>
              <w:spacing w:after="0"/>
              <w:rPr>
                <w:sz w:val="17"/>
                <w:szCs w:val="17"/>
                <w:color w:val="auto"/>
              </w:rPr>
            </w:pPr>
          </w:p>
        </w:tc>
        <w:tc>
          <w:tcPr>
            <w:tcW w:w="280" w:type="dxa"/>
            <w:vAlign w:val="bottom"/>
          </w:tcPr>
          <w:p>
            <w:pPr>
              <w:jc w:val="right"/>
              <w:spacing w:after="0" w:line="196" w:lineRule="exact"/>
              <w:rPr>
                <w:sz w:val="20"/>
                <w:szCs w:val="20"/>
                <w:color w:val="auto"/>
              </w:rPr>
            </w:pPr>
            <w:r>
              <w:rPr>
                <w:rFonts w:ascii="Arial" w:cs="Arial" w:eastAsia="Arial" w:hAnsi="Arial"/>
                <w:sz w:val="18"/>
                <w:szCs w:val="18"/>
                <w:color w:val="auto"/>
              </w:rPr>
              <w:t>5</w:t>
            </w:r>
          </w:p>
        </w:tc>
        <w:tc>
          <w:tcPr>
            <w:tcW w:w="0" w:type="dxa"/>
            <w:vAlign w:val="bottom"/>
          </w:tcPr>
          <w:p>
            <w:pPr>
              <w:spacing w:after="0"/>
              <w:rPr>
                <w:sz w:val="1"/>
                <w:szCs w:val="1"/>
                <w:color w:val="auto"/>
              </w:rPr>
            </w:pPr>
          </w:p>
        </w:tc>
      </w:tr>
      <w:tr>
        <w:trPr>
          <w:trHeight w:val="196"/>
        </w:trPr>
        <w:tc>
          <w:tcPr>
            <w:tcW w:w="740" w:type="dxa"/>
            <w:vAlign w:val="bottom"/>
          </w:tcPr>
          <w:p>
            <w:pPr>
              <w:spacing w:after="0"/>
              <w:rPr>
                <w:sz w:val="17"/>
                <w:szCs w:val="17"/>
                <w:color w:val="auto"/>
              </w:rPr>
            </w:pPr>
          </w:p>
        </w:tc>
        <w:tc>
          <w:tcPr>
            <w:tcW w:w="140" w:type="dxa"/>
            <w:vAlign w:val="bottom"/>
          </w:tcPr>
          <w:p>
            <w:pPr>
              <w:spacing w:after="0"/>
              <w:rPr>
                <w:sz w:val="17"/>
                <w:szCs w:val="17"/>
                <w:color w:val="auto"/>
              </w:rPr>
            </w:pPr>
          </w:p>
        </w:tc>
        <w:tc>
          <w:tcPr>
            <w:tcW w:w="4680" w:type="dxa"/>
            <w:vAlign w:val="bottom"/>
            <w:tcBorders>
              <w:top w:val="single" w:sz="8" w:color="0000EE"/>
              <w:bottom w:val="single" w:sz="8" w:color="0000EE"/>
            </w:tcBorders>
            <w:gridSpan w:val="14"/>
          </w:tcPr>
          <w:p>
            <w:pPr>
              <w:spacing w:after="0" w:line="196" w:lineRule="exact"/>
              <w:rPr>
                <w:rFonts w:ascii="Arial" w:cs="Arial" w:eastAsia="Arial" w:hAnsi="Arial"/>
                <w:sz w:val="18"/>
                <w:szCs w:val="18"/>
                <w:color w:val="0000EE"/>
                <w:w w:val="87"/>
              </w:rPr>
            </w:pPr>
            <w:hyperlink w:anchor="page6">
              <w:r>
                <w:rPr>
                  <w:rFonts w:ascii="Arial" w:cs="Arial" w:eastAsia="Arial" w:hAnsi="Arial"/>
                  <w:sz w:val="18"/>
                  <w:szCs w:val="18"/>
                  <w:color w:val="0000EE"/>
                  <w:w w:val="87"/>
                </w:rPr>
                <w:t>Notes to Unaudited Condensed Consolidated Financial Statements</w:t>
              </w:r>
            </w:hyperlink>
          </w:p>
        </w:tc>
        <w:tc>
          <w:tcPr>
            <w:tcW w:w="4520" w:type="dxa"/>
            <w:vAlign w:val="bottom"/>
            <w:tcBorders>
              <w:top w:val="single" w:sz="8" w:color="0000EE"/>
            </w:tcBorders>
            <w:gridSpan w:val="5"/>
          </w:tcPr>
          <w:p>
            <w:pPr>
              <w:spacing w:after="0"/>
              <w:rPr>
                <w:sz w:val="17"/>
                <w:szCs w:val="17"/>
                <w:color w:val="auto"/>
              </w:rPr>
            </w:pPr>
          </w:p>
        </w:tc>
        <w:tc>
          <w:tcPr>
            <w:tcW w:w="1060" w:type="dxa"/>
            <w:vAlign w:val="bottom"/>
            <w:gridSpan w:val="2"/>
          </w:tcPr>
          <w:p>
            <w:pPr>
              <w:spacing w:after="0"/>
              <w:rPr>
                <w:sz w:val="17"/>
                <w:szCs w:val="17"/>
                <w:color w:val="auto"/>
              </w:rPr>
            </w:pPr>
          </w:p>
        </w:tc>
        <w:tc>
          <w:tcPr>
            <w:tcW w:w="280" w:type="dxa"/>
            <w:vAlign w:val="bottom"/>
          </w:tcPr>
          <w:p>
            <w:pPr>
              <w:jc w:val="right"/>
              <w:spacing w:after="0" w:line="196" w:lineRule="exact"/>
              <w:rPr>
                <w:sz w:val="20"/>
                <w:szCs w:val="20"/>
                <w:color w:val="auto"/>
              </w:rPr>
            </w:pPr>
            <w:r>
              <w:rPr>
                <w:rFonts w:ascii="Arial" w:cs="Arial" w:eastAsia="Arial" w:hAnsi="Arial"/>
                <w:sz w:val="18"/>
                <w:szCs w:val="18"/>
                <w:color w:val="auto"/>
              </w:rPr>
              <w:t>6</w:t>
            </w:r>
          </w:p>
        </w:tc>
        <w:tc>
          <w:tcPr>
            <w:tcW w:w="0" w:type="dxa"/>
            <w:vAlign w:val="bottom"/>
          </w:tcPr>
          <w:p>
            <w:pPr>
              <w:spacing w:after="0"/>
              <w:rPr>
                <w:sz w:val="1"/>
                <w:szCs w:val="1"/>
                <w:color w:val="auto"/>
              </w:rPr>
            </w:pPr>
          </w:p>
        </w:tc>
      </w:tr>
      <w:tr>
        <w:trPr>
          <w:trHeight w:val="196"/>
        </w:trPr>
        <w:tc>
          <w:tcPr>
            <w:tcW w:w="880" w:type="dxa"/>
            <w:vAlign w:val="bottom"/>
            <w:gridSpan w:val="2"/>
          </w:tcPr>
          <w:p>
            <w:pPr>
              <w:spacing w:after="0" w:line="196" w:lineRule="exact"/>
              <w:rPr>
                <w:sz w:val="20"/>
                <w:szCs w:val="20"/>
                <w:color w:val="auto"/>
              </w:rPr>
            </w:pPr>
            <w:r>
              <w:rPr>
                <w:rFonts w:ascii="Arial" w:cs="Arial" w:eastAsia="Arial" w:hAnsi="Arial"/>
                <w:sz w:val="18"/>
                <w:szCs w:val="18"/>
                <w:color w:val="auto"/>
              </w:rPr>
              <w:t>Item 2.</w:t>
            </w:r>
          </w:p>
        </w:tc>
        <w:tc>
          <w:tcPr>
            <w:tcW w:w="10260" w:type="dxa"/>
            <w:vAlign w:val="bottom"/>
            <w:gridSpan w:val="21"/>
          </w:tcPr>
          <w:p>
            <w:pPr>
              <w:spacing w:after="0" w:line="196" w:lineRule="exact"/>
              <w:rPr>
                <w:rFonts w:ascii="Arial" w:cs="Arial" w:eastAsia="Arial" w:hAnsi="Arial"/>
                <w:sz w:val="18"/>
                <w:szCs w:val="18"/>
                <w:color w:val="0000EE"/>
              </w:rPr>
            </w:pPr>
            <w:hyperlink w:anchor="page28">
              <w:r>
                <w:rPr>
                  <w:rFonts w:ascii="Arial" w:cs="Arial" w:eastAsia="Arial" w:hAnsi="Arial"/>
                  <w:sz w:val="18"/>
                  <w:szCs w:val="18"/>
                  <w:color w:val="0000EE"/>
                </w:rPr>
                <w:t>Management’s Discussion and Analysis of Financial Condition and Results of Operations</w:t>
              </w:r>
            </w:hyperlink>
          </w:p>
        </w:tc>
        <w:tc>
          <w:tcPr>
            <w:tcW w:w="280" w:type="dxa"/>
            <w:vAlign w:val="bottom"/>
          </w:tcPr>
          <w:p>
            <w:pPr>
              <w:jc w:val="right"/>
              <w:spacing w:after="0" w:line="196" w:lineRule="exact"/>
              <w:rPr>
                <w:sz w:val="20"/>
                <w:szCs w:val="20"/>
                <w:color w:val="auto"/>
              </w:rPr>
            </w:pPr>
            <w:r>
              <w:rPr>
                <w:rFonts w:ascii="Arial" w:cs="Arial" w:eastAsia="Arial" w:hAnsi="Arial"/>
                <w:sz w:val="18"/>
                <w:szCs w:val="18"/>
                <w:color w:val="auto"/>
              </w:rPr>
              <w:t>28</w:t>
            </w:r>
          </w:p>
        </w:tc>
        <w:tc>
          <w:tcPr>
            <w:tcW w:w="0" w:type="dxa"/>
            <w:vAlign w:val="bottom"/>
          </w:tcPr>
          <w:p>
            <w:pPr>
              <w:spacing w:after="0"/>
              <w:rPr>
                <w:sz w:val="1"/>
                <w:szCs w:val="1"/>
                <w:color w:val="auto"/>
              </w:rPr>
            </w:pPr>
          </w:p>
        </w:tc>
      </w:tr>
      <w:tr>
        <w:trPr>
          <w:trHeight w:val="196"/>
        </w:trPr>
        <w:tc>
          <w:tcPr>
            <w:tcW w:w="880" w:type="dxa"/>
            <w:vAlign w:val="bottom"/>
            <w:gridSpan w:val="2"/>
          </w:tcPr>
          <w:p>
            <w:pPr>
              <w:spacing w:after="0" w:line="196" w:lineRule="exact"/>
              <w:rPr>
                <w:sz w:val="20"/>
                <w:szCs w:val="20"/>
                <w:color w:val="auto"/>
              </w:rPr>
            </w:pPr>
            <w:r>
              <w:rPr>
                <w:rFonts w:ascii="Arial" w:cs="Arial" w:eastAsia="Arial" w:hAnsi="Arial"/>
                <w:sz w:val="18"/>
                <w:szCs w:val="18"/>
                <w:color w:val="auto"/>
              </w:rPr>
              <w:t>Item 3.</w:t>
            </w:r>
          </w:p>
        </w:tc>
        <w:tc>
          <w:tcPr>
            <w:tcW w:w="4260" w:type="dxa"/>
            <w:vAlign w:val="bottom"/>
            <w:tcBorders>
              <w:top w:val="single" w:sz="8" w:color="0000EE"/>
              <w:bottom w:val="single" w:sz="8" w:color="0000EE"/>
            </w:tcBorders>
            <w:gridSpan w:val="13"/>
          </w:tcPr>
          <w:p>
            <w:pPr>
              <w:spacing w:after="0" w:line="196" w:lineRule="exact"/>
              <w:rPr>
                <w:rFonts w:ascii="Arial" w:cs="Arial" w:eastAsia="Arial" w:hAnsi="Arial"/>
                <w:sz w:val="18"/>
                <w:szCs w:val="18"/>
                <w:color w:val="0000EE"/>
                <w:w w:val="89"/>
              </w:rPr>
            </w:pPr>
            <w:hyperlink w:anchor="page38">
              <w:r>
                <w:rPr>
                  <w:rFonts w:ascii="Arial" w:cs="Arial" w:eastAsia="Arial" w:hAnsi="Arial"/>
                  <w:sz w:val="18"/>
                  <w:szCs w:val="18"/>
                  <w:color w:val="0000EE"/>
                  <w:w w:val="89"/>
                </w:rPr>
                <w:t>Quantitative and Qualitative Disclosures About Market Risk</w:t>
              </w:r>
            </w:hyperlink>
          </w:p>
        </w:tc>
        <w:tc>
          <w:tcPr>
            <w:tcW w:w="2040" w:type="dxa"/>
            <w:vAlign w:val="bottom"/>
            <w:tcBorders>
              <w:top w:val="single" w:sz="8" w:color="0000EE"/>
            </w:tcBorders>
            <w:gridSpan w:val="3"/>
          </w:tcPr>
          <w:p>
            <w:pPr>
              <w:spacing w:after="0"/>
              <w:rPr>
                <w:sz w:val="17"/>
                <w:szCs w:val="17"/>
                <w:color w:val="auto"/>
              </w:rPr>
            </w:pPr>
          </w:p>
        </w:tc>
        <w:tc>
          <w:tcPr>
            <w:tcW w:w="3960" w:type="dxa"/>
            <w:vAlign w:val="bottom"/>
            <w:gridSpan w:val="5"/>
          </w:tcPr>
          <w:p>
            <w:pPr>
              <w:spacing w:after="0"/>
              <w:rPr>
                <w:sz w:val="17"/>
                <w:szCs w:val="17"/>
                <w:color w:val="auto"/>
              </w:rPr>
            </w:pPr>
          </w:p>
        </w:tc>
        <w:tc>
          <w:tcPr>
            <w:tcW w:w="280" w:type="dxa"/>
            <w:vAlign w:val="bottom"/>
          </w:tcPr>
          <w:p>
            <w:pPr>
              <w:jc w:val="right"/>
              <w:spacing w:after="0" w:line="196" w:lineRule="exact"/>
              <w:rPr>
                <w:sz w:val="20"/>
                <w:szCs w:val="20"/>
                <w:color w:val="auto"/>
              </w:rPr>
            </w:pPr>
            <w:r>
              <w:rPr>
                <w:rFonts w:ascii="Arial" w:cs="Arial" w:eastAsia="Arial" w:hAnsi="Arial"/>
                <w:sz w:val="18"/>
                <w:szCs w:val="18"/>
                <w:color w:val="auto"/>
              </w:rPr>
              <w:t>38</w:t>
            </w:r>
          </w:p>
        </w:tc>
        <w:tc>
          <w:tcPr>
            <w:tcW w:w="0" w:type="dxa"/>
            <w:vAlign w:val="bottom"/>
          </w:tcPr>
          <w:p>
            <w:pPr>
              <w:spacing w:after="0"/>
              <w:rPr>
                <w:sz w:val="1"/>
                <w:szCs w:val="1"/>
                <w:color w:val="auto"/>
              </w:rPr>
            </w:pPr>
          </w:p>
        </w:tc>
      </w:tr>
      <w:tr>
        <w:trPr>
          <w:trHeight w:val="196"/>
        </w:trPr>
        <w:tc>
          <w:tcPr>
            <w:tcW w:w="880" w:type="dxa"/>
            <w:vAlign w:val="bottom"/>
            <w:gridSpan w:val="2"/>
          </w:tcPr>
          <w:p>
            <w:pPr>
              <w:spacing w:after="0" w:line="196" w:lineRule="exact"/>
              <w:rPr>
                <w:sz w:val="20"/>
                <w:szCs w:val="20"/>
                <w:color w:val="auto"/>
              </w:rPr>
            </w:pPr>
            <w:r>
              <w:rPr>
                <w:rFonts w:ascii="Arial" w:cs="Arial" w:eastAsia="Arial" w:hAnsi="Arial"/>
                <w:sz w:val="18"/>
                <w:szCs w:val="18"/>
                <w:color w:val="auto"/>
              </w:rPr>
              <w:t>Item 4.</w:t>
            </w:r>
          </w:p>
        </w:tc>
        <w:tc>
          <w:tcPr>
            <w:tcW w:w="10260" w:type="dxa"/>
            <w:vAlign w:val="bottom"/>
            <w:gridSpan w:val="21"/>
          </w:tcPr>
          <w:p>
            <w:pPr>
              <w:spacing w:after="0" w:line="196" w:lineRule="exact"/>
              <w:rPr>
                <w:rFonts w:ascii="Arial" w:cs="Arial" w:eastAsia="Arial" w:hAnsi="Arial"/>
                <w:sz w:val="18"/>
                <w:szCs w:val="18"/>
                <w:color w:val="0000EE"/>
              </w:rPr>
            </w:pPr>
            <w:hyperlink w:anchor="page39">
              <w:r>
                <w:rPr>
                  <w:rFonts w:ascii="Arial" w:cs="Arial" w:eastAsia="Arial" w:hAnsi="Arial"/>
                  <w:sz w:val="18"/>
                  <w:szCs w:val="18"/>
                  <w:color w:val="0000EE"/>
                </w:rPr>
                <w:t>Controls and Procedures</w:t>
              </w:r>
            </w:hyperlink>
          </w:p>
        </w:tc>
        <w:tc>
          <w:tcPr>
            <w:tcW w:w="280" w:type="dxa"/>
            <w:vAlign w:val="bottom"/>
          </w:tcPr>
          <w:p>
            <w:pPr>
              <w:jc w:val="right"/>
              <w:spacing w:after="0" w:line="196" w:lineRule="exact"/>
              <w:rPr>
                <w:sz w:val="20"/>
                <w:szCs w:val="20"/>
                <w:color w:val="auto"/>
              </w:rPr>
            </w:pPr>
            <w:r>
              <w:rPr>
                <w:rFonts w:ascii="Arial" w:cs="Arial" w:eastAsia="Arial" w:hAnsi="Arial"/>
                <w:sz w:val="18"/>
                <w:szCs w:val="18"/>
                <w:color w:val="auto"/>
              </w:rPr>
              <w:t>39</w:t>
            </w:r>
          </w:p>
        </w:tc>
        <w:tc>
          <w:tcPr>
            <w:tcW w:w="0" w:type="dxa"/>
            <w:vAlign w:val="bottom"/>
          </w:tcPr>
          <w:p>
            <w:pPr>
              <w:spacing w:after="0"/>
              <w:rPr>
                <w:sz w:val="1"/>
                <w:szCs w:val="1"/>
                <w:color w:val="auto"/>
              </w:rPr>
            </w:pPr>
          </w:p>
        </w:tc>
      </w:tr>
      <w:tr>
        <w:trPr>
          <w:trHeight w:val="304"/>
        </w:trPr>
        <w:tc>
          <w:tcPr>
            <w:tcW w:w="74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80" w:type="dxa"/>
            <w:vAlign w:val="bottom"/>
            <w:tcBorders>
              <w:top w:val="single" w:sz="8" w:color="0000EE"/>
            </w:tcBorders>
          </w:tcPr>
          <w:p>
            <w:pPr>
              <w:spacing w:after="0"/>
              <w:rPr>
                <w:sz w:val="24"/>
                <w:szCs w:val="24"/>
                <w:color w:val="auto"/>
              </w:rPr>
            </w:pPr>
          </w:p>
        </w:tc>
        <w:tc>
          <w:tcPr>
            <w:tcW w:w="520" w:type="dxa"/>
            <w:vAlign w:val="bottom"/>
            <w:tcBorders>
              <w:top w:val="single" w:sz="8" w:color="0000EE"/>
            </w:tcBorders>
          </w:tcPr>
          <w:p>
            <w:pPr>
              <w:spacing w:after="0"/>
              <w:rPr>
                <w:sz w:val="24"/>
                <w:szCs w:val="24"/>
                <w:color w:val="auto"/>
              </w:rPr>
            </w:pPr>
          </w:p>
        </w:tc>
        <w:tc>
          <w:tcPr>
            <w:tcW w:w="280" w:type="dxa"/>
            <w:vAlign w:val="bottom"/>
            <w:tcBorders>
              <w:top w:val="single" w:sz="8" w:color="0000EE"/>
            </w:tcBorders>
          </w:tcPr>
          <w:p>
            <w:pPr>
              <w:spacing w:after="0"/>
              <w:rPr>
                <w:sz w:val="24"/>
                <w:szCs w:val="24"/>
                <w:color w:val="auto"/>
              </w:rPr>
            </w:pPr>
          </w:p>
        </w:tc>
        <w:tc>
          <w:tcPr>
            <w:tcW w:w="400" w:type="dxa"/>
            <w:vAlign w:val="bottom"/>
            <w:tcBorders>
              <w:top w:val="single" w:sz="8" w:color="0000EE"/>
            </w:tcBorders>
          </w:tcPr>
          <w:p>
            <w:pPr>
              <w:spacing w:after="0"/>
              <w:rPr>
                <w:sz w:val="24"/>
                <w:szCs w:val="24"/>
                <w:color w:val="auto"/>
              </w:rPr>
            </w:pPr>
          </w:p>
        </w:tc>
        <w:tc>
          <w:tcPr>
            <w:tcW w:w="20" w:type="dxa"/>
            <w:vAlign w:val="bottom"/>
            <w:tcBorders>
              <w:top w:val="single" w:sz="8" w:color="0000EE"/>
            </w:tcBorders>
          </w:tcPr>
          <w:p>
            <w:pPr>
              <w:spacing w:after="0"/>
              <w:rPr>
                <w:sz w:val="24"/>
                <w:szCs w:val="24"/>
                <w:color w:val="auto"/>
              </w:rPr>
            </w:pPr>
          </w:p>
        </w:tc>
        <w:tc>
          <w:tcPr>
            <w:tcW w:w="220" w:type="dxa"/>
            <w:vAlign w:val="bottom"/>
            <w:tcBorders>
              <w:top w:val="single" w:sz="8" w:color="0000EE"/>
            </w:tcBorders>
          </w:tcPr>
          <w:p>
            <w:pPr>
              <w:spacing w:after="0"/>
              <w:rPr>
                <w:sz w:val="24"/>
                <w:szCs w:val="24"/>
                <w:color w:val="auto"/>
              </w:rPr>
            </w:pPr>
          </w:p>
        </w:tc>
        <w:tc>
          <w:tcPr>
            <w:tcW w:w="220" w:type="dxa"/>
            <w:vAlign w:val="bottom"/>
            <w:tcBorders>
              <w:top w:val="single" w:sz="8" w:color="0000EE"/>
            </w:tcBorders>
          </w:tcPr>
          <w:p>
            <w:pPr>
              <w:spacing w:after="0"/>
              <w:rPr>
                <w:sz w:val="24"/>
                <w:szCs w:val="24"/>
                <w:color w:val="auto"/>
              </w:rPr>
            </w:pPr>
          </w:p>
        </w:tc>
        <w:tc>
          <w:tcPr>
            <w:tcW w:w="540" w:type="dxa"/>
            <w:vAlign w:val="bottom"/>
          </w:tcPr>
          <w:p>
            <w:pPr>
              <w:spacing w:after="0"/>
              <w:rPr>
                <w:sz w:val="24"/>
                <w:szCs w:val="24"/>
                <w:color w:val="auto"/>
              </w:rPr>
            </w:pPr>
          </w:p>
        </w:tc>
        <w:tc>
          <w:tcPr>
            <w:tcW w:w="106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6780" w:type="dxa"/>
            <w:vAlign w:val="bottom"/>
            <w:gridSpan w:val="11"/>
          </w:tcPr>
          <w:p>
            <w:pPr>
              <w:jc w:val="center"/>
              <w:ind w:right="4080"/>
              <w:spacing w:after="0"/>
              <w:rPr>
                <w:rFonts w:ascii="Arial" w:cs="Arial" w:eastAsia="Arial" w:hAnsi="Arial"/>
                <w:sz w:val="18"/>
                <w:szCs w:val="18"/>
                <w:b w:val="1"/>
                <w:bCs w:val="1"/>
                <w:color w:val="0000EE"/>
              </w:rPr>
            </w:pPr>
            <w:hyperlink w:anchor="page40">
              <w:r>
                <w:rPr>
                  <w:rFonts w:ascii="Arial" w:cs="Arial" w:eastAsia="Arial" w:hAnsi="Arial"/>
                  <w:sz w:val="18"/>
                  <w:szCs w:val="18"/>
                  <w:b w:val="1"/>
                  <w:bCs w:val="1"/>
                  <w:color w:val="0000EE"/>
                </w:rPr>
                <w:t>PART II. OTHER INFORMATION</w:t>
              </w:r>
            </w:hyperlink>
          </w:p>
        </w:tc>
        <w:tc>
          <w:tcPr>
            <w:tcW w:w="28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304"/>
        </w:trPr>
        <w:tc>
          <w:tcPr>
            <w:tcW w:w="880" w:type="dxa"/>
            <w:vAlign w:val="bottom"/>
            <w:gridSpan w:val="2"/>
          </w:tcPr>
          <w:p>
            <w:pPr>
              <w:spacing w:after="0"/>
              <w:rPr>
                <w:sz w:val="20"/>
                <w:szCs w:val="20"/>
                <w:color w:val="auto"/>
              </w:rPr>
            </w:pPr>
            <w:r>
              <w:rPr>
                <w:rFonts w:ascii="Arial" w:cs="Arial" w:eastAsia="Arial" w:hAnsi="Arial"/>
                <w:sz w:val="18"/>
                <w:szCs w:val="18"/>
                <w:color w:val="auto"/>
              </w:rPr>
              <w:t>Item 1.</w:t>
            </w:r>
          </w:p>
        </w:tc>
        <w:tc>
          <w:tcPr>
            <w:tcW w:w="3480" w:type="dxa"/>
            <w:vAlign w:val="bottom"/>
            <w:gridSpan w:val="10"/>
          </w:tcPr>
          <w:p>
            <w:pPr>
              <w:spacing w:after="0"/>
              <w:rPr>
                <w:rFonts w:ascii="Arial" w:cs="Arial" w:eastAsia="Arial" w:hAnsi="Arial"/>
                <w:sz w:val="18"/>
                <w:szCs w:val="18"/>
                <w:color w:val="0000EE"/>
              </w:rPr>
            </w:pPr>
            <w:hyperlink w:anchor="page40">
              <w:r>
                <w:rPr>
                  <w:rFonts w:ascii="Arial" w:cs="Arial" w:eastAsia="Arial" w:hAnsi="Arial"/>
                  <w:sz w:val="18"/>
                  <w:szCs w:val="18"/>
                  <w:color w:val="0000EE"/>
                </w:rPr>
                <w:t>Legal Proceedings</w:t>
              </w:r>
            </w:hyperlink>
          </w:p>
        </w:tc>
        <w:tc>
          <w:tcPr>
            <w:tcW w:w="2700" w:type="dxa"/>
            <w:vAlign w:val="bottom"/>
            <w:tcBorders>
              <w:top w:val="single" w:sz="8" w:color="0000EE"/>
            </w:tcBorders>
            <w:gridSpan w:val="5"/>
          </w:tcPr>
          <w:p>
            <w:pPr>
              <w:spacing w:after="0"/>
              <w:rPr>
                <w:sz w:val="24"/>
                <w:szCs w:val="24"/>
                <w:color w:val="auto"/>
              </w:rPr>
            </w:pPr>
          </w:p>
        </w:tc>
        <w:tc>
          <w:tcPr>
            <w:tcW w:w="4080" w:type="dxa"/>
            <w:vAlign w:val="bottom"/>
            <w:gridSpan w:val="6"/>
          </w:tcPr>
          <w:p>
            <w:pPr>
              <w:spacing w:after="0"/>
              <w:rPr>
                <w:sz w:val="24"/>
                <w:szCs w:val="24"/>
                <w:color w:val="auto"/>
              </w:rPr>
            </w:pPr>
          </w:p>
        </w:tc>
        <w:tc>
          <w:tcPr>
            <w:tcW w:w="280" w:type="dxa"/>
            <w:vAlign w:val="bottom"/>
          </w:tcPr>
          <w:p>
            <w:pPr>
              <w:jc w:val="right"/>
              <w:spacing w:after="0"/>
              <w:rPr>
                <w:sz w:val="20"/>
                <w:szCs w:val="20"/>
                <w:color w:val="auto"/>
              </w:rPr>
            </w:pPr>
            <w:r>
              <w:rPr>
                <w:rFonts w:ascii="Arial" w:cs="Arial" w:eastAsia="Arial" w:hAnsi="Arial"/>
                <w:sz w:val="18"/>
                <w:szCs w:val="18"/>
                <w:color w:val="auto"/>
              </w:rPr>
              <w:t>40</w:t>
            </w:r>
          </w:p>
        </w:tc>
        <w:tc>
          <w:tcPr>
            <w:tcW w:w="0" w:type="dxa"/>
            <w:vAlign w:val="bottom"/>
          </w:tcPr>
          <w:p>
            <w:pPr>
              <w:spacing w:after="0"/>
              <w:rPr>
                <w:sz w:val="1"/>
                <w:szCs w:val="1"/>
                <w:color w:val="auto"/>
              </w:rPr>
            </w:pPr>
          </w:p>
        </w:tc>
      </w:tr>
      <w:tr>
        <w:trPr>
          <w:trHeight w:val="196"/>
        </w:trPr>
        <w:tc>
          <w:tcPr>
            <w:tcW w:w="880" w:type="dxa"/>
            <w:vAlign w:val="bottom"/>
            <w:gridSpan w:val="2"/>
          </w:tcPr>
          <w:p>
            <w:pPr>
              <w:spacing w:after="0" w:line="196" w:lineRule="exact"/>
              <w:rPr>
                <w:sz w:val="20"/>
                <w:szCs w:val="20"/>
                <w:color w:val="auto"/>
              </w:rPr>
            </w:pPr>
            <w:r>
              <w:rPr>
                <w:rFonts w:ascii="Arial" w:cs="Arial" w:eastAsia="Arial" w:hAnsi="Arial"/>
                <w:sz w:val="18"/>
                <w:szCs w:val="18"/>
                <w:color w:val="auto"/>
              </w:rPr>
              <w:t>Item 1A.</w:t>
            </w:r>
          </w:p>
        </w:tc>
        <w:tc>
          <w:tcPr>
            <w:tcW w:w="1300" w:type="dxa"/>
            <w:vAlign w:val="bottom"/>
            <w:tcBorders>
              <w:top w:val="single" w:sz="8" w:color="0000EE"/>
            </w:tcBorders>
            <w:gridSpan w:val="5"/>
          </w:tcPr>
          <w:p>
            <w:pPr>
              <w:spacing w:after="0" w:line="196" w:lineRule="exact"/>
              <w:rPr>
                <w:rFonts w:ascii="Arial" w:cs="Arial" w:eastAsia="Arial" w:hAnsi="Arial"/>
                <w:sz w:val="18"/>
                <w:szCs w:val="18"/>
                <w:color w:val="0000EE"/>
              </w:rPr>
            </w:pPr>
            <w:hyperlink w:anchor="page40">
              <w:r>
                <w:rPr>
                  <w:rFonts w:ascii="Arial" w:cs="Arial" w:eastAsia="Arial" w:hAnsi="Arial"/>
                  <w:sz w:val="18"/>
                  <w:szCs w:val="18"/>
                  <w:color w:val="0000EE"/>
                </w:rPr>
                <w:t>Risk Factors</w:t>
              </w:r>
            </w:hyperlink>
          </w:p>
        </w:tc>
        <w:tc>
          <w:tcPr>
            <w:tcW w:w="8960" w:type="dxa"/>
            <w:vAlign w:val="bottom"/>
            <w:gridSpan w:val="16"/>
          </w:tcPr>
          <w:p>
            <w:pPr>
              <w:spacing w:after="0"/>
              <w:rPr>
                <w:sz w:val="17"/>
                <w:szCs w:val="17"/>
                <w:color w:val="auto"/>
              </w:rPr>
            </w:pPr>
          </w:p>
        </w:tc>
        <w:tc>
          <w:tcPr>
            <w:tcW w:w="280" w:type="dxa"/>
            <w:vAlign w:val="bottom"/>
          </w:tcPr>
          <w:p>
            <w:pPr>
              <w:jc w:val="right"/>
              <w:spacing w:after="0" w:line="196" w:lineRule="exact"/>
              <w:rPr>
                <w:sz w:val="20"/>
                <w:szCs w:val="20"/>
                <w:color w:val="auto"/>
              </w:rPr>
            </w:pPr>
            <w:r>
              <w:rPr>
                <w:rFonts w:ascii="Arial" w:cs="Arial" w:eastAsia="Arial" w:hAnsi="Arial"/>
                <w:sz w:val="18"/>
                <w:szCs w:val="18"/>
                <w:color w:val="auto"/>
              </w:rPr>
              <w:t>40</w:t>
            </w:r>
          </w:p>
        </w:tc>
        <w:tc>
          <w:tcPr>
            <w:tcW w:w="0" w:type="dxa"/>
            <w:vAlign w:val="bottom"/>
          </w:tcPr>
          <w:p>
            <w:pPr>
              <w:spacing w:after="0"/>
              <w:rPr>
                <w:sz w:val="1"/>
                <w:szCs w:val="1"/>
                <w:color w:val="auto"/>
              </w:rPr>
            </w:pPr>
          </w:p>
        </w:tc>
      </w:tr>
      <w:tr>
        <w:trPr>
          <w:trHeight w:val="20"/>
        </w:trPr>
        <w:tc>
          <w:tcPr>
            <w:tcW w:w="74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80" w:type="dxa"/>
            <w:vAlign w:val="bottom"/>
            <w:shd w:val="clear" w:color="auto" w:fill="0000EE"/>
          </w:tcPr>
          <w:p>
            <w:pPr>
              <w:spacing w:after="0" w:line="20" w:lineRule="exact"/>
              <w:rPr>
                <w:sz w:val="1"/>
                <w:szCs w:val="1"/>
                <w:color w:val="auto"/>
              </w:rPr>
            </w:pPr>
          </w:p>
        </w:tc>
        <w:tc>
          <w:tcPr>
            <w:tcW w:w="520" w:type="dxa"/>
            <w:vAlign w:val="bottom"/>
            <w:shd w:val="clear" w:color="auto" w:fill="0000EE"/>
          </w:tcPr>
          <w:p>
            <w:pPr>
              <w:spacing w:after="0" w:line="20" w:lineRule="exact"/>
              <w:rPr>
                <w:sz w:val="1"/>
                <w:szCs w:val="1"/>
                <w:color w:val="auto"/>
              </w:rPr>
            </w:pPr>
          </w:p>
        </w:tc>
        <w:tc>
          <w:tcPr>
            <w:tcW w:w="280" w:type="dxa"/>
            <w:vAlign w:val="bottom"/>
            <w:shd w:val="clear" w:color="auto" w:fill="0000EE"/>
          </w:tcPr>
          <w:p>
            <w:pPr>
              <w:spacing w:after="0" w:line="20" w:lineRule="exact"/>
              <w:rPr>
                <w:sz w:val="1"/>
                <w:szCs w:val="1"/>
                <w:color w:val="auto"/>
              </w:rPr>
            </w:pPr>
          </w:p>
        </w:tc>
        <w:tc>
          <w:tcPr>
            <w:tcW w:w="400" w:type="dxa"/>
            <w:vAlign w:val="bottom"/>
          </w:tcPr>
          <w:p>
            <w:pPr>
              <w:spacing w:after="0" w:line="20" w:lineRule="exact"/>
              <w:rPr>
                <w:sz w:val="1"/>
                <w:szCs w:val="1"/>
                <w:color w:val="auto"/>
              </w:rPr>
            </w:pPr>
          </w:p>
        </w:tc>
        <w:tc>
          <w:tcPr>
            <w:tcW w:w="1000" w:type="dxa"/>
            <w:vAlign w:val="bottom"/>
            <w:gridSpan w:val="4"/>
          </w:tcPr>
          <w:p>
            <w:pPr>
              <w:spacing w:after="0" w:line="20" w:lineRule="exact"/>
              <w:rPr>
                <w:sz w:val="1"/>
                <w:szCs w:val="1"/>
                <w:color w:val="auto"/>
              </w:rPr>
            </w:pPr>
          </w:p>
        </w:tc>
        <w:tc>
          <w:tcPr>
            <w:tcW w:w="1400" w:type="dxa"/>
            <w:vAlign w:val="bottom"/>
            <w:gridSpan w:val="3"/>
          </w:tcPr>
          <w:p>
            <w:pPr>
              <w:spacing w:after="0" w:line="20" w:lineRule="exact"/>
              <w:rPr>
                <w:sz w:val="1"/>
                <w:szCs w:val="1"/>
                <w:color w:val="auto"/>
              </w:rPr>
            </w:pPr>
          </w:p>
        </w:tc>
        <w:tc>
          <w:tcPr>
            <w:tcW w:w="560" w:type="dxa"/>
            <w:vAlign w:val="bottom"/>
          </w:tcPr>
          <w:p>
            <w:pPr>
              <w:spacing w:after="0" w:line="20" w:lineRule="exact"/>
              <w:rPr>
                <w:sz w:val="1"/>
                <w:szCs w:val="1"/>
                <w:color w:val="auto"/>
              </w:rPr>
            </w:pPr>
          </w:p>
        </w:tc>
        <w:tc>
          <w:tcPr>
            <w:tcW w:w="6020" w:type="dxa"/>
            <w:vAlign w:val="bottom"/>
            <w:gridSpan w:val="9"/>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96"/>
        </w:trPr>
        <w:tc>
          <w:tcPr>
            <w:tcW w:w="880" w:type="dxa"/>
            <w:vAlign w:val="bottom"/>
            <w:gridSpan w:val="2"/>
          </w:tcPr>
          <w:p>
            <w:pPr>
              <w:spacing w:after="0" w:line="196" w:lineRule="exact"/>
              <w:rPr>
                <w:sz w:val="20"/>
                <w:szCs w:val="20"/>
                <w:color w:val="auto"/>
              </w:rPr>
            </w:pPr>
            <w:r>
              <w:rPr>
                <w:rFonts w:ascii="Arial" w:cs="Arial" w:eastAsia="Arial" w:hAnsi="Arial"/>
                <w:sz w:val="18"/>
                <w:szCs w:val="18"/>
                <w:color w:val="auto"/>
              </w:rPr>
              <w:t>Item 2.</w:t>
            </w:r>
          </w:p>
        </w:tc>
        <w:tc>
          <w:tcPr>
            <w:tcW w:w="10260" w:type="dxa"/>
            <w:vAlign w:val="bottom"/>
            <w:gridSpan w:val="21"/>
          </w:tcPr>
          <w:p>
            <w:pPr>
              <w:spacing w:after="0" w:line="196" w:lineRule="exact"/>
              <w:rPr>
                <w:rFonts w:ascii="Arial" w:cs="Arial" w:eastAsia="Arial" w:hAnsi="Arial"/>
                <w:sz w:val="18"/>
                <w:szCs w:val="18"/>
                <w:color w:val="0000EE"/>
              </w:rPr>
            </w:pPr>
            <w:hyperlink w:anchor="page54">
              <w:r>
                <w:rPr>
                  <w:rFonts w:ascii="Arial" w:cs="Arial" w:eastAsia="Arial" w:hAnsi="Arial"/>
                  <w:sz w:val="18"/>
                  <w:szCs w:val="18"/>
                  <w:color w:val="0000EE"/>
                </w:rPr>
                <w:t>Unregistered Sales of Equity Securities and Use of Proceeds</w:t>
              </w:r>
            </w:hyperlink>
          </w:p>
        </w:tc>
        <w:tc>
          <w:tcPr>
            <w:tcW w:w="280" w:type="dxa"/>
            <w:vAlign w:val="bottom"/>
          </w:tcPr>
          <w:p>
            <w:pPr>
              <w:jc w:val="right"/>
              <w:spacing w:after="0" w:line="196" w:lineRule="exact"/>
              <w:rPr>
                <w:sz w:val="20"/>
                <w:szCs w:val="20"/>
                <w:color w:val="auto"/>
              </w:rPr>
            </w:pPr>
            <w:r>
              <w:rPr>
                <w:rFonts w:ascii="Arial" w:cs="Arial" w:eastAsia="Arial" w:hAnsi="Arial"/>
                <w:sz w:val="18"/>
                <w:szCs w:val="18"/>
                <w:color w:val="auto"/>
              </w:rPr>
              <w:t>54</w:t>
            </w:r>
          </w:p>
        </w:tc>
        <w:tc>
          <w:tcPr>
            <w:tcW w:w="0" w:type="dxa"/>
            <w:vAlign w:val="bottom"/>
          </w:tcPr>
          <w:p>
            <w:pPr>
              <w:spacing w:after="0"/>
              <w:rPr>
                <w:sz w:val="1"/>
                <w:szCs w:val="1"/>
                <w:color w:val="auto"/>
              </w:rPr>
            </w:pPr>
          </w:p>
        </w:tc>
      </w:tr>
      <w:tr>
        <w:trPr>
          <w:trHeight w:val="196"/>
        </w:trPr>
        <w:tc>
          <w:tcPr>
            <w:tcW w:w="880" w:type="dxa"/>
            <w:vAlign w:val="bottom"/>
            <w:gridSpan w:val="2"/>
          </w:tcPr>
          <w:p>
            <w:pPr>
              <w:spacing w:after="0" w:line="196" w:lineRule="exact"/>
              <w:rPr>
                <w:sz w:val="20"/>
                <w:szCs w:val="20"/>
                <w:color w:val="auto"/>
              </w:rPr>
            </w:pPr>
            <w:r>
              <w:rPr>
                <w:rFonts w:ascii="Arial" w:cs="Arial" w:eastAsia="Arial" w:hAnsi="Arial"/>
                <w:sz w:val="18"/>
                <w:szCs w:val="18"/>
                <w:color w:val="auto"/>
              </w:rPr>
              <w:t>Item 3.</w:t>
            </w:r>
          </w:p>
        </w:tc>
        <w:tc>
          <w:tcPr>
            <w:tcW w:w="2280" w:type="dxa"/>
            <w:vAlign w:val="bottom"/>
            <w:tcBorders>
              <w:top w:val="single" w:sz="8" w:color="0000EE"/>
              <w:bottom w:val="single" w:sz="8" w:color="0000EE"/>
            </w:tcBorders>
            <w:gridSpan w:val="8"/>
          </w:tcPr>
          <w:p>
            <w:pPr>
              <w:spacing w:after="0" w:line="196" w:lineRule="exact"/>
              <w:rPr>
                <w:rFonts w:ascii="Arial" w:cs="Arial" w:eastAsia="Arial" w:hAnsi="Arial"/>
                <w:sz w:val="18"/>
                <w:szCs w:val="18"/>
                <w:color w:val="0000EE"/>
                <w:w w:val="88"/>
              </w:rPr>
            </w:pPr>
            <w:hyperlink w:anchor="page54">
              <w:r>
                <w:rPr>
                  <w:rFonts w:ascii="Arial" w:cs="Arial" w:eastAsia="Arial" w:hAnsi="Arial"/>
                  <w:sz w:val="18"/>
                  <w:szCs w:val="18"/>
                  <w:color w:val="0000EE"/>
                  <w:w w:val="88"/>
                </w:rPr>
                <w:t>Defaults Upon Senior Securities</w:t>
              </w:r>
            </w:hyperlink>
          </w:p>
        </w:tc>
        <w:tc>
          <w:tcPr>
            <w:tcW w:w="1960" w:type="dxa"/>
            <w:vAlign w:val="bottom"/>
            <w:tcBorders>
              <w:top w:val="single" w:sz="8" w:color="0000EE"/>
            </w:tcBorders>
            <w:gridSpan w:val="4"/>
          </w:tcPr>
          <w:p>
            <w:pPr>
              <w:spacing w:after="0"/>
              <w:rPr>
                <w:sz w:val="17"/>
                <w:szCs w:val="17"/>
                <w:color w:val="auto"/>
              </w:rPr>
            </w:pPr>
          </w:p>
        </w:tc>
        <w:tc>
          <w:tcPr>
            <w:tcW w:w="6020" w:type="dxa"/>
            <w:vAlign w:val="bottom"/>
            <w:gridSpan w:val="9"/>
          </w:tcPr>
          <w:p>
            <w:pPr>
              <w:spacing w:after="0"/>
              <w:rPr>
                <w:sz w:val="17"/>
                <w:szCs w:val="17"/>
                <w:color w:val="auto"/>
              </w:rPr>
            </w:pPr>
          </w:p>
        </w:tc>
        <w:tc>
          <w:tcPr>
            <w:tcW w:w="280" w:type="dxa"/>
            <w:vAlign w:val="bottom"/>
          </w:tcPr>
          <w:p>
            <w:pPr>
              <w:jc w:val="right"/>
              <w:spacing w:after="0" w:line="196" w:lineRule="exact"/>
              <w:rPr>
                <w:sz w:val="20"/>
                <w:szCs w:val="20"/>
                <w:color w:val="auto"/>
              </w:rPr>
            </w:pPr>
            <w:r>
              <w:rPr>
                <w:rFonts w:ascii="Arial" w:cs="Arial" w:eastAsia="Arial" w:hAnsi="Arial"/>
                <w:sz w:val="18"/>
                <w:szCs w:val="18"/>
                <w:color w:val="auto"/>
              </w:rPr>
              <w:t>54</w:t>
            </w:r>
          </w:p>
        </w:tc>
        <w:tc>
          <w:tcPr>
            <w:tcW w:w="0" w:type="dxa"/>
            <w:vAlign w:val="bottom"/>
          </w:tcPr>
          <w:p>
            <w:pPr>
              <w:spacing w:after="0"/>
              <w:rPr>
                <w:sz w:val="1"/>
                <w:szCs w:val="1"/>
                <w:color w:val="auto"/>
              </w:rPr>
            </w:pPr>
          </w:p>
        </w:tc>
      </w:tr>
      <w:tr>
        <w:trPr>
          <w:trHeight w:val="196"/>
        </w:trPr>
        <w:tc>
          <w:tcPr>
            <w:tcW w:w="880" w:type="dxa"/>
            <w:vAlign w:val="bottom"/>
            <w:gridSpan w:val="2"/>
          </w:tcPr>
          <w:p>
            <w:pPr>
              <w:spacing w:after="0" w:line="196" w:lineRule="exact"/>
              <w:rPr>
                <w:sz w:val="20"/>
                <w:szCs w:val="20"/>
                <w:color w:val="auto"/>
              </w:rPr>
            </w:pPr>
            <w:r>
              <w:rPr>
                <w:rFonts w:ascii="Arial" w:cs="Arial" w:eastAsia="Arial" w:hAnsi="Arial"/>
                <w:sz w:val="18"/>
                <w:szCs w:val="18"/>
                <w:color w:val="auto"/>
              </w:rPr>
              <w:t>Item 4.</w:t>
            </w:r>
          </w:p>
        </w:tc>
        <w:tc>
          <w:tcPr>
            <w:tcW w:w="3680" w:type="dxa"/>
            <w:vAlign w:val="bottom"/>
            <w:tcBorders>
              <w:bottom w:val="single" w:sz="8" w:color="0000EE"/>
            </w:tcBorders>
            <w:gridSpan w:val="11"/>
          </w:tcPr>
          <w:p>
            <w:pPr>
              <w:spacing w:after="0" w:line="196" w:lineRule="exact"/>
              <w:rPr>
                <w:rFonts w:ascii="Arial" w:cs="Arial" w:eastAsia="Arial" w:hAnsi="Arial"/>
                <w:sz w:val="18"/>
                <w:szCs w:val="18"/>
                <w:color w:val="0000EE"/>
                <w:w w:val="88"/>
              </w:rPr>
            </w:pPr>
            <w:hyperlink w:anchor="page54">
              <w:r>
                <w:rPr>
                  <w:rFonts w:ascii="Arial" w:cs="Arial" w:eastAsia="Arial" w:hAnsi="Arial"/>
                  <w:sz w:val="18"/>
                  <w:szCs w:val="18"/>
                  <w:color w:val="0000EE"/>
                  <w:w w:val="88"/>
                </w:rPr>
                <w:t>Submission of Matters to a Vote of Security Holders</w:t>
              </w:r>
            </w:hyperlink>
          </w:p>
        </w:tc>
        <w:tc>
          <w:tcPr>
            <w:tcW w:w="6580" w:type="dxa"/>
            <w:vAlign w:val="bottom"/>
            <w:gridSpan w:val="10"/>
          </w:tcPr>
          <w:p>
            <w:pPr>
              <w:spacing w:after="0"/>
              <w:rPr>
                <w:sz w:val="17"/>
                <w:szCs w:val="17"/>
                <w:color w:val="auto"/>
              </w:rPr>
            </w:pPr>
          </w:p>
        </w:tc>
        <w:tc>
          <w:tcPr>
            <w:tcW w:w="280" w:type="dxa"/>
            <w:vAlign w:val="bottom"/>
          </w:tcPr>
          <w:p>
            <w:pPr>
              <w:jc w:val="right"/>
              <w:spacing w:after="0" w:line="196" w:lineRule="exact"/>
              <w:rPr>
                <w:sz w:val="20"/>
                <w:szCs w:val="20"/>
                <w:color w:val="auto"/>
              </w:rPr>
            </w:pPr>
            <w:r>
              <w:rPr>
                <w:rFonts w:ascii="Arial" w:cs="Arial" w:eastAsia="Arial" w:hAnsi="Arial"/>
                <w:sz w:val="18"/>
                <w:szCs w:val="18"/>
                <w:color w:val="auto"/>
              </w:rPr>
              <w:t>54</w:t>
            </w:r>
          </w:p>
        </w:tc>
        <w:tc>
          <w:tcPr>
            <w:tcW w:w="0" w:type="dxa"/>
            <w:vAlign w:val="bottom"/>
          </w:tcPr>
          <w:p>
            <w:pPr>
              <w:spacing w:after="0"/>
              <w:rPr>
                <w:sz w:val="1"/>
                <w:szCs w:val="1"/>
                <w:color w:val="auto"/>
              </w:rPr>
            </w:pPr>
          </w:p>
        </w:tc>
      </w:tr>
      <w:tr>
        <w:trPr>
          <w:trHeight w:val="196"/>
        </w:trPr>
        <w:tc>
          <w:tcPr>
            <w:tcW w:w="880" w:type="dxa"/>
            <w:vAlign w:val="bottom"/>
            <w:gridSpan w:val="2"/>
          </w:tcPr>
          <w:p>
            <w:pPr>
              <w:spacing w:after="0" w:line="196" w:lineRule="exact"/>
              <w:rPr>
                <w:sz w:val="20"/>
                <w:szCs w:val="20"/>
                <w:color w:val="auto"/>
              </w:rPr>
            </w:pPr>
            <w:r>
              <w:rPr>
                <w:rFonts w:ascii="Arial" w:cs="Arial" w:eastAsia="Arial" w:hAnsi="Arial"/>
                <w:sz w:val="18"/>
                <w:szCs w:val="18"/>
                <w:color w:val="auto"/>
              </w:rPr>
              <w:t>Item 5.</w:t>
            </w:r>
          </w:p>
        </w:tc>
        <w:tc>
          <w:tcPr>
            <w:tcW w:w="10260" w:type="dxa"/>
            <w:vAlign w:val="bottom"/>
            <w:gridSpan w:val="21"/>
          </w:tcPr>
          <w:p>
            <w:pPr>
              <w:spacing w:after="0" w:line="196" w:lineRule="exact"/>
              <w:rPr>
                <w:rFonts w:ascii="Arial" w:cs="Arial" w:eastAsia="Arial" w:hAnsi="Arial"/>
                <w:sz w:val="18"/>
                <w:szCs w:val="18"/>
                <w:color w:val="0000EE"/>
              </w:rPr>
            </w:pPr>
            <w:hyperlink w:anchor="page54">
              <w:r>
                <w:rPr>
                  <w:rFonts w:ascii="Arial" w:cs="Arial" w:eastAsia="Arial" w:hAnsi="Arial"/>
                  <w:sz w:val="18"/>
                  <w:szCs w:val="18"/>
                  <w:color w:val="0000EE"/>
                </w:rPr>
                <w:t>Other Information</w:t>
              </w:r>
            </w:hyperlink>
          </w:p>
        </w:tc>
        <w:tc>
          <w:tcPr>
            <w:tcW w:w="280" w:type="dxa"/>
            <w:vAlign w:val="bottom"/>
          </w:tcPr>
          <w:p>
            <w:pPr>
              <w:jc w:val="right"/>
              <w:spacing w:after="0" w:line="196" w:lineRule="exact"/>
              <w:rPr>
                <w:sz w:val="20"/>
                <w:szCs w:val="20"/>
                <w:color w:val="auto"/>
              </w:rPr>
            </w:pPr>
            <w:r>
              <w:rPr>
                <w:rFonts w:ascii="Arial" w:cs="Arial" w:eastAsia="Arial" w:hAnsi="Arial"/>
                <w:sz w:val="18"/>
                <w:szCs w:val="18"/>
                <w:color w:val="auto"/>
              </w:rPr>
              <w:t>54</w:t>
            </w:r>
          </w:p>
        </w:tc>
        <w:tc>
          <w:tcPr>
            <w:tcW w:w="0" w:type="dxa"/>
            <w:vAlign w:val="bottom"/>
          </w:tcPr>
          <w:p>
            <w:pPr>
              <w:spacing w:after="0"/>
              <w:rPr>
                <w:sz w:val="1"/>
                <w:szCs w:val="1"/>
                <w:color w:val="auto"/>
              </w:rPr>
            </w:pPr>
          </w:p>
        </w:tc>
      </w:tr>
      <w:tr>
        <w:trPr>
          <w:trHeight w:val="196"/>
        </w:trPr>
        <w:tc>
          <w:tcPr>
            <w:tcW w:w="880" w:type="dxa"/>
            <w:vAlign w:val="bottom"/>
            <w:gridSpan w:val="2"/>
          </w:tcPr>
          <w:p>
            <w:pPr>
              <w:spacing w:after="0" w:line="196" w:lineRule="exact"/>
              <w:rPr>
                <w:sz w:val="20"/>
                <w:szCs w:val="20"/>
                <w:color w:val="auto"/>
              </w:rPr>
            </w:pPr>
            <w:r>
              <w:rPr>
                <w:rFonts w:ascii="Arial" w:cs="Arial" w:eastAsia="Arial" w:hAnsi="Arial"/>
                <w:sz w:val="18"/>
                <w:szCs w:val="18"/>
                <w:color w:val="auto"/>
              </w:rPr>
              <w:t>Item 6.</w:t>
            </w:r>
          </w:p>
        </w:tc>
        <w:tc>
          <w:tcPr>
            <w:tcW w:w="1280" w:type="dxa"/>
            <w:vAlign w:val="bottom"/>
            <w:tcBorders>
              <w:top w:val="single" w:sz="8" w:color="0000EE"/>
            </w:tcBorders>
            <w:gridSpan w:val="4"/>
          </w:tcPr>
          <w:p>
            <w:pPr>
              <w:spacing w:after="0" w:line="196" w:lineRule="exact"/>
              <w:rPr>
                <w:rFonts w:ascii="Arial" w:cs="Arial" w:eastAsia="Arial" w:hAnsi="Arial"/>
                <w:sz w:val="18"/>
                <w:szCs w:val="18"/>
                <w:color w:val="0000EE"/>
              </w:rPr>
            </w:pPr>
            <w:hyperlink w:anchor="page54">
              <w:r>
                <w:rPr>
                  <w:rFonts w:ascii="Arial" w:cs="Arial" w:eastAsia="Arial" w:hAnsi="Arial"/>
                  <w:sz w:val="18"/>
                  <w:szCs w:val="18"/>
                  <w:color w:val="0000EE"/>
                </w:rPr>
                <w:t>Exhibits</w:t>
              </w:r>
            </w:hyperlink>
          </w:p>
        </w:tc>
        <w:tc>
          <w:tcPr>
            <w:tcW w:w="8980" w:type="dxa"/>
            <w:vAlign w:val="bottom"/>
            <w:gridSpan w:val="17"/>
          </w:tcPr>
          <w:p>
            <w:pPr>
              <w:spacing w:after="0"/>
              <w:rPr>
                <w:sz w:val="17"/>
                <w:szCs w:val="17"/>
                <w:color w:val="auto"/>
              </w:rPr>
            </w:pPr>
          </w:p>
        </w:tc>
        <w:tc>
          <w:tcPr>
            <w:tcW w:w="280" w:type="dxa"/>
            <w:vAlign w:val="bottom"/>
          </w:tcPr>
          <w:p>
            <w:pPr>
              <w:jc w:val="right"/>
              <w:spacing w:after="0" w:line="196" w:lineRule="exact"/>
              <w:rPr>
                <w:sz w:val="20"/>
                <w:szCs w:val="20"/>
                <w:color w:val="auto"/>
              </w:rPr>
            </w:pPr>
            <w:r>
              <w:rPr>
                <w:rFonts w:ascii="Arial" w:cs="Arial" w:eastAsia="Arial" w:hAnsi="Arial"/>
                <w:sz w:val="18"/>
                <w:szCs w:val="18"/>
                <w:color w:val="auto"/>
              </w:rPr>
              <w:t>54</w:t>
            </w:r>
          </w:p>
        </w:tc>
        <w:tc>
          <w:tcPr>
            <w:tcW w:w="0" w:type="dxa"/>
            <w:vAlign w:val="bottom"/>
          </w:tcPr>
          <w:p>
            <w:pPr>
              <w:spacing w:after="0"/>
              <w:rPr>
                <w:sz w:val="1"/>
                <w:szCs w:val="1"/>
                <w:color w:val="auto"/>
              </w:rPr>
            </w:pPr>
          </w:p>
        </w:tc>
      </w:tr>
      <w:tr>
        <w:trPr>
          <w:trHeight w:val="196"/>
        </w:trPr>
        <w:tc>
          <w:tcPr>
            <w:tcW w:w="880" w:type="dxa"/>
            <w:vAlign w:val="bottom"/>
            <w:gridSpan w:val="2"/>
          </w:tcPr>
          <w:p>
            <w:pPr>
              <w:spacing w:after="0" w:line="196" w:lineRule="exact"/>
              <w:rPr>
                <w:rFonts w:ascii="Arial" w:cs="Arial" w:eastAsia="Arial" w:hAnsi="Arial"/>
                <w:sz w:val="18"/>
                <w:szCs w:val="18"/>
                <w:color w:val="0000EE"/>
                <w:w w:val="99"/>
              </w:rPr>
            </w:pPr>
            <w:hyperlink w:anchor="page56">
              <w:r>
                <w:rPr>
                  <w:rFonts w:ascii="Arial" w:cs="Arial" w:eastAsia="Arial" w:hAnsi="Arial"/>
                  <w:sz w:val="18"/>
                  <w:szCs w:val="18"/>
                  <w:color w:val="0000EE"/>
                  <w:w w:val="99"/>
                </w:rPr>
                <w:t>Signatures</w:t>
              </w:r>
            </w:hyperlink>
          </w:p>
        </w:tc>
        <w:tc>
          <w:tcPr>
            <w:tcW w:w="80" w:type="dxa"/>
            <w:vAlign w:val="bottom"/>
            <w:tcBorders>
              <w:top w:val="single" w:sz="8" w:color="0000EE"/>
            </w:tcBorders>
          </w:tcPr>
          <w:p>
            <w:pPr>
              <w:spacing w:after="0"/>
              <w:rPr>
                <w:sz w:val="17"/>
                <w:szCs w:val="17"/>
                <w:color w:val="auto"/>
              </w:rPr>
            </w:pPr>
          </w:p>
        </w:tc>
        <w:tc>
          <w:tcPr>
            <w:tcW w:w="520" w:type="dxa"/>
            <w:vAlign w:val="bottom"/>
            <w:tcBorders>
              <w:top w:val="single" w:sz="8" w:color="0000EE"/>
            </w:tcBorders>
          </w:tcPr>
          <w:p>
            <w:pPr>
              <w:spacing w:after="0"/>
              <w:rPr>
                <w:sz w:val="17"/>
                <w:szCs w:val="17"/>
                <w:color w:val="auto"/>
              </w:rPr>
            </w:pPr>
          </w:p>
        </w:tc>
        <w:tc>
          <w:tcPr>
            <w:tcW w:w="280" w:type="dxa"/>
            <w:vAlign w:val="bottom"/>
          </w:tcPr>
          <w:p>
            <w:pPr>
              <w:spacing w:after="0"/>
              <w:rPr>
                <w:sz w:val="17"/>
                <w:szCs w:val="17"/>
                <w:color w:val="auto"/>
              </w:rPr>
            </w:pPr>
          </w:p>
        </w:tc>
        <w:tc>
          <w:tcPr>
            <w:tcW w:w="40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220" w:type="dxa"/>
            <w:vAlign w:val="bottom"/>
          </w:tcPr>
          <w:p>
            <w:pPr>
              <w:spacing w:after="0"/>
              <w:rPr>
                <w:sz w:val="17"/>
                <w:szCs w:val="17"/>
                <w:color w:val="auto"/>
              </w:rPr>
            </w:pPr>
          </w:p>
        </w:tc>
        <w:tc>
          <w:tcPr>
            <w:tcW w:w="220" w:type="dxa"/>
            <w:vAlign w:val="bottom"/>
          </w:tcPr>
          <w:p>
            <w:pPr>
              <w:spacing w:after="0"/>
              <w:rPr>
                <w:sz w:val="17"/>
                <w:szCs w:val="17"/>
                <w:color w:val="auto"/>
              </w:rPr>
            </w:pPr>
          </w:p>
        </w:tc>
        <w:tc>
          <w:tcPr>
            <w:tcW w:w="540" w:type="dxa"/>
            <w:vAlign w:val="bottom"/>
          </w:tcPr>
          <w:p>
            <w:pPr>
              <w:spacing w:after="0"/>
              <w:rPr>
                <w:sz w:val="17"/>
                <w:szCs w:val="17"/>
                <w:color w:val="auto"/>
              </w:rPr>
            </w:pPr>
          </w:p>
        </w:tc>
        <w:tc>
          <w:tcPr>
            <w:tcW w:w="1060" w:type="dxa"/>
            <w:vAlign w:val="bottom"/>
          </w:tcPr>
          <w:p>
            <w:pPr>
              <w:spacing w:after="0"/>
              <w:rPr>
                <w:sz w:val="17"/>
                <w:szCs w:val="17"/>
                <w:color w:val="auto"/>
              </w:rPr>
            </w:pPr>
          </w:p>
        </w:tc>
        <w:tc>
          <w:tcPr>
            <w:tcW w:w="140" w:type="dxa"/>
            <w:vAlign w:val="bottom"/>
          </w:tcPr>
          <w:p>
            <w:pPr>
              <w:spacing w:after="0"/>
              <w:rPr>
                <w:sz w:val="17"/>
                <w:szCs w:val="17"/>
                <w:color w:val="auto"/>
              </w:rPr>
            </w:pPr>
          </w:p>
        </w:tc>
        <w:tc>
          <w:tcPr>
            <w:tcW w:w="200" w:type="dxa"/>
            <w:vAlign w:val="bottom"/>
          </w:tcPr>
          <w:p>
            <w:pPr>
              <w:spacing w:after="0"/>
              <w:rPr>
                <w:sz w:val="17"/>
                <w:szCs w:val="17"/>
                <w:color w:val="auto"/>
              </w:rPr>
            </w:pPr>
          </w:p>
        </w:tc>
        <w:tc>
          <w:tcPr>
            <w:tcW w:w="56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420" w:type="dxa"/>
            <w:vAlign w:val="bottom"/>
          </w:tcPr>
          <w:p>
            <w:pPr>
              <w:spacing w:after="0"/>
              <w:rPr>
                <w:sz w:val="17"/>
                <w:szCs w:val="17"/>
                <w:color w:val="auto"/>
              </w:rPr>
            </w:pPr>
          </w:p>
        </w:tc>
        <w:tc>
          <w:tcPr>
            <w:tcW w:w="150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520" w:type="dxa"/>
            <w:vAlign w:val="bottom"/>
          </w:tcPr>
          <w:p>
            <w:pPr>
              <w:spacing w:after="0"/>
              <w:rPr>
                <w:sz w:val="17"/>
                <w:szCs w:val="17"/>
                <w:color w:val="auto"/>
              </w:rPr>
            </w:pPr>
          </w:p>
        </w:tc>
        <w:tc>
          <w:tcPr>
            <w:tcW w:w="2360" w:type="dxa"/>
            <w:vAlign w:val="bottom"/>
          </w:tcPr>
          <w:p>
            <w:pPr>
              <w:spacing w:after="0"/>
              <w:rPr>
                <w:sz w:val="17"/>
                <w:szCs w:val="17"/>
                <w:color w:val="auto"/>
              </w:rPr>
            </w:pPr>
          </w:p>
        </w:tc>
        <w:tc>
          <w:tcPr>
            <w:tcW w:w="640" w:type="dxa"/>
            <w:vAlign w:val="bottom"/>
          </w:tcPr>
          <w:p>
            <w:pPr>
              <w:spacing w:after="0"/>
              <w:rPr>
                <w:sz w:val="17"/>
                <w:szCs w:val="17"/>
                <w:color w:val="auto"/>
              </w:rPr>
            </w:pPr>
          </w:p>
        </w:tc>
        <w:tc>
          <w:tcPr>
            <w:tcW w:w="420" w:type="dxa"/>
            <w:vAlign w:val="bottom"/>
          </w:tcPr>
          <w:p>
            <w:pPr>
              <w:spacing w:after="0"/>
              <w:rPr>
                <w:sz w:val="17"/>
                <w:szCs w:val="17"/>
                <w:color w:val="auto"/>
              </w:rPr>
            </w:pPr>
          </w:p>
        </w:tc>
        <w:tc>
          <w:tcPr>
            <w:tcW w:w="280" w:type="dxa"/>
            <w:vAlign w:val="bottom"/>
          </w:tcPr>
          <w:p>
            <w:pPr>
              <w:jc w:val="right"/>
              <w:spacing w:after="0" w:line="196" w:lineRule="exact"/>
              <w:rPr>
                <w:sz w:val="20"/>
                <w:szCs w:val="20"/>
                <w:color w:val="auto"/>
              </w:rPr>
            </w:pPr>
            <w:r>
              <w:rPr>
                <w:rFonts w:ascii="Arial" w:cs="Arial" w:eastAsia="Arial" w:hAnsi="Arial"/>
                <w:sz w:val="18"/>
                <w:szCs w:val="18"/>
                <w:color w:val="auto"/>
              </w:rPr>
              <w:t>56</w:t>
            </w:r>
          </w:p>
        </w:tc>
        <w:tc>
          <w:tcPr>
            <w:tcW w:w="0" w:type="dxa"/>
            <w:vAlign w:val="bottom"/>
          </w:tcPr>
          <w:p>
            <w:pPr>
              <w:spacing w:after="0"/>
              <w:rPr>
                <w:sz w:val="1"/>
                <w:szCs w:val="1"/>
                <w:color w:val="auto"/>
              </w:rPr>
            </w:pPr>
          </w:p>
        </w:tc>
      </w:tr>
      <w:tr>
        <w:trPr>
          <w:trHeight w:val="20"/>
        </w:trPr>
        <w:tc>
          <w:tcPr>
            <w:tcW w:w="740" w:type="dxa"/>
            <w:vAlign w:val="bottom"/>
            <w:shd w:val="clear" w:color="auto" w:fill="0000EE"/>
          </w:tcPr>
          <w:p>
            <w:pPr>
              <w:spacing w:after="0" w:line="20" w:lineRule="exact"/>
              <w:rPr>
                <w:sz w:val="1"/>
                <w:szCs w:val="1"/>
                <w:color w:val="auto"/>
              </w:rPr>
            </w:pPr>
          </w:p>
        </w:tc>
        <w:tc>
          <w:tcPr>
            <w:tcW w:w="220" w:type="dxa"/>
            <w:vAlign w:val="bottom"/>
            <w:gridSpan w:val="2"/>
          </w:tcPr>
          <w:p>
            <w:pPr>
              <w:spacing w:after="0" w:line="20" w:lineRule="exact"/>
              <w:rPr>
                <w:sz w:val="1"/>
                <w:szCs w:val="1"/>
                <w:color w:val="auto"/>
              </w:rPr>
            </w:pPr>
          </w:p>
        </w:tc>
        <w:tc>
          <w:tcPr>
            <w:tcW w:w="10180" w:type="dxa"/>
            <w:vAlign w:val="bottom"/>
            <w:gridSpan w:val="20"/>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96"/>
        </w:trPr>
        <w:tc>
          <w:tcPr>
            <w:tcW w:w="11140" w:type="dxa"/>
            <w:vAlign w:val="bottom"/>
            <w:gridSpan w:val="23"/>
          </w:tcPr>
          <w:p>
            <w:pPr>
              <w:spacing w:after="0" w:line="196" w:lineRule="exact"/>
              <w:rPr>
                <w:rFonts w:ascii="Arial" w:cs="Arial" w:eastAsia="Arial" w:hAnsi="Arial"/>
                <w:sz w:val="18"/>
                <w:szCs w:val="18"/>
                <w:color w:val="0000EE"/>
              </w:rPr>
            </w:pPr>
            <w:hyperlink w:anchor="page57">
              <w:r>
                <w:rPr>
                  <w:rFonts w:ascii="Arial" w:cs="Arial" w:eastAsia="Arial" w:hAnsi="Arial"/>
                  <w:sz w:val="18"/>
                  <w:szCs w:val="18"/>
                  <w:color w:val="0000EE"/>
                </w:rPr>
                <w:t>Exhibit Index</w:t>
              </w:r>
            </w:hyperlink>
          </w:p>
        </w:tc>
        <w:tc>
          <w:tcPr>
            <w:tcW w:w="280" w:type="dxa"/>
            <w:vAlign w:val="bottom"/>
          </w:tcPr>
          <w:p>
            <w:pPr>
              <w:jc w:val="right"/>
              <w:spacing w:after="0" w:line="196" w:lineRule="exact"/>
              <w:rPr>
                <w:sz w:val="20"/>
                <w:szCs w:val="20"/>
                <w:color w:val="auto"/>
              </w:rPr>
            </w:pPr>
            <w:r>
              <w:rPr>
                <w:rFonts w:ascii="Arial" w:cs="Arial" w:eastAsia="Arial" w:hAnsi="Arial"/>
                <w:sz w:val="18"/>
                <w:szCs w:val="18"/>
                <w:color w:val="auto"/>
              </w:rPr>
              <w:t>57</w:t>
            </w:r>
          </w:p>
        </w:tc>
        <w:tc>
          <w:tcPr>
            <w:tcW w:w="0" w:type="dxa"/>
            <w:vAlign w:val="bottom"/>
          </w:tcPr>
          <w:p>
            <w:pPr>
              <w:spacing w:after="0"/>
              <w:rPr>
                <w:sz w:val="1"/>
                <w:szCs w:val="1"/>
                <w:color w:val="auto"/>
              </w:rPr>
            </w:pPr>
          </w:p>
        </w:tc>
      </w:tr>
      <w:tr>
        <w:trPr>
          <w:trHeight w:val="383"/>
        </w:trPr>
        <w:tc>
          <w:tcPr>
            <w:tcW w:w="740" w:type="dxa"/>
            <w:vAlign w:val="bottom"/>
            <w:tcBorders>
              <w:top w:val="single" w:sz="8" w:color="0000EE"/>
            </w:tcBorders>
          </w:tcPr>
          <w:p>
            <w:pPr>
              <w:spacing w:after="0"/>
              <w:rPr>
                <w:sz w:val="24"/>
                <w:szCs w:val="24"/>
                <w:color w:val="auto"/>
              </w:rPr>
            </w:pPr>
          </w:p>
        </w:tc>
        <w:tc>
          <w:tcPr>
            <w:tcW w:w="140" w:type="dxa"/>
            <w:vAlign w:val="bottom"/>
            <w:tcBorders>
              <w:top w:val="single" w:sz="8" w:color="0000EE"/>
            </w:tcBorders>
          </w:tcPr>
          <w:p>
            <w:pPr>
              <w:spacing w:after="0"/>
              <w:rPr>
                <w:sz w:val="24"/>
                <w:szCs w:val="24"/>
                <w:color w:val="auto"/>
              </w:rPr>
            </w:pPr>
          </w:p>
        </w:tc>
        <w:tc>
          <w:tcPr>
            <w:tcW w:w="80" w:type="dxa"/>
            <w:vAlign w:val="bottom"/>
            <w:tcBorders>
              <w:top w:val="single" w:sz="8" w:color="0000EE"/>
            </w:tcBorders>
          </w:tcPr>
          <w:p>
            <w:pPr>
              <w:spacing w:after="0"/>
              <w:rPr>
                <w:sz w:val="24"/>
                <w:szCs w:val="24"/>
                <w:color w:val="auto"/>
              </w:rPr>
            </w:pPr>
          </w:p>
        </w:tc>
        <w:tc>
          <w:tcPr>
            <w:tcW w:w="6100" w:type="dxa"/>
            <w:vAlign w:val="bottom"/>
            <w:gridSpan w:val="14"/>
          </w:tcPr>
          <w:p>
            <w:pPr>
              <w:jc w:val="center"/>
              <w:ind w:left="3332"/>
              <w:spacing w:after="0"/>
              <w:rPr>
                <w:sz w:val="20"/>
                <w:szCs w:val="20"/>
                <w:color w:val="auto"/>
              </w:rPr>
            </w:pPr>
            <w:r>
              <w:rPr>
                <w:rFonts w:ascii="Arial" w:cs="Arial" w:eastAsia="Arial" w:hAnsi="Arial"/>
                <w:sz w:val="18"/>
                <w:szCs w:val="18"/>
                <w:color w:val="auto"/>
                <w:w w:val="79"/>
              </w:rPr>
              <w:t>2</w:t>
            </w:r>
          </w:p>
        </w:tc>
        <w:tc>
          <w:tcPr>
            <w:tcW w:w="12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520" w:type="dxa"/>
            <w:vAlign w:val="bottom"/>
          </w:tcPr>
          <w:p>
            <w:pPr>
              <w:spacing w:after="0"/>
              <w:rPr>
                <w:sz w:val="24"/>
                <w:szCs w:val="24"/>
                <w:color w:val="auto"/>
              </w:rPr>
            </w:pPr>
          </w:p>
        </w:tc>
        <w:tc>
          <w:tcPr>
            <w:tcW w:w="2360" w:type="dxa"/>
            <w:vAlign w:val="bottom"/>
          </w:tcPr>
          <w:p>
            <w:pPr>
              <w:spacing w:after="0"/>
              <w:rPr>
                <w:sz w:val="24"/>
                <w:szCs w:val="24"/>
                <w:color w:val="auto"/>
              </w:rPr>
            </w:pPr>
          </w:p>
        </w:tc>
        <w:tc>
          <w:tcPr>
            <w:tcW w:w="640" w:type="dxa"/>
            <w:vAlign w:val="bottom"/>
          </w:tcPr>
          <w:p>
            <w:pPr>
              <w:spacing w:after="0"/>
              <w:rPr>
                <w:sz w:val="24"/>
                <w:szCs w:val="24"/>
                <w:color w:val="auto"/>
              </w:rPr>
            </w:pPr>
          </w:p>
        </w:tc>
        <w:tc>
          <w:tcPr>
            <w:tcW w:w="420" w:type="dxa"/>
            <w:vAlign w:val="bottom"/>
          </w:tcPr>
          <w:p>
            <w:pPr>
              <w:spacing w:after="0"/>
              <w:rPr>
                <w:sz w:val="24"/>
                <w:szCs w:val="24"/>
                <w:color w:val="auto"/>
              </w:rPr>
            </w:pPr>
          </w:p>
        </w:tc>
        <w:tc>
          <w:tcPr>
            <w:tcW w:w="280" w:type="dxa"/>
            <w:vAlign w:val="bottom"/>
          </w:tcPr>
          <w:p>
            <w:pPr>
              <w:spacing w:after="0"/>
              <w:rPr>
                <w:sz w:val="24"/>
                <w:szCs w:val="24"/>
                <w:color w:val="auto"/>
              </w:rPr>
            </w:pPr>
          </w:p>
        </w:tc>
        <w:tc>
          <w:tcPr>
            <w:tcW w:w="0" w:type="dxa"/>
            <w:vAlign w:val="bottom"/>
          </w:tcPr>
          <w:p>
            <w:pPr>
              <w:spacing w:after="0"/>
              <w:rPr>
                <w:sz w:val="1"/>
                <w:szCs w:val="1"/>
                <w:color w:val="auto"/>
              </w:rPr>
            </w:pPr>
          </w:p>
        </w:tc>
      </w:tr>
    </w:tbl>
    <w:p>
      <w:pPr>
        <w:sectPr>
          <w:pgSz w:w="11900" w:h="16838" w:orient="portrait"/>
          <w:cols w:equalWidth="0" w:num="1">
            <w:col w:w="11420"/>
          </w:cols>
          <w:pgMar w:left="240" w:top="459" w:right="239" w:bottom="1440" w:gutter="0" w:footer="0" w:header="0"/>
        </w:sectPr>
      </w:pPr>
    </w:p>
    <w:bookmarkStart w:id="2" w:name="page3"/>
    <w:bookmarkEnd w:id="2"/>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7">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tbl>
      <w:tblPr>
        <w:tblLayout w:type="fixed"/>
        <w:tblInd w:w="0" w:type="dxa"/>
        <w:tblCellMar>
          <w:top w:w="0" w:type="dxa"/>
          <w:left w:w="0" w:type="dxa"/>
          <w:bottom w:w="0" w:type="dxa"/>
          <w:right w:w="0" w:type="dxa"/>
        </w:tblCellMar>
      </w:tblPr>
      <w:tr>
        <w:trPr>
          <w:trHeight w:val="228"/>
        </w:trPr>
        <w:tc>
          <w:tcPr>
            <w:tcW w:w="780" w:type="dxa"/>
            <w:vAlign w:val="bottom"/>
          </w:tcPr>
          <w:p>
            <w:pPr>
              <w:spacing w:after="0"/>
              <w:rPr>
                <w:sz w:val="19"/>
                <w:szCs w:val="19"/>
                <w:color w:val="auto"/>
              </w:rPr>
            </w:pPr>
          </w:p>
        </w:tc>
        <w:tc>
          <w:tcPr>
            <w:tcW w:w="8620" w:type="dxa"/>
            <w:vAlign w:val="bottom"/>
          </w:tcPr>
          <w:p>
            <w:pPr>
              <w:jc w:val="center"/>
              <w:ind w:left="1172"/>
              <w:spacing w:after="0"/>
              <w:rPr>
                <w:sz w:val="20"/>
                <w:szCs w:val="20"/>
                <w:color w:val="auto"/>
              </w:rPr>
            </w:pPr>
            <w:r>
              <w:rPr>
                <w:rFonts w:ascii="Arial" w:cs="Arial" w:eastAsia="Arial" w:hAnsi="Arial"/>
                <w:sz w:val="18"/>
                <w:szCs w:val="18"/>
                <w:b w:val="1"/>
                <w:bCs w:val="1"/>
                <w:color w:val="auto"/>
              </w:rPr>
              <w:t>PART I: FINANCIAL INFORMATION</w:t>
            </w:r>
          </w:p>
        </w:tc>
        <w:tc>
          <w:tcPr>
            <w:tcW w:w="80" w:type="dxa"/>
            <w:vAlign w:val="bottom"/>
          </w:tcPr>
          <w:p>
            <w:pPr>
              <w:spacing w:after="0"/>
              <w:rPr>
                <w:sz w:val="19"/>
                <w:szCs w:val="19"/>
                <w:color w:val="auto"/>
              </w:rPr>
            </w:pPr>
          </w:p>
        </w:tc>
        <w:tc>
          <w:tcPr>
            <w:tcW w:w="720" w:type="dxa"/>
            <w:vAlign w:val="bottom"/>
          </w:tcPr>
          <w:p>
            <w:pPr>
              <w:spacing w:after="0"/>
              <w:rPr>
                <w:sz w:val="19"/>
                <w:szCs w:val="19"/>
                <w:color w:val="auto"/>
              </w:rPr>
            </w:pPr>
          </w:p>
        </w:tc>
        <w:tc>
          <w:tcPr>
            <w:tcW w:w="320" w:type="dxa"/>
            <w:vAlign w:val="bottom"/>
          </w:tcPr>
          <w:p>
            <w:pPr>
              <w:spacing w:after="0"/>
              <w:rPr>
                <w:sz w:val="19"/>
                <w:szCs w:val="19"/>
                <w:color w:val="auto"/>
              </w:rPr>
            </w:pPr>
          </w:p>
        </w:tc>
        <w:tc>
          <w:tcPr>
            <w:tcW w:w="80" w:type="dxa"/>
            <w:vAlign w:val="bottom"/>
          </w:tcPr>
          <w:p>
            <w:pPr>
              <w:spacing w:after="0"/>
              <w:rPr>
                <w:sz w:val="19"/>
                <w:szCs w:val="19"/>
                <w:color w:val="auto"/>
              </w:rPr>
            </w:pPr>
          </w:p>
        </w:tc>
        <w:tc>
          <w:tcPr>
            <w:tcW w:w="720" w:type="dxa"/>
            <w:vAlign w:val="bottom"/>
          </w:tcPr>
          <w:p>
            <w:pPr>
              <w:spacing w:after="0"/>
              <w:rPr>
                <w:sz w:val="19"/>
                <w:szCs w:val="19"/>
                <w:color w:val="auto"/>
              </w:rPr>
            </w:pPr>
          </w:p>
        </w:tc>
        <w:tc>
          <w:tcPr>
            <w:tcW w:w="100" w:type="dxa"/>
            <w:vAlign w:val="bottom"/>
          </w:tcPr>
          <w:p>
            <w:pPr>
              <w:spacing w:after="0"/>
              <w:rPr>
                <w:sz w:val="19"/>
                <w:szCs w:val="19"/>
                <w:color w:val="auto"/>
              </w:rPr>
            </w:pPr>
          </w:p>
        </w:tc>
      </w:tr>
      <w:tr>
        <w:trPr>
          <w:trHeight w:val="419"/>
        </w:trPr>
        <w:tc>
          <w:tcPr>
            <w:tcW w:w="780" w:type="dxa"/>
            <w:vAlign w:val="bottom"/>
          </w:tcPr>
          <w:p>
            <w:pPr>
              <w:spacing w:after="0"/>
              <w:rPr>
                <w:sz w:val="20"/>
                <w:szCs w:val="20"/>
                <w:color w:val="auto"/>
              </w:rPr>
            </w:pPr>
            <w:r>
              <w:rPr>
                <w:rFonts w:ascii="Arial" w:cs="Arial" w:eastAsia="Arial" w:hAnsi="Arial"/>
                <w:sz w:val="18"/>
                <w:szCs w:val="18"/>
                <w:b w:val="1"/>
                <w:bCs w:val="1"/>
                <w:color w:val="auto"/>
              </w:rPr>
              <w:t>Item 1.</w:t>
            </w:r>
          </w:p>
        </w:tc>
        <w:tc>
          <w:tcPr>
            <w:tcW w:w="8620" w:type="dxa"/>
            <w:vAlign w:val="bottom"/>
          </w:tcPr>
          <w:p>
            <w:pPr>
              <w:ind w:left="260"/>
              <w:spacing w:after="0"/>
              <w:rPr>
                <w:sz w:val="20"/>
                <w:szCs w:val="20"/>
                <w:color w:val="auto"/>
              </w:rPr>
            </w:pPr>
            <w:r>
              <w:rPr>
                <w:rFonts w:ascii="Arial" w:cs="Arial" w:eastAsia="Arial" w:hAnsi="Arial"/>
                <w:sz w:val="18"/>
                <w:szCs w:val="18"/>
                <w:b w:val="1"/>
                <w:bCs w:val="1"/>
                <w:i w:val="1"/>
                <w:iCs w:val="1"/>
                <w:color w:val="auto"/>
              </w:rPr>
              <w:t>Financial Statements</w:t>
            </w:r>
          </w:p>
        </w:tc>
        <w:tc>
          <w:tcPr>
            <w:tcW w:w="80" w:type="dxa"/>
            <w:vAlign w:val="bottom"/>
          </w:tcPr>
          <w:p>
            <w:pPr>
              <w:spacing w:after="0"/>
              <w:rPr>
                <w:sz w:val="24"/>
                <w:szCs w:val="24"/>
                <w:color w:val="auto"/>
              </w:rPr>
            </w:pPr>
          </w:p>
        </w:tc>
        <w:tc>
          <w:tcPr>
            <w:tcW w:w="720" w:type="dxa"/>
            <w:vAlign w:val="bottom"/>
          </w:tcPr>
          <w:p>
            <w:pPr>
              <w:spacing w:after="0"/>
              <w:rPr>
                <w:sz w:val="24"/>
                <w:szCs w:val="24"/>
                <w:color w:val="auto"/>
              </w:rPr>
            </w:pPr>
          </w:p>
        </w:tc>
        <w:tc>
          <w:tcPr>
            <w:tcW w:w="32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720" w:type="dxa"/>
            <w:vAlign w:val="bottom"/>
          </w:tcPr>
          <w:p>
            <w:pPr>
              <w:spacing w:after="0"/>
              <w:rPr>
                <w:sz w:val="24"/>
                <w:szCs w:val="24"/>
                <w:color w:val="auto"/>
              </w:rPr>
            </w:pPr>
          </w:p>
        </w:tc>
        <w:tc>
          <w:tcPr>
            <w:tcW w:w="100" w:type="dxa"/>
            <w:vAlign w:val="bottom"/>
          </w:tcPr>
          <w:p>
            <w:pPr>
              <w:spacing w:after="0"/>
              <w:rPr>
                <w:sz w:val="24"/>
                <w:szCs w:val="24"/>
                <w:color w:val="auto"/>
              </w:rPr>
            </w:pPr>
          </w:p>
        </w:tc>
      </w:tr>
      <w:tr>
        <w:trPr>
          <w:trHeight w:val="297"/>
        </w:trPr>
        <w:tc>
          <w:tcPr>
            <w:tcW w:w="780" w:type="dxa"/>
            <w:vAlign w:val="bottom"/>
          </w:tcPr>
          <w:p>
            <w:pPr>
              <w:spacing w:after="0"/>
              <w:rPr>
                <w:sz w:val="24"/>
                <w:szCs w:val="24"/>
                <w:color w:val="auto"/>
              </w:rPr>
            </w:pPr>
          </w:p>
        </w:tc>
        <w:tc>
          <w:tcPr>
            <w:tcW w:w="8620" w:type="dxa"/>
            <w:vAlign w:val="bottom"/>
          </w:tcPr>
          <w:p>
            <w:pPr>
              <w:jc w:val="center"/>
              <w:ind w:left="1172"/>
              <w:spacing w:after="0"/>
              <w:rPr>
                <w:sz w:val="20"/>
                <w:szCs w:val="20"/>
                <w:color w:val="auto"/>
              </w:rPr>
            </w:pPr>
            <w:r>
              <w:rPr>
                <w:rFonts w:ascii="Arial" w:cs="Arial" w:eastAsia="Arial" w:hAnsi="Arial"/>
                <w:sz w:val="18"/>
                <w:szCs w:val="18"/>
                <w:b w:val="1"/>
                <w:bCs w:val="1"/>
                <w:color w:val="auto"/>
                <w:w w:val="99"/>
              </w:rPr>
              <w:t>MARVELL TECHNOLOGY GROUP LTD.</w:t>
            </w:r>
          </w:p>
        </w:tc>
        <w:tc>
          <w:tcPr>
            <w:tcW w:w="80" w:type="dxa"/>
            <w:vAlign w:val="bottom"/>
          </w:tcPr>
          <w:p>
            <w:pPr>
              <w:spacing w:after="0"/>
              <w:rPr>
                <w:sz w:val="24"/>
                <w:szCs w:val="24"/>
                <w:color w:val="auto"/>
              </w:rPr>
            </w:pPr>
          </w:p>
        </w:tc>
        <w:tc>
          <w:tcPr>
            <w:tcW w:w="720" w:type="dxa"/>
            <w:vAlign w:val="bottom"/>
          </w:tcPr>
          <w:p>
            <w:pPr>
              <w:spacing w:after="0"/>
              <w:rPr>
                <w:sz w:val="24"/>
                <w:szCs w:val="24"/>
                <w:color w:val="auto"/>
              </w:rPr>
            </w:pPr>
          </w:p>
        </w:tc>
        <w:tc>
          <w:tcPr>
            <w:tcW w:w="32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720" w:type="dxa"/>
            <w:vAlign w:val="bottom"/>
          </w:tcPr>
          <w:p>
            <w:pPr>
              <w:spacing w:after="0"/>
              <w:rPr>
                <w:sz w:val="24"/>
                <w:szCs w:val="24"/>
                <w:color w:val="auto"/>
              </w:rPr>
            </w:pPr>
          </w:p>
        </w:tc>
        <w:tc>
          <w:tcPr>
            <w:tcW w:w="100" w:type="dxa"/>
            <w:vAlign w:val="bottom"/>
          </w:tcPr>
          <w:p>
            <w:pPr>
              <w:spacing w:after="0"/>
              <w:rPr>
                <w:sz w:val="24"/>
                <w:szCs w:val="24"/>
                <w:color w:val="auto"/>
              </w:rPr>
            </w:pPr>
          </w:p>
        </w:tc>
      </w:tr>
      <w:tr>
        <w:trPr>
          <w:trHeight w:val="285"/>
        </w:trPr>
        <w:tc>
          <w:tcPr>
            <w:tcW w:w="780" w:type="dxa"/>
            <w:vAlign w:val="bottom"/>
          </w:tcPr>
          <w:p>
            <w:pPr>
              <w:spacing w:after="0"/>
              <w:rPr>
                <w:sz w:val="24"/>
                <w:szCs w:val="24"/>
                <w:color w:val="auto"/>
              </w:rPr>
            </w:pPr>
          </w:p>
        </w:tc>
        <w:tc>
          <w:tcPr>
            <w:tcW w:w="8620" w:type="dxa"/>
            <w:vAlign w:val="bottom"/>
          </w:tcPr>
          <w:p>
            <w:pPr>
              <w:jc w:val="center"/>
              <w:ind w:left="1152"/>
              <w:spacing w:after="0"/>
              <w:rPr>
                <w:sz w:val="20"/>
                <w:szCs w:val="20"/>
                <w:color w:val="auto"/>
              </w:rPr>
            </w:pPr>
            <w:r>
              <w:rPr>
                <w:rFonts w:ascii="Arial" w:cs="Arial" w:eastAsia="Arial" w:hAnsi="Arial"/>
                <w:sz w:val="18"/>
                <w:szCs w:val="18"/>
                <w:b w:val="1"/>
                <w:bCs w:val="1"/>
                <w:color w:val="auto"/>
                <w:w w:val="97"/>
              </w:rPr>
              <w:t>UNAUDITED CONDENSED CONSOLIDATED BALANCE SHEETS</w:t>
            </w:r>
          </w:p>
        </w:tc>
        <w:tc>
          <w:tcPr>
            <w:tcW w:w="80" w:type="dxa"/>
            <w:vAlign w:val="bottom"/>
          </w:tcPr>
          <w:p>
            <w:pPr>
              <w:spacing w:after="0"/>
              <w:rPr>
                <w:sz w:val="24"/>
                <w:szCs w:val="24"/>
                <w:color w:val="auto"/>
              </w:rPr>
            </w:pPr>
          </w:p>
        </w:tc>
        <w:tc>
          <w:tcPr>
            <w:tcW w:w="720" w:type="dxa"/>
            <w:vAlign w:val="bottom"/>
          </w:tcPr>
          <w:p>
            <w:pPr>
              <w:spacing w:after="0"/>
              <w:rPr>
                <w:sz w:val="24"/>
                <w:szCs w:val="24"/>
                <w:color w:val="auto"/>
              </w:rPr>
            </w:pPr>
          </w:p>
        </w:tc>
        <w:tc>
          <w:tcPr>
            <w:tcW w:w="32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720" w:type="dxa"/>
            <w:vAlign w:val="bottom"/>
          </w:tcPr>
          <w:p>
            <w:pPr>
              <w:spacing w:after="0"/>
              <w:rPr>
                <w:sz w:val="24"/>
                <w:szCs w:val="24"/>
                <w:color w:val="auto"/>
              </w:rPr>
            </w:pPr>
          </w:p>
        </w:tc>
        <w:tc>
          <w:tcPr>
            <w:tcW w:w="100" w:type="dxa"/>
            <w:vAlign w:val="bottom"/>
          </w:tcPr>
          <w:p>
            <w:pPr>
              <w:spacing w:after="0"/>
              <w:rPr>
                <w:sz w:val="24"/>
                <w:szCs w:val="24"/>
                <w:color w:val="auto"/>
              </w:rPr>
            </w:pPr>
          </w:p>
        </w:tc>
      </w:tr>
      <w:tr>
        <w:trPr>
          <w:trHeight w:val="228"/>
        </w:trPr>
        <w:tc>
          <w:tcPr>
            <w:tcW w:w="780" w:type="dxa"/>
            <w:vAlign w:val="bottom"/>
          </w:tcPr>
          <w:p>
            <w:pPr>
              <w:spacing w:after="0"/>
              <w:rPr>
                <w:sz w:val="19"/>
                <w:szCs w:val="19"/>
                <w:color w:val="auto"/>
              </w:rPr>
            </w:pPr>
          </w:p>
        </w:tc>
        <w:tc>
          <w:tcPr>
            <w:tcW w:w="8620" w:type="dxa"/>
            <w:vAlign w:val="bottom"/>
          </w:tcPr>
          <w:p>
            <w:pPr>
              <w:jc w:val="center"/>
              <w:ind w:left="1172"/>
              <w:spacing w:after="0"/>
              <w:rPr>
                <w:sz w:val="20"/>
                <w:szCs w:val="20"/>
                <w:color w:val="auto"/>
              </w:rPr>
            </w:pPr>
            <w:r>
              <w:rPr>
                <w:rFonts w:ascii="Arial" w:cs="Arial" w:eastAsia="Arial" w:hAnsi="Arial"/>
                <w:sz w:val="18"/>
                <w:szCs w:val="18"/>
                <w:b w:val="1"/>
                <w:bCs w:val="1"/>
                <w:color w:val="auto"/>
                <w:w w:val="87"/>
              </w:rPr>
              <w:t>(In thousands)</w:t>
            </w:r>
          </w:p>
        </w:tc>
        <w:tc>
          <w:tcPr>
            <w:tcW w:w="80" w:type="dxa"/>
            <w:vAlign w:val="bottom"/>
          </w:tcPr>
          <w:p>
            <w:pPr>
              <w:spacing w:after="0"/>
              <w:rPr>
                <w:sz w:val="19"/>
                <w:szCs w:val="19"/>
                <w:color w:val="auto"/>
              </w:rPr>
            </w:pPr>
          </w:p>
        </w:tc>
        <w:tc>
          <w:tcPr>
            <w:tcW w:w="720" w:type="dxa"/>
            <w:vAlign w:val="bottom"/>
          </w:tcPr>
          <w:p>
            <w:pPr>
              <w:spacing w:after="0"/>
              <w:rPr>
                <w:sz w:val="19"/>
                <w:szCs w:val="19"/>
                <w:color w:val="auto"/>
              </w:rPr>
            </w:pPr>
          </w:p>
        </w:tc>
        <w:tc>
          <w:tcPr>
            <w:tcW w:w="320" w:type="dxa"/>
            <w:vAlign w:val="bottom"/>
          </w:tcPr>
          <w:p>
            <w:pPr>
              <w:spacing w:after="0"/>
              <w:rPr>
                <w:sz w:val="19"/>
                <w:szCs w:val="19"/>
                <w:color w:val="auto"/>
              </w:rPr>
            </w:pPr>
          </w:p>
        </w:tc>
        <w:tc>
          <w:tcPr>
            <w:tcW w:w="80" w:type="dxa"/>
            <w:vAlign w:val="bottom"/>
          </w:tcPr>
          <w:p>
            <w:pPr>
              <w:spacing w:after="0"/>
              <w:rPr>
                <w:sz w:val="19"/>
                <w:szCs w:val="19"/>
                <w:color w:val="auto"/>
              </w:rPr>
            </w:pPr>
          </w:p>
        </w:tc>
        <w:tc>
          <w:tcPr>
            <w:tcW w:w="720" w:type="dxa"/>
            <w:vAlign w:val="bottom"/>
          </w:tcPr>
          <w:p>
            <w:pPr>
              <w:spacing w:after="0"/>
              <w:rPr>
                <w:sz w:val="19"/>
                <w:szCs w:val="19"/>
                <w:color w:val="auto"/>
              </w:rPr>
            </w:pPr>
          </w:p>
        </w:tc>
        <w:tc>
          <w:tcPr>
            <w:tcW w:w="100" w:type="dxa"/>
            <w:vAlign w:val="bottom"/>
          </w:tcPr>
          <w:p>
            <w:pPr>
              <w:spacing w:after="0"/>
              <w:rPr>
                <w:sz w:val="19"/>
                <w:szCs w:val="19"/>
                <w:color w:val="auto"/>
              </w:rPr>
            </w:pPr>
          </w:p>
        </w:tc>
      </w:tr>
      <w:tr>
        <w:trPr>
          <w:trHeight w:val="340"/>
        </w:trPr>
        <w:tc>
          <w:tcPr>
            <w:tcW w:w="780" w:type="dxa"/>
            <w:vAlign w:val="bottom"/>
          </w:tcPr>
          <w:p>
            <w:pPr>
              <w:spacing w:after="0"/>
              <w:rPr>
                <w:sz w:val="24"/>
                <w:szCs w:val="24"/>
                <w:color w:val="auto"/>
              </w:rPr>
            </w:pPr>
          </w:p>
        </w:tc>
        <w:tc>
          <w:tcPr>
            <w:tcW w:w="8620" w:type="dxa"/>
            <w:vAlign w:val="bottom"/>
          </w:tcPr>
          <w:p>
            <w:pPr>
              <w:spacing w:after="0"/>
              <w:rPr>
                <w:sz w:val="24"/>
                <w:szCs w:val="24"/>
                <w:color w:val="auto"/>
              </w:rPr>
            </w:pPr>
          </w:p>
        </w:tc>
        <w:tc>
          <w:tcPr>
            <w:tcW w:w="1120" w:type="dxa"/>
            <w:vAlign w:val="bottom"/>
            <w:gridSpan w:val="3"/>
          </w:tcPr>
          <w:p>
            <w:pPr>
              <w:jc w:val="right"/>
              <w:ind w:right="400"/>
              <w:spacing w:after="0"/>
              <w:rPr>
                <w:sz w:val="20"/>
                <w:szCs w:val="20"/>
                <w:color w:val="auto"/>
              </w:rPr>
            </w:pPr>
            <w:r>
              <w:rPr>
                <w:rFonts w:ascii="Arial" w:cs="Arial" w:eastAsia="Arial" w:hAnsi="Arial"/>
                <w:sz w:val="14"/>
                <w:szCs w:val="14"/>
                <w:b w:val="1"/>
                <w:bCs w:val="1"/>
                <w:color w:val="auto"/>
                <w:w w:val="90"/>
              </w:rPr>
              <w:t>October 31,</w:t>
            </w:r>
          </w:p>
        </w:tc>
        <w:tc>
          <w:tcPr>
            <w:tcW w:w="900" w:type="dxa"/>
            <w:vAlign w:val="bottom"/>
            <w:gridSpan w:val="3"/>
          </w:tcPr>
          <w:p>
            <w:pPr>
              <w:jc w:val="right"/>
              <w:ind w:right="160"/>
              <w:spacing w:after="0"/>
              <w:rPr>
                <w:sz w:val="20"/>
                <w:szCs w:val="20"/>
                <w:color w:val="auto"/>
              </w:rPr>
            </w:pPr>
            <w:r>
              <w:rPr>
                <w:rFonts w:ascii="Arial" w:cs="Arial" w:eastAsia="Arial" w:hAnsi="Arial"/>
                <w:sz w:val="14"/>
                <w:szCs w:val="14"/>
                <w:b w:val="1"/>
                <w:bCs w:val="1"/>
                <w:color w:val="auto"/>
                <w:w w:val="93"/>
              </w:rPr>
              <w:t>January 31,</w:t>
            </w:r>
          </w:p>
        </w:tc>
      </w:tr>
      <w:tr>
        <w:trPr>
          <w:trHeight w:val="161"/>
        </w:trPr>
        <w:tc>
          <w:tcPr>
            <w:tcW w:w="780" w:type="dxa"/>
            <w:vAlign w:val="bottom"/>
          </w:tcPr>
          <w:p>
            <w:pPr>
              <w:spacing w:after="0"/>
              <w:rPr>
                <w:sz w:val="14"/>
                <w:szCs w:val="14"/>
                <w:color w:val="auto"/>
              </w:rPr>
            </w:pPr>
          </w:p>
        </w:tc>
        <w:tc>
          <w:tcPr>
            <w:tcW w:w="8620" w:type="dxa"/>
            <w:vAlign w:val="bottom"/>
          </w:tcPr>
          <w:p>
            <w:pPr>
              <w:spacing w:after="0"/>
              <w:rPr>
                <w:sz w:val="14"/>
                <w:szCs w:val="14"/>
                <w:color w:val="auto"/>
              </w:rPr>
            </w:pPr>
          </w:p>
        </w:tc>
        <w:tc>
          <w:tcPr>
            <w:tcW w:w="80" w:type="dxa"/>
            <w:vAlign w:val="bottom"/>
            <w:tcBorders>
              <w:bottom w:val="single" w:sz="8" w:color="auto"/>
            </w:tcBorders>
          </w:tcPr>
          <w:p>
            <w:pPr>
              <w:spacing w:after="0"/>
              <w:rPr>
                <w:sz w:val="14"/>
                <w:szCs w:val="14"/>
                <w:color w:val="auto"/>
              </w:rPr>
            </w:pPr>
          </w:p>
        </w:tc>
        <w:tc>
          <w:tcPr>
            <w:tcW w:w="720" w:type="dxa"/>
            <w:vAlign w:val="bottom"/>
            <w:tcBorders>
              <w:bottom w:val="single" w:sz="8" w:color="auto"/>
            </w:tcBorders>
          </w:tcPr>
          <w:p>
            <w:pPr>
              <w:jc w:val="right"/>
              <w:ind w:right="193"/>
              <w:spacing w:after="0"/>
              <w:rPr>
                <w:sz w:val="20"/>
                <w:szCs w:val="20"/>
                <w:color w:val="auto"/>
              </w:rPr>
            </w:pPr>
            <w:r>
              <w:rPr>
                <w:rFonts w:ascii="Arial" w:cs="Arial" w:eastAsia="Arial" w:hAnsi="Arial"/>
                <w:sz w:val="14"/>
                <w:szCs w:val="14"/>
                <w:b w:val="1"/>
                <w:bCs w:val="1"/>
                <w:color w:val="auto"/>
              </w:rPr>
              <w:t>2009</w:t>
            </w:r>
          </w:p>
        </w:tc>
        <w:tc>
          <w:tcPr>
            <w:tcW w:w="320" w:type="dxa"/>
            <w:vAlign w:val="bottom"/>
          </w:tcPr>
          <w:p>
            <w:pPr>
              <w:spacing w:after="0"/>
              <w:rPr>
                <w:sz w:val="14"/>
                <w:szCs w:val="14"/>
                <w:color w:val="auto"/>
              </w:rPr>
            </w:pPr>
          </w:p>
        </w:tc>
        <w:tc>
          <w:tcPr>
            <w:tcW w:w="80" w:type="dxa"/>
            <w:vAlign w:val="bottom"/>
            <w:tcBorders>
              <w:bottom w:val="single" w:sz="8" w:color="auto"/>
            </w:tcBorders>
          </w:tcPr>
          <w:p>
            <w:pPr>
              <w:spacing w:after="0"/>
              <w:rPr>
                <w:sz w:val="14"/>
                <w:szCs w:val="14"/>
                <w:color w:val="auto"/>
              </w:rPr>
            </w:pPr>
          </w:p>
        </w:tc>
        <w:tc>
          <w:tcPr>
            <w:tcW w:w="720" w:type="dxa"/>
            <w:vAlign w:val="bottom"/>
            <w:tcBorders>
              <w:bottom w:val="single" w:sz="8" w:color="auto"/>
            </w:tcBorders>
          </w:tcPr>
          <w:p>
            <w:pPr>
              <w:jc w:val="right"/>
              <w:ind w:right="193"/>
              <w:spacing w:after="0"/>
              <w:rPr>
                <w:sz w:val="20"/>
                <w:szCs w:val="20"/>
                <w:color w:val="auto"/>
              </w:rPr>
            </w:pPr>
            <w:r>
              <w:rPr>
                <w:rFonts w:ascii="Arial" w:cs="Arial" w:eastAsia="Arial" w:hAnsi="Arial"/>
                <w:sz w:val="14"/>
                <w:szCs w:val="14"/>
                <w:b w:val="1"/>
                <w:bCs w:val="1"/>
                <w:color w:val="auto"/>
              </w:rPr>
              <w:t>2009</w:t>
            </w:r>
          </w:p>
        </w:tc>
        <w:tc>
          <w:tcPr>
            <w:tcW w:w="100" w:type="dxa"/>
            <w:vAlign w:val="bottom"/>
          </w:tcPr>
          <w:p>
            <w:pPr>
              <w:spacing w:after="0"/>
              <w:rPr>
                <w:sz w:val="14"/>
                <w:szCs w:val="14"/>
                <w:color w:val="auto"/>
              </w:rPr>
            </w:pPr>
          </w:p>
        </w:tc>
      </w:tr>
      <w:tr>
        <w:trPr>
          <w:trHeight w:val="210"/>
        </w:trPr>
        <w:tc>
          <w:tcPr>
            <w:tcW w:w="780" w:type="dxa"/>
            <w:vAlign w:val="bottom"/>
            <w:shd w:val="clear" w:color="auto" w:fill="CCEEFF"/>
          </w:tcPr>
          <w:p>
            <w:pPr>
              <w:spacing w:after="0"/>
              <w:rPr>
                <w:sz w:val="18"/>
                <w:szCs w:val="18"/>
                <w:color w:val="auto"/>
              </w:rPr>
            </w:pPr>
          </w:p>
        </w:tc>
        <w:tc>
          <w:tcPr>
            <w:tcW w:w="8620" w:type="dxa"/>
            <w:vAlign w:val="bottom"/>
            <w:shd w:val="clear" w:color="auto" w:fill="CCEEFF"/>
          </w:tcPr>
          <w:p>
            <w:pPr>
              <w:ind w:left="3480"/>
              <w:spacing w:after="0"/>
              <w:rPr>
                <w:sz w:val="20"/>
                <w:szCs w:val="20"/>
                <w:color w:val="auto"/>
              </w:rPr>
            </w:pPr>
            <w:r>
              <w:rPr>
                <w:rFonts w:ascii="Arial" w:cs="Arial" w:eastAsia="Arial" w:hAnsi="Arial"/>
                <w:sz w:val="18"/>
                <w:szCs w:val="18"/>
                <w:b w:val="1"/>
                <w:bCs w:val="1"/>
                <w:color w:val="auto"/>
              </w:rPr>
              <w:t>ASSETS</w:t>
            </w:r>
          </w:p>
        </w:tc>
        <w:tc>
          <w:tcPr>
            <w:tcW w:w="80" w:type="dxa"/>
            <w:vAlign w:val="bottom"/>
            <w:shd w:val="clear" w:color="auto" w:fill="CCEEFF"/>
          </w:tcPr>
          <w:p>
            <w:pPr>
              <w:spacing w:after="0"/>
              <w:rPr>
                <w:sz w:val="18"/>
                <w:szCs w:val="18"/>
                <w:color w:val="auto"/>
              </w:rPr>
            </w:pPr>
          </w:p>
        </w:tc>
        <w:tc>
          <w:tcPr>
            <w:tcW w:w="720" w:type="dxa"/>
            <w:vAlign w:val="bottom"/>
            <w:shd w:val="clear" w:color="auto" w:fill="CCEEFF"/>
          </w:tcPr>
          <w:p>
            <w:pPr>
              <w:spacing w:after="0"/>
              <w:rPr>
                <w:sz w:val="18"/>
                <w:szCs w:val="18"/>
                <w:color w:val="auto"/>
              </w:rPr>
            </w:pPr>
          </w:p>
        </w:tc>
        <w:tc>
          <w:tcPr>
            <w:tcW w:w="3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7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r>
      <w:tr>
        <w:trPr>
          <w:trHeight w:val="216"/>
        </w:trPr>
        <w:tc>
          <w:tcPr>
            <w:tcW w:w="9400" w:type="dxa"/>
            <w:vAlign w:val="bottom"/>
            <w:gridSpan w:val="2"/>
          </w:tcPr>
          <w:p>
            <w:pPr>
              <w:spacing w:after="0"/>
              <w:rPr>
                <w:sz w:val="20"/>
                <w:szCs w:val="20"/>
                <w:color w:val="auto"/>
              </w:rPr>
            </w:pPr>
            <w:r>
              <w:rPr>
                <w:rFonts w:ascii="Arial" w:cs="Arial" w:eastAsia="Arial" w:hAnsi="Arial"/>
                <w:sz w:val="18"/>
                <w:szCs w:val="18"/>
                <w:color w:val="auto"/>
              </w:rPr>
              <w:t>Current assets:</w:t>
            </w:r>
          </w:p>
        </w:tc>
        <w:tc>
          <w:tcPr>
            <w:tcW w:w="80" w:type="dxa"/>
            <w:vAlign w:val="bottom"/>
          </w:tcPr>
          <w:p>
            <w:pPr>
              <w:spacing w:after="0"/>
              <w:rPr>
                <w:sz w:val="18"/>
                <w:szCs w:val="18"/>
                <w:color w:val="auto"/>
              </w:rPr>
            </w:pPr>
          </w:p>
        </w:tc>
        <w:tc>
          <w:tcPr>
            <w:tcW w:w="72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720" w:type="dxa"/>
            <w:vAlign w:val="bottom"/>
          </w:tcPr>
          <w:p>
            <w:pPr>
              <w:spacing w:after="0"/>
              <w:rPr>
                <w:sz w:val="18"/>
                <w:szCs w:val="18"/>
                <w:color w:val="auto"/>
              </w:rPr>
            </w:pPr>
          </w:p>
        </w:tc>
        <w:tc>
          <w:tcPr>
            <w:tcW w:w="100" w:type="dxa"/>
            <w:vAlign w:val="bottom"/>
          </w:tcPr>
          <w:p>
            <w:pPr>
              <w:spacing w:after="0"/>
              <w:rPr>
                <w:sz w:val="18"/>
                <w:szCs w:val="18"/>
                <w:color w:val="auto"/>
              </w:rPr>
            </w:pPr>
          </w:p>
        </w:tc>
      </w:tr>
      <w:tr>
        <w:trPr>
          <w:trHeight w:val="216"/>
        </w:trPr>
        <w:tc>
          <w:tcPr>
            <w:tcW w:w="9400" w:type="dxa"/>
            <w:vAlign w:val="bottom"/>
            <w:gridSpan w:val="2"/>
            <w:shd w:val="clear" w:color="auto" w:fill="CCEEFF"/>
          </w:tcPr>
          <w:p>
            <w:pPr>
              <w:ind w:left="440"/>
              <w:spacing w:after="0"/>
              <w:rPr>
                <w:sz w:val="20"/>
                <w:szCs w:val="20"/>
                <w:color w:val="auto"/>
              </w:rPr>
            </w:pPr>
            <w:r>
              <w:rPr>
                <w:rFonts w:ascii="Arial" w:cs="Arial" w:eastAsia="Arial" w:hAnsi="Arial"/>
                <w:sz w:val="18"/>
                <w:szCs w:val="18"/>
                <w:color w:val="auto"/>
              </w:rPr>
              <w:t>Cash and cash equivalents</w:t>
            </w:r>
          </w:p>
        </w:tc>
        <w:tc>
          <w:tcPr>
            <w:tcW w:w="80" w:type="dxa"/>
            <w:vAlign w:val="bottom"/>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1040" w:type="dxa"/>
            <w:vAlign w:val="bottom"/>
            <w:gridSpan w:val="2"/>
            <w:shd w:val="clear" w:color="auto" w:fill="CCEEFF"/>
          </w:tcPr>
          <w:p>
            <w:pPr>
              <w:jc w:val="right"/>
              <w:ind w:right="320"/>
              <w:spacing w:after="0"/>
              <w:rPr>
                <w:sz w:val="20"/>
                <w:szCs w:val="20"/>
                <w:color w:val="auto"/>
              </w:rPr>
            </w:pPr>
            <w:r>
              <w:rPr>
                <w:rFonts w:ascii="Arial" w:cs="Arial" w:eastAsia="Arial" w:hAnsi="Arial"/>
                <w:sz w:val="18"/>
                <w:szCs w:val="18"/>
                <w:color w:val="auto"/>
                <w:w w:val="87"/>
              </w:rPr>
              <w:t>1,047,395</w:t>
            </w:r>
          </w:p>
        </w:tc>
        <w:tc>
          <w:tcPr>
            <w:tcW w:w="80" w:type="dxa"/>
            <w:vAlign w:val="bottom"/>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82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927,409</w:t>
            </w:r>
          </w:p>
        </w:tc>
      </w:tr>
      <w:tr>
        <w:trPr>
          <w:trHeight w:val="216"/>
        </w:trPr>
        <w:tc>
          <w:tcPr>
            <w:tcW w:w="9400" w:type="dxa"/>
            <w:vAlign w:val="bottom"/>
            <w:gridSpan w:val="2"/>
          </w:tcPr>
          <w:p>
            <w:pPr>
              <w:ind w:left="440"/>
              <w:spacing w:after="0"/>
              <w:rPr>
                <w:sz w:val="20"/>
                <w:szCs w:val="20"/>
                <w:color w:val="auto"/>
              </w:rPr>
            </w:pPr>
            <w:r>
              <w:rPr>
                <w:rFonts w:ascii="Arial" w:cs="Arial" w:eastAsia="Arial" w:hAnsi="Arial"/>
                <w:sz w:val="18"/>
                <w:szCs w:val="18"/>
                <w:color w:val="auto"/>
              </w:rPr>
              <w:t>Restricted cash</w:t>
            </w:r>
          </w:p>
        </w:tc>
        <w:tc>
          <w:tcPr>
            <w:tcW w:w="80" w:type="dxa"/>
            <w:vAlign w:val="bottom"/>
          </w:tcPr>
          <w:p>
            <w:pPr>
              <w:spacing w:after="0"/>
              <w:rPr>
                <w:sz w:val="18"/>
                <w:szCs w:val="18"/>
                <w:color w:val="auto"/>
              </w:rPr>
            </w:pPr>
          </w:p>
        </w:tc>
        <w:tc>
          <w:tcPr>
            <w:tcW w:w="1040" w:type="dxa"/>
            <w:vAlign w:val="bottom"/>
            <w:gridSpan w:val="2"/>
          </w:tcPr>
          <w:p>
            <w:pPr>
              <w:jc w:val="right"/>
              <w:ind w:right="420"/>
              <w:spacing w:after="0"/>
              <w:rPr>
                <w:sz w:val="20"/>
                <w:szCs w:val="20"/>
                <w:color w:val="auto"/>
              </w:rPr>
            </w:pPr>
            <w:r>
              <w:rPr>
                <w:rFonts w:ascii="Arial" w:cs="Arial" w:eastAsia="Arial" w:hAnsi="Arial"/>
                <w:sz w:val="18"/>
                <w:szCs w:val="18"/>
                <w:color w:val="auto"/>
              </w:rPr>
              <w:t>—</w:t>
            </w:r>
          </w:p>
        </w:tc>
        <w:tc>
          <w:tcPr>
            <w:tcW w:w="80" w:type="dxa"/>
            <w:vAlign w:val="bottom"/>
          </w:tcPr>
          <w:p>
            <w:pPr>
              <w:spacing w:after="0"/>
              <w:rPr>
                <w:sz w:val="18"/>
                <w:szCs w:val="18"/>
                <w:color w:val="auto"/>
              </w:rPr>
            </w:pPr>
          </w:p>
        </w:tc>
        <w:tc>
          <w:tcPr>
            <w:tcW w:w="820" w:type="dxa"/>
            <w:vAlign w:val="bottom"/>
            <w:gridSpan w:val="2"/>
          </w:tcPr>
          <w:p>
            <w:pPr>
              <w:jc w:val="right"/>
              <w:ind w:right="100"/>
              <w:spacing w:after="0"/>
              <w:rPr>
                <w:sz w:val="20"/>
                <w:szCs w:val="20"/>
                <w:color w:val="auto"/>
              </w:rPr>
            </w:pPr>
            <w:r>
              <w:rPr>
                <w:rFonts w:ascii="Arial" w:cs="Arial" w:eastAsia="Arial" w:hAnsi="Arial"/>
                <w:sz w:val="18"/>
                <w:szCs w:val="18"/>
                <w:color w:val="auto"/>
              </w:rPr>
              <w:t>24,500</w:t>
            </w:r>
          </w:p>
        </w:tc>
      </w:tr>
      <w:tr>
        <w:trPr>
          <w:trHeight w:val="216"/>
        </w:trPr>
        <w:tc>
          <w:tcPr>
            <w:tcW w:w="9400" w:type="dxa"/>
            <w:vAlign w:val="bottom"/>
            <w:gridSpan w:val="2"/>
            <w:shd w:val="clear" w:color="auto" w:fill="CCEEFF"/>
          </w:tcPr>
          <w:p>
            <w:pPr>
              <w:ind w:left="440"/>
              <w:spacing w:after="0"/>
              <w:rPr>
                <w:sz w:val="20"/>
                <w:szCs w:val="20"/>
                <w:color w:val="auto"/>
              </w:rPr>
            </w:pPr>
            <w:r>
              <w:rPr>
                <w:rFonts w:ascii="Arial" w:cs="Arial" w:eastAsia="Arial" w:hAnsi="Arial"/>
                <w:sz w:val="18"/>
                <w:szCs w:val="18"/>
                <w:color w:val="auto"/>
              </w:rPr>
              <w:t>Short-term investments</w:t>
            </w:r>
          </w:p>
        </w:tc>
        <w:tc>
          <w:tcPr>
            <w:tcW w:w="80" w:type="dxa"/>
            <w:vAlign w:val="bottom"/>
            <w:shd w:val="clear" w:color="auto" w:fill="CCEEFF"/>
          </w:tcPr>
          <w:p>
            <w:pPr>
              <w:spacing w:after="0"/>
              <w:rPr>
                <w:sz w:val="18"/>
                <w:szCs w:val="18"/>
                <w:color w:val="auto"/>
              </w:rPr>
            </w:pPr>
          </w:p>
        </w:tc>
        <w:tc>
          <w:tcPr>
            <w:tcW w:w="1040" w:type="dxa"/>
            <w:vAlign w:val="bottom"/>
            <w:gridSpan w:val="2"/>
            <w:shd w:val="clear" w:color="auto" w:fill="CCEEFF"/>
          </w:tcPr>
          <w:p>
            <w:pPr>
              <w:jc w:val="right"/>
              <w:ind w:right="320"/>
              <w:spacing w:after="0"/>
              <w:rPr>
                <w:sz w:val="20"/>
                <w:szCs w:val="20"/>
                <w:color w:val="auto"/>
              </w:rPr>
            </w:pPr>
            <w:r>
              <w:rPr>
                <w:rFonts w:ascii="Arial" w:cs="Arial" w:eastAsia="Arial" w:hAnsi="Arial"/>
                <w:sz w:val="18"/>
                <w:szCs w:val="18"/>
                <w:color w:val="auto"/>
              </w:rPr>
              <w:t>416,792</w:t>
            </w:r>
          </w:p>
        </w:tc>
        <w:tc>
          <w:tcPr>
            <w:tcW w:w="80" w:type="dxa"/>
            <w:vAlign w:val="bottom"/>
            <w:shd w:val="clear" w:color="auto" w:fill="CCEEFF"/>
          </w:tcPr>
          <w:p>
            <w:pPr>
              <w:spacing w:after="0"/>
              <w:rPr>
                <w:sz w:val="18"/>
                <w:szCs w:val="18"/>
                <w:color w:val="auto"/>
              </w:rPr>
            </w:pPr>
          </w:p>
        </w:tc>
        <w:tc>
          <w:tcPr>
            <w:tcW w:w="82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w:t>
            </w:r>
          </w:p>
        </w:tc>
      </w:tr>
      <w:tr>
        <w:trPr>
          <w:trHeight w:val="216"/>
        </w:trPr>
        <w:tc>
          <w:tcPr>
            <w:tcW w:w="9400" w:type="dxa"/>
            <w:vAlign w:val="bottom"/>
            <w:gridSpan w:val="2"/>
          </w:tcPr>
          <w:p>
            <w:pPr>
              <w:ind w:left="440"/>
              <w:spacing w:after="0"/>
              <w:rPr>
                <w:sz w:val="20"/>
                <w:szCs w:val="20"/>
                <w:color w:val="auto"/>
              </w:rPr>
            </w:pPr>
            <w:r>
              <w:rPr>
                <w:rFonts w:ascii="Arial" w:cs="Arial" w:eastAsia="Arial" w:hAnsi="Arial"/>
                <w:sz w:val="18"/>
                <w:szCs w:val="18"/>
                <w:color w:val="auto"/>
              </w:rPr>
              <w:t>Accounts receivable, net</w:t>
            </w:r>
          </w:p>
        </w:tc>
        <w:tc>
          <w:tcPr>
            <w:tcW w:w="80" w:type="dxa"/>
            <w:vAlign w:val="bottom"/>
          </w:tcPr>
          <w:p>
            <w:pPr>
              <w:spacing w:after="0"/>
              <w:rPr>
                <w:sz w:val="18"/>
                <w:szCs w:val="18"/>
                <w:color w:val="auto"/>
              </w:rPr>
            </w:pPr>
          </w:p>
        </w:tc>
        <w:tc>
          <w:tcPr>
            <w:tcW w:w="1040" w:type="dxa"/>
            <w:vAlign w:val="bottom"/>
            <w:gridSpan w:val="2"/>
          </w:tcPr>
          <w:p>
            <w:pPr>
              <w:jc w:val="right"/>
              <w:ind w:right="320"/>
              <w:spacing w:after="0"/>
              <w:rPr>
                <w:sz w:val="20"/>
                <w:szCs w:val="20"/>
                <w:color w:val="auto"/>
              </w:rPr>
            </w:pPr>
            <w:r>
              <w:rPr>
                <w:rFonts w:ascii="Arial" w:cs="Arial" w:eastAsia="Arial" w:hAnsi="Arial"/>
                <w:sz w:val="18"/>
                <w:szCs w:val="18"/>
                <w:color w:val="auto"/>
              </w:rPr>
              <w:t>394,319</w:t>
            </w:r>
          </w:p>
        </w:tc>
        <w:tc>
          <w:tcPr>
            <w:tcW w:w="80" w:type="dxa"/>
            <w:vAlign w:val="bottom"/>
          </w:tcPr>
          <w:p>
            <w:pPr>
              <w:spacing w:after="0"/>
              <w:rPr>
                <w:sz w:val="18"/>
                <w:szCs w:val="18"/>
                <w:color w:val="auto"/>
              </w:rPr>
            </w:pPr>
          </w:p>
        </w:tc>
        <w:tc>
          <w:tcPr>
            <w:tcW w:w="820" w:type="dxa"/>
            <w:vAlign w:val="bottom"/>
            <w:gridSpan w:val="2"/>
          </w:tcPr>
          <w:p>
            <w:pPr>
              <w:jc w:val="right"/>
              <w:ind w:right="100"/>
              <w:spacing w:after="0"/>
              <w:rPr>
                <w:sz w:val="20"/>
                <w:szCs w:val="20"/>
                <w:color w:val="auto"/>
              </w:rPr>
            </w:pPr>
            <w:r>
              <w:rPr>
                <w:rFonts w:ascii="Arial" w:cs="Arial" w:eastAsia="Arial" w:hAnsi="Arial"/>
                <w:sz w:val="18"/>
                <w:szCs w:val="18"/>
                <w:color w:val="auto"/>
              </w:rPr>
              <w:t>222,101</w:t>
            </w:r>
          </w:p>
        </w:tc>
      </w:tr>
      <w:tr>
        <w:trPr>
          <w:trHeight w:val="216"/>
        </w:trPr>
        <w:tc>
          <w:tcPr>
            <w:tcW w:w="9400" w:type="dxa"/>
            <w:vAlign w:val="bottom"/>
            <w:gridSpan w:val="2"/>
            <w:shd w:val="clear" w:color="auto" w:fill="CCEEFF"/>
          </w:tcPr>
          <w:p>
            <w:pPr>
              <w:ind w:left="440"/>
              <w:spacing w:after="0"/>
              <w:rPr>
                <w:sz w:val="20"/>
                <w:szCs w:val="20"/>
                <w:color w:val="auto"/>
              </w:rPr>
            </w:pPr>
            <w:r>
              <w:rPr>
                <w:rFonts w:ascii="Arial" w:cs="Arial" w:eastAsia="Arial" w:hAnsi="Arial"/>
                <w:sz w:val="18"/>
                <w:szCs w:val="18"/>
                <w:color w:val="auto"/>
              </w:rPr>
              <w:t>Inventories</w:t>
            </w:r>
          </w:p>
        </w:tc>
        <w:tc>
          <w:tcPr>
            <w:tcW w:w="80" w:type="dxa"/>
            <w:vAlign w:val="bottom"/>
            <w:shd w:val="clear" w:color="auto" w:fill="CCEEFF"/>
          </w:tcPr>
          <w:p>
            <w:pPr>
              <w:spacing w:after="0"/>
              <w:rPr>
                <w:sz w:val="18"/>
                <w:szCs w:val="18"/>
                <w:color w:val="auto"/>
              </w:rPr>
            </w:pPr>
          </w:p>
        </w:tc>
        <w:tc>
          <w:tcPr>
            <w:tcW w:w="1040" w:type="dxa"/>
            <w:vAlign w:val="bottom"/>
            <w:gridSpan w:val="2"/>
            <w:shd w:val="clear" w:color="auto" w:fill="CCEEFF"/>
          </w:tcPr>
          <w:p>
            <w:pPr>
              <w:jc w:val="right"/>
              <w:ind w:right="320"/>
              <w:spacing w:after="0"/>
              <w:rPr>
                <w:sz w:val="20"/>
                <w:szCs w:val="20"/>
                <w:color w:val="auto"/>
              </w:rPr>
            </w:pPr>
            <w:r>
              <w:rPr>
                <w:rFonts w:ascii="Arial" w:cs="Arial" w:eastAsia="Arial" w:hAnsi="Arial"/>
                <w:sz w:val="18"/>
                <w:szCs w:val="18"/>
                <w:color w:val="auto"/>
              </w:rPr>
              <w:t>239,209</w:t>
            </w:r>
          </w:p>
        </w:tc>
        <w:tc>
          <w:tcPr>
            <w:tcW w:w="80" w:type="dxa"/>
            <w:vAlign w:val="bottom"/>
            <w:shd w:val="clear" w:color="auto" w:fill="CCEEFF"/>
          </w:tcPr>
          <w:p>
            <w:pPr>
              <w:spacing w:after="0"/>
              <w:rPr>
                <w:sz w:val="18"/>
                <w:szCs w:val="18"/>
                <w:color w:val="auto"/>
              </w:rPr>
            </w:pPr>
          </w:p>
        </w:tc>
        <w:tc>
          <w:tcPr>
            <w:tcW w:w="82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310,654</w:t>
            </w:r>
          </w:p>
        </w:tc>
      </w:tr>
      <w:tr>
        <w:trPr>
          <w:trHeight w:val="216"/>
        </w:trPr>
        <w:tc>
          <w:tcPr>
            <w:tcW w:w="9400" w:type="dxa"/>
            <w:vAlign w:val="bottom"/>
            <w:gridSpan w:val="2"/>
          </w:tcPr>
          <w:p>
            <w:pPr>
              <w:ind w:left="440"/>
              <w:spacing w:after="0"/>
              <w:rPr>
                <w:sz w:val="20"/>
                <w:szCs w:val="20"/>
                <w:color w:val="auto"/>
              </w:rPr>
            </w:pPr>
            <w:r>
              <w:rPr>
                <w:rFonts w:ascii="Arial" w:cs="Arial" w:eastAsia="Arial" w:hAnsi="Arial"/>
                <w:sz w:val="18"/>
                <w:szCs w:val="18"/>
                <w:color w:val="auto"/>
              </w:rPr>
              <w:t>Prepaids and other current assets</w:t>
            </w:r>
          </w:p>
        </w:tc>
        <w:tc>
          <w:tcPr>
            <w:tcW w:w="80" w:type="dxa"/>
            <w:vAlign w:val="bottom"/>
          </w:tcPr>
          <w:p>
            <w:pPr>
              <w:spacing w:after="0"/>
              <w:rPr>
                <w:sz w:val="18"/>
                <w:szCs w:val="18"/>
                <w:color w:val="auto"/>
              </w:rPr>
            </w:pPr>
          </w:p>
        </w:tc>
        <w:tc>
          <w:tcPr>
            <w:tcW w:w="1040" w:type="dxa"/>
            <w:vAlign w:val="bottom"/>
            <w:gridSpan w:val="2"/>
          </w:tcPr>
          <w:p>
            <w:pPr>
              <w:jc w:val="right"/>
              <w:ind w:right="320"/>
              <w:spacing w:after="0"/>
              <w:rPr>
                <w:sz w:val="20"/>
                <w:szCs w:val="20"/>
                <w:color w:val="auto"/>
              </w:rPr>
            </w:pPr>
            <w:r>
              <w:rPr>
                <w:rFonts w:ascii="Arial" w:cs="Arial" w:eastAsia="Arial" w:hAnsi="Arial"/>
                <w:sz w:val="18"/>
                <w:szCs w:val="18"/>
                <w:color w:val="auto"/>
              </w:rPr>
              <w:t>58,413</w:t>
            </w:r>
          </w:p>
        </w:tc>
        <w:tc>
          <w:tcPr>
            <w:tcW w:w="80" w:type="dxa"/>
            <w:vAlign w:val="bottom"/>
          </w:tcPr>
          <w:p>
            <w:pPr>
              <w:spacing w:after="0"/>
              <w:rPr>
                <w:sz w:val="18"/>
                <w:szCs w:val="18"/>
                <w:color w:val="auto"/>
              </w:rPr>
            </w:pPr>
          </w:p>
        </w:tc>
        <w:tc>
          <w:tcPr>
            <w:tcW w:w="820" w:type="dxa"/>
            <w:vAlign w:val="bottom"/>
            <w:gridSpan w:val="2"/>
          </w:tcPr>
          <w:p>
            <w:pPr>
              <w:jc w:val="right"/>
              <w:ind w:right="100"/>
              <w:spacing w:after="0"/>
              <w:rPr>
                <w:sz w:val="20"/>
                <w:szCs w:val="20"/>
                <w:color w:val="auto"/>
              </w:rPr>
            </w:pPr>
            <w:r>
              <w:rPr>
                <w:rFonts w:ascii="Arial" w:cs="Arial" w:eastAsia="Arial" w:hAnsi="Arial"/>
                <w:sz w:val="18"/>
                <w:szCs w:val="18"/>
                <w:color w:val="auto"/>
              </w:rPr>
              <w:t>61,268</w:t>
            </w:r>
          </w:p>
        </w:tc>
      </w:tr>
      <w:tr>
        <w:trPr>
          <w:trHeight w:val="216"/>
        </w:trPr>
        <w:tc>
          <w:tcPr>
            <w:tcW w:w="9400" w:type="dxa"/>
            <w:vAlign w:val="bottom"/>
            <w:gridSpan w:val="2"/>
            <w:shd w:val="clear" w:color="auto" w:fill="CCEEFF"/>
          </w:tcPr>
          <w:p>
            <w:pPr>
              <w:ind w:left="440"/>
              <w:spacing w:after="0"/>
              <w:rPr>
                <w:sz w:val="20"/>
                <w:szCs w:val="20"/>
                <w:color w:val="auto"/>
              </w:rPr>
            </w:pPr>
            <w:r>
              <w:rPr>
                <w:rFonts w:ascii="Arial" w:cs="Arial" w:eastAsia="Arial" w:hAnsi="Arial"/>
                <w:sz w:val="18"/>
                <w:szCs w:val="18"/>
                <w:color w:val="auto"/>
              </w:rPr>
              <w:t>Deferred income taxes</w:t>
            </w:r>
          </w:p>
        </w:tc>
        <w:tc>
          <w:tcPr>
            <w:tcW w:w="80" w:type="dxa"/>
            <w:vAlign w:val="bottom"/>
            <w:tcBorders>
              <w:bottom w:val="single" w:sz="8" w:color="auto"/>
            </w:tcBorders>
            <w:shd w:val="clear" w:color="auto" w:fill="CCEEFF"/>
          </w:tcPr>
          <w:p>
            <w:pPr>
              <w:spacing w:after="0"/>
              <w:rPr>
                <w:sz w:val="18"/>
                <w:szCs w:val="18"/>
                <w:color w:val="auto"/>
              </w:rPr>
            </w:pPr>
          </w:p>
        </w:tc>
        <w:tc>
          <w:tcPr>
            <w:tcW w:w="72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14,383</w:t>
            </w:r>
          </w:p>
        </w:tc>
        <w:tc>
          <w:tcPr>
            <w:tcW w:w="320" w:type="dxa"/>
            <w:vAlign w:val="bottom"/>
            <w:shd w:val="clear" w:color="auto" w:fill="CCEEFF"/>
          </w:tcPr>
          <w:p>
            <w:pPr>
              <w:spacing w:after="0"/>
              <w:rPr>
                <w:sz w:val="18"/>
                <w:szCs w:val="18"/>
                <w:color w:val="auto"/>
              </w:rPr>
            </w:pPr>
          </w:p>
        </w:tc>
        <w:tc>
          <w:tcPr>
            <w:tcW w:w="80" w:type="dxa"/>
            <w:vAlign w:val="bottom"/>
            <w:tcBorders>
              <w:bottom w:val="single" w:sz="8" w:color="auto"/>
            </w:tcBorders>
            <w:shd w:val="clear" w:color="auto" w:fill="CCEEFF"/>
          </w:tcPr>
          <w:p>
            <w:pPr>
              <w:spacing w:after="0"/>
              <w:rPr>
                <w:sz w:val="18"/>
                <w:szCs w:val="18"/>
                <w:color w:val="auto"/>
              </w:rPr>
            </w:pPr>
          </w:p>
        </w:tc>
        <w:tc>
          <w:tcPr>
            <w:tcW w:w="72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14,383</w:t>
            </w:r>
          </w:p>
        </w:tc>
        <w:tc>
          <w:tcPr>
            <w:tcW w:w="100" w:type="dxa"/>
            <w:vAlign w:val="bottom"/>
            <w:shd w:val="clear" w:color="auto" w:fill="CCEEFF"/>
          </w:tcPr>
          <w:p>
            <w:pPr>
              <w:spacing w:after="0"/>
              <w:rPr>
                <w:sz w:val="18"/>
                <w:szCs w:val="18"/>
                <w:color w:val="auto"/>
              </w:rPr>
            </w:pPr>
          </w:p>
        </w:tc>
      </w:tr>
      <w:tr>
        <w:trPr>
          <w:trHeight w:val="221"/>
        </w:trPr>
        <w:tc>
          <w:tcPr>
            <w:tcW w:w="780" w:type="dxa"/>
            <w:vAlign w:val="bottom"/>
          </w:tcPr>
          <w:p>
            <w:pPr>
              <w:spacing w:after="0"/>
              <w:rPr>
                <w:sz w:val="19"/>
                <w:szCs w:val="19"/>
                <w:color w:val="auto"/>
              </w:rPr>
            </w:pPr>
          </w:p>
        </w:tc>
        <w:tc>
          <w:tcPr>
            <w:tcW w:w="8620" w:type="dxa"/>
            <w:vAlign w:val="bottom"/>
          </w:tcPr>
          <w:p>
            <w:pPr>
              <w:ind w:left="100"/>
              <w:spacing w:after="0"/>
              <w:rPr>
                <w:sz w:val="20"/>
                <w:szCs w:val="20"/>
                <w:color w:val="auto"/>
              </w:rPr>
            </w:pPr>
            <w:r>
              <w:rPr>
                <w:rFonts w:ascii="Arial" w:cs="Arial" w:eastAsia="Arial" w:hAnsi="Arial"/>
                <w:sz w:val="18"/>
                <w:szCs w:val="18"/>
                <w:color w:val="auto"/>
              </w:rPr>
              <w:t>Total current assets</w:t>
            </w:r>
          </w:p>
        </w:tc>
        <w:tc>
          <w:tcPr>
            <w:tcW w:w="80" w:type="dxa"/>
            <w:vAlign w:val="bottom"/>
          </w:tcPr>
          <w:p>
            <w:pPr>
              <w:spacing w:after="0"/>
              <w:rPr>
                <w:sz w:val="19"/>
                <w:szCs w:val="19"/>
                <w:color w:val="auto"/>
              </w:rPr>
            </w:pPr>
          </w:p>
        </w:tc>
        <w:tc>
          <w:tcPr>
            <w:tcW w:w="1040" w:type="dxa"/>
            <w:vAlign w:val="bottom"/>
            <w:gridSpan w:val="2"/>
          </w:tcPr>
          <w:p>
            <w:pPr>
              <w:jc w:val="right"/>
              <w:ind w:right="320"/>
              <w:spacing w:after="0"/>
              <w:rPr>
                <w:sz w:val="20"/>
                <w:szCs w:val="20"/>
                <w:color w:val="auto"/>
              </w:rPr>
            </w:pPr>
            <w:r>
              <w:rPr>
                <w:rFonts w:ascii="Arial" w:cs="Arial" w:eastAsia="Arial" w:hAnsi="Arial"/>
                <w:sz w:val="18"/>
                <w:szCs w:val="18"/>
                <w:color w:val="auto"/>
                <w:w w:val="87"/>
              </w:rPr>
              <w:t>2,170,511</w:t>
            </w:r>
          </w:p>
        </w:tc>
        <w:tc>
          <w:tcPr>
            <w:tcW w:w="80" w:type="dxa"/>
            <w:vAlign w:val="bottom"/>
          </w:tcPr>
          <w:p>
            <w:pPr>
              <w:spacing w:after="0"/>
              <w:rPr>
                <w:sz w:val="19"/>
                <w:szCs w:val="19"/>
                <w:color w:val="auto"/>
              </w:rPr>
            </w:pPr>
          </w:p>
        </w:tc>
        <w:tc>
          <w:tcPr>
            <w:tcW w:w="820" w:type="dxa"/>
            <w:vAlign w:val="bottom"/>
            <w:gridSpan w:val="2"/>
          </w:tcPr>
          <w:p>
            <w:pPr>
              <w:jc w:val="right"/>
              <w:ind w:right="100"/>
              <w:spacing w:after="0"/>
              <w:rPr>
                <w:sz w:val="20"/>
                <w:szCs w:val="20"/>
                <w:color w:val="auto"/>
              </w:rPr>
            </w:pPr>
            <w:r>
              <w:rPr>
                <w:rFonts w:ascii="Arial" w:cs="Arial" w:eastAsia="Arial" w:hAnsi="Arial"/>
                <w:sz w:val="18"/>
                <w:szCs w:val="18"/>
                <w:color w:val="auto"/>
                <w:w w:val="87"/>
              </w:rPr>
              <w:t>1,560,315</w:t>
            </w:r>
          </w:p>
        </w:tc>
      </w:tr>
      <w:tr>
        <w:trPr>
          <w:trHeight w:val="218"/>
        </w:trPr>
        <w:tc>
          <w:tcPr>
            <w:tcW w:w="940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Property and equipment, net</w:t>
            </w:r>
          </w:p>
        </w:tc>
        <w:tc>
          <w:tcPr>
            <w:tcW w:w="80" w:type="dxa"/>
            <w:vAlign w:val="bottom"/>
            <w:shd w:val="clear" w:color="auto" w:fill="CCEEFF"/>
          </w:tcPr>
          <w:p>
            <w:pPr>
              <w:spacing w:after="0"/>
              <w:rPr>
                <w:sz w:val="18"/>
                <w:szCs w:val="18"/>
                <w:color w:val="auto"/>
              </w:rPr>
            </w:pPr>
          </w:p>
        </w:tc>
        <w:tc>
          <w:tcPr>
            <w:tcW w:w="1040" w:type="dxa"/>
            <w:vAlign w:val="bottom"/>
            <w:gridSpan w:val="2"/>
            <w:shd w:val="clear" w:color="auto" w:fill="CCEEFF"/>
          </w:tcPr>
          <w:p>
            <w:pPr>
              <w:jc w:val="right"/>
              <w:ind w:right="320"/>
              <w:spacing w:after="0"/>
              <w:rPr>
                <w:sz w:val="20"/>
                <w:szCs w:val="20"/>
                <w:color w:val="auto"/>
              </w:rPr>
            </w:pPr>
            <w:r>
              <w:rPr>
                <w:rFonts w:ascii="Arial" w:cs="Arial" w:eastAsia="Arial" w:hAnsi="Arial"/>
                <w:sz w:val="18"/>
                <w:szCs w:val="18"/>
                <w:color w:val="auto"/>
              </w:rPr>
              <w:t>349,276</w:t>
            </w:r>
          </w:p>
        </w:tc>
        <w:tc>
          <w:tcPr>
            <w:tcW w:w="80" w:type="dxa"/>
            <w:vAlign w:val="bottom"/>
            <w:shd w:val="clear" w:color="auto" w:fill="CCEEFF"/>
          </w:tcPr>
          <w:p>
            <w:pPr>
              <w:spacing w:after="0"/>
              <w:rPr>
                <w:sz w:val="18"/>
                <w:szCs w:val="18"/>
                <w:color w:val="auto"/>
              </w:rPr>
            </w:pPr>
          </w:p>
        </w:tc>
        <w:tc>
          <w:tcPr>
            <w:tcW w:w="82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390,853</w:t>
            </w:r>
          </w:p>
        </w:tc>
      </w:tr>
      <w:tr>
        <w:trPr>
          <w:trHeight w:val="216"/>
        </w:trPr>
        <w:tc>
          <w:tcPr>
            <w:tcW w:w="9400" w:type="dxa"/>
            <w:vAlign w:val="bottom"/>
            <w:gridSpan w:val="2"/>
          </w:tcPr>
          <w:p>
            <w:pPr>
              <w:spacing w:after="0"/>
              <w:rPr>
                <w:sz w:val="20"/>
                <w:szCs w:val="20"/>
                <w:color w:val="auto"/>
              </w:rPr>
            </w:pPr>
            <w:r>
              <w:rPr>
                <w:rFonts w:ascii="Arial" w:cs="Arial" w:eastAsia="Arial" w:hAnsi="Arial"/>
                <w:sz w:val="18"/>
                <w:szCs w:val="18"/>
                <w:color w:val="auto"/>
              </w:rPr>
              <w:t>Long-term investments</w:t>
            </w:r>
          </w:p>
        </w:tc>
        <w:tc>
          <w:tcPr>
            <w:tcW w:w="80" w:type="dxa"/>
            <w:vAlign w:val="bottom"/>
          </w:tcPr>
          <w:p>
            <w:pPr>
              <w:spacing w:after="0"/>
              <w:rPr>
                <w:sz w:val="18"/>
                <w:szCs w:val="18"/>
                <w:color w:val="auto"/>
              </w:rPr>
            </w:pPr>
          </w:p>
        </w:tc>
        <w:tc>
          <w:tcPr>
            <w:tcW w:w="1040" w:type="dxa"/>
            <w:vAlign w:val="bottom"/>
            <w:gridSpan w:val="2"/>
          </w:tcPr>
          <w:p>
            <w:pPr>
              <w:jc w:val="right"/>
              <w:ind w:right="320"/>
              <w:spacing w:after="0"/>
              <w:rPr>
                <w:sz w:val="20"/>
                <w:szCs w:val="20"/>
                <w:color w:val="auto"/>
              </w:rPr>
            </w:pPr>
            <w:r>
              <w:rPr>
                <w:rFonts w:ascii="Arial" w:cs="Arial" w:eastAsia="Arial" w:hAnsi="Arial"/>
                <w:sz w:val="18"/>
                <w:szCs w:val="18"/>
                <w:color w:val="auto"/>
              </w:rPr>
              <w:t>39,274</w:t>
            </w:r>
          </w:p>
        </w:tc>
        <w:tc>
          <w:tcPr>
            <w:tcW w:w="80" w:type="dxa"/>
            <w:vAlign w:val="bottom"/>
          </w:tcPr>
          <w:p>
            <w:pPr>
              <w:spacing w:after="0"/>
              <w:rPr>
                <w:sz w:val="18"/>
                <w:szCs w:val="18"/>
                <w:color w:val="auto"/>
              </w:rPr>
            </w:pPr>
          </w:p>
        </w:tc>
        <w:tc>
          <w:tcPr>
            <w:tcW w:w="820" w:type="dxa"/>
            <w:vAlign w:val="bottom"/>
            <w:gridSpan w:val="2"/>
          </w:tcPr>
          <w:p>
            <w:pPr>
              <w:jc w:val="right"/>
              <w:ind w:right="100"/>
              <w:spacing w:after="0"/>
              <w:rPr>
                <w:sz w:val="20"/>
                <w:szCs w:val="20"/>
                <w:color w:val="auto"/>
              </w:rPr>
            </w:pPr>
            <w:r>
              <w:rPr>
                <w:rFonts w:ascii="Arial" w:cs="Arial" w:eastAsia="Arial" w:hAnsi="Arial"/>
                <w:sz w:val="18"/>
                <w:szCs w:val="18"/>
                <w:color w:val="auto"/>
              </w:rPr>
              <w:t>40,541</w:t>
            </w:r>
          </w:p>
        </w:tc>
      </w:tr>
      <w:tr>
        <w:trPr>
          <w:trHeight w:val="216"/>
        </w:trPr>
        <w:tc>
          <w:tcPr>
            <w:tcW w:w="780" w:type="dxa"/>
            <w:vAlign w:val="bottom"/>
            <w:shd w:val="clear" w:color="auto" w:fill="CCEEFF"/>
          </w:tcPr>
          <w:p>
            <w:pPr>
              <w:spacing w:after="0"/>
              <w:rPr>
                <w:sz w:val="20"/>
                <w:szCs w:val="20"/>
                <w:color w:val="auto"/>
              </w:rPr>
            </w:pPr>
            <w:r>
              <w:rPr>
                <w:rFonts w:ascii="Arial" w:cs="Arial" w:eastAsia="Arial" w:hAnsi="Arial"/>
                <w:sz w:val="18"/>
                <w:szCs w:val="18"/>
                <w:color w:val="auto"/>
              </w:rPr>
              <w:t>Goodwill</w:t>
            </w:r>
          </w:p>
        </w:tc>
        <w:tc>
          <w:tcPr>
            <w:tcW w:w="86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1040" w:type="dxa"/>
            <w:vAlign w:val="bottom"/>
            <w:gridSpan w:val="2"/>
            <w:shd w:val="clear" w:color="auto" w:fill="CCEEFF"/>
          </w:tcPr>
          <w:p>
            <w:pPr>
              <w:jc w:val="right"/>
              <w:ind w:right="320"/>
              <w:spacing w:after="0"/>
              <w:rPr>
                <w:sz w:val="20"/>
                <w:szCs w:val="20"/>
                <w:color w:val="auto"/>
              </w:rPr>
            </w:pPr>
            <w:r>
              <w:rPr>
                <w:rFonts w:ascii="Arial" w:cs="Arial" w:eastAsia="Arial" w:hAnsi="Arial"/>
                <w:sz w:val="18"/>
                <w:szCs w:val="18"/>
                <w:color w:val="auto"/>
                <w:w w:val="87"/>
              </w:rPr>
              <w:t>1,997,662</w:t>
            </w:r>
          </w:p>
        </w:tc>
        <w:tc>
          <w:tcPr>
            <w:tcW w:w="80" w:type="dxa"/>
            <w:vAlign w:val="bottom"/>
            <w:shd w:val="clear" w:color="auto" w:fill="CCEEFF"/>
          </w:tcPr>
          <w:p>
            <w:pPr>
              <w:spacing w:after="0"/>
              <w:rPr>
                <w:sz w:val="18"/>
                <w:szCs w:val="18"/>
                <w:color w:val="auto"/>
              </w:rPr>
            </w:pPr>
          </w:p>
        </w:tc>
        <w:tc>
          <w:tcPr>
            <w:tcW w:w="82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w w:val="87"/>
              </w:rPr>
              <w:t>1,997,630</w:t>
            </w:r>
          </w:p>
        </w:tc>
      </w:tr>
      <w:tr>
        <w:trPr>
          <w:trHeight w:val="216"/>
        </w:trPr>
        <w:tc>
          <w:tcPr>
            <w:tcW w:w="9400" w:type="dxa"/>
            <w:vAlign w:val="bottom"/>
            <w:gridSpan w:val="2"/>
          </w:tcPr>
          <w:p>
            <w:pPr>
              <w:spacing w:after="0"/>
              <w:rPr>
                <w:sz w:val="20"/>
                <w:szCs w:val="20"/>
                <w:color w:val="auto"/>
              </w:rPr>
            </w:pPr>
            <w:r>
              <w:rPr>
                <w:rFonts w:ascii="Arial" w:cs="Arial" w:eastAsia="Arial" w:hAnsi="Arial"/>
                <w:sz w:val="18"/>
                <w:szCs w:val="18"/>
                <w:color w:val="auto"/>
              </w:rPr>
              <w:t>Acquired intangible assets, net</w:t>
            </w:r>
          </w:p>
        </w:tc>
        <w:tc>
          <w:tcPr>
            <w:tcW w:w="80" w:type="dxa"/>
            <w:vAlign w:val="bottom"/>
          </w:tcPr>
          <w:p>
            <w:pPr>
              <w:spacing w:after="0"/>
              <w:rPr>
                <w:sz w:val="18"/>
                <w:szCs w:val="18"/>
                <w:color w:val="auto"/>
              </w:rPr>
            </w:pPr>
          </w:p>
        </w:tc>
        <w:tc>
          <w:tcPr>
            <w:tcW w:w="1040" w:type="dxa"/>
            <w:vAlign w:val="bottom"/>
            <w:gridSpan w:val="2"/>
          </w:tcPr>
          <w:p>
            <w:pPr>
              <w:jc w:val="right"/>
              <w:ind w:right="320"/>
              <w:spacing w:after="0"/>
              <w:rPr>
                <w:sz w:val="20"/>
                <w:szCs w:val="20"/>
                <w:color w:val="auto"/>
              </w:rPr>
            </w:pPr>
            <w:r>
              <w:rPr>
                <w:rFonts w:ascii="Arial" w:cs="Arial" w:eastAsia="Arial" w:hAnsi="Arial"/>
                <w:sz w:val="18"/>
                <w:szCs w:val="18"/>
                <w:color w:val="auto"/>
              </w:rPr>
              <w:t>203,354</w:t>
            </w:r>
          </w:p>
        </w:tc>
        <w:tc>
          <w:tcPr>
            <w:tcW w:w="80" w:type="dxa"/>
            <w:vAlign w:val="bottom"/>
          </w:tcPr>
          <w:p>
            <w:pPr>
              <w:spacing w:after="0"/>
              <w:rPr>
                <w:sz w:val="18"/>
                <w:szCs w:val="18"/>
                <w:color w:val="auto"/>
              </w:rPr>
            </w:pPr>
          </w:p>
        </w:tc>
        <w:tc>
          <w:tcPr>
            <w:tcW w:w="820" w:type="dxa"/>
            <w:vAlign w:val="bottom"/>
            <w:gridSpan w:val="2"/>
          </w:tcPr>
          <w:p>
            <w:pPr>
              <w:jc w:val="right"/>
              <w:ind w:right="100"/>
              <w:spacing w:after="0"/>
              <w:rPr>
                <w:sz w:val="20"/>
                <w:szCs w:val="20"/>
                <w:color w:val="auto"/>
              </w:rPr>
            </w:pPr>
            <w:r>
              <w:rPr>
                <w:rFonts w:ascii="Arial" w:cs="Arial" w:eastAsia="Arial" w:hAnsi="Arial"/>
                <w:sz w:val="18"/>
                <w:szCs w:val="18"/>
                <w:color w:val="auto"/>
              </w:rPr>
              <w:t>286,534</w:t>
            </w:r>
          </w:p>
        </w:tc>
      </w:tr>
      <w:tr>
        <w:trPr>
          <w:trHeight w:val="216"/>
        </w:trPr>
        <w:tc>
          <w:tcPr>
            <w:tcW w:w="940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Other non-current assets</w:t>
            </w:r>
          </w:p>
        </w:tc>
        <w:tc>
          <w:tcPr>
            <w:tcW w:w="80" w:type="dxa"/>
            <w:vAlign w:val="bottom"/>
            <w:tcBorders>
              <w:bottom w:val="single" w:sz="8" w:color="auto"/>
            </w:tcBorders>
            <w:shd w:val="clear" w:color="auto" w:fill="CCEEFF"/>
          </w:tcPr>
          <w:p>
            <w:pPr>
              <w:spacing w:after="0"/>
              <w:rPr>
                <w:sz w:val="18"/>
                <w:szCs w:val="18"/>
                <w:color w:val="auto"/>
              </w:rPr>
            </w:pPr>
          </w:p>
        </w:tc>
        <w:tc>
          <w:tcPr>
            <w:tcW w:w="72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127,643</w:t>
            </w:r>
          </w:p>
        </w:tc>
        <w:tc>
          <w:tcPr>
            <w:tcW w:w="320" w:type="dxa"/>
            <w:vAlign w:val="bottom"/>
            <w:shd w:val="clear" w:color="auto" w:fill="CCEEFF"/>
          </w:tcPr>
          <w:p>
            <w:pPr>
              <w:spacing w:after="0"/>
              <w:rPr>
                <w:sz w:val="18"/>
                <w:szCs w:val="18"/>
                <w:color w:val="auto"/>
              </w:rPr>
            </w:pPr>
          </w:p>
        </w:tc>
        <w:tc>
          <w:tcPr>
            <w:tcW w:w="80" w:type="dxa"/>
            <w:vAlign w:val="bottom"/>
            <w:tcBorders>
              <w:bottom w:val="single" w:sz="8" w:color="auto"/>
            </w:tcBorders>
            <w:shd w:val="clear" w:color="auto" w:fill="CCEEFF"/>
          </w:tcPr>
          <w:p>
            <w:pPr>
              <w:spacing w:after="0"/>
              <w:rPr>
                <w:sz w:val="18"/>
                <w:szCs w:val="18"/>
                <w:color w:val="auto"/>
              </w:rPr>
            </w:pPr>
          </w:p>
        </w:tc>
        <w:tc>
          <w:tcPr>
            <w:tcW w:w="72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138,327</w:t>
            </w:r>
          </w:p>
        </w:tc>
        <w:tc>
          <w:tcPr>
            <w:tcW w:w="100" w:type="dxa"/>
            <w:vAlign w:val="bottom"/>
            <w:shd w:val="clear" w:color="auto" w:fill="CCEEFF"/>
          </w:tcPr>
          <w:p>
            <w:pPr>
              <w:spacing w:after="0"/>
              <w:rPr>
                <w:sz w:val="18"/>
                <w:szCs w:val="18"/>
                <w:color w:val="auto"/>
              </w:rPr>
            </w:pPr>
          </w:p>
        </w:tc>
      </w:tr>
      <w:tr>
        <w:trPr>
          <w:trHeight w:val="222"/>
        </w:trPr>
        <w:tc>
          <w:tcPr>
            <w:tcW w:w="780" w:type="dxa"/>
            <w:vAlign w:val="bottom"/>
          </w:tcPr>
          <w:p>
            <w:pPr>
              <w:spacing w:after="0"/>
              <w:rPr>
                <w:sz w:val="19"/>
                <w:szCs w:val="19"/>
                <w:color w:val="auto"/>
              </w:rPr>
            </w:pPr>
          </w:p>
        </w:tc>
        <w:tc>
          <w:tcPr>
            <w:tcW w:w="8620" w:type="dxa"/>
            <w:vAlign w:val="bottom"/>
          </w:tcPr>
          <w:p>
            <w:pPr>
              <w:ind w:left="100"/>
              <w:spacing w:after="0"/>
              <w:rPr>
                <w:sz w:val="20"/>
                <w:szCs w:val="20"/>
                <w:color w:val="auto"/>
              </w:rPr>
            </w:pPr>
            <w:r>
              <w:rPr>
                <w:rFonts w:ascii="Arial" w:cs="Arial" w:eastAsia="Arial" w:hAnsi="Arial"/>
                <w:sz w:val="18"/>
                <w:szCs w:val="18"/>
                <w:color w:val="auto"/>
              </w:rPr>
              <w:t>Total assets</w:t>
            </w:r>
          </w:p>
        </w:tc>
        <w:tc>
          <w:tcPr>
            <w:tcW w:w="80" w:type="dxa"/>
            <w:vAlign w:val="bottom"/>
          </w:tcPr>
          <w:p>
            <w:pPr>
              <w:jc w:val="right"/>
              <w:spacing w:after="0"/>
              <w:rPr>
                <w:sz w:val="20"/>
                <w:szCs w:val="20"/>
                <w:color w:val="auto"/>
              </w:rPr>
            </w:pPr>
            <w:r>
              <w:rPr>
                <w:rFonts w:ascii="Arial" w:cs="Arial" w:eastAsia="Arial" w:hAnsi="Arial"/>
                <w:sz w:val="15"/>
                <w:szCs w:val="15"/>
                <w:u w:val="single" w:color="auto"/>
                <w:color w:val="auto"/>
                <w:w w:val="71"/>
              </w:rPr>
              <w:t>$</w:t>
            </w:r>
          </w:p>
        </w:tc>
        <w:tc>
          <w:tcPr>
            <w:tcW w:w="1040" w:type="dxa"/>
            <w:vAlign w:val="bottom"/>
            <w:gridSpan w:val="2"/>
          </w:tcPr>
          <w:p>
            <w:pPr>
              <w:jc w:val="right"/>
              <w:ind w:right="320"/>
              <w:spacing w:after="0"/>
              <w:rPr>
                <w:sz w:val="20"/>
                <w:szCs w:val="20"/>
                <w:color w:val="auto"/>
              </w:rPr>
            </w:pPr>
            <w:r>
              <w:rPr>
                <w:rFonts w:ascii="Arial" w:cs="Arial" w:eastAsia="Arial" w:hAnsi="Arial"/>
                <w:sz w:val="18"/>
                <w:szCs w:val="18"/>
                <w:color w:val="auto"/>
                <w:w w:val="87"/>
              </w:rPr>
              <w:t>4,887,720</w:t>
            </w:r>
          </w:p>
        </w:tc>
        <w:tc>
          <w:tcPr>
            <w:tcW w:w="80" w:type="dxa"/>
            <w:vAlign w:val="bottom"/>
          </w:tcPr>
          <w:p>
            <w:pPr>
              <w:jc w:val="right"/>
              <w:spacing w:after="0"/>
              <w:rPr>
                <w:sz w:val="20"/>
                <w:szCs w:val="20"/>
                <w:color w:val="auto"/>
              </w:rPr>
            </w:pPr>
            <w:r>
              <w:rPr>
                <w:rFonts w:ascii="Arial" w:cs="Arial" w:eastAsia="Arial" w:hAnsi="Arial"/>
                <w:sz w:val="15"/>
                <w:szCs w:val="15"/>
                <w:u w:val="single" w:color="auto"/>
                <w:color w:val="auto"/>
                <w:w w:val="71"/>
              </w:rPr>
              <w:t>$</w:t>
            </w:r>
          </w:p>
        </w:tc>
        <w:tc>
          <w:tcPr>
            <w:tcW w:w="820" w:type="dxa"/>
            <w:vAlign w:val="bottom"/>
            <w:gridSpan w:val="2"/>
          </w:tcPr>
          <w:p>
            <w:pPr>
              <w:jc w:val="right"/>
              <w:ind w:right="100"/>
              <w:spacing w:after="0"/>
              <w:rPr>
                <w:sz w:val="20"/>
                <w:szCs w:val="20"/>
                <w:color w:val="auto"/>
              </w:rPr>
            </w:pPr>
            <w:r>
              <w:rPr>
                <w:rFonts w:ascii="Arial" w:cs="Arial" w:eastAsia="Arial" w:hAnsi="Arial"/>
                <w:sz w:val="18"/>
                <w:szCs w:val="18"/>
                <w:color w:val="auto"/>
                <w:w w:val="87"/>
              </w:rPr>
              <w:t>4,414,200</w:t>
            </w:r>
          </w:p>
        </w:tc>
      </w:tr>
      <w:tr>
        <w:trPr>
          <w:trHeight w:val="20"/>
        </w:trPr>
        <w:tc>
          <w:tcPr>
            <w:tcW w:w="780" w:type="dxa"/>
            <w:vAlign w:val="bottom"/>
          </w:tcPr>
          <w:p>
            <w:pPr>
              <w:spacing w:after="0" w:line="20" w:lineRule="exact"/>
              <w:rPr>
                <w:sz w:val="1"/>
                <w:szCs w:val="1"/>
                <w:color w:val="auto"/>
              </w:rPr>
            </w:pPr>
          </w:p>
        </w:tc>
        <w:tc>
          <w:tcPr>
            <w:tcW w:w="862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720" w:type="dxa"/>
            <w:vAlign w:val="bottom"/>
            <w:tcBorders>
              <w:top w:val="single" w:sz="8" w:color="auto"/>
              <w:bottom w:val="single" w:sz="8" w:color="auto"/>
            </w:tcBorders>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72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r>
      <w:tr>
        <w:trPr>
          <w:trHeight w:val="103"/>
        </w:trPr>
        <w:tc>
          <w:tcPr>
            <w:tcW w:w="780" w:type="dxa"/>
            <w:vAlign w:val="bottom"/>
          </w:tcPr>
          <w:p>
            <w:pPr>
              <w:spacing w:after="0"/>
              <w:rPr>
                <w:sz w:val="8"/>
                <w:szCs w:val="8"/>
                <w:color w:val="auto"/>
              </w:rPr>
            </w:pPr>
          </w:p>
        </w:tc>
        <w:tc>
          <w:tcPr>
            <w:tcW w:w="8620" w:type="dxa"/>
            <w:vAlign w:val="bottom"/>
          </w:tcPr>
          <w:p>
            <w:pPr>
              <w:spacing w:after="0"/>
              <w:rPr>
                <w:sz w:val="8"/>
                <w:szCs w:val="8"/>
                <w:color w:val="auto"/>
              </w:rPr>
            </w:pPr>
          </w:p>
        </w:tc>
        <w:tc>
          <w:tcPr>
            <w:tcW w:w="80" w:type="dxa"/>
            <w:vAlign w:val="bottom"/>
          </w:tcPr>
          <w:p>
            <w:pPr>
              <w:spacing w:after="0"/>
              <w:rPr>
                <w:sz w:val="8"/>
                <w:szCs w:val="8"/>
                <w:color w:val="auto"/>
              </w:rPr>
            </w:pPr>
          </w:p>
        </w:tc>
        <w:tc>
          <w:tcPr>
            <w:tcW w:w="720" w:type="dxa"/>
            <w:vAlign w:val="bottom"/>
          </w:tcPr>
          <w:p>
            <w:pPr>
              <w:spacing w:after="0"/>
              <w:rPr>
                <w:sz w:val="8"/>
                <w:szCs w:val="8"/>
                <w:color w:val="auto"/>
              </w:rPr>
            </w:pPr>
          </w:p>
        </w:tc>
        <w:tc>
          <w:tcPr>
            <w:tcW w:w="320" w:type="dxa"/>
            <w:vAlign w:val="bottom"/>
          </w:tcPr>
          <w:p>
            <w:pPr>
              <w:spacing w:after="0"/>
              <w:rPr>
                <w:sz w:val="8"/>
                <w:szCs w:val="8"/>
                <w:color w:val="auto"/>
              </w:rPr>
            </w:pPr>
          </w:p>
        </w:tc>
        <w:tc>
          <w:tcPr>
            <w:tcW w:w="80" w:type="dxa"/>
            <w:vAlign w:val="bottom"/>
          </w:tcPr>
          <w:p>
            <w:pPr>
              <w:spacing w:after="0"/>
              <w:rPr>
                <w:sz w:val="8"/>
                <w:szCs w:val="8"/>
                <w:color w:val="auto"/>
              </w:rPr>
            </w:pPr>
          </w:p>
        </w:tc>
        <w:tc>
          <w:tcPr>
            <w:tcW w:w="720" w:type="dxa"/>
            <w:vAlign w:val="bottom"/>
          </w:tcPr>
          <w:p>
            <w:pPr>
              <w:spacing w:after="0"/>
              <w:rPr>
                <w:sz w:val="8"/>
                <w:szCs w:val="8"/>
                <w:color w:val="auto"/>
              </w:rPr>
            </w:pPr>
          </w:p>
        </w:tc>
        <w:tc>
          <w:tcPr>
            <w:tcW w:w="100" w:type="dxa"/>
            <w:vAlign w:val="bottom"/>
          </w:tcPr>
          <w:p>
            <w:pPr>
              <w:spacing w:after="0"/>
              <w:rPr>
                <w:sz w:val="8"/>
                <w:szCs w:val="8"/>
                <w:color w:val="auto"/>
              </w:rPr>
            </w:pPr>
          </w:p>
        </w:tc>
      </w:tr>
      <w:tr>
        <w:trPr>
          <w:trHeight w:val="216"/>
        </w:trPr>
        <w:tc>
          <w:tcPr>
            <w:tcW w:w="780" w:type="dxa"/>
            <w:vAlign w:val="bottom"/>
            <w:shd w:val="clear" w:color="auto" w:fill="CCEEFF"/>
          </w:tcPr>
          <w:p>
            <w:pPr>
              <w:spacing w:after="0"/>
              <w:rPr>
                <w:sz w:val="18"/>
                <w:szCs w:val="18"/>
                <w:color w:val="auto"/>
              </w:rPr>
            </w:pPr>
          </w:p>
        </w:tc>
        <w:tc>
          <w:tcPr>
            <w:tcW w:w="8620" w:type="dxa"/>
            <w:vAlign w:val="bottom"/>
            <w:shd w:val="clear" w:color="auto" w:fill="CCEEFF"/>
          </w:tcPr>
          <w:p>
            <w:pPr>
              <w:ind w:left="1900"/>
              <w:spacing w:after="0"/>
              <w:rPr>
                <w:sz w:val="20"/>
                <w:szCs w:val="20"/>
                <w:color w:val="auto"/>
              </w:rPr>
            </w:pPr>
            <w:r>
              <w:rPr>
                <w:rFonts w:ascii="Arial" w:cs="Arial" w:eastAsia="Arial" w:hAnsi="Arial"/>
                <w:sz w:val="18"/>
                <w:szCs w:val="18"/>
                <w:b w:val="1"/>
                <w:bCs w:val="1"/>
                <w:color w:val="auto"/>
              </w:rPr>
              <w:t>LIABILITIES AND SHAREHOLDERS’ EQUITY</w:t>
            </w:r>
          </w:p>
        </w:tc>
        <w:tc>
          <w:tcPr>
            <w:tcW w:w="80" w:type="dxa"/>
            <w:vAlign w:val="bottom"/>
            <w:shd w:val="clear" w:color="auto" w:fill="CCEEFF"/>
          </w:tcPr>
          <w:p>
            <w:pPr>
              <w:spacing w:after="0"/>
              <w:rPr>
                <w:sz w:val="18"/>
                <w:szCs w:val="18"/>
                <w:color w:val="auto"/>
              </w:rPr>
            </w:pPr>
          </w:p>
        </w:tc>
        <w:tc>
          <w:tcPr>
            <w:tcW w:w="720" w:type="dxa"/>
            <w:vAlign w:val="bottom"/>
            <w:shd w:val="clear" w:color="auto" w:fill="CCEEFF"/>
          </w:tcPr>
          <w:p>
            <w:pPr>
              <w:spacing w:after="0"/>
              <w:rPr>
                <w:sz w:val="18"/>
                <w:szCs w:val="18"/>
                <w:color w:val="auto"/>
              </w:rPr>
            </w:pPr>
          </w:p>
        </w:tc>
        <w:tc>
          <w:tcPr>
            <w:tcW w:w="3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7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r>
      <w:tr>
        <w:trPr>
          <w:trHeight w:val="216"/>
        </w:trPr>
        <w:tc>
          <w:tcPr>
            <w:tcW w:w="9400" w:type="dxa"/>
            <w:vAlign w:val="bottom"/>
            <w:gridSpan w:val="2"/>
          </w:tcPr>
          <w:p>
            <w:pPr>
              <w:spacing w:after="0"/>
              <w:rPr>
                <w:sz w:val="20"/>
                <w:szCs w:val="20"/>
                <w:color w:val="auto"/>
              </w:rPr>
            </w:pPr>
            <w:r>
              <w:rPr>
                <w:rFonts w:ascii="Arial" w:cs="Arial" w:eastAsia="Arial" w:hAnsi="Arial"/>
                <w:sz w:val="18"/>
                <w:szCs w:val="18"/>
                <w:color w:val="auto"/>
              </w:rPr>
              <w:t>Current liabilities:</w:t>
            </w:r>
          </w:p>
        </w:tc>
        <w:tc>
          <w:tcPr>
            <w:tcW w:w="80" w:type="dxa"/>
            <w:vAlign w:val="bottom"/>
          </w:tcPr>
          <w:p>
            <w:pPr>
              <w:spacing w:after="0"/>
              <w:rPr>
                <w:sz w:val="18"/>
                <w:szCs w:val="18"/>
                <w:color w:val="auto"/>
              </w:rPr>
            </w:pPr>
          </w:p>
        </w:tc>
        <w:tc>
          <w:tcPr>
            <w:tcW w:w="72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720" w:type="dxa"/>
            <w:vAlign w:val="bottom"/>
          </w:tcPr>
          <w:p>
            <w:pPr>
              <w:spacing w:after="0"/>
              <w:rPr>
                <w:sz w:val="18"/>
                <w:szCs w:val="18"/>
                <w:color w:val="auto"/>
              </w:rPr>
            </w:pPr>
          </w:p>
        </w:tc>
        <w:tc>
          <w:tcPr>
            <w:tcW w:w="100" w:type="dxa"/>
            <w:vAlign w:val="bottom"/>
          </w:tcPr>
          <w:p>
            <w:pPr>
              <w:spacing w:after="0"/>
              <w:rPr>
                <w:sz w:val="18"/>
                <w:szCs w:val="18"/>
                <w:color w:val="auto"/>
              </w:rPr>
            </w:pPr>
          </w:p>
        </w:tc>
      </w:tr>
      <w:tr>
        <w:trPr>
          <w:trHeight w:val="216"/>
        </w:trPr>
        <w:tc>
          <w:tcPr>
            <w:tcW w:w="9400" w:type="dxa"/>
            <w:vAlign w:val="bottom"/>
            <w:gridSpan w:val="2"/>
            <w:shd w:val="clear" w:color="auto" w:fill="CCEEFF"/>
          </w:tcPr>
          <w:p>
            <w:pPr>
              <w:ind w:left="440"/>
              <w:spacing w:after="0"/>
              <w:rPr>
                <w:sz w:val="20"/>
                <w:szCs w:val="20"/>
                <w:color w:val="auto"/>
              </w:rPr>
            </w:pPr>
            <w:r>
              <w:rPr>
                <w:rFonts w:ascii="Arial" w:cs="Arial" w:eastAsia="Arial" w:hAnsi="Arial"/>
                <w:sz w:val="18"/>
                <w:szCs w:val="18"/>
                <w:color w:val="auto"/>
              </w:rPr>
              <w:t>Accounts payable</w:t>
            </w:r>
          </w:p>
        </w:tc>
        <w:tc>
          <w:tcPr>
            <w:tcW w:w="80" w:type="dxa"/>
            <w:vAlign w:val="bottom"/>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1040" w:type="dxa"/>
            <w:vAlign w:val="bottom"/>
            <w:gridSpan w:val="2"/>
            <w:shd w:val="clear" w:color="auto" w:fill="CCEEFF"/>
          </w:tcPr>
          <w:p>
            <w:pPr>
              <w:jc w:val="right"/>
              <w:ind w:right="320"/>
              <w:spacing w:after="0"/>
              <w:rPr>
                <w:sz w:val="20"/>
                <w:szCs w:val="20"/>
                <w:color w:val="auto"/>
              </w:rPr>
            </w:pPr>
            <w:r>
              <w:rPr>
                <w:rFonts w:ascii="Arial" w:cs="Arial" w:eastAsia="Arial" w:hAnsi="Arial"/>
                <w:sz w:val="18"/>
                <w:szCs w:val="18"/>
                <w:color w:val="auto"/>
              </w:rPr>
              <w:t>317,233</w:t>
            </w:r>
          </w:p>
        </w:tc>
        <w:tc>
          <w:tcPr>
            <w:tcW w:w="80" w:type="dxa"/>
            <w:vAlign w:val="bottom"/>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82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139,028</w:t>
            </w:r>
          </w:p>
        </w:tc>
      </w:tr>
      <w:tr>
        <w:trPr>
          <w:trHeight w:val="216"/>
        </w:trPr>
        <w:tc>
          <w:tcPr>
            <w:tcW w:w="9400" w:type="dxa"/>
            <w:vAlign w:val="bottom"/>
            <w:gridSpan w:val="2"/>
          </w:tcPr>
          <w:p>
            <w:pPr>
              <w:ind w:left="440"/>
              <w:spacing w:after="0"/>
              <w:rPr>
                <w:sz w:val="20"/>
                <w:szCs w:val="20"/>
                <w:color w:val="auto"/>
              </w:rPr>
            </w:pPr>
            <w:r>
              <w:rPr>
                <w:rFonts w:ascii="Arial" w:cs="Arial" w:eastAsia="Arial" w:hAnsi="Arial"/>
                <w:sz w:val="18"/>
                <w:szCs w:val="18"/>
                <w:color w:val="auto"/>
              </w:rPr>
              <w:t>Accrued liabilities</w:t>
            </w:r>
          </w:p>
        </w:tc>
        <w:tc>
          <w:tcPr>
            <w:tcW w:w="80" w:type="dxa"/>
            <w:vAlign w:val="bottom"/>
          </w:tcPr>
          <w:p>
            <w:pPr>
              <w:spacing w:after="0"/>
              <w:rPr>
                <w:sz w:val="18"/>
                <w:szCs w:val="18"/>
                <w:color w:val="auto"/>
              </w:rPr>
            </w:pPr>
          </w:p>
        </w:tc>
        <w:tc>
          <w:tcPr>
            <w:tcW w:w="1040" w:type="dxa"/>
            <w:vAlign w:val="bottom"/>
            <w:gridSpan w:val="2"/>
          </w:tcPr>
          <w:p>
            <w:pPr>
              <w:jc w:val="right"/>
              <w:ind w:right="320"/>
              <w:spacing w:after="0"/>
              <w:rPr>
                <w:sz w:val="20"/>
                <w:szCs w:val="20"/>
                <w:color w:val="auto"/>
              </w:rPr>
            </w:pPr>
            <w:r>
              <w:rPr>
                <w:rFonts w:ascii="Arial" w:cs="Arial" w:eastAsia="Arial" w:hAnsi="Arial"/>
                <w:sz w:val="18"/>
                <w:szCs w:val="18"/>
                <w:color w:val="auto"/>
              </w:rPr>
              <w:t>73,862</w:t>
            </w:r>
          </w:p>
        </w:tc>
        <w:tc>
          <w:tcPr>
            <w:tcW w:w="80" w:type="dxa"/>
            <w:vAlign w:val="bottom"/>
          </w:tcPr>
          <w:p>
            <w:pPr>
              <w:spacing w:after="0"/>
              <w:rPr>
                <w:sz w:val="18"/>
                <w:szCs w:val="18"/>
                <w:color w:val="auto"/>
              </w:rPr>
            </w:pPr>
          </w:p>
        </w:tc>
        <w:tc>
          <w:tcPr>
            <w:tcW w:w="820" w:type="dxa"/>
            <w:vAlign w:val="bottom"/>
            <w:gridSpan w:val="2"/>
          </w:tcPr>
          <w:p>
            <w:pPr>
              <w:jc w:val="right"/>
              <w:ind w:right="100"/>
              <w:spacing w:after="0"/>
              <w:rPr>
                <w:sz w:val="20"/>
                <w:szCs w:val="20"/>
                <w:color w:val="auto"/>
              </w:rPr>
            </w:pPr>
            <w:r>
              <w:rPr>
                <w:rFonts w:ascii="Arial" w:cs="Arial" w:eastAsia="Arial" w:hAnsi="Arial"/>
                <w:sz w:val="18"/>
                <w:szCs w:val="18"/>
                <w:color w:val="auto"/>
              </w:rPr>
              <w:t>83,113</w:t>
            </w:r>
          </w:p>
        </w:tc>
      </w:tr>
      <w:tr>
        <w:trPr>
          <w:trHeight w:val="216"/>
        </w:trPr>
        <w:tc>
          <w:tcPr>
            <w:tcW w:w="9400" w:type="dxa"/>
            <w:vAlign w:val="bottom"/>
            <w:gridSpan w:val="2"/>
            <w:shd w:val="clear" w:color="auto" w:fill="CCEEFF"/>
          </w:tcPr>
          <w:p>
            <w:pPr>
              <w:ind w:left="440"/>
              <w:spacing w:after="0"/>
              <w:rPr>
                <w:sz w:val="20"/>
                <w:szCs w:val="20"/>
                <w:color w:val="auto"/>
              </w:rPr>
            </w:pPr>
            <w:r>
              <w:rPr>
                <w:rFonts w:ascii="Arial" w:cs="Arial" w:eastAsia="Arial" w:hAnsi="Arial"/>
                <w:sz w:val="18"/>
                <w:szCs w:val="18"/>
                <w:color w:val="auto"/>
              </w:rPr>
              <w:t>Accrued employee compensation</w:t>
            </w:r>
          </w:p>
        </w:tc>
        <w:tc>
          <w:tcPr>
            <w:tcW w:w="80" w:type="dxa"/>
            <w:vAlign w:val="bottom"/>
            <w:shd w:val="clear" w:color="auto" w:fill="CCEEFF"/>
          </w:tcPr>
          <w:p>
            <w:pPr>
              <w:spacing w:after="0"/>
              <w:rPr>
                <w:sz w:val="18"/>
                <w:szCs w:val="18"/>
                <w:color w:val="auto"/>
              </w:rPr>
            </w:pPr>
          </w:p>
        </w:tc>
        <w:tc>
          <w:tcPr>
            <w:tcW w:w="1040" w:type="dxa"/>
            <w:vAlign w:val="bottom"/>
            <w:gridSpan w:val="2"/>
            <w:shd w:val="clear" w:color="auto" w:fill="CCEEFF"/>
          </w:tcPr>
          <w:p>
            <w:pPr>
              <w:jc w:val="right"/>
              <w:ind w:right="320"/>
              <w:spacing w:after="0"/>
              <w:rPr>
                <w:sz w:val="20"/>
                <w:szCs w:val="20"/>
                <w:color w:val="auto"/>
              </w:rPr>
            </w:pPr>
            <w:r>
              <w:rPr>
                <w:rFonts w:ascii="Arial" w:cs="Arial" w:eastAsia="Arial" w:hAnsi="Arial"/>
                <w:sz w:val="18"/>
                <w:szCs w:val="18"/>
                <w:color w:val="auto"/>
              </w:rPr>
              <w:t>127,171</w:t>
            </w:r>
          </w:p>
        </w:tc>
        <w:tc>
          <w:tcPr>
            <w:tcW w:w="80" w:type="dxa"/>
            <w:vAlign w:val="bottom"/>
            <w:shd w:val="clear" w:color="auto" w:fill="CCEEFF"/>
          </w:tcPr>
          <w:p>
            <w:pPr>
              <w:spacing w:after="0"/>
              <w:rPr>
                <w:sz w:val="18"/>
                <w:szCs w:val="18"/>
                <w:color w:val="auto"/>
              </w:rPr>
            </w:pPr>
          </w:p>
        </w:tc>
        <w:tc>
          <w:tcPr>
            <w:tcW w:w="82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92,022</w:t>
            </w:r>
          </w:p>
        </w:tc>
      </w:tr>
      <w:tr>
        <w:trPr>
          <w:trHeight w:val="216"/>
        </w:trPr>
        <w:tc>
          <w:tcPr>
            <w:tcW w:w="9400" w:type="dxa"/>
            <w:vAlign w:val="bottom"/>
            <w:gridSpan w:val="2"/>
          </w:tcPr>
          <w:p>
            <w:pPr>
              <w:ind w:left="440"/>
              <w:spacing w:after="0"/>
              <w:rPr>
                <w:sz w:val="20"/>
                <w:szCs w:val="20"/>
                <w:color w:val="auto"/>
              </w:rPr>
            </w:pPr>
            <w:r>
              <w:rPr>
                <w:rFonts w:ascii="Arial" w:cs="Arial" w:eastAsia="Arial" w:hAnsi="Arial"/>
                <w:sz w:val="18"/>
                <w:szCs w:val="18"/>
                <w:color w:val="auto"/>
              </w:rPr>
              <w:t>Income taxes payable</w:t>
            </w:r>
          </w:p>
        </w:tc>
        <w:tc>
          <w:tcPr>
            <w:tcW w:w="80" w:type="dxa"/>
            <w:vAlign w:val="bottom"/>
          </w:tcPr>
          <w:p>
            <w:pPr>
              <w:spacing w:after="0"/>
              <w:rPr>
                <w:sz w:val="18"/>
                <w:szCs w:val="18"/>
                <w:color w:val="auto"/>
              </w:rPr>
            </w:pPr>
          </w:p>
        </w:tc>
        <w:tc>
          <w:tcPr>
            <w:tcW w:w="1040" w:type="dxa"/>
            <w:vAlign w:val="bottom"/>
            <w:gridSpan w:val="2"/>
          </w:tcPr>
          <w:p>
            <w:pPr>
              <w:jc w:val="right"/>
              <w:ind w:right="320"/>
              <w:spacing w:after="0"/>
              <w:rPr>
                <w:sz w:val="20"/>
                <w:szCs w:val="20"/>
                <w:color w:val="auto"/>
              </w:rPr>
            </w:pPr>
            <w:r>
              <w:rPr>
                <w:rFonts w:ascii="Arial" w:cs="Arial" w:eastAsia="Arial" w:hAnsi="Arial"/>
                <w:sz w:val="18"/>
                <w:szCs w:val="18"/>
                <w:color w:val="auto"/>
              </w:rPr>
              <w:t>14,671</w:t>
            </w:r>
          </w:p>
        </w:tc>
        <w:tc>
          <w:tcPr>
            <w:tcW w:w="80" w:type="dxa"/>
            <w:vAlign w:val="bottom"/>
          </w:tcPr>
          <w:p>
            <w:pPr>
              <w:spacing w:after="0"/>
              <w:rPr>
                <w:sz w:val="18"/>
                <w:szCs w:val="18"/>
                <w:color w:val="auto"/>
              </w:rPr>
            </w:pPr>
          </w:p>
        </w:tc>
        <w:tc>
          <w:tcPr>
            <w:tcW w:w="820" w:type="dxa"/>
            <w:vAlign w:val="bottom"/>
            <w:gridSpan w:val="2"/>
          </w:tcPr>
          <w:p>
            <w:pPr>
              <w:jc w:val="right"/>
              <w:ind w:right="100"/>
              <w:spacing w:after="0"/>
              <w:rPr>
                <w:sz w:val="20"/>
                <w:szCs w:val="20"/>
                <w:color w:val="auto"/>
              </w:rPr>
            </w:pPr>
            <w:r>
              <w:rPr>
                <w:rFonts w:ascii="Arial" w:cs="Arial" w:eastAsia="Arial" w:hAnsi="Arial"/>
                <w:sz w:val="18"/>
                <w:szCs w:val="18"/>
                <w:color w:val="auto"/>
              </w:rPr>
              <w:t>35,803</w:t>
            </w:r>
          </w:p>
        </w:tc>
      </w:tr>
      <w:tr>
        <w:trPr>
          <w:trHeight w:val="216"/>
        </w:trPr>
        <w:tc>
          <w:tcPr>
            <w:tcW w:w="9400" w:type="dxa"/>
            <w:vAlign w:val="bottom"/>
            <w:gridSpan w:val="2"/>
            <w:shd w:val="clear" w:color="auto" w:fill="CCEEFF"/>
          </w:tcPr>
          <w:p>
            <w:pPr>
              <w:ind w:left="440"/>
              <w:spacing w:after="0"/>
              <w:rPr>
                <w:sz w:val="20"/>
                <w:szCs w:val="20"/>
                <w:color w:val="auto"/>
              </w:rPr>
            </w:pPr>
            <w:r>
              <w:rPr>
                <w:rFonts w:ascii="Arial" w:cs="Arial" w:eastAsia="Arial" w:hAnsi="Arial"/>
                <w:sz w:val="18"/>
                <w:szCs w:val="18"/>
                <w:color w:val="auto"/>
              </w:rPr>
              <w:t>Deferred income</w:t>
            </w:r>
          </w:p>
        </w:tc>
        <w:tc>
          <w:tcPr>
            <w:tcW w:w="80" w:type="dxa"/>
            <w:vAlign w:val="bottom"/>
            <w:shd w:val="clear" w:color="auto" w:fill="CCEEFF"/>
          </w:tcPr>
          <w:p>
            <w:pPr>
              <w:spacing w:after="0"/>
              <w:rPr>
                <w:sz w:val="18"/>
                <w:szCs w:val="18"/>
                <w:color w:val="auto"/>
              </w:rPr>
            </w:pPr>
          </w:p>
        </w:tc>
        <w:tc>
          <w:tcPr>
            <w:tcW w:w="1040" w:type="dxa"/>
            <w:vAlign w:val="bottom"/>
            <w:gridSpan w:val="2"/>
            <w:shd w:val="clear" w:color="auto" w:fill="CCEEFF"/>
          </w:tcPr>
          <w:p>
            <w:pPr>
              <w:jc w:val="right"/>
              <w:ind w:right="320"/>
              <w:spacing w:after="0"/>
              <w:rPr>
                <w:sz w:val="20"/>
                <w:szCs w:val="20"/>
                <w:color w:val="auto"/>
              </w:rPr>
            </w:pPr>
            <w:r>
              <w:rPr>
                <w:rFonts w:ascii="Arial" w:cs="Arial" w:eastAsia="Arial" w:hAnsi="Arial"/>
                <w:sz w:val="18"/>
                <w:szCs w:val="18"/>
                <w:color w:val="auto"/>
              </w:rPr>
              <w:t>71,273</w:t>
            </w:r>
          </w:p>
        </w:tc>
        <w:tc>
          <w:tcPr>
            <w:tcW w:w="80" w:type="dxa"/>
            <w:vAlign w:val="bottom"/>
            <w:shd w:val="clear" w:color="auto" w:fill="CCEEFF"/>
          </w:tcPr>
          <w:p>
            <w:pPr>
              <w:spacing w:after="0"/>
              <w:rPr>
                <w:sz w:val="18"/>
                <w:szCs w:val="18"/>
                <w:color w:val="auto"/>
              </w:rPr>
            </w:pPr>
          </w:p>
        </w:tc>
        <w:tc>
          <w:tcPr>
            <w:tcW w:w="82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57,895</w:t>
            </w:r>
          </w:p>
        </w:tc>
      </w:tr>
      <w:tr>
        <w:trPr>
          <w:trHeight w:val="223"/>
        </w:trPr>
        <w:tc>
          <w:tcPr>
            <w:tcW w:w="9400" w:type="dxa"/>
            <w:vAlign w:val="bottom"/>
            <w:gridSpan w:val="2"/>
          </w:tcPr>
          <w:p>
            <w:pPr>
              <w:ind w:left="440"/>
              <w:spacing w:after="0"/>
              <w:rPr>
                <w:sz w:val="20"/>
                <w:szCs w:val="20"/>
                <w:color w:val="auto"/>
              </w:rPr>
            </w:pPr>
            <w:r>
              <w:rPr>
                <w:rFonts w:ascii="Arial" w:cs="Arial" w:eastAsia="Arial" w:hAnsi="Arial"/>
                <w:sz w:val="18"/>
                <w:szCs w:val="18"/>
                <w:color w:val="auto"/>
              </w:rPr>
              <w:t>Current portion of capital lease obligations</w:t>
            </w:r>
          </w:p>
        </w:tc>
        <w:tc>
          <w:tcPr>
            <w:tcW w:w="80" w:type="dxa"/>
            <w:vAlign w:val="bottom"/>
            <w:tcBorders>
              <w:bottom w:val="single" w:sz="8" w:color="auto"/>
            </w:tcBorders>
          </w:tcPr>
          <w:p>
            <w:pPr>
              <w:spacing w:after="0"/>
              <w:rPr>
                <w:sz w:val="19"/>
                <w:szCs w:val="19"/>
                <w:color w:val="auto"/>
              </w:rPr>
            </w:pPr>
          </w:p>
        </w:tc>
        <w:tc>
          <w:tcPr>
            <w:tcW w:w="72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1,901</w:t>
            </w:r>
          </w:p>
        </w:tc>
        <w:tc>
          <w:tcPr>
            <w:tcW w:w="320" w:type="dxa"/>
            <w:vAlign w:val="bottom"/>
          </w:tcPr>
          <w:p>
            <w:pPr>
              <w:spacing w:after="0"/>
              <w:rPr>
                <w:sz w:val="19"/>
                <w:szCs w:val="19"/>
                <w:color w:val="auto"/>
              </w:rPr>
            </w:pPr>
          </w:p>
        </w:tc>
        <w:tc>
          <w:tcPr>
            <w:tcW w:w="80" w:type="dxa"/>
            <w:vAlign w:val="bottom"/>
            <w:tcBorders>
              <w:bottom w:val="single" w:sz="8" w:color="auto"/>
            </w:tcBorders>
          </w:tcPr>
          <w:p>
            <w:pPr>
              <w:spacing w:after="0"/>
              <w:rPr>
                <w:sz w:val="19"/>
                <w:szCs w:val="19"/>
                <w:color w:val="auto"/>
              </w:rPr>
            </w:pPr>
          </w:p>
        </w:tc>
        <w:tc>
          <w:tcPr>
            <w:tcW w:w="72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1,787</w:t>
            </w:r>
          </w:p>
        </w:tc>
        <w:tc>
          <w:tcPr>
            <w:tcW w:w="100" w:type="dxa"/>
            <w:vAlign w:val="bottom"/>
          </w:tcPr>
          <w:p>
            <w:pPr>
              <w:spacing w:after="0"/>
              <w:rPr>
                <w:sz w:val="19"/>
                <w:szCs w:val="19"/>
                <w:color w:val="auto"/>
              </w:rPr>
            </w:pPr>
          </w:p>
        </w:tc>
      </w:tr>
      <w:tr>
        <w:trPr>
          <w:trHeight w:val="216"/>
        </w:trPr>
        <w:tc>
          <w:tcPr>
            <w:tcW w:w="780" w:type="dxa"/>
            <w:vAlign w:val="bottom"/>
            <w:shd w:val="clear" w:color="auto" w:fill="CCEEFF"/>
          </w:tcPr>
          <w:p>
            <w:pPr>
              <w:spacing w:after="0"/>
              <w:rPr>
                <w:sz w:val="18"/>
                <w:szCs w:val="18"/>
                <w:color w:val="auto"/>
              </w:rPr>
            </w:pPr>
          </w:p>
        </w:tc>
        <w:tc>
          <w:tcPr>
            <w:tcW w:w="8620" w:type="dxa"/>
            <w:vAlign w:val="bottom"/>
            <w:shd w:val="clear" w:color="auto" w:fill="CCEEFF"/>
          </w:tcPr>
          <w:p>
            <w:pPr>
              <w:ind w:left="100"/>
              <w:spacing w:after="0"/>
              <w:rPr>
                <w:sz w:val="20"/>
                <w:szCs w:val="20"/>
                <w:color w:val="auto"/>
              </w:rPr>
            </w:pPr>
            <w:r>
              <w:rPr>
                <w:rFonts w:ascii="Arial" w:cs="Arial" w:eastAsia="Arial" w:hAnsi="Arial"/>
                <w:sz w:val="18"/>
                <w:szCs w:val="18"/>
                <w:color w:val="auto"/>
              </w:rPr>
              <w:t>Total current liabilities</w:t>
            </w:r>
          </w:p>
        </w:tc>
        <w:tc>
          <w:tcPr>
            <w:tcW w:w="80" w:type="dxa"/>
            <w:vAlign w:val="bottom"/>
            <w:shd w:val="clear" w:color="auto" w:fill="CCEEFF"/>
          </w:tcPr>
          <w:p>
            <w:pPr>
              <w:spacing w:after="0"/>
              <w:rPr>
                <w:sz w:val="18"/>
                <w:szCs w:val="18"/>
                <w:color w:val="auto"/>
              </w:rPr>
            </w:pPr>
          </w:p>
        </w:tc>
        <w:tc>
          <w:tcPr>
            <w:tcW w:w="1040" w:type="dxa"/>
            <w:vAlign w:val="bottom"/>
            <w:gridSpan w:val="2"/>
            <w:shd w:val="clear" w:color="auto" w:fill="CCEEFF"/>
          </w:tcPr>
          <w:p>
            <w:pPr>
              <w:jc w:val="right"/>
              <w:ind w:right="320"/>
              <w:spacing w:after="0"/>
              <w:rPr>
                <w:sz w:val="20"/>
                <w:szCs w:val="20"/>
                <w:color w:val="auto"/>
              </w:rPr>
            </w:pPr>
            <w:r>
              <w:rPr>
                <w:rFonts w:ascii="Arial" w:cs="Arial" w:eastAsia="Arial" w:hAnsi="Arial"/>
                <w:sz w:val="18"/>
                <w:szCs w:val="18"/>
                <w:color w:val="auto"/>
              </w:rPr>
              <w:t>606,111</w:t>
            </w:r>
          </w:p>
        </w:tc>
        <w:tc>
          <w:tcPr>
            <w:tcW w:w="80" w:type="dxa"/>
            <w:vAlign w:val="bottom"/>
            <w:shd w:val="clear" w:color="auto" w:fill="CCEEFF"/>
          </w:tcPr>
          <w:p>
            <w:pPr>
              <w:spacing w:after="0"/>
              <w:rPr>
                <w:sz w:val="18"/>
                <w:szCs w:val="18"/>
                <w:color w:val="auto"/>
              </w:rPr>
            </w:pPr>
          </w:p>
        </w:tc>
        <w:tc>
          <w:tcPr>
            <w:tcW w:w="82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409,648</w:t>
            </w:r>
          </w:p>
        </w:tc>
      </w:tr>
      <w:tr>
        <w:trPr>
          <w:trHeight w:val="216"/>
        </w:trPr>
        <w:tc>
          <w:tcPr>
            <w:tcW w:w="9400" w:type="dxa"/>
            <w:vAlign w:val="bottom"/>
            <w:gridSpan w:val="2"/>
          </w:tcPr>
          <w:p>
            <w:pPr>
              <w:spacing w:after="0"/>
              <w:rPr>
                <w:sz w:val="20"/>
                <w:szCs w:val="20"/>
                <w:color w:val="auto"/>
              </w:rPr>
            </w:pPr>
            <w:r>
              <w:rPr>
                <w:rFonts w:ascii="Arial" w:cs="Arial" w:eastAsia="Arial" w:hAnsi="Arial"/>
                <w:sz w:val="18"/>
                <w:szCs w:val="18"/>
                <w:color w:val="auto"/>
              </w:rPr>
              <w:t>Capital lease obligations, net of current portion</w:t>
            </w:r>
          </w:p>
        </w:tc>
        <w:tc>
          <w:tcPr>
            <w:tcW w:w="80" w:type="dxa"/>
            <w:vAlign w:val="bottom"/>
          </w:tcPr>
          <w:p>
            <w:pPr>
              <w:spacing w:after="0"/>
              <w:rPr>
                <w:sz w:val="18"/>
                <w:szCs w:val="18"/>
                <w:color w:val="auto"/>
              </w:rPr>
            </w:pPr>
          </w:p>
        </w:tc>
        <w:tc>
          <w:tcPr>
            <w:tcW w:w="1040" w:type="dxa"/>
            <w:vAlign w:val="bottom"/>
            <w:gridSpan w:val="2"/>
          </w:tcPr>
          <w:p>
            <w:pPr>
              <w:jc w:val="right"/>
              <w:ind w:right="320"/>
              <w:spacing w:after="0"/>
              <w:rPr>
                <w:sz w:val="20"/>
                <w:szCs w:val="20"/>
                <w:color w:val="auto"/>
              </w:rPr>
            </w:pPr>
            <w:r>
              <w:rPr>
                <w:rFonts w:ascii="Arial" w:cs="Arial" w:eastAsia="Arial" w:hAnsi="Arial"/>
                <w:sz w:val="18"/>
                <w:szCs w:val="18"/>
                <w:color w:val="auto"/>
              </w:rPr>
              <w:t>1,011</w:t>
            </w:r>
          </w:p>
        </w:tc>
        <w:tc>
          <w:tcPr>
            <w:tcW w:w="80" w:type="dxa"/>
            <w:vAlign w:val="bottom"/>
          </w:tcPr>
          <w:p>
            <w:pPr>
              <w:spacing w:after="0"/>
              <w:rPr>
                <w:sz w:val="18"/>
                <w:szCs w:val="18"/>
                <w:color w:val="auto"/>
              </w:rPr>
            </w:pPr>
          </w:p>
        </w:tc>
        <w:tc>
          <w:tcPr>
            <w:tcW w:w="820" w:type="dxa"/>
            <w:vAlign w:val="bottom"/>
            <w:gridSpan w:val="2"/>
          </w:tcPr>
          <w:p>
            <w:pPr>
              <w:jc w:val="right"/>
              <w:ind w:right="100"/>
              <w:spacing w:after="0"/>
              <w:rPr>
                <w:sz w:val="20"/>
                <w:szCs w:val="20"/>
                <w:color w:val="auto"/>
              </w:rPr>
            </w:pPr>
            <w:r>
              <w:rPr>
                <w:rFonts w:ascii="Arial" w:cs="Arial" w:eastAsia="Arial" w:hAnsi="Arial"/>
                <w:sz w:val="18"/>
                <w:szCs w:val="18"/>
                <w:color w:val="auto"/>
              </w:rPr>
              <w:t>2,451</w:t>
            </w:r>
          </w:p>
        </w:tc>
      </w:tr>
      <w:tr>
        <w:trPr>
          <w:trHeight w:val="216"/>
        </w:trPr>
        <w:tc>
          <w:tcPr>
            <w:tcW w:w="940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Non-current income taxes payable</w:t>
            </w:r>
          </w:p>
        </w:tc>
        <w:tc>
          <w:tcPr>
            <w:tcW w:w="80" w:type="dxa"/>
            <w:vAlign w:val="bottom"/>
            <w:shd w:val="clear" w:color="auto" w:fill="CCEEFF"/>
          </w:tcPr>
          <w:p>
            <w:pPr>
              <w:spacing w:after="0"/>
              <w:rPr>
                <w:sz w:val="18"/>
                <w:szCs w:val="18"/>
                <w:color w:val="auto"/>
              </w:rPr>
            </w:pPr>
          </w:p>
        </w:tc>
        <w:tc>
          <w:tcPr>
            <w:tcW w:w="1040" w:type="dxa"/>
            <w:vAlign w:val="bottom"/>
            <w:gridSpan w:val="2"/>
            <w:shd w:val="clear" w:color="auto" w:fill="CCEEFF"/>
          </w:tcPr>
          <w:p>
            <w:pPr>
              <w:jc w:val="right"/>
              <w:ind w:right="320"/>
              <w:spacing w:after="0"/>
              <w:rPr>
                <w:sz w:val="20"/>
                <w:szCs w:val="20"/>
                <w:color w:val="auto"/>
              </w:rPr>
            </w:pPr>
            <w:r>
              <w:rPr>
                <w:rFonts w:ascii="Arial" w:cs="Arial" w:eastAsia="Arial" w:hAnsi="Arial"/>
                <w:sz w:val="18"/>
                <w:szCs w:val="18"/>
                <w:color w:val="auto"/>
              </w:rPr>
              <w:t>115,451</w:t>
            </w:r>
          </w:p>
        </w:tc>
        <w:tc>
          <w:tcPr>
            <w:tcW w:w="80" w:type="dxa"/>
            <w:vAlign w:val="bottom"/>
            <w:shd w:val="clear" w:color="auto" w:fill="CCEEFF"/>
          </w:tcPr>
          <w:p>
            <w:pPr>
              <w:spacing w:after="0"/>
              <w:rPr>
                <w:sz w:val="18"/>
                <w:szCs w:val="18"/>
                <w:color w:val="auto"/>
              </w:rPr>
            </w:pPr>
          </w:p>
        </w:tc>
        <w:tc>
          <w:tcPr>
            <w:tcW w:w="82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123,379</w:t>
            </w:r>
          </w:p>
        </w:tc>
      </w:tr>
      <w:tr>
        <w:trPr>
          <w:trHeight w:val="223"/>
        </w:trPr>
        <w:tc>
          <w:tcPr>
            <w:tcW w:w="9400" w:type="dxa"/>
            <w:vAlign w:val="bottom"/>
            <w:gridSpan w:val="2"/>
          </w:tcPr>
          <w:p>
            <w:pPr>
              <w:spacing w:after="0"/>
              <w:rPr>
                <w:sz w:val="20"/>
                <w:szCs w:val="20"/>
                <w:color w:val="auto"/>
              </w:rPr>
            </w:pPr>
            <w:r>
              <w:rPr>
                <w:rFonts w:ascii="Arial" w:cs="Arial" w:eastAsia="Arial" w:hAnsi="Arial"/>
                <w:sz w:val="18"/>
                <w:szCs w:val="18"/>
                <w:color w:val="auto"/>
              </w:rPr>
              <w:t>Other long-term liabilities</w:t>
            </w:r>
          </w:p>
        </w:tc>
        <w:tc>
          <w:tcPr>
            <w:tcW w:w="80" w:type="dxa"/>
            <w:vAlign w:val="bottom"/>
            <w:tcBorders>
              <w:bottom w:val="single" w:sz="8" w:color="auto"/>
            </w:tcBorders>
          </w:tcPr>
          <w:p>
            <w:pPr>
              <w:spacing w:after="0"/>
              <w:rPr>
                <w:sz w:val="19"/>
                <w:szCs w:val="19"/>
                <w:color w:val="auto"/>
              </w:rPr>
            </w:pPr>
          </w:p>
        </w:tc>
        <w:tc>
          <w:tcPr>
            <w:tcW w:w="72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58,847</w:t>
            </w:r>
          </w:p>
        </w:tc>
        <w:tc>
          <w:tcPr>
            <w:tcW w:w="320" w:type="dxa"/>
            <w:vAlign w:val="bottom"/>
          </w:tcPr>
          <w:p>
            <w:pPr>
              <w:spacing w:after="0"/>
              <w:rPr>
                <w:sz w:val="19"/>
                <w:szCs w:val="19"/>
                <w:color w:val="auto"/>
              </w:rPr>
            </w:pPr>
          </w:p>
        </w:tc>
        <w:tc>
          <w:tcPr>
            <w:tcW w:w="80" w:type="dxa"/>
            <w:vAlign w:val="bottom"/>
            <w:tcBorders>
              <w:bottom w:val="single" w:sz="8" w:color="auto"/>
            </w:tcBorders>
          </w:tcPr>
          <w:p>
            <w:pPr>
              <w:spacing w:after="0"/>
              <w:rPr>
                <w:sz w:val="19"/>
                <w:szCs w:val="19"/>
                <w:color w:val="auto"/>
              </w:rPr>
            </w:pPr>
          </w:p>
        </w:tc>
        <w:tc>
          <w:tcPr>
            <w:tcW w:w="72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49,655</w:t>
            </w:r>
          </w:p>
        </w:tc>
        <w:tc>
          <w:tcPr>
            <w:tcW w:w="100" w:type="dxa"/>
            <w:vAlign w:val="bottom"/>
          </w:tcPr>
          <w:p>
            <w:pPr>
              <w:spacing w:after="0"/>
              <w:rPr>
                <w:sz w:val="19"/>
                <w:szCs w:val="19"/>
                <w:color w:val="auto"/>
              </w:rPr>
            </w:pPr>
          </w:p>
        </w:tc>
      </w:tr>
      <w:tr>
        <w:trPr>
          <w:trHeight w:val="216"/>
        </w:trPr>
        <w:tc>
          <w:tcPr>
            <w:tcW w:w="780" w:type="dxa"/>
            <w:vAlign w:val="bottom"/>
            <w:shd w:val="clear" w:color="auto" w:fill="CCEEFF"/>
          </w:tcPr>
          <w:p>
            <w:pPr>
              <w:spacing w:after="0"/>
              <w:rPr>
                <w:sz w:val="18"/>
                <w:szCs w:val="18"/>
                <w:color w:val="auto"/>
              </w:rPr>
            </w:pPr>
          </w:p>
        </w:tc>
        <w:tc>
          <w:tcPr>
            <w:tcW w:w="8620" w:type="dxa"/>
            <w:vAlign w:val="bottom"/>
            <w:shd w:val="clear" w:color="auto" w:fill="CCEEFF"/>
          </w:tcPr>
          <w:p>
            <w:pPr>
              <w:ind w:left="100"/>
              <w:spacing w:after="0"/>
              <w:rPr>
                <w:sz w:val="20"/>
                <w:szCs w:val="20"/>
                <w:color w:val="auto"/>
              </w:rPr>
            </w:pPr>
            <w:r>
              <w:rPr>
                <w:rFonts w:ascii="Arial" w:cs="Arial" w:eastAsia="Arial" w:hAnsi="Arial"/>
                <w:sz w:val="18"/>
                <w:szCs w:val="18"/>
                <w:color w:val="auto"/>
              </w:rPr>
              <w:t>Total liabilities</w:t>
            </w:r>
          </w:p>
        </w:tc>
        <w:tc>
          <w:tcPr>
            <w:tcW w:w="80" w:type="dxa"/>
            <w:vAlign w:val="bottom"/>
            <w:shd w:val="clear" w:color="auto" w:fill="CCEEFF"/>
          </w:tcPr>
          <w:p>
            <w:pPr>
              <w:spacing w:after="0"/>
              <w:rPr>
                <w:sz w:val="18"/>
                <w:szCs w:val="18"/>
                <w:color w:val="auto"/>
              </w:rPr>
            </w:pPr>
          </w:p>
        </w:tc>
        <w:tc>
          <w:tcPr>
            <w:tcW w:w="1040" w:type="dxa"/>
            <w:vAlign w:val="bottom"/>
            <w:gridSpan w:val="2"/>
            <w:shd w:val="clear" w:color="auto" w:fill="CCEEFF"/>
          </w:tcPr>
          <w:p>
            <w:pPr>
              <w:jc w:val="right"/>
              <w:ind w:right="320"/>
              <w:spacing w:after="0"/>
              <w:rPr>
                <w:sz w:val="20"/>
                <w:szCs w:val="20"/>
                <w:color w:val="auto"/>
              </w:rPr>
            </w:pPr>
            <w:r>
              <w:rPr>
                <w:rFonts w:ascii="Arial" w:cs="Arial" w:eastAsia="Arial" w:hAnsi="Arial"/>
                <w:sz w:val="18"/>
                <w:szCs w:val="18"/>
                <w:color w:val="auto"/>
              </w:rPr>
              <w:t>781,420</w:t>
            </w:r>
          </w:p>
        </w:tc>
        <w:tc>
          <w:tcPr>
            <w:tcW w:w="80" w:type="dxa"/>
            <w:vAlign w:val="bottom"/>
            <w:shd w:val="clear" w:color="auto" w:fill="CCEEFF"/>
          </w:tcPr>
          <w:p>
            <w:pPr>
              <w:spacing w:after="0"/>
              <w:rPr>
                <w:sz w:val="18"/>
                <w:szCs w:val="18"/>
                <w:color w:val="auto"/>
              </w:rPr>
            </w:pPr>
          </w:p>
        </w:tc>
        <w:tc>
          <w:tcPr>
            <w:tcW w:w="82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585,133</w:t>
            </w:r>
          </w:p>
        </w:tc>
      </w:tr>
      <w:tr>
        <w:trPr>
          <w:trHeight w:val="221"/>
        </w:trPr>
        <w:tc>
          <w:tcPr>
            <w:tcW w:w="9400" w:type="dxa"/>
            <w:vAlign w:val="bottom"/>
            <w:gridSpan w:val="2"/>
          </w:tcPr>
          <w:p>
            <w:pPr>
              <w:spacing w:after="0"/>
              <w:rPr>
                <w:sz w:val="20"/>
                <w:szCs w:val="20"/>
                <w:color w:val="auto"/>
              </w:rPr>
            </w:pPr>
            <w:r>
              <w:rPr>
                <w:rFonts w:ascii="Arial" w:cs="Arial" w:eastAsia="Arial" w:hAnsi="Arial"/>
                <w:sz w:val="18"/>
                <w:szCs w:val="18"/>
                <w:color w:val="auto"/>
              </w:rPr>
              <w:t>Commitments and contingencies (Note 9)</w:t>
            </w:r>
          </w:p>
        </w:tc>
        <w:tc>
          <w:tcPr>
            <w:tcW w:w="80" w:type="dxa"/>
            <w:vAlign w:val="bottom"/>
            <w:tcBorders>
              <w:top w:val="single" w:sz="8" w:color="auto"/>
            </w:tcBorders>
          </w:tcPr>
          <w:p>
            <w:pPr>
              <w:spacing w:after="0"/>
              <w:rPr>
                <w:sz w:val="19"/>
                <w:szCs w:val="19"/>
                <w:color w:val="auto"/>
              </w:rPr>
            </w:pPr>
          </w:p>
        </w:tc>
        <w:tc>
          <w:tcPr>
            <w:tcW w:w="720" w:type="dxa"/>
            <w:vAlign w:val="bottom"/>
            <w:tcBorders>
              <w:top w:val="single" w:sz="8" w:color="auto"/>
            </w:tcBorders>
          </w:tcPr>
          <w:p>
            <w:pPr>
              <w:spacing w:after="0"/>
              <w:rPr>
                <w:sz w:val="19"/>
                <w:szCs w:val="19"/>
                <w:color w:val="auto"/>
              </w:rPr>
            </w:pPr>
          </w:p>
        </w:tc>
        <w:tc>
          <w:tcPr>
            <w:tcW w:w="320" w:type="dxa"/>
            <w:vAlign w:val="bottom"/>
          </w:tcPr>
          <w:p>
            <w:pPr>
              <w:spacing w:after="0"/>
              <w:rPr>
                <w:sz w:val="19"/>
                <w:szCs w:val="19"/>
                <w:color w:val="auto"/>
              </w:rPr>
            </w:pPr>
          </w:p>
        </w:tc>
        <w:tc>
          <w:tcPr>
            <w:tcW w:w="80" w:type="dxa"/>
            <w:vAlign w:val="bottom"/>
            <w:tcBorders>
              <w:top w:val="single" w:sz="8" w:color="auto"/>
            </w:tcBorders>
          </w:tcPr>
          <w:p>
            <w:pPr>
              <w:spacing w:after="0"/>
              <w:rPr>
                <w:sz w:val="19"/>
                <w:szCs w:val="19"/>
                <w:color w:val="auto"/>
              </w:rPr>
            </w:pPr>
          </w:p>
        </w:tc>
        <w:tc>
          <w:tcPr>
            <w:tcW w:w="720" w:type="dxa"/>
            <w:vAlign w:val="bottom"/>
            <w:tcBorders>
              <w:top w:val="single" w:sz="8" w:color="auto"/>
            </w:tcBorders>
          </w:tcPr>
          <w:p>
            <w:pPr>
              <w:spacing w:after="0"/>
              <w:rPr>
                <w:sz w:val="19"/>
                <w:szCs w:val="19"/>
                <w:color w:val="auto"/>
              </w:rPr>
            </w:pPr>
          </w:p>
        </w:tc>
        <w:tc>
          <w:tcPr>
            <w:tcW w:w="100" w:type="dxa"/>
            <w:vAlign w:val="bottom"/>
          </w:tcPr>
          <w:p>
            <w:pPr>
              <w:spacing w:after="0"/>
              <w:rPr>
                <w:sz w:val="19"/>
                <w:szCs w:val="19"/>
                <w:color w:val="auto"/>
              </w:rPr>
            </w:pPr>
          </w:p>
        </w:tc>
      </w:tr>
      <w:tr>
        <w:trPr>
          <w:trHeight w:val="218"/>
        </w:trPr>
        <w:tc>
          <w:tcPr>
            <w:tcW w:w="940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Shareholders’ equity:</w:t>
            </w:r>
          </w:p>
        </w:tc>
        <w:tc>
          <w:tcPr>
            <w:tcW w:w="80" w:type="dxa"/>
            <w:vAlign w:val="bottom"/>
            <w:shd w:val="clear" w:color="auto" w:fill="CCEEFF"/>
          </w:tcPr>
          <w:p>
            <w:pPr>
              <w:spacing w:after="0"/>
              <w:rPr>
                <w:sz w:val="18"/>
                <w:szCs w:val="18"/>
                <w:color w:val="auto"/>
              </w:rPr>
            </w:pPr>
          </w:p>
        </w:tc>
        <w:tc>
          <w:tcPr>
            <w:tcW w:w="720" w:type="dxa"/>
            <w:vAlign w:val="bottom"/>
            <w:shd w:val="clear" w:color="auto" w:fill="CCEEFF"/>
          </w:tcPr>
          <w:p>
            <w:pPr>
              <w:spacing w:after="0"/>
              <w:rPr>
                <w:sz w:val="18"/>
                <w:szCs w:val="18"/>
                <w:color w:val="auto"/>
              </w:rPr>
            </w:pPr>
          </w:p>
        </w:tc>
        <w:tc>
          <w:tcPr>
            <w:tcW w:w="3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7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r>
      <w:tr>
        <w:trPr>
          <w:trHeight w:val="216"/>
        </w:trPr>
        <w:tc>
          <w:tcPr>
            <w:tcW w:w="9400" w:type="dxa"/>
            <w:vAlign w:val="bottom"/>
            <w:gridSpan w:val="2"/>
          </w:tcPr>
          <w:p>
            <w:pPr>
              <w:ind w:left="440"/>
              <w:spacing w:after="0"/>
              <w:rPr>
                <w:sz w:val="20"/>
                <w:szCs w:val="20"/>
                <w:color w:val="auto"/>
              </w:rPr>
            </w:pPr>
            <w:r>
              <w:rPr>
                <w:rFonts w:ascii="Arial" w:cs="Arial" w:eastAsia="Arial" w:hAnsi="Arial"/>
                <w:sz w:val="18"/>
                <w:szCs w:val="18"/>
                <w:color w:val="auto"/>
              </w:rPr>
              <w:t>Common shares</w:t>
            </w:r>
          </w:p>
        </w:tc>
        <w:tc>
          <w:tcPr>
            <w:tcW w:w="80" w:type="dxa"/>
            <w:vAlign w:val="bottom"/>
          </w:tcPr>
          <w:p>
            <w:pPr>
              <w:spacing w:after="0"/>
              <w:rPr>
                <w:sz w:val="18"/>
                <w:szCs w:val="18"/>
                <w:color w:val="auto"/>
              </w:rPr>
            </w:pPr>
          </w:p>
        </w:tc>
        <w:tc>
          <w:tcPr>
            <w:tcW w:w="1040" w:type="dxa"/>
            <w:vAlign w:val="bottom"/>
            <w:gridSpan w:val="2"/>
          </w:tcPr>
          <w:p>
            <w:pPr>
              <w:jc w:val="right"/>
              <w:ind w:right="320"/>
              <w:spacing w:after="0"/>
              <w:rPr>
                <w:sz w:val="20"/>
                <w:szCs w:val="20"/>
                <w:color w:val="auto"/>
              </w:rPr>
            </w:pPr>
            <w:r>
              <w:rPr>
                <w:rFonts w:ascii="Arial" w:cs="Arial" w:eastAsia="Arial" w:hAnsi="Arial"/>
                <w:sz w:val="18"/>
                <w:szCs w:val="18"/>
                <w:color w:val="auto"/>
              </w:rPr>
              <w:t>1,249</w:t>
            </w:r>
          </w:p>
        </w:tc>
        <w:tc>
          <w:tcPr>
            <w:tcW w:w="80" w:type="dxa"/>
            <w:vAlign w:val="bottom"/>
          </w:tcPr>
          <w:p>
            <w:pPr>
              <w:spacing w:after="0"/>
              <w:rPr>
                <w:sz w:val="18"/>
                <w:szCs w:val="18"/>
                <w:color w:val="auto"/>
              </w:rPr>
            </w:pPr>
          </w:p>
        </w:tc>
        <w:tc>
          <w:tcPr>
            <w:tcW w:w="820" w:type="dxa"/>
            <w:vAlign w:val="bottom"/>
            <w:gridSpan w:val="2"/>
          </w:tcPr>
          <w:p>
            <w:pPr>
              <w:jc w:val="right"/>
              <w:ind w:right="100"/>
              <w:spacing w:after="0"/>
              <w:rPr>
                <w:sz w:val="20"/>
                <w:szCs w:val="20"/>
                <w:color w:val="auto"/>
              </w:rPr>
            </w:pPr>
            <w:r>
              <w:rPr>
                <w:rFonts w:ascii="Arial" w:cs="Arial" w:eastAsia="Arial" w:hAnsi="Arial"/>
                <w:sz w:val="18"/>
                <w:szCs w:val="18"/>
                <w:color w:val="auto"/>
              </w:rPr>
              <w:t>1,233</w:t>
            </w:r>
          </w:p>
        </w:tc>
      </w:tr>
      <w:tr>
        <w:trPr>
          <w:trHeight w:val="216"/>
        </w:trPr>
        <w:tc>
          <w:tcPr>
            <w:tcW w:w="9400" w:type="dxa"/>
            <w:vAlign w:val="bottom"/>
            <w:gridSpan w:val="2"/>
            <w:shd w:val="clear" w:color="auto" w:fill="CCEEFF"/>
          </w:tcPr>
          <w:p>
            <w:pPr>
              <w:ind w:left="440"/>
              <w:spacing w:after="0"/>
              <w:rPr>
                <w:sz w:val="20"/>
                <w:szCs w:val="20"/>
                <w:color w:val="auto"/>
              </w:rPr>
            </w:pPr>
            <w:r>
              <w:rPr>
                <w:rFonts w:ascii="Arial" w:cs="Arial" w:eastAsia="Arial" w:hAnsi="Arial"/>
                <w:sz w:val="18"/>
                <w:szCs w:val="18"/>
                <w:color w:val="auto"/>
              </w:rPr>
              <w:t>Additional paid-in capital</w:t>
            </w:r>
          </w:p>
        </w:tc>
        <w:tc>
          <w:tcPr>
            <w:tcW w:w="80" w:type="dxa"/>
            <w:vAlign w:val="bottom"/>
            <w:shd w:val="clear" w:color="auto" w:fill="CCEEFF"/>
          </w:tcPr>
          <w:p>
            <w:pPr>
              <w:spacing w:after="0"/>
              <w:rPr>
                <w:sz w:val="18"/>
                <w:szCs w:val="18"/>
                <w:color w:val="auto"/>
              </w:rPr>
            </w:pPr>
          </w:p>
        </w:tc>
        <w:tc>
          <w:tcPr>
            <w:tcW w:w="1040" w:type="dxa"/>
            <w:vAlign w:val="bottom"/>
            <w:gridSpan w:val="2"/>
            <w:shd w:val="clear" w:color="auto" w:fill="CCEEFF"/>
          </w:tcPr>
          <w:p>
            <w:pPr>
              <w:jc w:val="right"/>
              <w:ind w:right="320"/>
              <w:spacing w:after="0"/>
              <w:rPr>
                <w:sz w:val="20"/>
                <w:szCs w:val="20"/>
                <w:color w:val="auto"/>
              </w:rPr>
            </w:pPr>
            <w:r>
              <w:rPr>
                <w:rFonts w:ascii="Arial" w:cs="Arial" w:eastAsia="Arial" w:hAnsi="Arial"/>
                <w:sz w:val="18"/>
                <w:szCs w:val="18"/>
                <w:color w:val="auto"/>
                <w:w w:val="87"/>
              </w:rPr>
              <w:t>4,501,258</w:t>
            </w:r>
          </w:p>
        </w:tc>
        <w:tc>
          <w:tcPr>
            <w:tcW w:w="80" w:type="dxa"/>
            <w:vAlign w:val="bottom"/>
            <w:shd w:val="clear" w:color="auto" w:fill="CCEEFF"/>
          </w:tcPr>
          <w:p>
            <w:pPr>
              <w:spacing w:after="0"/>
              <w:rPr>
                <w:sz w:val="18"/>
                <w:szCs w:val="18"/>
                <w:color w:val="auto"/>
              </w:rPr>
            </w:pPr>
          </w:p>
        </w:tc>
        <w:tc>
          <w:tcPr>
            <w:tcW w:w="82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w w:val="87"/>
              </w:rPr>
              <w:t>4,372,265</w:t>
            </w:r>
          </w:p>
        </w:tc>
      </w:tr>
      <w:tr>
        <w:trPr>
          <w:trHeight w:val="216"/>
        </w:trPr>
        <w:tc>
          <w:tcPr>
            <w:tcW w:w="9400" w:type="dxa"/>
            <w:vAlign w:val="bottom"/>
            <w:gridSpan w:val="2"/>
          </w:tcPr>
          <w:p>
            <w:pPr>
              <w:ind w:left="440"/>
              <w:spacing w:after="0"/>
              <w:rPr>
                <w:sz w:val="20"/>
                <w:szCs w:val="20"/>
                <w:color w:val="auto"/>
              </w:rPr>
            </w:pPr>
            <w:r>
              <w:rPr>
                <w:rFonts w:ascii="Arial" w:cs="Arial" w:eastAsia="Arial" w:hAnsi="Arial"/>
                <w:sz w:val="18"/>
                <w:szCs w:val="18"/>
                <w:color w:val="auto"/>
              </w:rPr>
              <w:t>Accumulated other comprehensive loss</w:t>
            </w:r>
          </w:p>
        </w:tc>
        <w:tc>
          <w:tcPr>
            <w:tcW w:w="80" w:type="dxa"/>
            <w:vAlign w:val="bottom"/>
          </w:tcPr>
          <w:p>
            <w:pPr>
              <w:spacing w:after="0"/>
              <w:rPr>
                <w:sz w:val="18"/>
                <w:szCs w:val="18"/>
                <w:color w:val="auto"/>
              </w:rPr>
            </w:pPr>
          </w:p>
        </w:tc>
        <w:tc>
          <w:tcPr>
            <w:tcW w:w="1040" w:type="dxa"/>
            <w:vAlign w:val="bottom"/>
            <w:gridSpan w:val="2"/>
          </w:tcPr>
          <w:p>
            <w:pPr>
              <w:jc w:val="right"/>
              <w:ind w:right="280"/>
              <w:spacing w:after="0"/>
              <w:rPr>
                <w:sz w:val="20"/>
                <w:szCs w:val="20"/>
                <w:color w:val="auto"/>
              </w:rPr>
            </w:pPr>
            <w:r>
              <w:rPr>
                <w:rFonts w:ascii="Arial" w:cs="Arial" w:eastAsia="Arial" w:hAnsi="Arial"/>
                <w:sz w:val="18"/>
                <w:szCs w:val="18"/>
                <w:color w:val="auto"/>
              </w:rPr>
              <w:t>(1,129)</w:t>
            </w:r>
          </w:p>
        </w:tc>
        <w:tc>
          <w:tcPr>
            <w:tcW w:w="80" w:type="dxa"/>
            <w:vAlign w:val="bottom"/>
          </w:tcPr>
          <w:p>
            <w:pPr>
              <w:spacing w:after="0"/>
              <w:rPr>
                <w:sz w:val="18"/>
                <w:szCs w:val="18"/>
                <w:color w:val="auto"/>
              </w:rPr>
            </w:pPr>
          </w:p>
        </w:tc>
        <w:tc>
          <w:tcPr>
            <w:tcW w:w="820" w:type="dxa"/>
            <w:vAlign w:val="bottom"/>
            <w:gridSpan w:val="2"/>
          </w:tcPr>
          <w:p>
            <w:pPr>
              <w:jc w:val="right"/>
              <w:ind w:right="40"/>
              <w:spacing w:after="0"/>
              <w:rPr>
                <w:sz w:val="20"/>
                <w:szCs w:val="20"/>
                <w:color w:val="auto"/>
              </w:rPr>
            </w:pPr>
            <w:r>
              <w:rPr>
                <w:rFonts w:ascii="Arial" w:cs="Arial" w:eastAsia="Arial" w:hAnsi="Arial"/>
                <w:sz w:val="18"/>
                <w:szCs w:val="18"/>
                <w:color w:val="auto"/>
              </w:rPr>
              <w:t>(718)</w:t>
            </w:r>
          </w:p>
        </w:tc>
      </w:tr>
      <w:tr>
        <w:trPr>
          <w:trHeight w:val="216"/>
        </w:trPr>
        <w:tc>
          <w:tcPr>
            <w:tcW w:w="9400" w:type="dxa"/>
            <w:vAlign w:val="bottom"/>
            <w:gridSpan w:val="2"/>
            <w:shd w:val="clear" w:color="auto" w:fill="CCEEFF"/>
          </w:tcPr>
          <w:p>
            <w:pPr>
              <w:ind w:left="440"/>
              <w:spacing w:after="0"/>
              <w:rPr>
                <w:sz w:val="20"/>
                <w:szCs w:val="20"/>
                <w:color w:val="auto"/>
              </w:rPr>
            </w:pPr>
            <w:r>
              <w:rPr>
                <w:rFonts w:ascii="Arial" w:cs="Arial" w:eastAsia="Arial" w:hAnsi="Arial"/>
                <w:sz w:val="18"/>
                <w:szCs w:val="18"/>
                <w:color w:val="auto"/>
              </w:rPr>
              <w:t>Accumulated deficit</w:t>
            </w:r>
          </w:p>
        </w:tc>
        <w:tc>
          <w:tcPr>
            <w:tcW w:w="80" w:type="dxa"/>
            <w:vAlign w:val="bottom"/>
            <w:shd w:val="clear" w:color="auto" w:fill="CCEEFF"/>
          </w:tcPr>
          <w:p>
            <w:pPr>
              <w:spacing w:after="0"/>
              <w:rPr>
                <w:sz w:val="18"/>
                <w:szCs w:val="18"/>
                <w:color w:val="auto"/>
              </w:rPr>
            </w:pPr>
          </w:p>
        </w:tc>
        <w:tc>
          <w:tcPr>
            <w:tcW w:w="1040" w:type="dxa"/>
            <w:vAlign w:val="bottom"/>
            <w:gridSpan w:val="2"/>
            <w:shd w:val="clear" w:color="auto" w:fill="CCEEFF"/>
          </w:tcPr>
          <w:p>
            <w:pPr>
              <w:jc w:val="right"/>
              <w:ind w:right="280"/>
              <w:spacing w:after="0"/>
              <w:rPr>
                <w:sz w:val="20"/>
                <w:szCs w:val="20"/>
                <w:color w:val="auto"/>
              </w:rPr>
            </w:pPr>
            <w:r>
              <w:rPr>
                <w:rFonts w:ascii="Arial" w:cs="Arial" w:eastAsia="Arial" w:hAnsi="Arial"/>
                <w:sz w:val="18"/>
                <w:szCs w:val="18"/>
                <w:color w:val="auto"/>
                <w:w w:val="95"/>
              </w:rPr>
              <w:t>(395,078)</w:t>
            </w:r>
          </w:p>
        </w:tc>
        <w:tc>
          <w:tcPr>
            <w:tcW w:w="80" w:type="dxa"/>
            <w:vAlign w:val="bottom"/>
            <w:shd w:val="clear" w:color="auto" w:fill="CCEEFF"/>
          </w:tcPr>
          <w:p>
            <w:pPr>
              <w:spacing w:after="0"/>
              <w:rPr>
                <w:sz w:val="18"/>
                <w:szCs w:val="18"/>
                <w:color w:val="auto"/>
              </w:rPr>
            </w:pPr>
          </w:p>
        </w:tc>
        <w:tc>
          <w:tcPr>
            <w:tcW w:w="82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w w:val="98"/>
              </w:rPr>
              <w:t>(543,713)</w:t>
            </w:r>
          </w:p>
        </w:tc>
      </w:tr>
      <w:tr>
        <w:trPr>
          <w:trHeight w:val="230"/>
        </w:trPr>
        <w:tc>
          <w:tcPr>
            <w:tcW w:w="780" w:type="dxa"/>
            <w:vAlign w:val="bottom"/>
          </w:tcPr>
          <w:p>
            <w:pPr>
              <w:spacing w:after="0"/>
              <w:rPr>
                <w:sz w:val="20"/>
                <w:szCs w:val="20"/>
                <w:color w:val="auto"/>
              </w:rPr>
            </w:pPr>
          </w:p>
        </w:tc>
        <w:tc>
          <w:tcPr>
            <w:tcW w:w="8620" w:type="dxa"/>
            <w:vAlign w:val="bottom"/>
          </w:tcPr>
          <w:p>
            <w:pPr>
              <w:ind w:left="100"/>
              <w:spacing w:after="0"/>
              <w:rPr>
                <w:sz w:val="20"/>
                <w:szCs w:val="20"/>
                <w:color w:val="auto"/>
              </w:rPr>
            </w:pPr>
            <w:r>
              <w:rPr>
                <w:rFonts w:ascii="Arial" w:cs="Arial" w:eastAsia="Arial" w:hAnsi="Arial"/>
                <w:sz w:val="18"/>
                <w:szCs w:val="18"/>
                <w:color w:val="auto"/>
              </w:rPr>
              <w:t>Total shareholders’ equity</w:t>
            </w:r>
          </w:p>
        </w:tc>
        <w:tc>
          <w:tcPr>
            <w:tcW w:w="80" w:type="dxa"/>
            <w:vAlign w:val="bottom"/>
            <w:tcBorders>
              <w:top w:val="single" w:sz="8" w:color="auto"/>
              <w:bottom w:val="single" w:sz="8" w:color="auto"/>
            </w:tcBorders>
          </w:tcPr>
          <w:p>
            <w:pPr>
              <w:spacing w:after="0"/>
              <w:rPr>
                <w:sz w:val="20"/>
                <w:szCs w:val="20"/>
                <w:color w:val="auto"/>
              </w:rPr>
            </w:pPr>
          </w:p>
        </w:tc>
        <w:tc>
          <w:tcPr>
            <w:tcW w:w="72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w w:val="87"/>
              </w:rPr>
              <w:t>4,106,300</w:t>
            </w:r>
          </w:p>
        </w:tc>
        <w:tc>
          <w:tcPr>
            <w:tcW w:w="320" w:type="dxa"/>
            <w:vAlign w:val="bottom"/>
          </w:tcPr>
          <w:p>
            <w:pPr>
              <w:spacing w:after="0"/>
              <w:rPr>
                <w:sz w:val="20"/>
                <w:szCs w:val="20"/>
                <w:color w:val="auto"/>
              </w:rPr>
            </w:pPr>
          </w:p>
        </w:tc>
        <w:tc>
          <w:tcPr>
            <w:tcW w:w="80" w:type="dxa"/>
            <w:vAlign w:val="bottom"/>
            <w:tcBorders>
              <w:top w:val="single" w:sz="8" w:color="auto"/>
              <w:bottom w:val="single" w:sz="8" w:color="auto"/>
            </w:tcBorders>
          </w:tcPr>
          <w:p>
            <w:pPr>
              <w:spacing w:after="0"/>
              <w:rPr>
                <w:sz w:val="20"/>
                <w:szCs w:val="20"/>
                <w:color w:val="auto"/>
              </w:rPr>
            </w:pPr>
          </w:p>
        </w:tc>
        <w:tc>
          <w:tcPr>
            <w:tcW w:w="72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w w:val="87"/>
              </w:rPr>
              <w:t>3,829,067</w:t>
            </w:r>
          </w:p>
        </w:tc>
        <w:tc>
          <w:tcPr>
            <w:tcW w:w="100" w:type="dxa"/>
            <w:vAlign w:val="bottom"/>
          </w:tcPr>
          <w:p>
            <w:pPr>
              <w:spacing w:after="0"/>
              <w:rPr>
                <w:sz w:val="20"/>
                <w:szCs w:val="20"/>
                <w:color w:val="auto"/>
              </w:rPr>
            </w:pPr>
          </w:p>
        </w:tc>
      </w:tr>
      <w:tr>
        <w:trPr>
          <w:trHeight w:val="216"/>
        </w:trPr>
        <w:tc>
          <w:tcPr>
            <w:tcW w:w="780" w:type="dxa"/>
            <w:vAlign w:val="bottom"/>
            <w:shd w:val="clear" w:color="auto" w:fill="CCEEFF"/>
          </w:tcPr>
          <w:p>
            <w:pPr>
              <w:spacing w:after="0"/>
              <w:rPr>
                <w:sz w:val="18"/>
                <w:szCs w:val="18"/>
                <w:color w:val="auto"/>
              </w:rPr>
            </w:pPr>
          </w:p>
        </w:tc>
        <w:tc>
          <w:tcPr>
            <w:tcW w:w="8620" w:type="dxa"/>
            <w:vAlign w:val="bottom"/>
            <w:shd w:val="clear" w:color="auto" w:fill="CCEEFF"/>
          </w:tcPr>
          <w:p>
            <w:pPr>
              <w:ind w:left="100"/>
              <w:spacing w:after="0"/>
              <w:rPr>
                <w:sz w:val="20"/>
                <w:szCs w:val="20"/>
                <w:color w:val="auto"/>
              </w:rPr>
            </w:pPr>
            <w:r>
              <w:rPr>
                <w:rFonts w:ascii="Arial" w:cs="Arial" w:eastAsia="Arial" w:hAnsi="Arial"/>
                <w:sz w:val="18"/>
                <w:szCs w:val="18"/>
                <w:color w:val="auto"/>
              </w:rPr>
              <w:t>Total liabilities and shareholders’ equity</w:t>
            </w:r>
          </w:p>
        </w:tc>
        <w:tc>
          <w:tcPr>
            <w:tcW w:w="80" w:type="dxa"/>
            <w:vAlign w:val="bottom"/>
            <w:shd w:val="clear" w:color="auto" w:fill="CCEEFF"/>
          </w:tcPr>
          <w:p>
            <w:pPr>
              <w:jc w:val="right"/>
              <w:spacing w:after="0"/>
              <w:rPr>
                <w:sz w:val="20"/>
                <w:szCs w:val="20"/>
                <w:color w:val="auto"/>
              </w:rPr>
            </w:pPr>
            <w:r>
              <w:rPr>
                <w:rFonts w:ascii="Arial" w:cs="Arial" w:eastAsia="Arial" w:hAnsi="Arial"/>
                <w:sz w:val="15"/>
                <w:szCs w:val="15"/>
                <w:u w:val="single" w:color="auto"/>
                <w:color w:val="auto"/>
                <w:w w:val="71"/>
              </w:rPr>
              <w:t>$</w:t>
            </w:r>
          </w:p>
        </w:tc>
        <w:tc>
          <w:tcPr>
            <w:tcW w:w="1040" w:type="dxa"/>
            <w:vAlign w:val="bottom"/>
            <w:gridSpan w:val="2"/>
            <w:shd w:val="clear" w:color="auto" w:fill="CCEEFF"/>
          </w:tcPr>
          <w:p>
            <w:pPr>
              <w:jc w:val="right"/>
              <w:ind w:right="320"/>
              <w:spacing w:after="0"/>
              <w:rPr>
                <w:sz w:val="20"/>
                <w:szCs w:val="20"/>
                <w:color w:val="auto"/>
              </w:rPr>
            </w:pPr>
            <w:r>
              <w:rPr>
                <w:rFonts w:ascii="Arial" w:cs="Arial" w:eastAsia="Arial" w:hAnsi="Arial"/>
                <w:sz w:val="18"/>
                <w:szCs w:val="18"/>
                <w:color w:val="auto"/>
                <w:w w:val="87"/>
              </w:rPr>
              <w:t>4,887,720</w:t>
            </w:r>
          </w:p>
        </w:tc>
        <w:tc>
          <w:tcPr>
            <w:tcW w:w="80" w:type="dxa"/>
            <w:vAlign w:val="bottom"/>
            <w:shd w:val="clear" w:color="auto" w:fill="CCEEFF"/>
          </w:tcPr>
          <w:p>
            <w:pPr>
              <w:jc w:val="right"/>
              <w:spacing w:after="0"/>
              <w:rPr>
                <w:sz w:val="20"/>
                <w:szCs w:val="20"/>
                <w:color w:val="auto"/>
              </w:rPr>
            </w:pPr>
            <w:r>
              <w:rPr>
                <w:rFonts w:ascii="Arial" w:cs="Arial" w:eastAsia="Arial" w:hAnsi="Arial"/>
                <w:sz w:val="15"/>
                <w:szCs w:val="15"/>
                <w:u w:val="single" w:color="auto"/>
                <w:color w:val="auto"/>
                <w:w w:val="71"/>
              </w:rPr>
              <w:t>$</w:t>
            </w:r>
          </w:p>
        </w:tc>
        <w:tc>
          <w:tcPr>
            <w:tcW w:w="82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w w:val="87"/>
              </w:rPr>
              <w:t>4,414,200</w:t>
            </w:r>
          </w:p>
        </w:tc>
      </w:tr>
      <w:tr>
        <w:trPr>
          <w:trHeight w:val="20"/>
        </w:trPr>
        <w:tc>
          <w:tcPr>
            <w:tcW w:w="780" w:type="dxa"/>
            <w:vAlign w:val="bottom"/>
          </w:tcPr>
          <w:p>
            <w:pPr>
              <w:spacing w:after="0" w:line="20" w:lineRule="exact"/>
              <w:rPr>
                <w:sz w:val="1"/>
                <w:szCs w:val="1"/>
                <w:color w:val="auto"/>
              </w:rPr>
            </w:pPr>
          </w:p>
        </w:tc>
        <w:tc>
          <w:tcPr>
            <w:tcW w:w="862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720" w:type="dxa"/>
            <w:vAlign w:val="bottom"/>
            <w:tcBorders>
              <w:top w:val="single" w:sz="8" w:color="auto"/>
              <w:bottom w:val="single" w:sz="8" w:color="auto"/>
            </w:tcBorders>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72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r>
    </w:tbl>
    <w:p>
      <w:pPr>
        <w:spacing w:after="0" w:line="161"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See accompanying notes to unaudited condensed consolidated financial statements.</w:t>
      </w:r>
    </w:p>
    <w:p>
      <w:pPr>
        <w:spacing w:after="0" w:line="164"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3</w:t>
      </w:r>
    </w:p>
    <w:p>
      <w:pPr>
        <w:sectPr>
          <w:pgSz w:w="11900" w:h="16838" w:orient="portrait"/>
          <w:cols w:equalWidth="0" w:num="1">
            <w:col w:w="11420"/>
          </w:cols>
          <w:pgMar w:left="240" w:top="459" w:right="239" w:bottom="1440" w:gutter="0" w:footer="0" w:header="0"/>
        </w:sectPr>
      </w:pPr>
    </w:p>
    <w:bookmarkStart w:id="3" w:name="page4"/>
    <w:bookmarkEnd w:id="3"/>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8">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left="4060"/>
        <w:spacing w:after="0"/>
        <w:rPr>
          <w:sz w:val="20"/>
          <w:szCs w:val="20"/>
          <w:color w:val="auto"/>
        </w:rPr>
      </w:pPr>
      <w:r>
        <w:rPr>
          <w:rFonts w:ascii="Arial" w:cs="Arial" w:eastAsia="Arial" w:hAnsi="Arial"/>
          <w:sz w:val="18"/>
          <w:szCs w:val="18"/>
          <w:b w:val="1"/>
          <w:bCs w:val="1"/>
          <w:color w:val="auto"/>
        </w:rPr>
        <w:t>MARVELL TECHNOLOGY GROUP LTD.</w:t>
      </w:r>
    </w:p>
    <w:p>
      <w:pPr>
        <w:spacing w:after="0" w:line="90" w:lineRule="exact"/>
        <w:rPr>
          <w:sz w:val="20"/>
          <w:szCs w:val="20"/>
          <w:color w:val="auto"/>
        </w:rPr>
      </w:pPr>
    </w:p>
    <w:p>
      <w:pPr>
        <w:ind w:left="2540"/>
        <w:spacing w:after="0"/>
        <w:rPr>
          <w:sz w:val="20"/>
          <w:szCs w:val="20"/>
          <w:color w:val="auto"/>
        </w:rPr>
      </w:pPr>
      <w:r>
        <w:rPr>
          <w:rFonts w:ascii="Arial" w:cs="Arial" w:eastAsia="Arial" w:hAnsi="Arial"/>
          <w:sz w:val="18"/>
          <w:szCs w:val="18"/>
          <w:b w:val="1"/>
          <w:bCs w:val="1"/>
          <w:color w:val="auto"/>
        </w:rPr>
        <w:t>UNAUDITED CONDENSED CONSOLIDATED STATEMENTS OF OPERATIONS</w:t>
      </w:r>
    </w:p>
    <w:p>
      <w:pPr>
        <w:spacing w:after="0" w:line="21"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(In thousands, except per share amounts)</w:t>
      </w:r>
    </w:p>
    <w:p>
      <w:pPr>
        <w:spacing w:after="0" w:line="201"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20" w:type="dxa"/>
            <w:vAlign w:val="bottom"/>
          </w:tcPr>
          <w:p>
            <w:pPr>
              <w:spacing w:after="0"/>
              <w:rPr>
                <w:sz w:val="14"/>
                <w:szCs w:val="14"/>
                <w:color w:val="auto"/>
              </w:rPr>
            </w:pPr>
          </w:p>
        </w:tc>
        <w:tc>
          <w:tcPr>
            <w:tcW w:w="5360" w:type="dxa"/>
            <w:vAlign w:val="bottom"/>
          </w:tcPr>
          <w:p>
            <w:pPr>
              <w:spacing w:after="0"/>
              <w:rPr>
                <w:sz w:val="14"/>
                <w:szCs w:val="14"/>
                <w:color w:val="auto"/>
              </w:rPr>
            </w:pPr>
          </w:p>
        </w:tc>
        <w:tc>
          <w:tcPr>
            <w:tcW w:w="194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1980" w:type="dxa"/>
            <w:vAlign w:val="bottom"/>
            <w:gridSpan w:val="6"/>
          </w:tcPr>
          <w:p>
            <w:pPr>
              <w:jc w:val="right"/>
              <w:ind w:right="580"/>
              <w:spacing w:after="0"/>
              <w:rPr>
                <w:sz w:val="20"/>
                <w:szCs w:val="20"/>
                <w:color w:val="auto"/>
              </w:rPr>
            </w:pPr>
            <w:r>
              <w:rPr>
                <w:rFonts w:ascii="Arial" w:cs="Arial" w:eastAsia="Arial" w:hAnsi="Arial"/>
                <w:sz w:val="14"/>
                <w:szCs w:val="14"/>
                <w:b w:val="1"/>
                <w:bCs w:val="1"/>
                <w:color w:val="auto"/>
                <w:w w:val="99"/>
              </w:rPr>
              <w:t>Three Months Ended</w:t>
            </w:r>
          </w:p>
        </w:tc>
        <w:tc>
          <w:tcPr>
            <w:tcW w:w="80" w:type="dxa"/>
            <w:vAlign w:val="bottom"/>
          </w:tcPr>
          <w:p>
            <w:pPr>
              <w:spacing w:after="0"/>
              <w:rPr>
                <w:sz w:val="14"/>
                <w:szCs w:val="14"/>
                <w:color w:val="auto"/>
              </w:rPr>
            </w:pPr>
          </w:p>
        </w:tc>
        <w:tc>
          <w:tcPr>
            <w:tcW w:w="1940" w:type="dxa"/>
            <w:vAlign w:val="bottom"/>
            <w:gridSpan w:val="5"/>
          </w:tcPr>
          <w:p>
            <w:pPr>
              <w:jc w:val="right"/>
              <w:ind w:right="480"/>
              <w:spacing w:after="0"/>
              <w:rPr>
                <w:sz w:val="20"/>
                <w:szCs w:val="20"/>
                <w:color w:val="auto"/>
              </w:rPr>
            </w:pPr>
            <w:r>
              <w:rPr>
                <w:rFonts w:ascii="Arial" w:cs="Arial" w:eastAsia="Arial" w:hAnsi="Arial"/>
                <w:sz w:val="14"/>
                <w:szCs w:val="14"/>
                <w:b w:val="1"/>
                <w:bCs w:val="1"/>
                <w:color w:val="auto"/>
              </w:rPr>
              <w:t>Nine Months Ended</w:t>
            </w:r>
          </w:p>
        </w:tc>
        <w:tc>
          <w:tcPr>
            <w:tcW w:w="0" w:type="dxa"/>
            <w:vAlign w:val="bottom"/>
          </w:tcPr>
          <w:p>
            <w:pPr>
              <w:spacing w:after="0"/>
              <w:rPr>
                <w:sz w:val="1"/>
                <w:szCs w:val="1"/>
                <w:color w:val="auto"/>
              </w:rPr>
            </w:pPr>
          </w:p>
        </w:tc>
      </w:tr>
      <w:tr>
        <w:trPr>
          <w:trHeight w:val="129"/>
        </w:trPr>
        <w:tc>
          <w:tcPr>
            <w:tcW w:w="20" w:type="dxa"/>
            <w:vAlign w:val="bottom"/>
          </w:tcPr>
          <w:p>
            <w:pPr>
              <w:spacing w:after="0"/>
              <w:rPr>
                <w:sz w:val="11"/>
                <w:szCs w:val="11"/>
                <w:color w:val="auto"/>
              </w:rPr>
            </w:pPr>
          </w:p>
        </w:tc>
        <w:tc>
          <w:tcPr>
            <w:tcW w:w="5360" w:type="dxa"/>
            <w:vAlign w:val="bottom"/>
          </w:tcPr>
          <w:p>
            <w:pPr>
              <w:spacing w:after="0"/>
              <w:rPr>
                <w:sz w:val="11"/>
                <w:szCs w:val="11"/>
                <w:color w:val="auto"/>
              </w:rPr>
            </w:pPr>
          </w:p>
        </w:tc>
        <w:tc>
          <w:tcPr>
            <w:tcW w:w="1940" w:type="dxa"/>
            <w:vAlign w:val="bottom"/>
          </w:tcPr>
          <w:p>
            <w:pPr>
              <w:spacing w:after="0"/>
              <w:rPr>
                <w:sz w:val="11"/>
                <w:szCs w:val="11"/>
                <w:color w:val="auto"/>
              </w:rPr>
            </w:pPr>
          </w:p>
        </w:tc>
        <w:tc>
          <w:tcPr>
            <w:tcW w:w="880" w:type="dxa"/>
            <w:vAlign w:val="bottom"/>
            <w:tcBorders>
              <w:top w:val="single" w:sz="8" w:color="auto"/>
            </w:tcBorders>
            <w:gridSpan w:val="3"/>
          </w:tcPr>
          <w:p>
            <w:pPr>
              <w:spacing w:after="0" w:line="129" w:lineRule="exact"/>
              <w:rPr>
                <w:sz w:val="20"/>
                <w:szCs w:val="20"/>
                <w:color w:val="auto"/>
              </w:rPr>
            </w:pPr>
            <w:r>
              <w:rPr>
                <w:rFonts w:ascii="Arial" w:cs="Arial" w:eastAsia="Arial" w:hAnsi="Arial"/>
                <w:sz w:val="14"/>
                <w:szCs w:val="14"/>
                <w:b w:val="1"/>
                <w:bCs w:val="1"/>
                <w:color w:val="auto"/>
              </w:rPr>
              <w:t>October 31,</w:t>
            </w:r>
          </w:p>
        </w:tc>
        <w:tc>
          <w:tcPr>
            <w:tcW w:w="120" w:type="dxa"/>
            <w:vAlign w:val="bottom"/>
            <w:tcBorders>
              <w:top w:val="single" w:sz="8" w:color="auto"/>
            </w:tcBorders>
          </w:tcPr>
          <w:p>
            <w:pPr>
              <w:spacing w:after="0"/>
              <w:rPr>
                <w:sz w:val="11"/>
                <w:szCs w:val="11"/>
                <w:color w:val="auto"/>
              </w:rPr>
            </w:pPr>
          </w:p>
        </w:tc>
        <w:tc>
          <w:tcPr>
            <w:tcW w:w="760" w:type="dxa"/>
            <w:vAlign w:val="bottom"/>
            <w:tcBorders>
              <w:top w:val="single" w:sz="8" w:color="auto"/>
            </w:tcBorders>
            <w:gridSpan w:val="2"/>
          </w:tcPr>
          <w:p>
            <w:pPr>
              <w:ind w:left="20"/>
              <w:spacing w:after="0" w:line="129" w:lineRule="exact"/>
              <w:rPr>
                <w:sz w:val="20"/>
                <w:szCs w:val="20"/>
                <w:color w:val="auto"/>
              </w:rPr>
            </w:pPr>
            <w:r>
              <w:rPr>
                <w:rFonts w:ascii="Arial" w:cs="Arial" w:eastAsia="Arial" w:hAnsi="Arial"/>
                <w:sz w:val="14"/>
                <w:szCs w:val="14"/>
                <w:b w:val="1"/>
                <w:bCs w:val="1"/>
                <w:color w:val="auto"/>
                <w:w w:val="85"/>
              </w:rPr>
              <w:t>November 1,</w:t>
            </w:r>
          </w:p>
        </w:tc>
        <w:tc>
          <w:tcPr>
            <w:tcW w:w="320" w:type="dxa"/>
            <w:vAlign w:val="bottom"/>
          </w:tcPr>
          <w:p>
            <w:pPr>
              <w:spacing w:after="0"/>
              <w:rPr>
                <w:sz w:val="11"/>
                <w:szCs w:val="11"/>
                <w:color w:val="auto"/>
              </w:rPr>
            </w:pPr>
          </w:p>
        </w:tc>
        <w:tc>
          <w:tcPr>
            <w:tcW w:w="1120" w:type="dxa"/>
            <w:vAlign w:val="bottom"/>
            <w:tcBorders>
              <w:top w:val="single" w:sz="8" w:color="auto"/>
            </w:tcBorders>
            <w:gridSpan w:val="3"/>
          </w:tcPr>
          <w:p>
            <w:pPr>
              <w:jc w:val="right"/>
              <w:ind w:right="400"/>
              <w:spacing w:after="0" w:line="129" w:lineRule="exact"/>
              <w:rPr>
                <w:sz w:val="20"/>
                <w:szCs w:val="20"/>
                <w:color w:val="auto"/>
              </w:rPr>
            </w:pPr>
            <w:r>
              <w:rPr>
                <w:rFonts w:ascii="Arial" w:cs="Arial" w:eastAsia="Arial" w:hAnsi="Arial"/>
                <w:sz w:val="14"/>
                <w:szCs w:val="14"/>
                <w:b w:val="1"/>
                <w:bCs w:val="1"/>
                <w:color w:val="auto"/>
                <w:w w:val="90"/>
              </w:rPr>
              <w:t>October 31,</w:t>
            </w:r>
          </w:p>
        </w:tc>
        <w:tc>
          <w:tcPr>
            <w:tcW w:w="800" w:type="dxa"/>
            <w:vAlign w:val="bottom"/>
            <w:tcBorders>
              <w:top w:val="single" w:sz="8" w:color="auto"/>
            </w:tcBorders>
            <w:gridSpan w:val="2"/>
          </w:tcPr>
          <w:p>
            <w:pPr>
              <w:jc w:val="right"/>
              <w:spacing w:after="0" w:line="129" w:lineRule="exact"/>
              <w:rPr>
                <w:sz w:val="20"/>
                <w:szCs w:val="20"/>
                <w:color w:val="auto"/>
              </w:rPr>
            </w:pPr>
            <w:r>
              <w:rPr>
                <w:rFonts w:ascii="Arial" w:cs="Arial" w:eastAsia="Arial" w:hAnsi="Arial"/>
                <w:sz w:val="14"/>
                <w:szCs w:val="14"/>
                <w:b w:val="1"/>
                <w:bCs w:val="1"/>
                <w:color w:val="auto"/>
                <w:w w:val="88"/>
              </w:rPr>
              <w:t>November 1,</w:t>
            </w: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1"/>
        </w:trPr>
        <w:tc>
          <w:tcPr>
            <w:tcW w:w="20" w:type="dxa"/>
            <w:vAlign w:val="bottom"/>
          </w:tcPr>
          <w:p>
            <w:pPr>
              <w:spacing w:after="0"/>
              <w:rPr>
                <w:sz w:val="14"/>
                <w:szCs w:val="14"/>
                <w:color w:val="auto"/>
              </w:rPr>
            </w:pPr>
          </w:p>
        </w:tc>
        <w:tc>
          <w:tcPr>
            <w:tcW w:w="5360" w:type="dxa"/>
            <w:vAlign w:val="bottom"/>
          </w:tcPr>
          <w:p>
            <w:pPr>
              <w:spacing w:after="0"/>
              <w:rPr>
                <w:sz w:val="14"/>
                <w:szCs w:val="14"/>
                <w:color w:val="auto"/>
              </w:rPr>
            </w:pPr>
          </w:p>
        </w:tc>
        <w:tc>
          <w:tcPr>
            <w:tcW w:w="1940" w:type="dxa"/>
            <w:vAlign w:val="bottom"/>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580" w:type="dxa"/>
            <w:vAlign w:val="bottom"/>
            <w:tcBorders>
              <w:bottom w:val="single" w:sz="8" w:color="auto"/>
            </w:tcBorders>
          </w:tcPr>
          <w:p>
            <w:pPr>
              <w:jc w:val="right"/>
              <w:ind w:right="114"/>
              <w:spacing w:after="0"/>
              <w:rPr>
                <w:sz w:val="20"/>
                <w:szCs w:val="20"/>
                <w:color w:val="auto"/>
              </w:rPr>
            </w:pPr>
            <w:r>
              <w:rPr>
                <w:rFonts w:ascii="Arial" w:cs="Arial" w:eastAsia="Arial" w:hAnsi="Arial"/>
                <w:sz w:val="14"/>
                <w:szCs w:val="14"/>
                <w:b w:val="1"/>
                <w:bCs w:val="1"/>
                <w:color w:val="auto"/>
              </w:rPr>
              <w:t>2009</w:t>
            </w:r>
          </w:p>
        </w:tc>
        <w:tc>
          <w:tcPr>
            <w:tcW w:w="20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140" w:type="dxa"/>
            <w:vAlign w:val="bottom"/>
            <w:tcBorders>
              <w:bottom w:val="single" w:sz="8" w:color="auto"/>
            </w:tcBorders>
          </w:tcPr>
          <w:p>
            <w:pPr>
              <w:spacing w:after="0"/>
              <w:rPr>
                <w:sz w:val="14"/>
                <w:szCs w:val="14"/>
                <w:color w:val="auto"/>
              </w:rPr>
            </w:pPr>
          </w:p>
        </w:tc>
        <w:tc>
          <w:tcPr>
            <w:tcW w:w="620" w:type="dxa"/>
            <w:vAlign w:val="bottom"/>
            <w:tcBorders>
              <w:bottom w:val="single" w:sz="8" w:color="auto"/>
            </w:tcBorders>
          </w:tcPr>
          <w:p>
            <w:pPr>
              <w:jc w:val="right"/>
              <w:ind w:right="153"/>
              <w:spacing w:after="0"/>
              <w:rPr>
                <w:sz w:val="20"/>
                <w:szCs w:val="20"/>
                <w:color w:val="auto"/>
              </w:rPr>
            </w:pPr>
            <w:r>
              <w:rPr>
                <w:rFonts w:ascii="Arial" w:cs="Arial" w:eastAsia="Arial" w:hAnsi="Arial"/>
                <w:sz w:val="14"/>
                <w:szCs w:val="14"/>
                <w:b w:val="1"/>
                <w:bCs w:val="1"/>
                <w:color w:val="auto"/>
              </w:rPr>
              <w:t>2008</w:t>
            </w:r>
          </w:p>
        </w:tc>
        <w:tc>
          <w:tcPr>
            <w:tcW w:w="320" w:type="dxa"/>
            <w:vAlign w:val="bottom"/>
          </w:tcPr>
          <w:p>
            <w:pPr>
              <w:spacing w:after="0"/>
              <w:rPr>
                <w:sz w:val="14"/>
                <w:szCs w:val="14"/>
                <w:color w:val="auto"/>
              </w:rPr>
            </w:pPr>
          </w:p>
        </w:tc>
        <w:tc>
          <w:tcPr>
            <w:tcW w:w="80" w:type="dxa"/>
            <w:vAlign w:val="bottom"/>
            <w:tcBorders>
              <w:bottom w:val="single" w:sz="8" w:color="auto"/>
            </w:tcBorders>
          </w:tcPr>
          <w:p>
            <w:pPr>
              <w:spacing w:after="0"/>
              <w:rPr>
                <w:sz w:val="14"/>
                <w:szCs w:val="14"/>
                <w:color w:val="auto"/>
              </w:rPr>
            </w:pPr>
          </w:p>
        </w:tc>
        <w:tc>
          <w:tcPr>
            <w:tcW w:w="720" w:type="dxa"/>
            <w:vAlign w:val="bottom"/>
            <w:tcBorders>
              <w:bottom w:val="single" w:sz="8" w:color="auto"/>
            </w:tcBorders>
          </w:tcPr>
          <w:p>
            <w:pPr>
              <w:jc w:val="right"/>
              <w:ind w:right="194"/>
              <w:spacing w:after="0"/>
              <w:rPr>
                <w:sz w:val="20"/>
                <w:szCs w:val="20"/>
                <w:color w:val="auto"/>
              </w:rPr>
            </w:pPr>
            <w:r>
              <w:rPr>
                <w:rFonts w:ascii="Arial" w:cs="Arial" w:eastAsia="Arial" w:hAnsi="Arial"/>
                <w:sz w:val="14"/>
                <w:szCs w:val="14"/>
                <w:b w:val="1"/>
                <w:bCs w:val="1"/>
                <w:color w:val="auto"/>
              </w:rPr>
              <w:t>2009</w:t>
            </w:r>
          </w:p>
        </w:tc>
        <w:tc>
          <w:tcPr>
            <w:tcW w:w="320" w:type="dxa"/>
            <w:vAlign w:val="bottom"/>
          </w:tcPr>
          <w:p>
            <w:pPr>
              <w:spacing w:after="0"/>
              <w:rPr>
                <w:sz w:val="14"/>
                <w:szCs w:val="14"/>
                <w:color w:val="auto"/>
              </w:rPr>
            </w:pPr>
          </w:p>
        </w:tc>
        <w:tc>
          <w:tcPr>
            <w:tcW w:w="80" w:type="dxa"/>
            <w:vAlign w:val="bottom"/>
            <w:tcBorders>
              <w:bottom w:val="single" w:sz="8" w:color="auto"/>
            </w:tcBorders>
          </w:tcPr>
          <w:p>
            <w:pPr>
              <w:spacing w:after="0"/>
              <w:rPr>
                <w:sz w:val="14"/>
                <w:szCs w:val="14"/>
                <w:color w:val="auto"/>
              </w:rPr>
            </w:pPr>
          </w:p>
        </w:tc>
        <w:tc>
          <w:tcPr>
            <w:tcW w:w="720" w:type="dxa"/>
            <w:vAlign w:val="bottom"/>
            <w:tcBorders>
              <w:bottom w:val="single" w:sz="8" w:color="auto"/>
            </w:tcBorders>
          </w:tcPr>
          <w:p>
            <w:pPr>
              <w:jc w:val="right"/>
              <w:ind w:right="193"/>
              <w:spacing w:after="0"/>
              <w:rPr>
                <w:sz w:val="20"/>
                <w:szCs w:val="20"/>
                <w:color w:val="auto"/>
              </w:rPr>
            </w:pPr>
            <w:r>
              <w:rPr>
                <w:rFonts w:ascii="Arial" w:cs="Arial" w:eastAsia="Arial" w:hAnsi="Arial"/>
                <w:sz w:val="14"/>
                <w:szCs w:val="14"/>
                <w:b w:val="1"/>
                <w:bCs w:val="1"/>
                <w:color w:val="auto"/>
              </w:rPr>
              <w:t>2008</w:t>
            </w:r>
          </w:p>
        </w:tc>
        <w:tc>
          <w:tcPr>
            <w:tcW w:w="1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210"/>
        </w:trPr>
        <w:tc>
          <w:tcPr>
            <w:tcW w:w="20" w:type="dxa"/>
            <w:vAlign w:val="bottom"/>
          </w:tcPr>
          <w:p>
            <w:pPr>
              <w:spacing w:after="0"/>
              <w:rPr>
                <w:sz w:val="18"/>
                <w:szCs w:val="18"/>
                <w:color w:val="auto"/>
              </w:rPr>
            </w:pPr>
          </w:p>
        </w:tc>
        <w:tc>
          <w:tcPr>
            <w:tcW w:w="5360" w:type="dxa"/>
            <w:vAlign w:val="bottom"/>
            <w:shd w:val="clear" w:color="auto" w:fill="CCEEFF"/>
          </w:tcPr>
          <w:p>
            <w:pPr>
              <w:spacing w:after="0"/>
              <w:rPr>
                <w:sz w:val="20"/>
                <w:szCs w:val="20"/>
                <w:color w:val="auto"/>
              </w:rPr>
            </w:pPr>
            <w:r>
              <w:rPr>
                <w:rFonts w:ascii="Arial" w:cs="Arial" w:eastAsia="Arial" w:hAnsi="Arial"/>
                <w:sz w:val="18"/>
                <w:szCs w:val="18"/>
                <w:color w:val="auto"/>
              </w:rPr>
              <w:t>Net revenue</w:t>
            </w:r>
          </w:p>
        </w:tc>
        <w:tc>
          <w:tcPr>
            <w:tcW w:w="2040" w:type="dxa"/>
            <w:vAlign w:val="bottom"/>
            <w:gridSpan w:val="2"/>
            <w:shd w:val="clear" w:color="auto" w:fill="CCEEFF"/>
          </w:tcPr>
          <w:p>
            <w:pPr>
              <w:ind w:left="1940"/>
              <w:spacing w:after="0"/>
              <w:rPr>
                <w:sz w:val="20"/>
                <w:szCs w:val="20"/>
                <w:color w:val="auto"/>
              </w:rPr>
            </w:pPr>
            <w:r>
              <w:rPr>
                <w:rFonts w:ascii="Arial" w:cs="Arial" w:eastAsia="Arial" w:hAnsi="Arial"/>
                <w:sz w:val="18"/>
                <w:szCs w:val="18"/>
                <w:color w:val="auto"/>
                <w:w w:val="79"/>
              </w:rPr>
              <w:t>$</w:t>
            </w: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6"/>
              </w:rPr>
              <w:t>803,098</w:t>
            </w:r>
          </w:p>
        </w:tc>
        <w:tc>
          <w:tcPr>
            <w:tcW w:w="200" w:type="dxa"/>
            <w:vAlign w:val="bottom"/>
            <w:shd w:val="clear" w:color="auto" w:fill="CCEEFF"/>
          </w:tcPr>
          <w:p>
            <w:pPr>
              <w:spacing w:after="0"/>
              <w:rPr>
                <w:sz w:val="18"/>
                <w:szCs w:val="18"/>
                <w:color w:val="auto"/>
              </w:rPr>
            </w:pPr>
          </w:p>
        </w:tc>
        <w:tc>
          <w:tcPr>
            <w:tcW w:w="260" w:type="dxa"/>
            <w:vAlign w:val="bottom"/>
            <w:gridSpan w:val="2"/>
            <w:shd w:val="clear" w:color="auto" w:fill="CCEEFF"/>
          </w:tcPr>
          <w:p>
            <w:pPr>
              <w:ind w:left="120"/>
              <w:spacing w:after="0"/>
              <w:rPr>
                <w:sz w:val="20"/>
                <w:szCs w:val="20"/>
                <w:color w:val="auto"/>
              </w:rPr>
            </w:pPr>
            <w:r>
              <w:rPr>
                <w:rFonts w:ascii="Arial" w:cs="Arial" w:eastAsia="Arial" w:hAnsi="Arial"/>
                <w:sz w:val="18"/>
                <w:szCs w:val="18"/>
                <w:color w:val="auto"/>
              </w:rPr>
              <w:t>$</w:t>
            </w:r>
          </w:p>
        </w:tc>
        <w:tc>
          <w:tcPr>
            <w:tcW w:w="620" w:type="dxa"/>
            <w:vAlign w:val="bottom"/>
            <w:shd w:val="clear" w:color="auto" w:fill="CCEEFF"/>
          </w:tcPr>
          <w:p>
            <w:pPr>
              <w:jc w:val="right"/>
              <w:spacing w:after="0"/>
              <w:rPr>
                <w:sz w:val="20"/>
                <w:szCs w:val="20"/>
                <w:color w:val="auto"/>
              </w:rPr>
            </w:pPr>
            <w:r>
              <w:rPr>
                <w:rFonts w:ascii="Arial" w:cs="Arial" w:eastAsia="Arial" w:hAnsi="Arial"/>
                <w:sz w:val="18"/>
                <w:szCs w:val="18"/>
                <w:color w:val="auto"/>
                <w:w w:val="92"/>
              </w:rPr>
              <w:t>791,046</w:t>
            </w:r>
          </w:p>
        </w:tc>
        <w:tc>
          <w:tcPr>
            <w:tcW w:w="320" w:type="dxa"/>
            <w:vAlign w:val="bottom"/>
            <w:shd w:val="clear" w:color="auto" w:fill="CCEEFF"/>
          </w:tcPr>
          <w:p>
            <w:pPr>
              <w:spacing w:after="0"/>
              <w:rPr>
                <w:sz w:val="18"/>
                <w:szCs w:val="18"/>
                <w:color w:val="auto"/>
              </w:rPr>
            </w:pPr>
          </w:p>
        </w:tc>
        <w:tc>
          <w:tcPr>
            <w:tcW w:w="80" w:type="dxa"/>
            <w:vAlign w:val="bottom"/>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1040" w:type="dxa"/>
            <w:vAlign w:val="bottom"/>
            <w:gridSpan w:val="2"/>
            <w:shd w:val="clear" w:color="auto" w:fill="CCEEFF"/>
          </w:tcPr>
          <w:p>
            <w:pPr>
              <w:jc w:val="right"/>
              <w:ind w:right="320"/>
              <w:spacing w:after="0"/>
              <w:rPr>
                <w:sz w:val="20"/>
                <w:szCs w:val="20"/>
                <w:color w:val="auto"/>
              </w:rPr>
            </w:pPr>
            <w:r>
              <w:rPr>
                <w:rFonts w:ascii="Arial" w:cs="Arial" w:eastAsia="Arial" w:hAnsi="Arial"/>
                <w:sz w:val="18"/>
                <w:szCs w:val="18"/>
                <w:color w:val="auto"/>
                <w:w w:val="87"/>
              </w:rPr>
              <w:t>1,965,152</w:t>
            </w:r>
          </w:p>
        </w:tc>
        <w:tc>
          <w:tcPr>
            <w:tcW w:w="80" w:type="dxa"/>
            <w:vAlign w:val="bottom"/>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82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w w:val="87"/>
              </w:rPr>
              <w:t>2,437,696</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360" w:type="dxa"/>
            <w:vAlign w:val="bottom"/>
          </w:tcPr>
          <w:p>
            <w:pPr>
              <w:spacing w:after="0"/>
              <w:rPr>
                <w:sz w:val="20"/>
                <w:szCs w:val="20"/>
                <w:color w:val="auto"/>
              </w:rPr>
            </w:pPr>
            <w:r>
              <w:rPr>
                <w:rFonts w:ascii="Arial" w:cs="Arial" w:eastAsia="Arial" w:hAnsi="Arial"/>
                <w:sz w:val="18"/>
                <w:szCs w:val="18"/>
                <w:color w:val="auto"/>
              </w:rPr>
              <w:t>Operating costs and expenses:</w:t>
            </w:r>
          </w:p>
        </w:tc>
        <w:tc>
          <w:tcPr>
            <w:tcW w:w="19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62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72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7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360" w:type="dxa"/>
            <w:vAlign w:val="bottom"/>
            <w:shd w:val="clear" w:color="auto" w:fill="CCEEFF"/>
          </w:tcPr>
          <w:p>
            <w:pPr>
              <w:ind w:left="420"/>
              <w:spacing w:after="0"/>
              <w:rPr>
                <w:sz w:val="20"/>
                <w:szCs w:val="20"/>
                <w:color w:val="auto"/>
              </w:rPr>
            </w:pPr>
            <w:r>
              <w:rPr>
                <w:rFonts w:ascii="Arial" w:cs="Arial" w:eastAsia="Arial" w:hAnsi="Arial"/>
                <w:sz w:val="18"/>
                <w:szCs w:val="18"/>
                <w:color w:val="auto"/>
              </w:rPr>
              <w:t>Cost of goods sold</w:t>
            </w:r>
          </w:p>
        </w:tc>
        <w:tc>
          <w:tcPr>
            <w:tcW w:w="19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6"/>
              </w:rPr>
              <w:t>341,617</w:t>
            </w:r>
          </w:p>
        </w:tc>
        <w:tc>
          <w:tcPr>
            <w:tcW w:w="20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620" w:type="dxa"/>
            <w:vAlign w:val="bottom"/>
            <w:shd w:val="clear" w:color="auto" w:fill="CCEEFF"/>
          </w:tcPr>
          <w:p>
            <w:pPr>
              <w:jc w:val="right"/>
              <w:spacing w:after="0"/>
              <w:rPr>
                <w:sz w:val="20"/>
                <w:szCs w:val="20"/>
                <w:color w:val="auto"/>
              </w:rPr>
            </w:pPr>
            <w:r>
              <w:rPr>
                <w:rFonts w:ascii="Arial" w:cs="Arial" w:eastAsia="Arial" w:hAnsi="Arial"/>
                <w:sz w:val="18"/>
                <w:szCs w:val="18"/>
                <w:color w:val="auto"/>
                <w:w w:val="92"/>
              </w:rPr>
              <w:t>379,137</w:t>
            </w:r>
          </w:p>
        </w:tc>
        <w:tc>
          <w:tcPr>
            <w:tcW w:w="3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1040" w:type="dxa"/>
            <w:vAlign w:val="bottom"/>
            <w:gridSpan w:val="2"/>
            <w:shd w:val="clear" w:color="auto" w:fill="CCEEFF"/>
          </w:tcPr>
          <w:p>
            <w:pPr>
              <w:jc w:val="right"/>
              <w:ind w:right="320"/>
              <w:spacing w:after="0"/>
              <w:rPr>
                <w:sz w:val="20"/>
                <w:szCs w:val="20"/>
                <w:color w:val="auto"/>
              </w:rPr>
            </w:pPr>
            <w:r>
              <w:rPr>
                <w:rFonts w:ascii="Arial" w:cs="Arial" w:eastAsia="Arial" w:hAnsi="Arial"/>
                <w:sz w:val="18"/>
                <w:szCs w:val="18"/>
                <w:color w:val="auto"/>
              </w:rPr>
              <w:t>887,306</w:t>
            </w:r>
          </w:p>
        </w:tc>
        <w:tc>
          <w:tcPr>
            <w:tcW w:w="80" w:type="dxa"/>
            <w:vAlign w:val="bottom"/>
            <w:shd w:val="clear" w:color="auto" w:fill="CCEEFF"/>
          </w:tcPr>
          <w:p>
            <w:pPr>
              <w:spacing w:after="0"/>
              <w:rPr>
                <w:sz w:val="18"/>
                <w:szCs w:val="18"/>
                <w:color w:val="auto"/>
              </w:rPr>
            </w:pPr>
          </w:p>
        </w:tc>
        <w:tc>
          <w:tcPr>
            <w:tcW w:w="82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w w:val="87"/>
              </w:rPr>
              <w:t>1,173,892</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360" w:type="dxa"/>
            <w:vAlign w:val="bottom"/>
          </w:tcPr>
          <w:p>
            <w:pPr>
              <w:ind w:left="420"/>
              <w:spacing w:after="0"/>
              <w:rPr>
                <w:sz w:val="20"/>
                <w:szCs w:val="20"/>
                <w:color w:val="auto"/>
              </w:rPr>
            </w:pPr>
            <w:r>
              <w:rPr>
                <w:rFonts w:ascii="Arial" w:cs="Arial" w:eastAsia="Arial" w:hAnsi="Arial"/>
                <w:sz w:val="18"/>
                <w:szCs w:val="18"/>
                <w:color w:val="auto"/>
              </w:rPr>
              <w:t>Research and development</w:t>
            </w:r>
          </w:p>
        </w:tc>
        <w:tc>
          <w:tcPr>
            <w:tcW w:w="19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w w:val="86"/>
              </w:rPr>
              <w:t>212,873</w:t>
            </w:r>
          </w:p>
        </w:tc>
        <w:tc>
          <w:tcPr>
            <w:tcW w:w="20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620" w:type="dxa"/>
            <w:vAlign w:val="bottom"/>
          </w:tcPr>
          <w:p>
            <w:pPr>
              <w:jc w:val="right"/>
              <w:spacing w:after="0"/>
              <w:rPr>
                <w:sz w:val="20"/>
                <w:szCs w:val="20"/>
                <w:color w:val="auto"/>
              </w:rPr>
            </w:pPr>
            <w:r>
              <w:rPr>
                <w:rFonts w:ascii="Arial" w:cs="Arial" w:eastAsia="Arial" w:hAnsi="Arial"/>
                <w:sz w:val="18"/>
                <w:szCs w:val="18"/>
                <w:color w:val="auto"/>
                <w:w w:val="92"/>
              </w:rPr>
              <w:t>234,222</w:t>
            </w:r>
          </w:p>
        </w:tc>
        <w:tc>
          <w:tcPr>
            <w:tcW w:w="3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1040" w:type="dxa"/>
            <w:vAlign w:val="bottom"/>
            <w:gridSpan w:val="2"/>
          </w:tcPr>
          <w:p>
            <w:pPr>
              <w:jc w:val="right"/>
              <w:ind w:right="320"/>
              <w:spacing w:after="0"/>
              <w:rPr>
                <w:sz w:val="20"/>
                <w:szCs w:val="20"/>
                <w:color w:val="auto"/>
              </w:rPr>
            </w:pPr>
            <w:r>
              <w:rPr>
                <w:rFonts w:ascii="Arial" w:cs="Arial" w:eastAsia="Arial" w:hAnsi="Arial"/>
                <w:sz w:val="18"/>
                <w:szCs w:val="18"/>
                <w:color w:val="auto"/>
              </w:rPr>
              <w:t>615,152</w:t>
            </w:r>
          </w:p>
        </w:tc>
        <w:tc>
          <w:tcPr>
            <w:tcW w:w="80" w:type="dxa"/>
            <w:vAlign w:val="bottom"/>
          </w:tcPr>
          <w:p>
            <w:pPr>
              <w:spacing w:after="0"/>
              <w:rPr>
                <w:sz w:val="18"/>
                <w:szCs w:val="18"/>
                <w:color w:val="auto"/>
              </w:rPr>
            </w:pPr>
          </w:p>
        </w:tc>
        <w:tc>
          <w:tcPr>
            <w:tcW w:w="820" w:type="dxa"/>
            <w:vAlign w:val="bottom"/>
            <w:gridSpan w:val="2"/>
          </w:tcPr>
          <w:p>
            <w:pPr>
              <w:jc w:val="right"/>
              <w:ind w:right="100"/>
              <w:spacing w:after="0"/>
              <w:rPr>
                <w:sz w:val="20"/>
                <w:szCs w:val="20"/>
                <w:color w:val="auto"/>
              </w:rPr>
            </w:pPr>
            <w:r>
              <w:rPr>
                <w:rFonts w:ascii="Arial" w:cs="Arial" w:eastAsia="Arial" w:hAnsi="Arial"/>
                <w:sz w:val="18"/>
                <w:szCs w:val="18"/>
                <w:color w:val="auto"/>
              </w:rPr>
              <w:t>722,411</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360" w:type="dxa"/>
            <w:vAlign w:val="bottom"/>
            <w:shd w:val="clear" w:color="auto" w:fill="CCEEFF"/>
          </w:tcPr>
          <w:p>
            <w:pPr>
              <w:ind w:left="420"/>
              <w:spacing w:after="0"/>
              <w:rPr>
                <w:sz w:val="20"/>
                <w:szCs w:val="20"/>
                <w:color w:val="auto"/>
              </w:rPr>
            </w:pPr>
            <w:r>
              <w:rPr>
                <w:rFonts w:ascii="Arial" w:cs="Arial" w:eastAsia="Arial" w:hAnsi="Arial"/>
                <w:sz w:val="18"/>
                <w:szCs w:val="18"/>
                <w:color w:val="auto"/>
              </w:rPr>
              <w:t>Selling and marketing</w:t>
            </w:r>
          </w:p>
        </w:tc>
        <w:tc>
          <w:tcPr>
            <w:tcW w:w="19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35,442</w:t>
            </w:r>
          </w:p>
        </w:tc>
        <w:tc>
          <w:tcPr>
            <w:tcW w:w="20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6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41,158</w:t>
            </w:r>
          </w:p>
        </w:tc>
        <w:tc>
          <w:tcPr>
            <w:tcW w:w="3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1040" w:type="dxa"/>
            <w:vAlign w:val="bottom"/>
            <w:gridSpan w:val="2"/>
            <w:shd w:val="clear" w:color="auto" w:fill="CCEEFF"/>
          </w:tcPr>
          <w:p>
            <w:pPr>
              <w:jc w:val="right"/>
              <w:ind w:right="320"/>
              <w:spacing w:after="0"/>
              <w:rPr>
                <w:sz w:val="20"/>
                <w:szCs w:val="20"/>
                <w:color w:val="auto"/>
              </w:rPr>
            </w:pPr>
            <w:r>
              <w:rPr>
                <w:rFonts w:ascii="Arial" w:cs="Arial" w:eastAsia="Arial" w:hAnsi="Arial"/>
                <w:sz w:val="18"/>
                <w:szCs w:val="18"/>
                <w:color w:val="auto"/>
              </w:rPr>
              <w:t>102,260</w:t>
            </w:r>
          </w:p>
        </w:tc>
        <w:tc>
          <w:tcPr>
            <w:tcW w:w="80" w:type="dxa"/>
            <w:vAlign w:val="bottom"/>
            <w:shd w:val="clear" w:color="auto" w:fill="CCEEFF"/>
          </w:tcPr>
          <w:p>
            <w:pPr>
              <w:spacing w:after="0"/>
              <w:rPr>
                <w:sz w:val="18"/>
                <w:szCs w:val="18"/>
                <w:color w:val="auto"/>
              </w:rPr>
            </w:pPr>
          </w:p>
        </w:tc>
        <w:tc>
          <w:tcPr>
            <w:tcW w:w="82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129,080</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360" w:type="dxa"/>
            <w:vAlign w:val="bottom"/>
          </w:tcPr>
          <w:p>
            <w:pPr>
              <w:ind w:left="420"/>
              <w:spacing w:after="0"/>
              <w:rPr>
                <w:sz w:val="20"/>
                <w:szCs w:val="20"/>
                <w:color w:val="auto"/>
              </w:rPr>
            </w:pPr>
            <w:r>
              <w:rPr>
                <w:rFonts w:ascii="Arial" w:cs="Arial" w:eastAsia="Arial" w:hAnsi="Arial"/>
                <w:sz w:val="18"/>
                <w:szCs w:val="18"/>
                <w:color w:val="auto"/>
              </w:rPr>
              <w:t>General and administrative</w:t>
            </w:r>
          </w:p>
        </w:tc>
        <w:tc>
          <w:tcPr>
            <w:tcW w:w="19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rPr>
              <w:t>16,660</w:t>
            </w:r>
          </w:p>
        </w:tc>
        <w:tc>
          <w:tcPr>
            <w:tcW w:w="20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620" w:type="dxa"/>
            <w:vAlign w:val="bottom"/>
          </w:tcPr>
          <w:p>
            <w:pPr>
              <w:jc w:val="right"/>
              <w:spacing w:after="0"/>
              <w:rPr>
                <w:sz w:val="20"/>
                <w:szCs w:val="20"/>
                <w:color w:val="auto"/>
              </w:rPr>
            </w:pPr>
            <w:r>
              <w:rPr>
                <w:rFonts w:ascii="Arial" w:cs="Arial" w:eastAsia="Arial" w:hAnsi="Arial"/>
                <w:sz w:val="18"/>
                <w:szCs w:val="18"/>
                <w:color w:val="auto"/>
              </w:rPr>
              <w:t>28,869</w:t>
            </w:r>
          </w:p>
        </w:tc>
        <w:tc>
          <w:tcPr>
            <w:tcW w:w="3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1040" w:type="dxa"/>
            <w:vAlign w:val="bottom"/>
            <w:gridSpan w:val="2"/>
          </w:tcPr>
          <w:p>
            <w:pPr>
              <w:jc w:val="right"/>
              <w:ind w:right="320"/>
              <w:spacing w:after="0"/>
              <w:rPr>
                <w:sz w:val="20"/>
                <w:szCs w:val="20"/>
                <w:color w:val="auto"/>
              </w:rPr>
            </w:pPr>
            <w:r>
              <w:rPr>
                <w:rFonts w:ascii="Arial" w:cs="Arial" w:eastAsia="Arial" w:hAnsi="Arial"/>
                <w:sz w:val="18"/>
                <w:szCs w:val="18"/>
                <w:color w:val="auto"/>
              </w:rPr>
              <w:t>148,856</w:t>
            </w:r>
          </w:p>
        </w:tc>
        <w:tc>
          <w:tcPr>
            <w:tcW w:w="80" w:type="dxa"/>
            <w:vAlign w:val="bottom"/>
          </w:tcPr>
          <w:p>
            <w:pPr>
              <w:spacing w:after="0"/>
              <w:rPr>
                <w:sz w:val="18"/>
                <w:szCs w:val="18"/>
                <w:color w:val="auto"/>
              </w:rPr>
            </w:pPr>
          </w:p>
        </w:tc>
        <w:tc>
          <w:tcPr>
            <w:tcW w:w="820" w:type="dxa"/>
            <w:vAlign w:val="bottom"/>
            <w:gridSpan w:val="2"/>
          </w:tcPr>
          <w:p>
            <w:pPr>
              <w:jc w:val="right"/>
              <w:ind w:right="100"/>
              <w:spacing w:after="0"/>
              <w:rPr>
                <w:sz w:val="20"/>
                <w:szCs w:val="20"/>
                <w:color w:val="auto"/>
              </w:rPr>
            </w:pPr>
            <w:r>
              <w:rPr>
                <w:rFonts w:ascii="Arial" w:cs="Arial" w:eastAsia="Arial" w:hAnsi="Arial"/>
                <w:sz w:val="18"/>
                <w:szCs w:val="18"/>
                <w:color w:val="auto"/>
              </w:rPr>
              <w:t>72,809</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360" w:type="dxa"/>
            <w:vAlign w:val="bottom"/>
            <w:shd w:val="clear" w:color="auto" w:fill="CCEEFF"/>
          </w:tcPr>
          <w:p>
            <w:pPr>
              <w:ind w:left="420"/>
              <w:spacing w:after="0"/>
              <w:rPr>
                <w:sz w:val="20"/>
                <w:szCs w:val="20"/>
                <w:color w:val="auto"/>
              </w:rPr>
            </w:pPr>
            <w:r>
              <w:rPr>
                <w:rFonts w:ascii="Arial" w:cs="Arial" w:eastAsia="Arial" w:hAnsi="Arial"/>
                <w:sz w:val="18"/>
                <w:szCs w:val="18"/>
                <w:color w:val="auto"/>
              </w:rPr>
              <w:t>Amortization of acquired intangible assets</w:t>
            </w:r>
          </w:p>
        </w:tc>
        <w:tc>
          <w:tcPr>
            <w:tcW w:w="1940" w:type="dxa"/>
            <w:vAlign w:val="bottom"/>
            <w:shd w:val="clear" w:color="auto" w:fill="CCEEFF"/>
          </w:tcPr>
          <w:p>
            <w:pPr>
              <w:spacing w:after="0"/>
              <w:rPr>
                <w:sz w:val="18"/>
                <w:szCs w:val="18"/>
                <w:color w:val="auto"/>
              </w:rPr>
            </w:pPr>
          </w:p>
        </w:tc>
        <w:tc>
          <w:tcPr>
            <w:tcW w:w="100" w:type="dxa"/>
            <w:vAlign w:val="bottom"/>
            <w:tcBorders>
              <w:bottom w:val="single" w:sz="8" w:color="auto"/>
            </w:tcBorders>
            <w:shd w:val="clear" w:color="auto" w:fill="CCEEFF"/>
          </w:tcPr>
          <w:p>
            <w:pPr>
              <w:spacing w:after="0"/>
              <w:rPr>
                <w:sz w:val="18"/>
                <w:szCs w:val="18"/>
                <w:color w:val="auto"/>
              </w:rPr>
            </w:pPr>
          </w:p>
        </w:tc>
        <w:tc>
          <w:tcPr>
            <w:tcW w:w="58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26,450</w:t>
            </w:r>
          </w:p>
        </w:tc>
        <w:tc>
          <w:tcPr>
            <w:tcW w:w="20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140" w:type="dxa"/>
            <w:vAlign w:val="bottom"/>
            <w:tcBorders>
              <w:bottom w:val="single" w:sz="8" w:color="auto"/>
            </w:tcBorders>
            <w:shd w:val="clear" w:color="auto" w:fill="CCEEFF"/>
          </w:tcPr>
          <w:p>
            <w:pPr>
              <w:spacing w:after="0"/>
              <w:rPr>
                <w:sz w:val="18"/>
                <w:szCs w:val="18"/>
                <w:color w:val="auto"/>
              </w:rPr>
            </w:pPr>
          </w:p>
        </w:tc>
        <w:tc>
          <w:tcPr>
            <w:tcW w:w="62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34,814</w:t>
            </w:r>
          </w:p>
        </w:tc>
        <w:tc>
          <w:tcPr>
            <w:tcW w:w="320" w:type="dxa"/>
            <w:vAlign w:val="bottom"/>
            <w:shd w:val="clear" w:color="auto" w:fill="CCEEFF"/>
          </w:tcPr>
          <w:p>
            <w:pPr>
              <w:spacing w:after="0"/>
              <w:rPr>
                <w:sz w:val="18"/>
                <w:szCs w:val="18"/>
                <w:color w:val="auto"/>
              </w:rPr>
            </w:pPr>
          </w:p>
        </w:tc>
        <w:tc>
          <w:tcPr>
            <w:tcW w:w="80" w:type="dxa"/>
            <w:vAlign w:val="bottom"/>
            <w:tcBorders>
              <w:bottom w:val="single" w:sz="8" w:color="auto"/>
            </w:tcBorders>
            <w:shd w:val="clear" w:color="auto" w:fill="CCEEFF"/>
          </w:tcPr>
          <w:p>
            <w:pPr>
              <w:spacing w:after="0"/>
              <w:rPr>
                <w:sz w:val="18"/>
                <w:szCs w:val="18"/>
                <w:color w:val="auto"/>
              </w:rPr>
            </w:pPr>
          </w:p>
        </w:tc>
        <w:tc>
          <w:tcPr>
            <w:tcW w:w="72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83,252</w:t>
            </w:r>
          </w:p>
        </w:tc>
        <w:tc>
          <w:tcPr>
            <w:tcW w:w="320" w:type="dxa"/>
            <w:vAlign w:val="bottom"/>
            <w:shd w:val="clear" w:color="auto" w:fill="CCEEFF"/>
          </w:tcPr>
          <w:p>
            <w:pPr>
              <w:spacing w:after="0"/>
              <w:rPr>
                <w:sz w:val="18"/>
                <w:szCs w:val="18"/>
                <w:color w:val="auto"/>
              </w:rPr>
            </w:pPr>
          </w:p>
        </w:tc>
        <w:tc>
          <w:tcPr>
            <w:tcW w:w="80" w:type="dxa"/>
            <w:vAlign w:val="bottom"/>
            <w:tcBorders>
              <w:bottom w:val="single" w:sz="8" w:color="auto"/>
            </w:tcBorders>
            <w:shd w:val="clear" w:color="auto" w:fill="CCEEFF"/>
          </w:tcPr>
          <w:p>
            <w:pPr>
              <w:spacing w:after="0"/>
              <w:rPr>
                <w:sz w:val="18"/>
                <w:szCs w:val="18"/>
                <w:color w:val="auto"/>
              </w:rPr>
            </w:pPr>
          </w:p>
        </w:tc>
        <w:tc>
          <w:tcPr>
            <w:tcW w:w="72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105,049</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30"/>
        </w:trPr>
        <w:tc>
          <w:tcPr>
            <w:tcW w:w="20" w:type="dxa"/>
            <w:vAlign w:val="bottom"/>
          </w:tcPr>
          <w:p>
            <w:pPr>
              <w:spacing w:after="0"/>
              <w:rPr>
                <w:sz w:val="20"/>
                <w:szCs w:val="20"/>
                <w:color w:val="auto"/>
              </w:rPr>
            </w:pPr>
          </w:p>
        </w:tc>
        <w:tc>
          <w:tcPr>
            <w:tcW w:w="5360" w:type="dxa"/>
            <w:vAlign w:val="bottom"/>
          </w:tcPr>
          <w:p>
            <w:pPr>
              <w:ind w:left="860"/>
              <w:spacing w:after="0"/>
              <w:rPr>
                <w:sz w:val="20"/>
                <w:szCs w:val="20"/>
                <w:color w:val="auto"/>
              </w:rPr>
            </w:pPr>
            <w:r>
              <w:rPr>
                <w:rFonts w:ascii="Arial" w:cs="Arial" w:eastAsia="Arial" w:hAnsi="Arial"/>
                <w:sz w:val="18"/>
                <w:szCs w:val="18"/>
                <w:color w:val="auto"/>
              </w:rPr>
              <w:t>Total operating costs and expenses</w:t>
            </w:r>
          </w:p>
        </w:tc>
        <w:tc>
          <w:tcPr>
            <w:tcW w:w="1940" w:type="dxa"/>
            <w:vAlign w:val="bottom"/>
          </w:tcPr>
          <w:p>
            <w:pPr>
              <w:spacing w:after="0"/>
              <w:rPr>
                <w:sz w:val="20"/>
                <w:szCs w:val="20"/>
                <w:color w:val="auto"/>
              </w:rPr>
            </w:pPr>
          </w:p>
        </w:tc>
        <w:tc>
          <w:tcPr>
            <w:tcW w:w="100" w:type="dxa"/>
            <w:vAlign w:val="bottom"/>
            <w:tcBorders>
              <w:bottom w:val="single" w:sz="8" w:color="auto"/>
            </w:tcBorders>
          </w:tcPr>
          <w:p>
            <w:pPr>
              <w:spacing w:after="0"/>
              <w:rPr>
                <w:sz w:val="20"/>
                <w:szCs w:val="20"/>
                <w:color w:val="auto"/>
              </w:rPr>
            </w:pPr>
          </w:p>
        </w:tc>
        <w:tc>
          <w:tcPr>
            <w:tcW w:w="58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w w:val="86"/>
              </w:rPr>
              <w:t>633,042</w:t>
            </w:r>
          </w:p>
        </w:tc>
        <w:tc>
          <w:tcPr>
            <w:tcW w:w="200" w:type="dxa"/>
            <w:vAlign w:val="bottom"/>
          </w:tcPr>
          <w:p>
            <w:pPr>
              <w:spacing w:after="0"/>
              <w:rPr>
                <w:sz w:val="20"/>
                <w:szCs w:val="20"/>
                <w:color w:val="auto"/>
              </w:rPr>
            </w:pPr>
          </w:p>
        </w:tc>
        <w:tc>
          <w:tcPr>
            <w:tcW w:w="120" w:type="dxa"/>
            <w:vAlign w:val="bottom"/>
          </w:tcPr>
          <w:p>
            <w:pPr>
              <w:spacing w:after="0"/>
              <w:rPr>
                <w:sz w:val="20"/>
                <w:szCs w:val="20"/>
                <w:color w:val="auto"/>
              </w:rPr>
            </w:pPr>
          </w:p>
        </w:tc>
        <w:tc>
          <w:tcPr>
            <w:tcW w:w="140" w:type="dxa"/>
            <w:vAlign w:val="bottom"/>
            <w:tcBorders>
              <w:bottom w:val="single" w:sz="8" w:color="auto"/>
            </w:tcBorders>
          </w:tcPr>
          <w:p>
            <w:pPr>
              <w:spacing w:after="0"/>
              <w:rPr>
                <w:sz w:val="20"/>
                <w:szCs w:val="20"/>
                <w:color w:val="auto"/>
              </w:rPr>
            </w:pPr>
          </w:p>
        </w:tc>
        <w:tc>
          <w:tcPr>
            <w:tcW w:w="62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w w:val="92"/>
              </w:rPr>
              <w:t>718,200</w:t>
            </w:r>
          </w:p>
        </w:tc>
        <w:tc>
          <w:tcPr>
            <w:tcW w:w="320" w:type="dxa"/>
            <w:vAlign w:val="bottom"/>
          </w:tcPr>
          <w:p>
            <w:pPr>
              <w:spacing w:after="0"/>
              <w:rPr>
                <w:sz w:val="20"/>
                <w:szCs w:val="20"/>
                <w:color w:val="auto"/>
              </w:rPr>
            </w:pPr>
          </w:p>
        </w:tc>
        <w:tc>
          <w:tcPr>
            <w:tcW w:w="80" w:type="dxa"/>
            <w:vAlign w:val="bottom"/>
            <w:tcBorders>
              <w:bottom w:val="single" w:sz="8" w:color="auto"/>
            </w:tcBorders>
          </w:tcPr>
          <w:p>
            <w:pPr>
              <w:spacing w:after="0"/>
              <w:rPr>
                <w:sz w:val="20"/>
                <w:szCs w:val="20"/>
                <w:color w:val="auto"/>
              </w:rPr>
            </w:pPr>
          </w:p>
        </w:tc>
        <w:tc>
          <w:tcPr>
            <w:tcW w:w="72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w w:val="87"/>
              </w:rPr>
              <w:t>1,836,826</w:t>
            </w:r>
          </w:p>
        </w:tc>
        <w:tc>
          <w:tcPr>
            <w:tcW w:w="320" w:type="dxa"/>
            <w:vAlign w:val="bottom"/>
          </w:tcPr>
          <w:p>
            <w:pPr>
              <w:spacing w:after="0"/>
              <w:rPr>
                <w:sz w:val="20"/>
                <w:szCs w:val="20"/>
                <w:color w:val="auto"/>
              </w:rPr>
            </w:pPr>
          </w:p>
        </w:tc>
        <w:tc>
          <w:tcPr>
            <w:tcW w:w="80" w:type="dxa"/>
            <w:vAlign w:val="bottom"/>
            <w:tcBorders>
              <w:bottom w:val="single" w:sz="8" w:color="auto"/>
            </w:tcBorders>
          </w:tcPr>
          <w:p>
            <w:pPr>
              <w:spacing w:after="0"/>
              <w:rPr>
                <w:sz w:val="20"/>
                <w:szCs w:val="20"/>
                <w:color w:val="auto"/>
              </w:rPr>
            </w:pPr>
          </w:p>
        </w:tc>
        <w:tc>
          <w:tcPr>
            <w:tcW w:w="72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w w:val="87"/>
              </w:rPr>
              <w:t>2,203,241</w:t>
            </w:r>
          </w:p>
        </w:tc>
        <w:tc>
          <w:tcPr>
            <w:tcW w:w="10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360" w:type="dxa"/>
            <w:vAlign w:val="bottom"/>
            <w:shd w:val="clear" w:color="auto" w:fill="CCEEFF"/>
          </w:tcPr>
          <w:p>
            <w:pPr>
              <w:spacing w:after="0"/>
              <w:rPr>
                <w:sz w:val="20"/>
                <w:szCs w:val="20"/>
                <w:color w:val="auto"/>
              </w:rPr>
            </w:pPr>
            <w:r>
              <w:rPr>
                <w:rFonts w:ascii="Arial" w:cs="Arial" w:eastAsia="Arial" w:hAnsi="Arial"/>
                <w:sz w:val="18"/>
                <w:szCs w:val="18"/>
                <w:color w:val="auto"/>
              </w:rPr>
              <w:t>Operating income</w:t>
            </w:r>
          </w:p>
        </w:tc>
        <w:tc>
          <w:tcPr>
            <w:tcW w:w="19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6"/>
              </w:rPr>
              <w:t>170,056</w:t>
            </w:r>
          </w:p>
        </w:tc>
        <w:tc>
          <w:tcPr>
            <w:tcW w:w="20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6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72,846</w:t>
            </w:r>
          </w:p>
        </w:tc>
        <w:tc>
          <w:tcPr>
            <w:tcW w:w="3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1040" w:type="dxa"/>
            <w:vAlign w:val="bottom"/>
            <w:gridSpan w:val="2"/>
            <w:shd w:val="clear" w:color="auto" w:fill="CCEEFF"/>
          </w:tcPr>
          <w:p>
            <w:pPr>
              <w:jc w:val="right"/>
              <w:ind w:right="320"/>
              <w:spacing w:after="0"/>
              <w:rPr>
                <w:sz w:val="20"/>
                <w:szCs w:val="20"/>
                <w:color w:val="auto"/>
              </w:rPr>
            </w:pPr>
            <w:r>
              <w:rPr>
                <w:rFonts w:ascii="Arial" w:cs="Arial" w:eastAsia="Arial" w:hAnsi="Arial"/>
                <w:sz w:val="18"/>
                <w:szCs w:val="18"/>
                <w:color w:val="auto"/>
              </w:rPr>
              <w:t>128,326</w:t>
            </w:r>
          </w:p>
        </w:tc>
        <w:tc>
          <w:tcPr>
            <w:tcW w:w="80" w:type="dxa"/>
            <w:vAlign w:val="bottom"/>
            <w:shd w:val="clear" w:color="auto" w:fill="CCEEFF"/>
          </w:tcPr>
          <w:p>
            <w:pPr>
              <w:spacing w:after="0"/>
              <w:rPr>
                <w:sz w:val="18"/>
                <w:szCs w:val="18"/>
                <w:color w:val="auto"/>
              </w:rPr>
            </w:pPr>
          </w:p>
        </w:tc>
        <w:tc>
          <w:tcPr>
            <w:tcW w:w="82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234,455</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360" w:type="dxa"/>
            <w:vAlign w:val="bottom"/>
          </w:tcPr>
          <w:p>
            <w:pPr>
              <w:spacing w:after="0"/>
              <w:rPr>
                <w:sz w:val="20"/>
                <w:szCs w:val="20"/>
                <w:color w:val="auto"/>
              </w:rPr>
            </w:pPr>
            <w:r>
              <w:rPr>
                <w:rFonts w:ascii="Arial" w:cs="Arial" w:eastAsia="Arial" w:hAnsi="Arial"/>
                <w:sz w:val="18"/>
                <w:szCs w:val="18"/>
                <w:color w:val="auto"/>
              </w:rPr>
              <w:t>Interest and other income (expense), net</w:t>
            </w:r>
          </w:p>
        </w:tc>
        <w:tc>
          <w:tcPr>
            <w:tcW w:w="19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80" w:type="dxa"/>
            <w:vAlign w:val="bottom"/>
            <w:gridSpan w:val="2"/>
          </w:tcPr>
          <w:p>
            <w:pPr>
              <w:jc w:val="right"/>
              <w:ind w:right="140"/>
              <w:spacing w:after="0"/>
              <w:rPr>
                <w:sz w:val="20"/>
                <w:szCs w:val="20"/>
                <w:color w:val="auto"/>
              </w:rPr>
            </w:pPr>
            <w:r>
              <w:rPr>
                <w:rFonts w:ascii="Arial" w:cs="Arial" w:eastAsia="Arial" w:hAnsi="Arial"/>
                <w:sz w:val="18"/>
                <w:szCs w:val="18"/>
                <w:color w:val="auto"/>
              </w:rPr>
              <w:t>(1,303)</w:t>
            </w:r>
          </w:p>
        </w:tc>
        <w:tc>
          <w:tcPr>
            <w:tcW w:w="12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620" w:type="dxa"/>
            <w:vAlign w:val="bottom"/>
          </w:tcPr>
          <w:p>
            <w:pPr>
              <w:jc w:val="right"/>
              <w:spacing w:after="0"/>
              <w:rPr>
                <w:sz w:val="20"/>
                <w:szCs w:val="20"/>
                <w:color w:val="auto"/>
              </w:rPr>
            </w:pPr>
            <w:r>
              <w:rPr>
                <w:rFonts w:ascii="Arial" w:cs="Arial" w:eastAsia="Arial" w:hAnsi="Arial"/>
                <w:sz w:val="18"/>
                <w:szCs w:val="18"/>
                <w:color w:val="auto"/>
              </w:rPr>
              <w:t>15,109</w:t>
            </w:r>
          </w:p>
        </w:tc>
        <w:tc>
          <w:tcPr>
            <w:tcW w:w="3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1040" w:type="dxa"/>
            <w:vAlign w:val="bottom"/>
            <w:gridSpan w:val="2"/>
          </w:tcPr>
          <w:p>
            <w:pPr>
              <w:jc w:val="right"/>
              <w:ind w:right="320"/>
              <w:spacing w:after="0"/>
              <w:rPr>
                <w:sz w:val="20"/>
                <w:szCs w:val="20"/>
                <w:color w:val="auto"/>
              </w:rPr>
            </w:pPr>
            <w:r>
              <w:rPr>
                <w:rFonts w:ascii="Arial" w:cs="Arial" w:eastAsia="Arial" w:hAnsi="Arial"/>
                <w:sz w:val="18"/>
                <w:szCs w:val="18"/>
                <w:color w:val="auto"/>
              </w:rPr>
              <w:t>418</w:t>
            </w:r>
          </w:p>
        </w:tc>
        <w:tc>
          <w:tcPr>
            <w:tcW w:w="80" w:type="dxa"/>
            <w:vAlign w:val="bottom"/>
          </w:tcPr>
          <w:p>
            <w:pPr>
              <w:spacing w:after="0"/>
              <w:rPr>
                <w:sz w:val="18"/>
                <w:szCs w:val="18"/>
                <w:color w:val="auto"/>
              </w:rPr>
            </w:pPr>
          </w:p>
        </w:tc>
        <w:tc>
          <w:tcPr>
            <w:tcW w:w="820" w:type="dxa"/>
            <w:vAlign w:val="bottom"/>
            <w:gridSpan w:val="2"/>
          </w:tcPr>
          <w:p>
            <w:pPr>
              <w:jc w:val="right"/>
              <w:ind w:right="100"/>
              <w:spacing w:after="0"/>
              <w:rPr>
                <w:sz w:val="20"/>
                <w:szCs w:val="20"/>
                <w:color w:val="auto"/>
              </w:rPr>
            </w:pPr>
            <w:r>
              <w:rPr>
                <w:rFonts w:ascii="Arial" w:cs="Arial" w:eastAsia="Arial" w:hAnsi="Arial"/>
                <w:sz w:val="18"/>
                <w:szCs w:val="18"/>
                <w:color w:val="auto"/>
              </w:rPr>
              <w:t>21,973</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360" w:type="dxa"/>
            <w:vAlign w:val="bottom"/>
            <w:shd w:val="clear" w:color="auto" w:fill="CCEEFF"/>
          </w:tcPr>
          <w:p>
            <w:pPr>
              <w:spacing w:after="0"/>
              <w:rPr>
                <w:sz w:val="20"/>
                <w:szCs w:val="20"/>
                <w:color w:val="auto"/>
              </w:rPr>
            </w:pPr>
            <w:r>
              <w:rPr>
                <w:rFonts w:ascii="Arial" w:cs="Arial" w:eastAsia="Arial" w:hAnsi="Arial"/>
                <w:sz w:val="18"/>
                <w:szCs w:val="18"/>
                <w:color w:val="auto"/>
              </w:rPr>
              <w:t>Interest expense</w:t>
            </w:r>
          </w:p>
        </w:tc>
        <w:tc>
          <w:tcPr>
            <w:tcW w:w="19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80" w:type="dxa"/>
            <w:vAlign w:val="bottom"/>
            <w:gridSpan w:val="2"/>
            <w:shd w:val="clear" w:color="auto" w:fill="CCEEFF"/>
          </w:tcPr>
          <w:p>
            <w:pPr>
              <w:jc w:val="right"/>
              <w:ind w:right="140"/>
              <w:spacing w:after="0"/>
              <w:rPr>
                <w:sz w:val="20"/>
                <w:szCs w:val="20"/>
                <w:color w:val="auto"/>
              </w:rPr>
            </w:pPr>
            <w:r>
              <w:rPr>
                <w:rFonts w:ascii="Arial" w:cs="Arial" w:eastAsia="Arial" w:hAnsi="Arial"/>
                <w:sz w:val="18"/>
                <w:szCs w:val="18"/>
                <w:color w:val="auto"/>
              </w:rPr>
              <w:t>(70)</w:t>
            </w:r>
          </w:p>
        </w:tc>
        <w:tc>
          <w:tcPr>
            <w:tcW w:w="12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940" w:type="dxa"/>
            <w:vAlign w:val="bottom"/>
            <w:gridSpan w:val="2"/>
            <w:shd w:val="clear" w:color="auto" w:fill="CCEEFF"/>
          </w:tcPr>
          <w:p>
            <w:pPr>
              <w:jc w:val="right"/>
              <w:ind w:right="280"/>
              <w:spacing w:after="0"/>
              <w:rPr>
                <w:sz w:val="20"/>
                <w:szCs w:val="20"/>
                <w:color w:val="auto"/>
              </w:rPr>
            </w:pPr>
            <w:r>
              <w:rPr>
                <w:rFonts w:ascii="Arial" w:cs="Arial" w:eastAsia="Arial" w:hAnsi="Arial"/>
                <w:sz w:val="18"/>
                <w:szCs w:val="18"/>
                <w:color w:val="auto"/>
              </w:rPr>
              <w:t>(3,566)</w:t>
            </w:r>
          </w:p>
        </w:tc>
        <w:tc>
          <w:tcPr>
            <w:tcW w:w="80" w:type="dxa"/>
            <w:vAlign w:val="bottom"/>
            <w:shd w:val="clear" w:color="auto" w:fill="CCEEFF"/>
          </w:tcPr>
          <w:p>
            <w:pPr>
              <w:spacing w:after="0"/>
              <w:rPr>
                <w:sz w:val="18"/>
                <w:szCs w:val="18"/>
                <w:color w:val="auto"/>
              </w:rPr>
            </w:pPr>
          </w:p>
        </w:tc>
        <w:tc>
          <w:tcPr>
            <w:tcW w:w="1040" w:type="dxa"/>
            <w:vAlign w:val="bottom"/>
            <w:gridSpan w:val="2"/>
            <w:shd w:val="clear" w:color="auto" w:fill="CCEEFF"/>
          </w:tcPr>
          <w:p>
            <w:pPr>
              <w:jc w:val="right"/>
              <w:ind w:right="280"/>
              <w:spacing w:after="0"/>
              <w:rPr>
                <w:sz w:val="20"/>
                <w:szCs w:val="20"/>
                <w:color w:val="auto"/>
              </w:rPr>
            </w:pPr>
            <w:r>
              <w:rPr>
                <w:rFonts w:ascii="Arial" w:cs="Arial" w:eastAsia="Arial" w:hAnsi="Arial"/>
                <w:sz w:val="18"/>
                <w:szCs w:val="18"/>
                <w:color w:val="auto"/>
              </w:rPr>
              <w:t>(1,672)</w:t>
            </w:r>
          </w:p>
        </w:tc>
        <w:tc>
          <w:tcPr>
            <w:tcW w:w="80" w:type="dxa"/>
            <w:vAlign w:val="bottom"/>
            <w:shd w:val="clear" w:color="auto" w:fill="CCEEFF"/>
          </w:tcPr>
          <w:p>
            <w:pPr>
              <w:spacing w:after="0"/>
              <w:rPr>
                <w:sz w:val="18"/>
                <w:szCs w:val="18"/>
                <w:color w:val="auto"/>
              </w:rPr>
            </w:pPr>
          </w:p>
        </w:tc>
        <w:tc>
          <w:tcPr>
            <w:tcW w:w="82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(15,876)</w:t>
            </w:r>
          </w:p>
        </w:tc>
        <w:tc>
          <w:tcPr>
            <w:tcW w:w="0" w:type="dxa"/>
            <w:vAlign w:val="bottom"/>
          </w:tcPr>
          <w:p>
            <w:pPr>
              <w:spacing w:after="0"/>
              <w:rPr>
                <w:sz w:val="1"/>
                <w:szCs w:val="1"/>
                <w:color w:val="auto"/>
              </w:rPr>
            </w:pPr>
          </w:p>
        </w:tc>
      </w:tr>
      <w:tr>
        <w:trPr>
          <w:trHeight w:val="221"/>
        </w:trPr>
        <w:tc>
          <w:tcPr>
            <w:tcW w:w="5380" w:type="dxa"/>
            <w:vAlign w:val="bottom"/>
            <w:gridSpan w:val="2"/>
          </w:tcPr>
          <w:p>
            <w:pPr>
              <w:spacing w:after="0"/>
              <w:rPr>
                <w:sz w:val="20"/>
                <w:szCs w:val="20"/>
                <w:color w:val="auto"/>
              </w:rPr>
            </w:pPr>
            <w:r>
              <w:rPr>
                <w:rFonts w:ascii="Arial" w:cs="Arial" w:eastAsia="Arial" w:hAnsi="Arial"/>
                <w:sz w:val="18"/>
                <w:szCs w:val="18"/>
                <w:color w:val="auto"/>
              </w:rPr>
              <w:t>Income before income taxes</w:t>
            </w:r>
          </w:p>
        </w:tc>
        <w:tc>
          <w:tcPr>
            <w:tcW w:w="1940" w:type="dxa"/>
            <w:vAlign w:val="bottom"/>
          </w:tcPr>
          <w:p>
            <w:pPr>
              <w:spacing w:after="0"/>
              <w:rPr>
                <w:sz w:val="19"/>
                <w:szCs w:val="19"/>
                <w:color w:val="auto"/>
              </w:rPr>
            </w:pPr>
          </w:p>
        </w:tc>
        <w:tc>
          <w:tcPr>
            <w:tcW w:w="100" w:type="dxa"/>
            <w:vAlign w:val="bottom"/>
            <w:tcBorders>
              <w:top w:val="single" w:sz="8" w:color="auto"/>
            </w:tcBorders>
          </w:tcPr>
          <w:p>
            <w:pPr>
              <w:spacing w:after="0"/>
              <w:rPr>
                <w:sz w:val="19"/>
                <w:szCs w:val="19"/>
                <w:color w:val="auto"/>
              </w:rPr>
            </w:pPr>
          </w:p>
        </w:tc>
        <w:tc>
          <w:tcPr>
            <w:tcW w:w="58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w w:val="86"/>
              </w:rPr>
              <w:t>168,683</w:t>
            </w:r>
          </w:p>
        </w:tc>
        <w:tc>
          <w:tcPr>
            <w:tcW w:w="20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140" w:type="dxa"/>
            <w:vAlign w:val="bottom"/>
            <w:tcBorders>
              <w:top w:val="single" w:sz="8" w:color="auto"/>
            </w:tcBorders>
          </w:tcPr>
          <w:p>
            <w:pPr>
              <w:spacing w:after="0"/>
              <w:rPr>
                <w:sz w:val="19"/>
                <w:szCs w:val="19"/>
                <w:color w:val="auto"/>
              </w:rPr>
            </w:pPr>
          </w:p>
        </w:tc>
        <w:tc>
          <w:tcPr>
            <w:tcW w:w="62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rPr>
              <w:t>84,389</w:t>
            </w:r>
          </w:p>
        </w:tc>
        <w:tc>
          <w:tcPr>
            <w:tcW w:w="320" w:type="dxa"/>
            <w:vAlign w:val="bottom"/>
          </w:tcPr>
          <w:p>
            <w:pPr>
              <w:spacing w:after="0"/>
              <w:rPr>
                <w:sz w:val="19"/>
                <w:szCs w:val="19"/>
                <w:color w:val="auto"/>
              </w:rPr>
            </w:pPr>
          </w:p>
        </w:tc>
        <w:tc>
          <w:tcPr>
            <w:tcW w:w="80" w:type="dxa"/>
            <w:vAlign w:val="bottom"/>
            <w:tcBorders>
              <w:top w:val="single" w:sz="8" w:color="auto"/>
            </w:tcBorders>
          </w:tcPr>
          <w:p>
            <w:pPr>
              <w:spacing w:after="0"/>
              <w:rPr>
                <w:sz w:val="19"/>
                <w:szCs w:val="19"/>
                <w:color w:val="auto"/>
              </w:rPr>
            </w:pPr>
          </w:p>
        </w:tc>
        <w:tc>
          <w:tcPr>
            <w:tcW w:w="72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rPr>
              <w:t>127,072</w:t>
            </w:r>
          </w:p>
        </w:tc>
        <w:tc>
          <w:tcPr>
            <w:tcW w:w="320" w:type="dxa"/>
            <w:vAlign w:val="bottom"/>
          </w:tcPr>
          <w:p>
            <w:pPr>
              <w:spacing w:after="0"/>
              <w:rPr>
                <w:sz w:val="19"/>
                <w:szCs w:val="19"/>
                <w:color w:val="auto"/>
              </w:rPr>
            </w:pPr>
          </w:p>
        </w:tc>
        <w:tc>
          <w:tcPr>
            <w:tcW w:w="80" w:type="dxa"/>
            <w:vAlign w:val="bottom"/>
            <w:tcBorders>
              <w:top w:val="single" w:sz="8" w:color="auto"/>
            </w:tcBorders>
          </w:tcPr>
          <w:p>
            <w:pPr>
              <w:spacing w:after="0"/>
              <w:rPr>
                <w:sz w:val="19"/>
                <w:szCs w:val="19"/>
                <w:color w:val="auto"/>
              </w:rPr>
            </w:pPr>
          </w:p>
        </w:tc>
        <w:tc>
          <w:tcPr>
            <w:tcW w:w="72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rPr>
              <w:t>240,552</w:t>
            </w:r>
          </w:p>
        </w:tc>
        <w:tc>
          <w:tcPr>
            <w:tcW w:w="1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18"/>
        </w:trPr>
        <w:tc>
          <w:tcPr>
            <w:tcW w:w="20" w:type="dxa"/>
            <w:vAlign w:val="bottom"/>
          </w:tcPr>
          <w:p>
            <w:pPr>
              <w:spacing w:after="0"/>
              <w:rPr>
                <w:sz w:val="18"/>
                <w:szCs w:val="18"/>
                <w:color w:val="auto"/>
              </w:rPr>
            </w:pPr>
          </w:p>
        </w:tc>
        <w:tc>
          <w:tcPr>
            <w:tcW w:w="5360" w:type="dxa"/>
            <w:vAlign w:val="bottom"/>
            <w:shd w:val="clear" w:color="auto" w:fill="CCEEFF"/>
          </w:tcPr>
          <w:p>
            <w:pPr>
              <w:spacing w:after="0"/>
              <w:rPr>
                <w:sz w:val="20"/>
                <w:szCs w:val="20"/>
                <w:color w:val="auto"/>
              </w:rPr>
            </w:pPr>
            <w:r>
              <w:rPr>
                <w:rFonts w:ascii="Arial" w:cs="Arial" w:eastAsia="Arial" w:hAnsi="Arial"/>
                <w:sz w:val="18"/>
                <w:szCs w:val="18"/>
                <w:color w:val="auto"/>
              </w:rPr>
              <w:t>Provision (benefit) for income taxes</w:t>
            </w:r>
          </w:p>
        </w:tc>
        <w:tc>
          <w:tcPr>
            <w:tcW w:w="19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80" w:type="dxa"/>
            <w:vAlign w:val="bottom"/>
            <w:gridSpan w:val="2"/>
            <w:shd w:val="clear" w:color="auto" w:fill="CCEEFF"/>
          </w:tcPr>
          <w:p>
            <w:pPr>
              <w:jc w:val="right"/>
              <w:ind w:right="140"/>
              <w:spacing w:after="0"/>
              <w:rPr>
                <w:sz w:val="20"/>
                <w:szCs w:val="20"/>
                <w:color w:val="auto"/>
              </w:rPr>
            </w:pPr>
            <w:r>
              <w:rPr>
                <w:rFonts w:ascii="Arial" w:cs="Arial" w:eastAsia="Arial" w:hAnsi="Arial"/>
                <w:sz w:val="18"/>
                <w:szCs w:val="18"/>
                <w:color w:val="auto"/>
                <w:w w:val="92"/>
              </w:rPr>
              <w:t>(32,916)</w:t>
            </w:r>
          </w:p>
        </w:tc>
        <w:tc>
          <w:tcPr>
            <w:tcW w:w="12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6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13,443</w:t>
            </w:r>
          </w:p>
        </w:tc>
        <w:tc>
          <w:tcPr>
            <w:tcW w:w="3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1040" w:type="dxa"/>
            <w:vAlign w:val="bottom"/>
            <w:gridSpan w:val="2"/>
            <w:shd w:val="clear" w:color="auto" w:fill="CCEEFF"/>
          </w:tcPr>
          <w:p>
            <w:pPr>
              <w:jc w:val="right"/>
              <w:ind w:right="280"/>
              <w:spacing w:after="0"/>
              <w:rPr>
                <w:sz w:val="20"/>
                <w:szCs w:val="20"/>
                <w:color w:val="auto"/>
              </w:rPr>
            </w:pPr>
            <w:r>
              <w:rPr>
                <w:rFonts w:ascii="Arial" w:cs="Arial" w:eastAsia="Arial" w:hAnsi="Arial"/>
                <w:sz w:val="18"/>
                <w:szCs w:val="18"/>
                <w:color w:val="auto"/>
              </w:rPr>
              <w:t>(21,563)</w:t>
            </w:r>
          </w:p>
        </w:tc>
        <w:tc>
          <w:tcPr>
            <w:tcW w:w="80" w:type="dxa"/>
            <w:vAlign w:val="bottom"/>
            <w:shd w:val="clear" w:color="auto" w:fill="CCEEFF"/>
          </w:tcPr>
          <w:p>
            <w:pPr>
              <w:spacing w:after="0"/>
              <w:rPr>
                <w:sz w:val="18"/>
                <w:szCs w:val="18"/>
                <w:color w:val="auto"/>
              </w:rPr>
            </w:pPr>
          </w:p>
        </w:tc>
        <w:tc>
          <w:tcPr>
            <w:tcW w:w="82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28,300</w:t>
            </w:r>
          </w:p>
        </w:tc>
        <w:tc>
          <w:tcPr>
            <w:tcW w:w="0" w:type="dxa"/>
            <w:vAlign w:val="bottom"/>
          </w:tcPr>
          <w:p>
            <w:pPr>
              <w:spacing w:after="0"/>
              <w:rPr>
                <w:sz w:val="1"/>
                <w:szCs w:val="1"/>
                <w:color w:val="auto"/>
              </w:rPr>
            </w:pPr>
          </w:p>
        </w:tc>
      </w:tr>
      <w:tr>
        <w:trPr>
          <w:trHeight w:val="222"/>
        </w:trPr>
        <w:tc>
          <w:tcPr>
            <w:tcW w:w="5380" w:type="dxa"/>
            <w:vAlign w:val="bottom"/>
            <w:gridSpan w:val="2"/>
          </w:tcPr>
          <w:p>
            <w:pPr>
              <w:spacing w:after="0"/>
              <w:rPr>
                <w:sz w:val="20"/>
                <w:szCs w:val="20"/>
                <w:color w:val="auto"/>
              </w:rPr>
            </w:pPr>
            <w:r>
              <w:rPr>
                <w:rFonts w:ascii="Arial" w:cs="Arial" w:eastAsia="Arial" w:hAnsi="Arial"/>
                <w:sz w:val="18"/>
                <w:szCs w:val="18"/>
                <w:color w:val="auto"/>
              </w:rPr>
              <w:t>Net income</w:t>
            </w:r>
          </w:p>
        </w:tc>
        <w:tc>
          <w:tcPr>
            <w:tcW w:w="1940" w:type="dxa"/>
            <w:vAlign w:val="bottom"/>
          </w:tcPr>
          <w:p>
            <w:pPr>
              <w:spacing w:after="0"/>
              <w:rPr>
                <w:sz w:val="19"/>
                <w:szCs w:val="19"/>
                <w:color w:val="auto"/>
              </w:rPr>
            </w:pPr>
          </w:p>
        </w:tc>
        <w:tc>
          <w:tcPr>
            <w:tcW w:w="100" w:type="dxa"/>
            <w:vAlign w:val="bottom"/>
            <w:tcBorders>
              <w:top w:val="single" w:sz="8" w:color="auto"/>
              <w:bottom w:val="single" w:sz="8" w:color="auto"/>
            </w:tcBorders>
          </w:tcPr>
          <w:p>
            <w:pPr>
              <w:spacing w:after="0"/>
              <w:rPr>
                <w:sz w:val="20"/>
                <w:szCs w:val="20"/>
                <w:color w:val="auto"/>
              </w:rPr>
            </w:pPr>
            <w:r>
              <w:rPr>
                <w:rFonts w:ascii="Arial" w:cs="Arial" w:eastAsia="Arial" w:hAnsi="Arial"/>
                <w:sz w:val="18"/>
                <w:szCs w:val="18"/>
                <w:u w:val="single" w:color="auto"/>
                <w:color w:val="auto"/>
                <w:w w:val="79"/>
              </w:rPr>
              <w:t>$</w:t>
            </w:r>
          </w:p>
        </w:tc>
        <w:tc>
          <w:tcPr>
            <w:tcW w:w="58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w w:val="86"/>
              </w:rPr>
              <w:t>201,599</w:t>
            </w:r>
          </w:p>
        </w:tc>
        <w:tc>
          <w:tcPr>
            <w:tcW w:w="20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140" w:type="dxa"/>
            <w:vAlign w:val="bottom"/>
            <w:tcBorders>
              <w:top w:val="single" w:sz="8" w:color="auto"/>
              <w:bottom w:val="single" w:sz="8" w:color="auto"/>
            </w:tcBorders>
          </w:tcPr>
          <w:p>
            <w:pPr>
              <w:spacing w:after="0"/>
              <w:rPr>
                <w:sz w:val="20"/>
                <w:szCs w:val="20"/>
                <w:color w:val="auto"/>
              </w:rPr>
            </w:pPr>
            <w:r>
              <w:rPr>
                <w:rFonts w:ascii="Arial" w:cs="Arial" w:eastAsia="Arial" w:hAnsi="Arial"/>
                <w:sz w:val="18"/>
                <w:szCs w:val="18"/>
                <w:color w:val="auto"/>
              </w:rPr>
              <w:t>$</w:t>
            </w:r>
          </w:p>
        </w:tc>
        <w:tc>
          <w:tcPr>
            <w:tcW w:w="62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70,946</w:t>
            </w:r>
          </w:p>
        </w:tc>
        <w:tc>
          <w:tcPr>
            <w:tcW w:w="320" w:type="dxa"/>
            <w:vAlign w:val="bottom"/>
          </w:tcPr>
          <w:p>
            <w:pPr>
              <w:spacing w:after="0"/>
              <w:rPr>
                <w:sz w:val="19"/>
                <w:szCs w:val="19"/>
                <w:color w:val="auto"/>
              </w:rPr>
            </w:pPr>
          </w:p>
        </w:tc>
        <w:tc>
          <w:tcPr>
            <w:tcW w:w="8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5"/>
                <w:szCs w:val="15"/>
                <w:color w:val="auto"/>
                <w:w w:val="71"/>
              </w:rPr>
              <w:t>$</w:t>
            </w:r>
          </w:p>
        </w:tc>
        <w:tc>
          <w:tcPr>
            <w:tcW w:w="72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148,635</w:t>
            </w:r>
          </w:p>
        </w:tc>
        <w:tc>
          <w:tcPr>
            <w:tcW w:w="320" w:type="dxa"/>
            <w:vAlign w:val="bottom"/>
          </w:tcPr>
          <w:p>
            <w:pPr>
              <w:spacing w:after="0"/>
              <w:rPr>
                <w:sz w:val="19"/>
                <w:szCs w:val="19"/>
                <w:color w:val="auto"/>
              </w:rPr>
            </w:pPr>
          </w:p>
        </w:tc>
        <w:tc>
          <w:tcPr>
            <w:tcW w:w="8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5"/>
                <w:szCs w:val="15"/>
                <w:color w:val="auto"/>
                <w:w w:val="71"/>
              </w:rPr>
              <w:t>$</w:t>
            </w:r>
          </w:p>
        </w:tc>
        <w:tc>
          <w:tcPr>
            <w:tcW w:w="72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212,252</w:t>
            </w:r>
          </w:p>
        </w:tc>
        <w:tc>
          <w:tcPr>
            <w:tcW w:w="1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5360" w:type="dxa"/>
            <w:vAlign w:val="bottom"/>
          </w:tcPr>
          <w:p>
            <w:pPr>
              <w:spacing w:after="0" w:line="20" w:lineRule="exact"/>
              <w:rPr>
                <w:sz w:val="1"/>
                <w:szCs w:val="1"/>
                <w:color w:val="auto"/>
              </w:rPr>
            </w:pPr>
          </w:p>
        </w:tc>
        <w:tc>
          <w:tcPr>
            <w:tcW w:w="1940" w:type="dxa"/>
            <w:vAlign w:val="bottom"/>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580" w:type="dxa"/>
            <w:vAlign w:val="bottom"/>
            <w:tcBorders>
              <w:bottom w:val="single" w:sz="8" w:color="auto"/>
            </w:tcBorders>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40" w:type="dxa"/>
            <w:vAlign w:val="bottom"/>
            <w:tcBorders>
              <w:bottom w:val="single" w:sz="8" w:color="auto"/>
            </w:tcBorders>
          </w:tcPr>
          <w:p>
            <w:pPr>
              <w:spacing w:after="0" w:line="20" w:lineRule="exact"/>
              <w:rPr>
                <w:sz w:val="1"/>
                <w:szCs w:val="1"/>
                <w:color w:val="auto"/>
              </w:rPr>
            </w:pPr>
          </w:p>
        </w:tc>
        <w:tc>
          <w:tcPr>
            <w:tcW w:w="620" w:type="dxa"/>
            <w:vAlign w:val="bottom"/>
            <w:tcBorders>
              <w:bottom w:val="single" w:sz="8" w:color="auto"/>
            </w:tcBorders>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80" w:type="dxa"/>
            <w:vAlign w:val="bottom"/>
            <w:tcBorders>
              <w:bottom w:val="single" w:sz="8" w:color="auto"/>
            </w:tcBorders>
          </w:tcPr>
          <w:p>
            <w:pPr>
              <w:spacing w:after="0" w:line="20" w:lineRule="exact"/>
              <w:rPr>
                <w:sz w:val="1"/>
                <w:szCs w:val="1"/>
                <w:color w:val="auto"/>
              </w:rPr>
            </w:pPr>
          </w:p>
        </w:tc>
        <w:tc>
          <w:tcPr>
            <w:tcW w:w="720" w:type="dxa"/>
            <w:vAlign w:val="bottom"/>
            <w:tcBorders>
              <w:bottom w:val="single" w:sz="8" w:color="auto"/>
            </w:tcBorders>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80" w:type="dxa"/>
            <w:vAlign w:val="bottom"/>
            <w:tcBorders>
              <w:bottom w:val="single" w:sz="8" w:color="auto"/>
            </w:tcBorders>
          </w:tcPr>
          <w:p>
            <w:pPr>
              <w:spacing w:after="0" w:line="20" w:lineRule="exact"/>
              <w:rPr>
                <w:sz w:val="1"/>
                <w:szCs w:val="1"/>
                <w:color w:val="auto"/>
              </w:rPr>
            </w:pPr>
          </w:p>
        </w:tc>
        <w:tc>
          <w:tcPr>
            <w:tcW w:w="72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11"/>
        </w:trPr>
        <w:tc>
          <w:tcPr>
            <w:tcW w:w="20" w:type="dxa"/>
            <w:vAlign w:val="bottom"/>
          </w:tcPr>
          <w:p>
            <w:pPr>
              <w:spacing w:after="0"/>
              <w:rPr>
                <w:sz w:val="18"/>
                <w:szCs w:val="18"/>
                <w:color w:val="auto"/>
              </w:rPr>
            </w:pPr>
          </w:p>
        </w:tc>
        <w:tc>
          <w:tcPr>
            <w:tcW w:w="5360" w:type="dxa"/>
            <w:vAlign w:val="bottom"/>
            <w:shd w:val="clear" w:color="auto" w:fill="CCEEFF"/>
          </w:tcPr>
          <w:p>
            <w:pPr>
              <w:spacing w:after="0"/>
              <w:rPr>
                <w:sz w:val="20"/>
                <w:szCs w:val="20"/>
                <w:color w:val="auto"/>
              </w:rPr>
            </w:pPr>
            <w:r>
              <w:rPr>
                <w:rFonts w:ascii="Arial" w:cs="Arial" w:eastAsia="Arial" w:hAnsi="Arial"/>
                <w:sz w:val="18"/>
                <w:szCs w:val="18"/>
                <w:color w:val="auto"/>
              </w:rPr>
              <w:t>Net income per share:</w:t>
            </w:r>
          </w:p>
        </w:tc>
        <w:tc>
          <w:tcPr>
            <w:tcW w:w="19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620" w:type="dxa"/>
            <w:vAlign w:val="bottom"/>
            <w:shd w:val="clear" w:color="auto" w:fill="CCEEFF"/>
          </w:tcPr>
          <w:p>
            <w:pPr>
              <w:spacing w:after="0"/>
              <w:rPr>
                <w:sz w:val="18"/>
                <w:szCs w:val="18"/>
                <w:color w:val="auto"/>
              </w:rPr>
            </w:pPr>
          </w:p>
        </w:tc>
        <w:tc>
          <w:tcPr>
            <w:tcW w:w="3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720" w:type="dxa"/>
            <w:vAlign w:val="bottom"/>
            <w:shd w:val="clear" w:color="auto" w:fill="CCEEFF"/>
          </w:tcPr>
          <w:p>
            <w:pPr>
              <w:spacing w:after="0"/>
              <w:rPr>
                <w:sz w:val="18"/>
                <w:szCs w:val="18"/>
                <w:color w:val="auto"/>
              </w:rPr>
            </w:pPr>
          </w:p>
        </w:tc>
        <w:tc>
          <w:tcPr>
            <w:tcW w:w="3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7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360" w:type="dxa"/>
            <w:vAlign w:val="bottom"/>
          </w:tcPr>
          <w:p>
            <w:pPr>
              <w:ind w:left="420"/>
              <w:spacing w:after="0"/>
              <w:rPr>
                <w:sz w:val="20"/>
                <w:szCs w:val="20"/>
                <w:color w:val="auto"/>
              </w:rPr>
            </w:pPr>
            <w:r>
              <w:rPr>
                <w:rFonts w:ascii="Arial" w:cs="Arial" w:eastAsia="Arial" w:hAnsi="Arial"/>
                <w:sz w:val="18"/>
                <w:szCs w:val="18"/>
                <w:color w:val="auto"/>
              </w:rPr>
              <w:t>Basic</w:t>
            </w:r>
          </w:p>
        </w:tc>
        <w:tc>
          <w:tcPr>
            <w:tcW w:w="2040" w:type="dxa"/>
            <w:vAlign w:val="bottom"/>
            <w:gridSpan w:val="2"/>
          </w:tcPr>
          <w:p>
            <w:pPr>
              <w:ind w:left="1940"/>
              <w:spacing w:after="0"/>
              <w:rPr>
                <w:sz w:val="20"/>
                <w:szCs w:val="20"/>
                <w:color w:val="auto"/>
              </w:rPr>
            </w:pPr>
            <w:r>
              <w:rPr>
                <w:rFonts w:ascii="Arial" w:cs="Arial" w:eastAsia="Arial" w:hAnsi="Arial"/>
                <w:sz w:val="18"/>
                <w:szCs w:val="18"/>
                <w:color w:val="auto"/>
                <w:w w:val="79"/>
              </w:rPr>
              <w:t>$</w:t>
            </w:r>
          </w:p>
        </w:tc>
        <w:tc>
          <w:tcPr>
            <w:tcW w:w="580" w:type="dxa"/>
            <w:vAlign w:val="bottom"/>
          </w:tcPr>
          <w:p>
            <w:pPr>
              <w:jc w:val="right"/>
              <w:spacing w:after="0"/>
              <w:rPr>
                <w:sz w:val="20"/>
                <w:szCs w:val="20"/>
                <w:color w:val="auto"/>
              </w:rPr>
            </w:pPr>
            <w:r>
              <w:rPr>
                <w:rFonts w:ascii="Arial" w:cs="Arial" w:eastAsia="Arial" w:hAnsi="Arial"/>
                <w:sz w:val="18"/>
                <w:szCs w:val="18"/>
                <w:color w:val="auto"/>
              </w:rPr>
              <w:t>0.32</w:t>
            </w:r>
          </w:p>
        </w:tc>
        <w:tc>
          <w:tcPr>
            <w:tcW w:w="200" w:type="dxa"/>
            <w:vAlign w:val="bottom"/>
          </w:tcPr>
          <w:p>
            <w:pPr>
              <w:spacing w:after="0"/>
              <w:rPr>
                <w:sz w:val="18"/>
                <w:szCs w:val="18"/>
                <w:color w:val="auto"/>
              </w:rPr>
            </w:pPr>
          </w:p>
        </w:tc>
        <w:tc>
          <w:tcPr>
            <w:tcW w:w="260" w:type="dxa"/>
            <w:vAlign w:val="bottom"/>
            <w:gridSpan w:val="2"/>
          </w:tcPr>
          <w:p>
            <w:pPr>
              <w:ind w:left="120"/>
              <w:spacing w:after="0"/>
              <w:rPr>
                <w:sz w:val="20"/>
                <w:szCs w:val="20"/>
                <w:color w:val="auto"/>
              </w:rPr>
            </w:pPr>
            <w:r>
              <w:rPr>
                <w:rFonts w:ascii="Arial" w:cs="Arial" w:eastAsia="Arial" w:hAnsi="Arial"/>
                <w:sz w:val="18"/>
                <w:szCs w:val="18"/>
                <w:color w:val="auto"/>
              </w:rPr>
              <w:t>$</w:t>
            </w:r>
          </w:p>
        </w:tc>
        <w:tc>
          <w:tcPr>
            <w:tcW w:w="620" w:type="dxa"/>
            <w:vAlign w:val="bottom"/>
          </w:tcPr>
          <w:p>
            <w:pPr>
              <w:jc w:val="right"/>
              <w:spacing w:after="0"/>
              <w:rPr>
                <w:sz w:val="20"/>
                <w:szCs w:val="20"/>
                <w:color w:val="auto"/>
              </w:rPr>
            </w:pPr>
            <w:r>
              <w:rPr>
                <w:rFonts w:ascii="Arial" w:cs="Arial" w:eastAsia="Arial" w:hAnsi="Arial"/>
                <w:sz w:val="18"/>
                <w:szCs w:val="18"/>
                <w:color w:val="auto"/>
              </w:rPr>
              <w:t>0.12</w:t>
            </w:r>
          </w:p>
        </w:tc>
        <w:tc>
          <w:tcPr>
            <w:tcW w:w="320" w:type="dxa"/>
            <w:vAlign w:val="bottom"/>
          </w:tcPr>
          <w:p>
            <w:pPr>
              <w:spacing w:after="0"/>
              <w:rPr>
                <w:sz w:val="18"/>
                <w:szCs w:val="18"/>
                <w:color w:val="auto"/>
              </w:rPr>
            </w:pPr>
          </w:p>
        </w:tc>
        <w:tc>
          <w:tcPr>
            <w:tcW w:w="80" w:type="dxa"/>
            <w:vAlign w:val="bottom"/>
          </w:tcPr>
          <w:p>
            <w:pPr>
              <w:jc w:val="right"/>
              <w:spacing w:after="0"/>
              <w:rPr>
                <w:sz w:val="20"/>
                <w:szCs w:val="20"/>
                <w:color w:val="auto"/>
              </w:rPr>
            </w:pPr>
            <w:r>
              <w:rPr>
                <w:rFonts w:ascii="Arial" w:cs="Arial" w:eastAsia="Arial" w:hAnsi="Arial"/>
                <w:sz w:val="15"/>
                <w:szCs w:val="15"/>
                <w:color w:val="auto"/>
                <w:w w:val="71"/>
              </w:rPr>
              <w:t>$</w:t>
            </w:r>
          </w:p>
        </w:tc>
        <w:tc>
          <w:tcPr>
            <w:tcW w:w="1040" w:type="dxa"/>
            <w:vAlign w:val="bottom"/>
            <w:gridSpan w:val="2"/>
          </w:tcPr>
          <w:p>
            <w:pPr>
              <w:jc w:val="right"/>
              <w:ind w:right="320"/>
              <w:spacing w:after="0"/>
              <w:rPr>
                <w:sz w:val="20"/>
                <w:szCs w:val="20"/>
                <w:color w:val="auto"/>
              </w:rPr>
            </w:pPr>
            <w:r>
              <w:rPr>
                <w:rFonts w:ascii="Arial" w:cs="Arial" w:eastAsia="Arial" w:hAnsi="Arial"/>
                <w:sz w:val="18"/>
                <w:szCs w:val="18"/>
                <w:color w:val="auto"/>
              </w:rPr>
              <w:t>0.24</w:t>
            </w:r>
          </w:p>
        </w:tc>
        <w:tc>
          <w:tcPr>
            <w:tcW w:w="80" w:type="dxa"/>
            <w:vAlign w:val="bottom"/>
          </w:tcPr>
          <w:p>
            <w:pPr>
              <w:jc w:val="right"/>
              <w:spacing w:after="0"/>
              <w:rPr>
                <w:sz w:val="20"/>
                <w:szCs w:val="20"/>
                <w:color w:val="auto"/>
              </w:rPr>
            </w:pPr>
            <w:r>
              <w:rPr>
                <w:rFonts w:ascii="Arial" w:cs="Arial" w:eastAsia="Arial" w:hAnsi="Arial"/>
                <w:sz w:val="15"/>
                <w:szCs w:val="15"/>
                <w:color w:val="auto"/>
                <w:w w:val="71"/>
              </w:rPr>
              <w:t>$</w:t>
            </w:r>
          </w:p>
        </w:tc>
        <w:tc>
          <w:tcPr>
            <w:tcW w:w="820" w:type="dxa"/>
            <w:vAlign w:val="bottom"/>
            <w:gridSpan w:val="2"/>
          </w:tcPr>
          <w:p>
            <w:pPr>
              <w:jc w:val="right"/>
              <w:ind w:right="100"/>
              <w:spacing w:after="0"/>
              <w:rPr>
                <w:sz w:val="20"/>
                <w:szCs w:val="20"/>
                <w:color w:val="auto"/>
              </w:rPr>
            </w:pPr>
            <w:r>
              <w:rPr>
                <w:rFonts w:ascii="Arial" w:cs="Arial" w:eastAsia="Arial" w:hAnsi="Arial"/>
                <w:sz w:val="18"/>
                <w:szCs w:val="18"/>
                <w:color w:val="auto"/>
              </w:rPr>
              <w:t>0.35</w:t>
            </w: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5360" w:type="dxa"/>
            <w:vAlign w:val="bottom"/>
          </w:tcPr>
          <w:p>
            <w:pPr>
              <w:spacing w:after="0" w:line="20" w:lineRule="exact"/>
              <w:rPr>
                <w:sz w:val="1"/>
                <w:szCs w:val="1"/>
                <w:color w:val="auto"/>
              </w:rPr>
            </w:pPr>
          </w:p>
        </w:tc>
        <w:tc>
          <w:tcPr>
            <w:tcW w:w="194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40" w:type="dxa"/>
            <w:vAlign w:val="bottom"/>
            <w:tcBorders>
              <w:top w:val="single" w:sz="8" w:color="auto"/>
              <w:bottom w:val="single" w:sz="8" w:color="auto"/>
            </w:tcBorders>
          </w:tcPr>
          <w:p>
            <w:pPr>
              <w:spacing w:after="0" w:line="20" w:lineRule="exact"/>
              <w:rPr>
                <w:sz w:val="1"/>
                <w:szCs w:val="1"/>
                <w:color w:val="auto"/>
              </w:rPr>
            </w:pPr>
          </w:p>
        </w:tc>
        <w:tc>
          <w:tcPr>
            <w:tcW w:w="620" w:type="dxa"/>
            <w:vAlign w:val="bottom"/>
            <w:tcBorders>
              <w:top w:val="single" w:sz="8" w:color="auto"/>
              <w:bottom w:val="single" w:sz="8" w:color="auto"/>
            </w:tcBorders>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720" w:type="dxa"/>
            <w:vAlign w:val="bottom"/>
            <w:tcBorders>
              <w:top w:val="single" w:sz="8" w:color="auto"/>
              <w:bottom w:val="single" w:sz="8" w:color="auto"/>
            </w:tcBorders>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72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10"/>
        </w:trPr>
        <w:tc>
          <w:tcPr>
            <w:tcW w:w="20" w:type="dxa"/>
            <w:vAlign w:val="bottom"/>
          </w:tcPr>
          <w:p>
            <w:pPr>
              <w:spacing w:after="0"/>
              <w:rPr>
                <w:sz w:val="18"/>
                <w:szCs w:val="18"/>
                <w:color w:val="auto"/>
              </w:rPr>
            </w:pPr>
          </w:p>
        </w:tc>
        <w:tc>
          <w:tcPr>
            <w:tcW w:w="5360" w:type="dxa"/>
            <w:vAlign w:val="bottom"/>
            <w:shd w:val="clear" w:color="auto" w:fill="CCEEFF"/>
          </w:tcPr>
          <w:p>
            <w:pPr>
              <w:ind w:left="420"/>
              <w:spacing w:after="0"/>
              <w:rPr>
                <w:sz w:val="20"/>
                <w:szCs w:val="20"/>
                <w:color w:val="auto"/>
              </w:rPr>
            </w:pPr>
            <w:r>
              <w:rPr>
                <w:rFonts w:ascii="Arial" w:cs="Arial" w:eastAsia="Arial" w:hAnsi="Arial"/>
                <w:sz w:val="18"/>
                <w:szCs w:val="18"/>
                <w:color w:val="auto"/>
              </w:rPr>
              <w:t>Diluted</w:t>
            </w:r>
          </w:p>
        </w:tc>
        <w:tc>
          <w:tcPr>
            <w:tcW w:w="2040" w:type="dxa"/>
            <w:vAlign w:val="bottom"/>
            <w:gridSpan w:val="2"/>
            <w:shd w:val="clear" w:color="auto" w:fill="CCEEFF"/>
          </w:tcPr>
          <w:p>
            <w:pPr>
              <w:ind w:left="1940"/>
              <w:spacing w:after="0"/>
              <w:rPr>
                <w:sz w:val="20"/>
                <w:szCs w:val="20"/>
                <w:color w:val="auto"/>
              </w:rPr>
            </w:pPr>
            <w:r>
              <w:rPr>
                <w:rFonts w:ascii="Arial" w:cs="Arial" w:eastAsia="Arial" w:hAnsi="Arial"/>
                <w:sz w:val="18"/>
                <w:szCs w:val="18"/>
                <w:color w:val="auto"/>
                <w:w w:val="79"/>
              </w:rPr>
              <w:t>$</w:t>
            </w: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0.31</w:t>
            </w:r>
          </w:p>
        </w:tc>
        <w:tc>
          <w:tcPr>
            <w:tcW w:w="200" w:type="dxa"/>
            <w:vAlign w:val="bottom"/>
            <w:shd w:val="clear" w:color="auto" w:fill="CCEEFF"/>
          </w:tcPr>
          <w:p>
            <w:pPr>
              <w:spacing w:after="0"/>
              <w:rPr>
                <w:sz w:val="18"/>
                <w:szCs w:val="18"/>
                <w:color w:val="auto"/>
              </w:rPr>
            </w:pPr>
          </w:p>
        </w:tc>
        <w:tc>
          <w:tcPr>
            <w:tcW w:w="260" w:type="dxa"/>
            <w:vAlign w:val="bottom"/>
            <w:gridSpan w:val="2"/>
            <w:shd w:val="clear" w:color="auto" w:fill="CCEEFF"/>
          </w:tcPr>
          <w:p>
            <w:pPr>
              <w:ind w:left="120"/>
              <w:spacing w:after="0"/>
              <w:rPr>
                <w:sz w:val="20"/>
                <w:szCs w:val="20"/>
                <w:color w:val="auto"/>
              </w:rPr>
            </w:pPr>
            <w:r>
              <w:rPr>
                <w:rFonts w:ascii="Arial" w:cs="Arial" w:eastAsia="Arial" w:hAnsi="Arial"/>
                <w:sz w:val="18"/>
                <w:szCs w:val="18"/>
                <w:color w:val="auto"/>
              </w:rPr>
              <w:t>$</w:t>
            </w:r>
          </w:p>
        </w:tc>
        <w:tc>
          <w:tcPr>
            <w:tcW w:w="6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0.11</w:t>
            </w:r>
          </w:p>
        </w:tc>
        <w:tc>
          <w:tcPr>
            <w:tcW w:w="320" w:type="dxa"/>
            <w:vAlign w:val="bottom"/>
            <w:shd w:val="clear" w:color="auto" w:fill="CCEEFF"/>
          </w:tcPr>
          <w:p>
            <w:pPr>
              <w:spacing w:after="0"/>
              <w:rPr>
                <w:sz w:val="18"/>
                <w:szCs w:val="18"/>
                <w:color w:val="auto"/>
              </w:rPr>
            </w:pPr>
          </w:p>
        </w:tc>
        <w:tc>
          <w:tcPr>
            <w:tcW w:w="80" w:type="dxa"/>
            <w:vAlign w:val="bottom"/>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1040" w:type="dxa"/>
            <w:vAlign w:val="bottom"/>
            <w:gridSpan w:val="2"/>
            <w:shd w:val="clear" w:color="auto" w:fill="CCEEFF"/>
          </w:tcPr>
          <w:p>
            <w:pPr>
              <w:jc w:val="right"/>
              <w:ind w:right="320"/>
              <w:spacing w:after="0"/>
              <w:rPr>
                <w:sz w:val="20"/>
                <w:szCs w:val="20"/>
                <w:color w:val="auto"/>
              </w:rPr>
            </w:pPr>
            <w:r>
              <w:rPr>
                <w:rFonts w:ascii="Arial" w:cs="Arial" w:eastAsia="Arial" w:hAnsi="Arial"/>
                <w:sz w:val="18"/>
                <w:szCs w:val="18"/>
                <w:color w:val="auto"/>
              </w:rPr>
              <w:t>0.23</w:t>
            </w:r>
          </w:p>
        </w:tc>
        <w:tc>
          <w:tcPr>
            <w:tcW w:w="80" w:type="dxa"/>
            <w:vAlign w:val="bottom"/>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82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0.34</w:t>
            </w:r>
          </w:p>
        </w:tc>
        <w:tc>
          <w:tcPr>
            <w:tcW w:w="0" w:type="dxa"/>
            <w:vAlign w:val="bottom"/>
          </w:tcPr>
          <w:p>
            <w:pPr>
              <w:spacing w:after="0"/>
              <w:rPr>
                <w:sz w:val="1"/>
                <w:szCs w:val="1"/>
                <w:color w:val="auto"/>
              </w:rPr>
            </w:pPr>
          </w:p>
        </w:tc>
      </w:tr>
      <w:tr>
        <w:trPr>
          <w:trHeight w:val="20"/>
        </w:trPr>
        <w:tc>
          <w:tcPr>
            <w:tcW w:w="5380" w:type="dxa"/>
            <w:vAlign w:val="bottom"/>
            <w:gridSpan w:val="2"/>
            <w:vMerge w:val="restart"/>
          </w:tcPr>
          <w:p>
            <w:pPr>
              <w:spacing w:after="0"/>
              <w:rPr>
                <w:sz w:val="20"/>
                <w:szCs w:val="20"/>
                <w:color w:val="auto"/>
              </w:rPr>
            </w:pPr>
            <w:r>
              <w:rPr>
                <w:rFonts w:ascii="Arial" w:cs="Arial" w:eastAsia="Arial" w:hAnsi="Arial"/>
                <w:sz w:val="18"/>
                <w:szCs w:val="18"/>
                <w:color w:val="auto"/>
              </w:rPr>
              <w:t>Weighted average shares:</w:t>
            </w:r>
          </w:p>
        </w:tc>
        <w:tc>
          <w:tcPr>
            <w:tcW w:w="194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40" w:type="dxa"/>
            <w:vAlign w:val="bottom"/>
            <w:tcBorders>
              <w:top w:val="single" w:sz="8" w:color="auto"/>
              <w:bottom w:val="single" w:sz="8" w:color="auto"/>
            </w:tcBorders>
          </w:tcPr>
          <w:p>
            <w:pPr>
              <w:spacing w:after="0" w:line="20" w:lineRule="exact"/>
              <w:rPr>
                <w:sz w:val="1"/>
                <w:szCs w:val="1"/>
                <w:color w:val="auto"/>
              </w:rPr>
            </w:pPr>
          </w:p>
        </w:tc>
        <w:tc>
          <w:tcPr>
            <w:tcW w:w="620" w:type="dxa"/>
            <w:vAlign w:val="bottom"/>
            <w:tcBorders>
              <w:top w:val="single" w:sz="8" w:color="auto"/>
              <w:bottom w:val="single" w:sz="8" w:color="auto"/>
            </w:tcBorders>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720" w:type="dxa"/>
            <w:vAlign w:val="bottom"/>
            <w:tcBorders>
              <w:top w:val="single" w:sz="8" w:color="auto"/>
              <w:bottom w:val="single" w:sz="8" w:color="auto"/>
            </w:tcBorders>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72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09"/>
        </w:trPr>
        <w:tc>
          <w:tcPr>
            <w:tcW w:w="5380" w:type="dxa"/>
            <w:vAlign w:val="bottom"/>
            <w:gridSpan w:val="2"/>
            <w:vMerge w:val="continue"/>
          </w:tcPr>
          <w:p>
            <w:pPr>
              <w:spacing w:after="0"/>
              <w:rPr>
                <w:sz w:val="18"/>
                <w:szCs w:val="18"/>
                <w:color w:val="auto"/>
              </w:rPr>
            </w:pPr>
          </w:p>
        </w:tc>
        <w:tc>
          <w:tcPr>
            <w:tcW w:w="19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62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72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7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7"/>
        </w:trPr>
        <w:tc>
          <w:tcPr>
            <w:tcW w:w="20" w:type="dxa"/>
            <w:vAlign w:val="bottom"/>
          </w:tcPr>
          <w:p>
            <w:pPr>
              <w:spacing w:after="0"/>
              <w:rPr>
                <w:sz w:val="18"/>
                <w:szCs w:val="18"/>
                <w:color w:val="auto"/>
              </w:rPr>
            </w:pPr>
          </w:p>
        </w:tc>
        <w:tc>
          <w:tcPr>
            <w:tcW w:w="5360" w:type="dxa"/>
            <w:vAlign w:val="bottom"/>
            <w:shd w:val="clear" w:color="auto" w:fill="CCEEFF"/>
          </w:tcPr>
          <w:p>
            <w:pPr>
              <w:ind w:left="420"/>
              <w:spacing w:after="0"/>
              <w:rPr>
                <w:sz w:val="20"/>
                <w:szCs w:val="20"/>
                <w:color w:val="auto"/>
              </w:rPr>
            </w:pPr>
            <w:r>
              <w:rPr>
                <w:rFonts w:ascii="Arial" w:cs="Arial" w:eastAsia="Arial" w:hAnsi="Arial"/>
                <w:sz w:val="18"/>
                <w:szCs w:val="18"/>
                <w:color w:val="auto"/>
              </w:rPr>
              <w:t>Basic</w:t>
            </w:r>
          </w:p>
        </w:tc>
        <w:tc>
          <w:tcPr>
            <w:tcW w:w="1940" w:type="dxa"/>
            <w:vAlign w:val="bottom"/>
            <w:shd w:val="clear" w:color="auto" w:fill="CCEEFF"/>
          </w:tcPr>
          <w:p>
            <w:pPr>
              <w:spacing w:after="0"/>
              <w:rPr>
                <w:sz w:val="18"/>
                <w:szCs w:val="18"/>
                <w:color w:val="auto"/>
              </w:rPr>
            </w:pPr>
          </w:p>
        </w:tc>
        <w:tc>
          <w:tcPr>
            <w:tcW w:w="100" w:type="dxa"/>
            <w:vAlign w:val="bottom"/>
            <w:tcBorders>
              <w:bottom w:val="single" w:sz="8" w:color="auto"/>
            </w:tcBorders>
            <w:shd w:val="clear" w:color="auto" w:fill="CCEEFF"/>
          </w:tcPr>
          <w:p>
            <w:pPr>
              <w:spacing w:after="0"/>
              <w:rPr>
                <w:sz w:val="18"/>
                <w:szCs w:val="18"/>
                <w:color w:val="auto"/>
              </w:rPr>
            </w:pPr>
          </w:p>
        </w:tc>
        <w:tc>
          <w:tcPr>
            <w:tcW w:w="58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86"/>
              </w:rPr>
              <w:t>623,613</w:t>
            </w:r>
          </w:p>
        </w:tc>
        <w:tc>
          <w:tcPr>
            <w:tcW w:w="20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140" w:type="dxa"/>
            <w:vAlign w:val="bottom"/>
            <w:tcBorders>
              <w:bottom w:val="single" w:sz="8" w:color="auto"/>
            </w:tcBorders>
            <w:shd w:val="clear" w:color="auto" w:fill="CCEEFF"/>
          </w:tcPr>
          <w:p>
            <w:pPr>
              <w:spacing w:after="0"/>
              <w:rPr>
                <w:sz w:val="18"/>
                <w:szCs w:val="18"/>
                <w:color w:val="auto"/>
              </w:rPr>
            </w:pPr>
          </w:p>
        </w:tc>
        <w:tc>
          <w:tcPr>
            <w:tcW w:w="62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92"/>
              </w:rPr>
              <w:t>611,945</w:t>
            </w:r>
          </w:p>
        </w:tc>
        <w:tc>
          <w:tcPr>
            <w:tcW w:w="320" w:type="dxa"/>
            <w:vAlign w:val="bottom"/>
            <w:shd w:val="clear" w:color="auto" w:fill="CCEEFF"/>
          </w:tcPr>
          <w:p>
            <w:pPr>
              <w:spacing w:after="0"/>
              <w:rPr>
                <w:sz w:val="18"/>
                <w:szCs w:val="18"/>
                <w:color w:val="auto"/>
              </w:rPr>
            </w:pPr>
          </w:p>
        </w:tc>
        <w:tc>
          <w:tcPr>
            <w:tcW w:w="80" w:type="dxa"/>
            <w:vAlign w:val="bottom"/>
            <w:tcBorders>
              <w:bottom w:val="single" w:sz="8" w:color="auto"/>
            </w:tcBorders>
            <w:shd w:val="clear" w:color="auto" w:fill="CCEEFF"/>
          </w:tcPr>
          <w:p>
            <w:pPr>
              <w:spacing w:after="0"/>
              <w:rPr>
                <w:sz w:val="18"/>
                <w:szCs w:val="18"/>
                <w:color w:val="auto"/>
              </w:rPr>
            </w:pPr>
          </w:p>
        </w:tc>
        <w:tc>
          <w:tcPr>
            <w:tcW w:w="72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621,057</w:t>
            </w:r>
          </w:p>
        </w:tc>
        <w:tc>
          <w:tcPr>
            <w:tcW w:w="320" w:type="dxa"/>
            <w:vAlign w:val="bottom"/>
            <w:shd w:val="clear" w:color="auto" w:fill="CCEEFF"/>
          </w:tcPr>
          <w:p>
            <w:pPr>
              <w:spacing w:after="0"/>
              <w:rPr>
                <w:sz w:val="18"/>
                <w:szCs w:val="18"/>
                <w:color w:val="auto"/>
              </w:rPr>
            </w:pPr>
          </w:p>
        </w:tc>
        <w:tc>
          <w:tcPr>
            <w:tcW w:w="80" w:type="dxa"/>
            <w:vAlign w:val="bottom"/>
            <w:tcBorders>
              <w:bottom w:val="single" w:sz="8" w:color="auto"/>
            </w:tcBorders>
            <w:shd w:val="clear" w:color="auto" w:fill="CCEEFF"/>
          </w:tcPr>
          <w:p>
            <w:pPr>
              <w:spacing w:after="0"/>
              <w:rPr>
                <w:sz w:val="18"/>
                <w:szCs w:val="18"/>
                <w:color w:val="auto"/>
              </w:rPr>
            </w:pPr>
          </w:p>
        </w:tc>
        <w:tc>
          <w:tcPr>
            <w:tcW w:w="72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606,676</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5360" w:type="dxa"/>
            <w:vAlign w:val="bottom"/>
            <w:vMerge w:val="restart"/>
          </w:tcPr>
          <w:p>
            <w:pPr>
              <w:ind w:left="420"/>
              <w:spacing w:after="0"/>
              <w:rPr>
                <w:sz w:val="20"/>
                <w:szCs w:val="20"/>
                <w:color w:val="auto"/>
              </w:rPr>
            </w:pPr>
            <w:r>
              <w:rPr>
                <w:rFonts w:ascii="Arial" w:cs="Arial" w:eastAsia="Arial" w:hAnsi="Arial"/>
                <w:sz w:val="18"/>
                <w:szCs w:val="18"/>
                <w:color w:val="auto"/>
              </w:rPr>
              <w:t>Diluted</w:t>
            </w:r>
          </w:p>
        </w:tc>
        <w:tc>
          <w:tcPr>
            <w:tcW w:w="1940" w:type="dxa"/>
            <w:vAlign w:val="bottom"/>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580" w:type="dxa"/>
            <w:vAlign w:val="bottom"/>
            <w:tcBorders>
              <w:bottom w:val="single" w:sz="8" w:color="auto"/>
            </w:tcBorders>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40" w:type="dxa"/>
            <w:vAlign w:val="bottom"/>
            <w:tcBorders>
              <w:bottom w:val="single" w:sz="8" w:color="auto"/>
            </w:tcBorders>
          </w:tcPr>
          <w:p>
            <w:pPr>
              <w:spacing w:after="0" w:line="20" w:lineRule="exact"/>
              <w:rPr>
                <w:sz w:val="1"/>
                <w:szCs w:val="1"/>
                <w:color w:val="auto"/>
              </w:rPr>
            </w:pPr>
          </w:p>
        </w:tc>
        <w:tc>
          <w:tcPr>
            <w:tcW w:w="620" w:type="dxa"/>
            <w:vAlign w:val="bottom"/>
            <w:tcBorders>
              <w:bottom w:val="single" w:sz="8" w:color="auto"/>
            </w:tcBorders>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80" w:type="dxa"/>
            <w:vAlign w:val="bottom"/>
            <w:tcBorders>
              <w:bottom w:val="single" w:sz="8" w:color="auto"/>
            </w:tcBorders>
          </w:tcPr>
          <w:p>
            <w:pPr>
              <w:spacing w:after="0" w:line="20" w:lineRule="exact"/>
              <w:rPr>
                <w:sz w:val="1"/>
                <w:szCs w:val="1"/>
                <w:color w:val="auto"/>
              </w:rPr>
            </w:pPr>
          </w:p>
        </w:tc>
        <w:tc>
          <w:tcPr>
            <w:tcW w:w="720" w:type="dxa"/>
            <w:vAlign w:val="bottom"/>
            <w:tcBorders>
              <w:bottom w:val="single" w:sz="8" w:color="auto"/>
            </w:tcBorders>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80" w:type="dxa"/>
            <w:vAlign w:val="bottom"/>
            <w:tcBorders>
              <w:bottom w:val="single" w:sz="8" w:color="auto"/>
            </w:tcBorders>
          </w:tcPr>
          <w:p>
            <w:pPr>
              <w:spacing w:after="0" w:line="20" w:lineRule="exact"/>
              <w:rPr>
                <w:sz w:val="1"/>
                <w:szCs w:val="1"/>
                <w:color w:val="auto"/>
              </w:rPr>
            </w:pPr>
          </w:p>
        </w:tc>
        <w:tc>
          <w:tcPr>
            <w:tcW w:w="72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09"/>
        </w:trPr>
        <w:tc>
          <w:tcPr>
            <w:tcW w:w="20" w:type="dxa"/>
            <w:vAlign w:val="bottom"/>
          </w:tcPr>
          <w:p>
            <w:pPr>
              <w:spacing w:after="0"/>
              <w:rPr>
                <w:sz w:val="18"/>
                <w:szCs w:val="18"/>
                <w:color w:val="auto"/>
              </w:rPr>
            </w:pPr>
          </w:p>
        </w:tc>
        <w:tc>
          <w:tcPr>
            <w:tcW w:w="5360" w:type="dxa"/>
            <w:vAlign w:val="bottom"/>
            <w:vMerge w:val="continue"/>
          </w:tcPr>
          <w:p>
            <w:pPr>
              <w:spacing w:after="0"/>
              <w:rPr>
                <w:sz w:val="18"/>
                <w:szCs w:val="18"/>
                <w:color w:val="auto"/>
              </w:rPr>
            </w:pPr>
          </w:p>
        </w:tc>
        <w:tc>
          <w:tcPr>
            <w:tcW w:w="19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w w:val="86"/>
              </w:rPr>
              <w:t>659,739</w:t>
            </w:r>
          </w:p>
        </w:tc>
        <w:tc>
          <w:tcPr>
            <w:tcW w:w="20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620" w:type="dxa"/>
            <w:vAlign w:val="bottom"/>
          </w:tcPr>
          <w:p>
            <w:pPr>
              <w:jc w:val="right"/>
              <w:spacing w:after="0"/>
              <w:rPr>
                <w:sz w:val="20"/>
                <w:szCs w:val="20"/>
                <w:color w:val="auto"/>
              </w:rPr>
            </w:pPr>
            <w:r>
              <w:rPr>
                <w:rFonts w:ascii="Arial" w:cs="Arial" w:eastAsia="Arial" w:hAnsi="Arial"/>
                <w:sz w:val="18"/>
                <w:szCs w:val="18"/>
                <w:color w:val="auto"/>
                <w:w w:val="92"/>
              </w:rPr>
              <w:t>630,810</w:t>
            </w:r>
          </w:p>
        </w:tc>
        <w:tc>
          <w:tcPr>
            <w:tcW w:w="3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1040" w:type="dxa"/>
            <w:vAlign w:val="bottom"/>
            <w:gridSpan w:val="2"/>
          </w:tcPr>
          <w:p>
            <w:pPr>
              <w:jc w:val="right"/>
              <w:ind w:right="320"/>
              <w:spacing w:after="0"/>
              <w:rPr>
                <w:sz w:val="20"/>
                <w:szCs w:val="20"/>
                <w:color w:val="auto"/>
              </w:rPr>
            </w:pPr>
            <w:r>
              <w:rPr>
                <w:rFonts w:ascii="Arial" w:cs="Arial" w:eastAsia="Arial" w:hAnsi="Arial"/>
                <w:sz w:val="18"/>
                <w:szCs w:val="18"/>
                <w:color w:val="auto"/>
              </w:rPr>
              <w:t>647,863</w:t>
            </w:r>
          </w:p>
        </w:tc>
        <w:tc>
          <w:tcPr>
            <w:tcW w:w="80" w:type="dxa"/>
            <w:vAlign w:val="bottom"/>
          </w:tcPr>
          <w:p>
            <w:pPr>
              <w:spacing w:after="0"/>
              <w:rPr>
                <w:sz w:val="18"/>
                <w:szCs w:val="18"/>
                <w:color w:val="auto"/>
              </w:rPr>
            </w:pPr>
          </w:p>
        </w:tc>
        <w:tc>
          <w:tcPr>
            <w:tcW w:w="820" w:type="dxa"/>
            <w:vAlign w:val="bottom"/>
            <w:gridSpan w:val="2"/>
          </w:tcPr>
          <w:p>
            <w:pPr>
              <w:jc w:val="right"/>
              <w:ind w:right="100"/>
              <w:spacing w:after="0"/>
              <w:rPr>
                <w:sz w:val="20"/>
                <w:szCs w:val="20"/>
                <w:color w:val="auto"/>
              </w:rPr>
            </w:pPr>
            <w:r>
              <w:rPr>
                <w:rFonts w:ascii="Arial" w:cs="Arial" w:eastAsia="Arial" w:hAnsi="Arial"/>
                <w:sz w:val="18"/>
                <w:szCs w:val="18"/>
                <w:color w:val="auto"/>
              </w:rPr>
              <w:t>630,997</w:t>
            </w: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5360" w:type="dxa"/>
            <w:vAlign w:val="bottom"/>
          </w:tcPr>
          <w:p>
            <w:pPr>
              <w:spacing w:after="0" w:line="20" w:lineRule="exact"/>
              <w:rPr>
                <w:sz w:val="1"/>
                <w:szCs w:val="1"/>
                <w:color w:val="auto"/>
              </w:rPr>
            </w:pPr>
          </w:p>
        </w:tc>
        <w:tc>
          <w:tcPr>
            <w:tcW w:w="194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40" w:type="dxa"/>
            <w:vAlign w:val="bottom"/>
            <w:tcBorders>
              <w:top w:val="single" w:sz="8" w:color="auto"/>
              <w:bottom w:val="single" w:sz="8" w:color="auto"/>
            </w:tcBorders>
          </w:tcPr>
          <w:p>
            <w:pPr>
              <w:spacing w:after="0" w:line="20" w:lineRule="exact"/>
              <w:rPr>
                <w:sz w:val="1"/>
                <w:szCs w:val="1"/>
                <w:color w:val="auto"/>
              </w:rPr>
            </w:pPr>
          </w:p>
        </w:tc>
        <w:tc>
          <w:tcPr>
            <w:tcW w:w="620" w:type="dxa"/>
            <w:vAlign w:val="bottom"/>
            <w:tcBorders>
              <w:top w:val="single" w:sz="8" w:color="auto"/>
              <w:bottom w:val="single" w:sz="8" w:color="auto"/>
            </w:tcBorders>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720" w:type="dxa"/>
            <w:vAlign w:val="bottom"/>
            <w:tcBorders>
              <w:top w:val="single" w:sz="8" w:color="auto"/>
              <w:bottom w:val="single" w:sz="8" w:color="auto"/>
            </w:tcBorders>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72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161"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See accompanying notes to unaudited condensed consolidated financial statements.</w:t>
      </w:r>
    </w:p>
    <w:p>
      <w:pPr>
        <w:spacing w:after="0" w:line="164"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4</w:t>
      </w:r>
    </w:p>
    <w:p>
      <w:pPr>
        <w:sectPr>
          <w:pgSz w:w="11900" w:h="16838" w:orient="portrait"/>
          <w:cols w:equalWidth="0" w:num="1">
            <w:col w:w="11420"/>
          </w:cols>
          <w:pgMar w:left="240" w:top="459" w:right="239" w:bottom="1440" w:gutter="0" w:footer="0" w:header="0"/>
        </w:sectPr>
      </w:pPr>
    </w:p>
    <w:bookmarkStart w:id="4" w:name="page5"/>
    <w:bookmarkEnd w:id="4"/>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9">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left="4060"/>
        <w:spacing w:after="0"/>
        <w:rPr>
          <w:sz w:val="20"/>
          <w:szCs w:val="20"/>
          <w:color w:val="auto"/>
        </w:rPr>
      </w:pPr>
      <w:r>
        <w:rPr>
          <w:rFonts w:ascii="Arial" w:cs="Arial" w:eastAsia="Arial" w:hAnsi="Arial"/>
          <w:sz w:val="18"/>
          <w:szCs w:val="18"/>
          <w:b w:val="1"/>
          <w:bCs w:val="1"/>
          <w:color w:val="auto"/>
        </w:rPr>
        <w:t>MARVELL TECHNOLOGY GROUP LTD.</w:t>
      </w:r>
    </w:p>
    <w:p>
      <w:pPr>
        <w:spacing w:after="0" w:line="90" w:lineRule="exact"/>
        <w:rPr>
          <w:sz w:val="20"/>
          <w:szCs w:val="20"/>
          <w:color w:val="auto"/>
        </w:rPr>
      </w:pPr>
    </w:p>
    <w:p>
      <w:pPr>
        <w:ind w:left="2520"/>
        <w:spacing w:after="0"/>
        <w:rPr>
          <w:sz w:val="20"/>
          <w:szCs w:val="20"/>
          <w:color w:val="auto"/>
        </w:rPr>
      </w:pPr>
      <w:r>
        <w:rPr>
          <w:rFonts w:ascii="Arial" w:cs="Arial" w:eastAsia="Arial" w:hAnsi="Arial"/>
          <w:sz w:val="18"/>
          <w:szCs w:val="18"/>
          <w:b w:val="1"/>
          <w:bCs w:val="1"/>
          <w:color w:val="auto"/>
        </w:rPr>
        <w:t>UNAUDITED CONDENSED CONSOLIDATED STATEMENTS OF CASH FLOWS</w:t>
      </w:r>
    </w:p>
    <w:p>
      <w:pPr>
        <w:spacing w:after="0" w:line="21"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(In thousands)</w:t>
      </w:r>
    </w:p>
    <w:p>
      <w:pPr>
        <w:spacing w:after="0" w:line="201"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20" w:type="dxa"/>
            <w:vAlign w:val="bottom"/>
          </w:tcPr>
          <w:p>
            <w:pPr>
              <w:spacing w:after="0"/>
              <w:rPr>
                <w:sz w:val="14"/>
                <w:szCs w:val="14"/>
                <w:color w:val="auto"/>
              </w:rPr>
            </w:pPr>
          </w:p>
        </w:tc>
        <w:tc>
          <w:tcPr>
            <w:tcW w:w="938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1940" w:type="dxa"/>
            <w:vAlign w:val="bottom"/>
            <w:gridSpan w:val="5"/>
          </w:tcPr>
          <w:p>
            <w:pPr>
              <w:jc w:val="right"/>
              <w:ind w:right="480"/>
              <w:spacing w:after="0"/>
              <w:rPr>
                <w:sz w:val="20"/>
                <w:szCs w:val="20"/>
                <w:color w:val="auto"/>
              </w:rPr>
            </w:pPr>
            <w:r>
              <w:rPr>
                <w:rFonts w:ascii="Arial" w:cs="Arial" w:eastAsia="Arial" w:hAnsi="Arial"/>
                <w:sz w:val="14"/>
                <w:szCs w:val="14"/>
                <w:b w:val="1"/>
                <w:bCs w:val="1"/>
                <w:color w:val="auto"/>
              </w:rPr>
              <w:t>Nine Months Ended</w:t>
            </w:r>
          </w:p>
        </w:tc>
        <w:tc>
          <w:tcPr>
            <w:tcW w:w="0" w:type="dxa"/>
            <w:vAlign w:val="bottom"/>
          </w:tcPr>
          <w:p>
            <w:pPr>
              <w:spacing w:after="0"/>
              <w:rPr>
                <w:sz w:val="1"/>
                <w:szCs w:val="1"/>
                <w:color w:val="auto"/>
              </w:rPr>
            </w:pPr>
          </w:p>
        </w:tc>
      </w:tr>
      <w:tr>
        <w:trPr>
          <w:trHeight w:val="129"/>
        </w:trPr>
        <w:tc>
          <w:tcPr>
            <w:tcW w:w="20" w:type="dxa"/>
            <w:vAlign w:val="bottom"/>
          </w:tcPr>
          <w:p>
            <w:pPr>
              <w:spacing w:after="0"/>
              <w:rPr>
                <w:sz w:val="11"/>
                <w:szCs w:val="11"/>
                <w:color w:val="auto"/>
              </w:rPr>
            </w:pPr>
          </w:p>
        </w:tc>
        <w:tc>
          <w:tcPr>
            <w:tcW w:w="9380" w:type="dxa"/>
            <w:vAlign w:val="bottom"/>
          </w:tcPr>
          <w:p>
            <w:pPr>
              <w:spacing w:after="0"/>
              <w:rPr>
                <w:sz w:val="11"/>
                <w:szCs w:val="11"/>
                <w:color w:val="auto"/>
              </w:rPr>
            </w:pPr>
          </w:p>
        </w:tc>
        <w:tc>
          <w:tcPr>
            <w:tcW w:w="1120" w:type="dxa"/>
            <w:vAlign w:val="bottom"/>
            <w:tcBorders>
              <w:top w:val="single" w:sz="8" w:color="auto"/>
            </w:tcBorders>
            <w:gridSpan w:val="3"/>
          </w:tcPr>
          <w:p>
            <w:pPr>
              <w:jc w:val="right"/>
              <w:ind w:right="400"/>
              <w:spacing w:after="0" w:line="129" w:lineRule="exact"/>
              <w:rPr>
                <w:sz w:val="20"/>
                <w:szCs w:val="20"/>
                <w:color w:val="auto"/>
              </w:rPr>
            </w:pPr>
            <w:r>
              <w:rPr>
                <w:rFonts w:ascii="Arial" w:cs="Arial" w:eastAsia="Arial" w:hAnsi="Arial"/>
                <w:sz w:val="14"/>
                <w:szCs w:val="14"/>
                <w:b w:val="1"/>
                <w:bCs w:val="1"/>
                <w:color w:val="auto"/>
                <w:w w:val="90"/>
              </w:rPr>
              <w:t>October 31,</w:t>
            </w:r>
          </w:p>
        </w:tc>
        <w:tc>
          <w:tcPr>
            <w:tcW w:w="800" w:type="dxa"/>
            <w:vAlign w:val="bottom"/>
            <w:tcBorders>
              <w:top w:val="single" w:sz="8" w:color="auto"/>
            </w:tcBorders>
            <w:gridSpan w:val="2"/>
          </w:tcPr>
          <w:p>
            <w:pPr>
              <w:jc w:val="right"/>
              <w:spacing w:after="0" w:line="129" w:lineRule="exact"/>
              <w:rPr>
                <w:sz w:val="20"/>
                <w:szCs w:val="20"/>
                <w:color w:val="auto"/>
              </w:rPr>
            </w:pPr>
            <w:r>
              <w:rPr>
                <w:rFonts w:ascii="Arial" w:cs="Arial" w:eastAsia="Arial" w:hAnsi="Arial"/>
                <w:sz w:val="14"/>
                <w:szCs w:val="14"/>
                <w:b w:val="1"/>
                <w:bCs w:val="1"/>
                <w:color w:val="auto"/>
                <w:w w:val="88"/>
              </w:rPr>
              <w:t>November 1,</w:t>
            </w: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1"/>
        </w:trPr>
        <w:tc>
          <w:tcPr>
            <w:tcW w:w="20" w:type="dxa"/>
            <w:vAlign w:val="bottom"/>
          </w:tcPr>
          <w:p>
            <w:pPr>
              <w:spacing w:after="0"/>
              <w:rPr>
                <w:sz w:val="14"/>
                <w:szCs w:val="14"/>
                <w:color w:val="auto"/>
              </w:rPr>
            </w:pPr>
          </w:p>
        </w:tc>
        <w:tc>
          <w:tcPr>
            <w:tcW w:w="9380" w:type="dxa"/>
            <w:vAlign w:val="bottom"/>
          </w:tcPr>
          <w:p>
            <w:pPr>
              <w:spacing w:after="0"/>
              <w:rPr>
                <w:sz w:val="14"/>
                <w:szCs w:val="14"/>
                <w:color w:val="auto"/>
              </w:rPr>
            </w:pPr>
          </w:p>
        </w:tc>
        <w:tc>
          <w:tcPr>
            <w:tcW w:w="80" w:type="dxa"/>
            <w:vAlign w:val="bottom"/>
            <w:tcBorders>
              <w:bottom w:val="single" w:sz="8" w:color="auto"/>
            </w:tcBorders>
          </w:tcPr>
          <w:p>
            <w:pPr>
              <w:spacing w:after="0"/>
              <w:rPr>
                <w:sz w:val="14"/>
                <w:szCs w:val="14"/>
                <w:color w:val="auto"/>
              </w:rPr>
            </w:pPr>
          </w:p>
        </w:tc>
        <w:tc>
          <w:tcPr>
            <w:tcW w:w="720" w:type="dxa"/>
            <w:vAlign w:val="bottom"/>
            <w:tcBorders>
              <w:bottom w:val="single" w:sz="8" w:color="auto"/>
            </w:tcBorders>
          </w:tcPr>
          <w:p>
            <w:pPr>
              <w:jc w:val="right"/>
              <w:ind w:right="194"/>
              <w:spacing w:after="0"/>
              <w:rPr>
                <w:sz w:val="20"/>
                <w:szCs w:val="20"/>
                <w:color w:val="auto"/>
              </w:rPr>
            </w:pPr>
            <w:r>
              <w:rPr>
                <w:rFonts w:ascii="Arial" w:cs="Arial" w:eastAsia="Arial" w:hAnsi="Arial"/>
                <w:sz w:val="14"/>
                <w:szCs w:val="14"/>
                <w:b w:val="1"/>
                <w:bCs w:val="1"/>
                <w:color w:val="auto"/>
              </w:rPr>
              <w:t>2009</w:t>
            </w:r>
          </w:p>
        </w:tc>
        <w:tc>
          <w:tcPr>
            <w:tcW w:w="320" w:type="dxa"/>
            <w:vAlign w:val="bottom"/>
          </w:tcPr>
          <w:p>
            <w:pPr>
              <w:spacing w:after="0"/>
              <w:rPr>
                <w:sz w:val="14"/>
                <w:szCs w:val="14"/>
                <w:color w:val="auto"/>
              </w:rPr>
            </w:pPr>
          </w:p>
        </w:tc>
        <w:tc>
          <w:tcPr>
            <w:tcW w:w="80" w:type="dxa"/>
            <w:vAlign w:val="bottom"/>
            <w:tcBorders>
              <w:bottom w:val="single" w:sz="8" w:color="auto"/>
            </w:tcBorders>
          </w:tcPr>
          <w:p>
            <w:pPr>
              <w:spacing w:after="0"/>
              <w:rPr>
                <w:sz w:val="14"/>
                <w:szCs w:val="14"/>
                <w:color w:val="auto"/>
              </w:rPr>
            </w:pPr>
          </w:p>
        </w:tc>
        <w:tc>
          <w:tcPr>
            <w:tcW w:w="720" w:type="dxa"/>
            <w:vAlign w:val="bottom"/>
            <w:tcBorders>
              <w:bottom w:val="single" w:sz="8" w:color="auto"/>
            </w:tcBorders>
          </w:tcPr>
          <w:p>
            <w:pPr>
              <w:jc w:val="right"/>
              <w:ind w:right="193"/>
              <w:spacing w:after="0"/>
              <w:rPr>
                <w:sz w:val="20"/>
                <w:szCs w:val="20"/>
                <w:color w:val="auto"/>
              </w:rPr>
            </w:pPr>
            <w:r>
              <w:rPr>
                <w:rFonts w:ascii="Arial" w:cs="Arial" w:eastAsia="Arial" w:hAnsi="Arial"/>
                <w:sz w:val="14"/>
                <w:szCs w:val="14"/>
                <w:b w:val="1"/>
                <w:bCs w:val="1"/>
                <w:color w:val="auto"/>
              </w:rPr>
              <w:t>2008</w:t>
            </w:r>
          </w:p>
        </w:tc>
        <w:tc>
          <w:tcPr>
            <w:tcW w:w="1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210"/>
        </w:trPr>
        <w:tc>
          <w:tcPr>
            <w:tcW w:w="20" w:type="dxa"/>
            <w:vAlign w:val="bottom"/>
          </w:tcPr>
          <w:p>
            <w:pPr>
              <w:spacing w:after="0"/>
              <w:rPr>
                <w:sz w:val="18"/>
                <w:szCs w:val="18"/>
                <w:color w:val="auto"/>
              </w:rPr>
            </w:pPr>
          </w:p>
        </w:tc>
        <w:tc>
          <w:tcPr>
            <w:tcW w:w="9380" w:type="dxa"/>
            <w:vAlign w:val="bottom"/>
            <w:shd w:val="clear" w:color="auto" w:fill="CCEEFF"/>
          </w:tcPr>
          <w:p>
            <w:pPr>
              <w:spacing w:after="0"/>
              <w:rPr>
                <w:sz w:val="20"/>
                <w:szCs w:val="20"/>
                <w:color w:val="auto"/>
              </w:rPr>
            </w:pPr>
            <w:r>
              <w:rPr>
                <w:rFonts w:ascii="Arial" w:cs="Arial" w:eastAsia="Arial" w:hAnsi="Arial"/>
                <w:sz w:val="18"/>
                <w:szCs w:val="18"/>
                <w:b w:val="1"/>
                <w:bCs w:val="1"/>
                <w:color w:val="auto"/>
              </w:rPr>
              <w:t>Cash flows from operating activities:</w:t>
            </w:r>
          </w:p>
        </w:tc>
        <w:tc>
          <w:tcPr>
            <w:tcW w:w="80" w:type="dxa"/>
            <w:vAlign w:val="bottom"/>
            <w:shd w:val="clear" w:color="auto" w:fill="CCEEFF"/>
          </w:tcPr>
          <w:p>
            <w:pPr>
              <w:spacing w:after="0"/>
              <w:rPr>
                <w:sz w:val="18"/>
                <w:szCs w:val="18"/>
                <w:color w:val="auto"/>
              </w:rPr>
            </w:pPr>
          </w:p>
        </w:tc>
        <w:tc>
          <w:tcPr>
            <w:tcW w:w="720" w:type="dxa"/>
            <w:vAlign w:val="bottom"/>
            <w:shd w:val="clear" w:color="auto" w:fill="CCEEFF"/>
          </w:tcPr>
          <w:p>
            <w:pPr>
              <w:spacing w:after="0"/>
              <w:rPr>
                <w:sz w:val="18"/>
                <w:szCs w:val="18"/>
                <w:color w:val="auto"/>
              </w:rPr>
            </w:pPr>
          </w:p>
        </w:tc>
        <w:tc>
          <w:tcPr>
            <w:tcW w:w="3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7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9380" w:type="dxa"/>
            <w:vAlign w:val="bottom"/>
          </w:tcPr>
          <w:p>
            <w:pPr>
              <w:spacing w:after="0"/>
              <w:rPr>
                <w:sz w:val="20"/>
                <w:szCs w:val="20"/>
                <w:color w:val="auto"/>
              </w:rPr>
            </w:pPr>
            <w:r>
              <w:rPr>
                <w:rFonts w:ascii="Arial" w:cs="Arial" w:eastAsia="Arial" w:hAnsi="Arial"/>
                <w:sz w:val="18"/>
                <w:szCs w:val="18"/>
                <w:color w:val="auto"/>
              </w:rPr>
              <w:t>Net income</w:t>
            </w:r>
          </w:p>
        </w:tc>
        <w:tc>
          <w:tcPr>
            <w:tcW w:w="80" w:type="dxa"/>
            <w:vAlign w:val="bottom"/>
          </w:tcPr>
          <w:p>
            <w:pPr>
              <w:jc w:val="right"/>
              <w:spacing w:after="0"/>
              <w:rPr>
                <w:sz w:val="20"/>
                <w:szCs w:val="20"/>
                <w:color w:val="auto"/>
              </w:rPr>
            </w:pPr>
            <w:r>
              <w:rPr>
                <w:rFonts w:ascii="Arial" w:cs="Arial" w:eastAsia="Arial" w:hAnsi="Arial"/>
                <w:sz w:val="15"/>
                <w:szCs w:val="15"/>
                <w:color w:val="auto"/>
                <w:w w:val="71"/>
              </w:rPr>
              <w:t>$</w:t>
            </w:r>
          </w:p>
        </w:tc>
        <w:tc>
          <w:tcPr>
            <w:tcW w:w="720" w:type="dxa"/>
            <w:vAlign w:val="bottom"/>
          </w:tcPr>
          <w:p>
            <w:pPr>
              <w:jc w:val="right"/>
              <w:spacing w:after="0"/>
              <w:rPr>
                <w:sz w:val="20"/>
                <w:szCs w:val="20"/>
                <w:color w:val="auto"/>
              </w:rPr>
            </w:pPr>
            <w:r>
              <w:rPr>
                <w:rFonts w:ascii="Arial" w:cs="Arial" w:eastAsia="Arial" w:hAnsi="Arial"/>
                <w:sz w:val="18"/>
                <w:szCs w:val="18"/>
                <w:color w:val="auto"/>
              </w:rPr>
              <w:t>148,635</w:t>
            </w:r>
          </w:p>
        </w:tc>
        <w:tc>
          <w:tcPr>
            <w:tcW w:w="320" w:type="dxa"/>
            <w:vAlign w:val="bottom"/>
          </w:tcPr>
          <w:p>
            <w:pPr>
              <w:spacing w:after="0"/>
              <w:rPr>
                <w:sz w:val="18"/>
                <w:szCs w:val="18"/>
                <w:color w:val="auto"/>
              </w:rPr>
            </w:pPr>
          </w:p>
        </w:tc>
        <w:tc>
          <w:tcPr>
            <w:tcW w:w="80" w:type="dxa"/>
            <w:vAlign w:val="bottom"/>
          </w:tcPr>
          <w:p>
            <w:pPr>
              <w:jc w:val="right"/>
              <w:spacing w:after="0"/>
              <w:rPr>
                <w:sz w:val="20"/>
                <w:szCs w:val="20"/>
                <w:color w:val="auto"/>
              </w:rPr>
            </w:pPr>
            <w:r>
              <w:rPr>
                <w:rFonts w:ascii="Arial" w:cs="Arial" w:eastAsia="Arial" w:hAnsi="Arial"/>
                <w:sz w:val="15"/>
                <w:szCs w:val="15"/>
                <w:color w:val="auto"/>
                <w:w w:val="71"/>
              </w:rPr>
              <w:t>$</w:t>
            </w:r>
          </w:p>
        </w:tc>
        <w:tc>
          <w:tcPr>
            <w:tcW w:w="820" w:type="dxa"/>
            <w:vAlign w:val="bottom"/>
            <w:gridSpan w:val="2"/>
          </w:tcPr>
          <w:p>
            <w:pPr>
              <w:jc w:val="right"/>
              <w:ind w:right="100"/>
              <w:spacing w:after="0"/>
              <w:rPr>
                <w:sz w:val="20"/>
                <w:szCs w:val="20"/>
                <w:color w:val="auto"/>
              </w:rPr>
            </w:pPr>
            <w:r>
              <w:rPr>
                <w:rFonts w:ascii="Arial" w:cs="Arial" w:eastAsia="Arial" w:hAnsi="Arial"/>
                <w:sz w:val="18"/>
                <w:szCs w:val="18"/>
                <w:color w:val="auto"/>
              </w:rPr>
              <w:t>212,252</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9380" w:type="dxa"/>
            <w:vAlign w:val="bottom"/>
            <w:shd w:val="clear" w:color="auto" w:fill="CCEEFF"/>
          </w:tcPr>
          <w:p>
            <w:pPr>
              <w:spacing w:after="0"/>
              <w:rPr>
                <w:sz w:val="20"/>
                <w:szCs w:val="20"/>
                <w:color w:val="auto"/>
              </w:rPr>
            </w:pPr>
            <w:r>
              <w:rPr>
                <w:rFonts w:ascii="Arial" w:cs="Arial" w:eastAsia="Arial" w:hAnsi="Arial"/>
                <w:sz w:val="18"/>
                <w:szCs w:val="18"/>
                <w:color w:val="auto"/>
              </w:rPr>
              <w:t>Adjustments to reconcile net income to net cash provided by operating activities:</w:t>
            </w:r>
          </w:p>
        </w:tc>
        <w:tc>
          <w:tcPr>
            <w:tcW w:w="80" w:type="dxa"/>
            <w:vAlign w:val="bottom"/>
            <w:shd w:val="clear" w:color="auto" w:fill="CCEEFF"/>
          </w:tcPr>
          <w:p>
            <w:pPr>
              <w:spacing w:after="0"/>
              <w:rPr>
                <w:sz w:val="18"/>
                <w:szCs w:val="18"/>
                <w:color w:val="auto"/>
              </w:rPr>
            </w:pPr>
          </w:p>
        </w:tc>
        <w:tc>
          <w:tcPr>
            <w:tcW w:w="720" w:type="dxa"/>
            <w:vAlign w:val="bottom"/>
            <w:shd w:val="clear" w:color="auto" w:fill="CCEEFF"/>
          </w:tcPr>
          <w:p>
            <w:pPr>
              <w:spacing w:after="0"/>
              <w:rPr>
                <w:sz w:val="18"/>
                <w:szCs w:val="18"/>
                <w:color w:val="auto"/>
              </w:rPr>
            </w:pPr>
          </w:p>
        </w:tc>
        <w:tc>
          <w:tcPr>
            <w:tcW w:w="3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7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9380" w:type="dxa"/>
            <w:vAlign w:val="bottom"/>
          </w:tcPr>
          <w:p>
            <w:pPr>
              <w:ind w:left="420"/>
              <w:spacing w:after="0"/>
              <w:rPr>
                <w:sz w:val="20"/>
                <w:szCs w:val="20"/>
                <w:color w:val="auto"/>
              </w:rPr>
            </w:pPr>
            <w:r>
              <w:rPr>
                <w:rFonts w:ascii="Arial" w:cs="Arial" w:eastAsia="Arial" w:hAnsi="Arial"/>
                <w:sz w:val="18"/>
                <w:szCs w:val="18"/>
                <w:color w:val="auto"/>
              </w:rPr>
              <w:t>Depreciation and amortization</w:t>
            </w:r>
          </w:p>
        </w:tc>
        <w:tc>
          <w:tcPr>
            <w:tcW w:w="80" w:type="dxa"/>
            <w:vAlign w:val="bottom"/>
          </w:tcPr>
          <w:p>
            <w:pPr>
              <w:spacing w:after="0"/>
              <w:rPr>
                <w:sz w:val="18"/>
                <w:szCs w:val="18"/>
                <w:color w:val="auto"/>
              </w:rPr>
            </w:pPr>
          </w:p>
        </w:tc>
        <w:tc>
          <w:tcPr>
            <w:tcW w:w="720" w:type="dxa"/>
            <w:vAlign w:val="bottom"/>
          </w:tcPr>
          <w:p>
            <w:pPr>
              <w:jc w:val="right"/>
              <w:spacing w:after="0"/>
              <w:rPr>
                <w:sz w:val="20"/>
                <w:szCs w:val="20"/>
                <w:color w:val="auto"/>
              </w:rPr>
            </w:pPr>
            <w:r>
              <w:rPr>
                <w:rFonts w:ascii="Arial" w:cs="Arial" w:eastAsia="Arial" w:hAnsi="Arial"/>
                <w:sz w:val="18"/>
                <w:szCs w:val="18"/>
                <w:color w:val="auto"/>
              </w:rPr>
              <w:t>74,976</w:t>
            </w:r>
          </w:p>
        </w:tc>
        <w:tc>
          <w:tcPr>
            <w:tcW w:w="3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820" w:type="dxa"/>
            <w:vAlign w:val="bottom"/>
            <w:gridSpan w:val="2"/>
          </w:tcPr>
          <w:p>
            <w:pPr>
              <w:jc w:val="right"/>
              <w:ind w:right="100"/>
              <w:spacing w:after="0"/>
              <w:rPr>
                <w:sz w:val="20"/>
                <w:szCs w:val="20"/>
                <w:color w:val="auto"/>
              </w:rPr>
            </w:pPr>
            <w:r>
              <w:rPr>
                <w:rFonts w:ascii="Arial" w:cs="Arial" w:eastAsia="Arial" w:hAnsi="Arial"/>
                <w:sz w:val="18"/>
                <w:szCs w:val="18"/>
                <w:color w:val="auto"/>
              </w:rPr>
              <w:t>85,786</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9380" w:type="dxa"/>
            <w:vAlign w:val="bottom"/>
            <w:shd w:val="clear" w:color="auto" w:fill="CCEEFF"/>
          </w:tcPr>
          <w:p>
            <w:pPr>
              <w:ind w:left="420"/>
              <w:spacing w:after="0"/>
              <w:rPr>
                <w:sz w:val="20"/>
                <w:szCs w:val="20"/>
                <w:color w:val="auto"/>
              </w:rPr>
            </w:pPr>
            <w:r>
              <w:rPr>
                <w:rFonts w:ascii="Arial" w:cs="Arial" w:eastAsia="Arial" w:hAnsi="Arial"/>
                <w:sz w:val="18"/>
                <w:szCs w:val="18"/>
                <w:color w:val="auto"/>
              </w:rPr>
              <w:t>Stock-based compensation</w:t>
            </w:r>
          </w:p>
        </w:tc>
        <w:tc>
          <w:tcPr>
            <w:tcW w:w="80" w:type="dxa"/>
            <w:vAlign w:val="bottom"/>
            <w:shd w:val="clear" w:color="auto" w:fill="CCEEFF"/>
          </w:tcPr>
          <w:p>
            <w:pPr>
              <w:spacing w:after="0"/>
              <w:rPr>
                <w:sz w:val="18"/>
                <w:szCs w:val="18"/>
                <w:color w:val="auto"/>
              </w:rPr>
            </w:pPr>
          </w:p>
        </w:tc>
        <w:tc>
          <w:tcPr>
            <w:tcW w:w="7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96,040</w:t>
            </w:r>
          </w:p>
        </w:tc>
        <w:tc>
          <w:tcPr>
            <w:tcW w:w="3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82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132,431</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9380" w:type="dxa"/>
            <w:vAlign w:val="bottom"/>
          </w:tcPr>
          <w:p>
            <w:pPr>
              <w:ind w:left="420"/>
              <w:spacing w:after="0"/>
              <w:rPr>
                <w:sz w:val="20"/>
                <w:szCs w:val="20"/>
                <w:color w:val="auto"/>
              </w:rPr>
            </w:pPr>
            <w:r>
              <w:rPr>
                <w:rFonts w:ascii="Arial" w:cs="Arial" w:eastAsia="Arial" w:hAnsi="Arial"/>
                <w:sz w:val="18"/>
                <w:szCs w:val="18"/>
                <w:color w:val="auto"/>
              </w:rPr>
              <w:t>Amortization of acquired intangible assets</w:t>
            </w:r>
          </w:p>
        </w:tc>
        <w:tc>
          <w:tcPr>
            <w:tcW w:w="80" w:type="dxa"/>
            <w:vAlign w:val="bottom"/>
          </w:tcPr>
          <w:p>
            <w:pPr>
              <w:spacing w:after="0"/>
              <w:rPr>
                <w:sz w:val="18"/>
                <w:szCs w:val="18"/>
                <w:color w:val="auto"/>
              </w:rPr>
            </w:pPr>
          </w:p>
        </w:tc>
        <w:tc>
          <w:tcPr>
            <w:tcW w:w="720" w:type="dxa"/>
            <w:vAlign w:val="bottom"/>
          </w:tcPr>
          <w:p>
            <w:pPr>
              <w:jc w:val="right"/>
              <w:spacing w:after="0"/>
              <w:rPr>
                <w:sz w:val="20"/>
                <w:szCs w:val="20"/>
                <w:color w:val="auto"/>
              </w:rPr>
            </w:pPr>
            <w:r>
              <w:rPr>
                <w:rFonts w:ascii="Arial" w:cs="Arial" w:eastAsia="Arial" w:hAnsi="Arial"/>
                <w:sz w:val="18"/>
                <w:szCs w:val="18"/>
                <w:color w:val="auto"/>
              </w:rPr>
              <w:t>83,252</w:t>
            </w:r>
          </w:p>
        </w:tc>
        <w:tc>
          <w:tcPr>
            <w:tcW w:w="3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820" w:type="dxa"/>
            <w:vAlign w:val="bottom"/>
            <w:gridSpan w:val="2"/>
          </w:tcPr>
          <w:p>
            <w:pPr>
              <w:jc w:val="right"/>
              <w:ind w:right="100"/>
              <w:spacing w:after="0"/>
              <w:rPr>
                <w:sz w:val="20"/>
                <w:szCs w:val="20"/>
                <w:color w:val="auto"/>
              </w:rPr>
            </w:pPr>
            <w:r>
              <w:rPr>
                <w:rFonts w:ascii="Arial" w:cs="Arial" w:eastAsia="Arial" w:hAnsi="Arial"/>
                <w:sz w:val="18"/>
                <w:szCs w:val="18"/>
                <w:color w:val="auto"/>
              </w:rPr>
              <w:t>105,049</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9380" w:type="dxa"/>
            <w:vAlign w:val="bottom"/>
            <w:shd w:val="clear" w:color="auto" w:fill="CCEEFF"/>
          </w:tcPr>
          <w:p>
            <w:pPr>
              <w:ind w:left="420"/>
              <w:spacing w:after="0"/>
              <w:rPr>
                <w:sz w:val="20"/>
                <w:szCs w:val="20"/>
                <w:color w:val="auto"/>
              </w:rPr>
            </w:pPr>
            <w:r>
              <w:rPr>
                <w:rFonts w:ascii="Arial" w:cs="Arial" w:eastAsia="Arial" w:hAnsi="Arial"/>
                <w:sz w:val="18"/>
                <w:szCs w:val="18"/>
                <w:color w:val="auto"/>
              </w:rPr>
              <w:t>Fair market value adjustment to Intel inventory sold</w:t>
            </w:r>
          </w:p>
        </w:tc>
        <w:tc>
          <w:tcPr>
            <w:tcW w:w="80" w:type="dxa"/>
            <w:vAlign w:val="bottom"/>
            <w:shd w:val="clear" w:color="auto" w:fill="CCEEFF"/>
          </w:tcPr>
          <w:p>
            <w:pPr>
              <w:spacing w:after="0"/>
              <w:rPr>
                <w:sz w:val="18"/>
                <w:szCs w:val="18"/>
                <w:color w:val="auto"/>
              </w:rPr>
            </w:pPr>
          </w:p>
        </w:tc>
        <w:tc>
          <w:tcPr>
            <w:tcW w:w="1040" w:type="dxa"/>
            <w:vAlign w:val="bottom"/>
            <w:gridSpan w:val="2"/>
            <w:shd w:val="clear" w:color="auto" w:fill="CCEEFF"/>
          </w:tcPr>
          <w:p>
            <w:pPr>
              <w:jc w:val="right"/>
              <w:ind w:right="280"/>
              <w:spacing w:after="0"/>
              <w:rPr>
                <w:sz w:val="20"/>
                <w:szCs w:val="20"/>
                <w:color w:val="auto"/>
              </w:rPr>
            </w:pPr>
            <w:r>
              <w:rPr>
                <w:rFonts w:ascii="Arial" w:cs="Arial" w:eastAsia="Arial" w:hAnsi="Arial"/>
                <w:sz w:val="18"/>
                <w:szCs w:val="18"/>
                <w:color w:val="auto"/>
              </w:rPr>
              <w:t>(13,883)</w:t>
            </w:r>
          </w:p>
        </w:tc>
        <w:tc>
          <w:tcPr>
            <w:tcW w:w="80" w:type="dxa"/>
            <w:vAlign w:val="bottom"/>
            <w:shd w:val="clear" w:color="auto" w:fill="CCEEFF"/>
          </w:tcPr>
          <w:p>
            <w:pPr>
              <w:spacing w:after="0"/>
              <w:rPr>
                <w:sz w:val="18"/>
                <w:szCs w:val="18"/>
                <w:color w:val="auto"/>
              </w:rPr>
            </w:pPr>
          </w:p>
        </w:tc>
        <w:tc>
          <w:tcPr>
            <w:tcW w:w="82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(14,163)</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9380" w:type="dxa"/>
            <w:vAlign w:val="bottom"/>
          </w:tcPr>
          <w:p>
            <w:pPr>
              <w:ind w:left="420"/>
              <w:spacing w:after="0"/>
              <w:rPr>
                <w:sz w:val="20"/>
                <w:szCs w:val="20"/>
                <w:color w:val="auto"/>
              </w:rPr>
            </w:pPr>
            <w:r>
              <w:rPr>
                <w:rFonts w:ascii="Arial" w:cs="Arial" w:eastAsia="Arial" w:hAnsi="Arial"/>
                <w:sz w:val="18"/>
                <w:szCs w:val="18"/>
                <w:color w:val="auto"/>
              </w:rPr>
              <w:t>Excess tax benefits from stock-based compensation</w:t>
            </w:r>
          </w:p>
        </w:tc>
        <w:tc>
          <w:tcPr>
            <w:tcW w:w="80" w:type="dxa"/>
            <w:vAlign w:val="bottom"/>
          </w:tcPr>
          <w:p>
            <w:pPr>
              <w:spacing w:after="0"/>
              <w:rPr>
                <w:sz w:val="18"/>
                <w:szCs w:val="18"/>
                <w:color w:val="auto"/>
              </w:rPr>
            </w:pPr>
          </w:p>
        </w:tc>
        <w:tc>
          <w:tcPr>
            <w:tcW w:w="1040" w:type="dxa"/>
            <w:vAlign w:val="bottom"/>
            <w:gridSpan w:val="2"/>
          </w:tcPr>
          <w:p>
            <w:pPr>
              <w:jc w:val="right"/>
              <w:ind w:right="280"/>
              <w:spacing w:after="0"/>
              <w:rPr>
                <w:sz w:val="20"/>
                <w:szCs w:val="20"/>
                <w:color w:val="auto"/>
              </w:rPr>
            </w:pPr>
            <w:r>
              <w:rPr>
                <w:rFonts w:ascii="Arial" w:cs="Arial" w:eastAsia="Arial" w:hAnsi="Arial"/>
                <w:sz w:val="18"/>
                <w:szCs w:val="18"/>
                <w:color w:val="auto"/>
              </w:rPr>
              <w:t>(205)</w:t>
            </w:r>
          </w:p>
        </w:tc>
        <w:tc>
          <w:tcPr>
            <w:tcW w:w="80" w:type="dxa"/>
            <w:vAlign w:val="bottom"/>
          </w:tcPr>
          <w:p>
            <w:pPr>
              <w:spacing w:after="0"/>
              <w:rPr>
                <w:sz w:val="18"/>
                <w:szCs w:val="18"/>
                <w:color w:val="auto"/>
              </w:rPr>
            </w:pPr>
          </w:p>
        </w:tc>
        <w:tc>
          <w:tcPr>
            <w:tcW w:w="820" w:type="dxa"/>
            <w:vAlign w:val="bottom"/>
            <w:gridSpan w:val="2"/>
          </w:tcPr>
          <w:p>
            <w:pPr>
              <w:jc w:val="right"/>
              <w:ind w:right="40"/>
              <w:spacing w:after="0"/>
              <w:rPr>
                <w:sz w:val="20"/>
                <w:szCs w:val="20"/>
                <w:color w:val="auto"/>
              </w:rPr>
            </w:pPr>
            <w:r>
              <w:rPr>
                <w:rFonts w:ascii="Arial" w:cs="Arial" w:eastAsia="Arial" w:hAnsi="Arial"/>
                <w:sz w:val="18"/>
                <w:szCs w:val="18"/>
                <w:color w:val="auto"/>
              </w:rPr>
              <w:t>(356)</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9380" w:type="dxa"/>
            <w:vAlign w:val="bottom"/>
            <w:shd w:val="clear" w:color="auto" w:fill="CCEEFF"/>
          </w:tcPr>
          <w:p>
            <w:pPr>
              <w:ind w:left="420"/>
              <w:spacing w:after="0"/>
              <w:rPr>
                <w:sz w:val="20"/>
                <w:szCs w:val="20"/>
                <w:color w:val="auto"/>
              </w:rPr>
            </w:pPr>
            <w:r>
              <w:rPr>
                <w:rFonts w:ascii="Arial" w:cs="Arial" w:eastAsia="Arial" w:hAnsi="Arial"/>
                <w:sz w:val="18"/>
                <w:szCs w:val="18"/>
                <w:color w:val="auto"/>
              </w:rPr>
              <w:t>Deferred income taxes</w:t>
            </w:r>
          </w:p>
        </w:tc>
        <w:tc>
          <w:tcPr>
            <w:tcW w:w="80" w:type="dxa"/>
            <w:vAlign w:val="bottom"/>
            <w:shd w:val="clear" w:color="auto" w:fill="CCEEFF"/>
          </w:tcPr>
          <w:p>
            <w:pPr>
              <w:spacing w:after="0"/>
              <w:rPr>
                <w:sz w:val="18"/>
                <w:szCs w:val="18"/>
                <w:color w:val="auto"/>
              </w:rPr>
            </w:pPr>
          </w:p>
        </w:tc>
        <w:tc>
          <w:tcPr>
            <w:tcW w:w="7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6,131</w:t>
            </w:r>
          </w:p>
        </w:tc>
        <w:tc>
          <w:tcPr>
            <w:tcW w:w="3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82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9380" w:type="dxa"/>
            <w:vAlign w:val="bottom"/>
          </w:tcPr>
          <w:p>
            <w:pPr>
              <w:ind w:left="420"/>
              <w:spacing w:after="0"/>
              <w:rPr>
                <w:sz w:val="20"/>
                <w:szCs w:val="20"/>
                <w:color w:val="auto"/>
              </w:rPr>
            </w:pPr>
            <w:r>
              <w:rPr>
                <w:rFonts w:ascii="Arial" w:cs="Arial" w:eastAsia="Arial" w:hAnsi="Arial"/>
                <w:sz w:val="18"/>
                <w:szCs w:val="18"/>
                <w:color w:val="auto"/>
              </w:rPr>
              <w:t>Changes in assets and liabilities:</w:t>
            </w:r>
          </w:p>
        </w:tc>
        <w:tc>
          <w:tcPr>
            <w:tcW w:w="80" w:type="dxa"/>
            <w:vAlign w:val="bottom"/>
          </w:tcPr>
          <w:p>
            <w:pPr>
              <w:spacing w:after="0"/>
              <w:rPr>
                <w:sz w:val="18"/>
                <w:szCs w:val="18"/>
                <w:color w:val="auto"/>
              </w:rPr>
            </w:pPr>
          </w:p>
        </w:tc>
        <w:tc>
          <w:tcPr>
            <w:tcW w:w="72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7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9380" w:type="dxa"/>
            <w:vAlign w:val="bottom"/>
            <w:shd w:val="clear" w:color="auto" w:fill="CCEEFF"/>
          </w:tcPr>
          <w:p>
            <w:pPr>
              <w:ind w:left="860"/>
              <w:spacing w:after="0"/>
              <w:rPr>
                <w:sz w:val="20"/>
                <w:szCs w:val="20"/>
                <w:color w:val="auto"/>
              </w:rPr>
            </w:pPr>
            <w:r>
              <w:rPr>
                <w:rFonts w:ascii="Arial" w:cs="Arial" w:eastAsia="Arial" w:hAnsi="Arial"/>
                <w:sz w:val="18"/>
                <w:szCs w:val="18"/>
                <w:color w:val="auto"/>
              </w:rPr>
              <w:t>Restricted cash</w:t>
            </w:r>
          </w:p>
        </w:tc>
        <w:tc>
          <w:tcPr>
            <w:tcW w:w="80" w:type="dxa"/>
            <w:vAlign w:val="bottom"/>
            <w:shd w:val="clear" w:color="auto" w:fill="CCEEFF"/>
          </w:tcPr>
          <w:p>
            <w:pPr>
              <w:spacing w:after="0"/>
              <w:rPr>
                <w:sz w:val="18"/>
                <w:szCs w:val="18"/>
                <w:color w:val="auto"/>
              </w:rPr>
            </w:pPr>
          </w:p>
        </w:tc>
        <w:tc>
          <w:tcPr>
            <w:tcW w:w="7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24,500</w:t>
            </w:r>
          </w:p>
        </w:tc>
        <w:tc>
          <w:tcPr>
            <w:tcW w:w="3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82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(24,500)</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9380" w:type="dxa"/>
            <w:vAlign w:val="bottom"/>
          </w:tcPr>
          <w:p>
            <w:pPr>
              <w:ind w:left="860"/>
              <w:spacing w:after="0"/>
              <w:rPr>
                <w:sz w:val="20"/>
                <w:szCs w:val="20"/>
                <w:color w:val="auto"/>
              </w:rPr>
            </w:pPr>
            <w:r>
              <w:rPr>
                <w:rFonts w:ascii="Arial" w:cs="Arial" w:eastAsia="Arial" w:hAnsi="Arial"/>
                <w:sz w:val="18"/>
                <w:szCs w:val="18"/>
                <w:color w:val="auto"/>
              </w:rPr>
              <w:t>Accounts receivable</w:t>
            </w:r>
          </w:p>
        </w:tc>
        <w:tc>
          <w:tcPr>
            <w:tcW w:w="80" w:type="dxa"/>
            <w:vAlign w:val="bottom"/>
          </w:tcPr>
          <w:p>
            <w:pPr>
              <w:spacing w:after="0"/>
              <w:rPr>
                <w:sz w:val="18"/>
                <w:szCs w:val="18"/>
                <w:color w:val="auto"/>
              </w:rPr>
            </w:pPr>
          </w:p>
        </w:tc>
        <w:tc>
          <w:tcPr>
            <w:tcW w:w="1040" w:type="dxa"/>
            <w:vAlign w:val="bottom"/>
            <w:gridSpan w:val="2"/>
          </w:tcPr>
          <w:p>
            <w:pPr>
              <w:jc w:val="right"/>
              <w:ind w:right="280"/>
              <w:spacing w:after="0"/>
              <w:rPr>
                <w:sz w:val="20"/>
                <w:szCs w:val="20"/>
                <w:color w:val="auto"/>
              </w:rPr>
            </w:pPr>
            <w:r>
              <w:rPr>
                <w:rFonts w:ascii="Arial" w:cs="Arial" w:eastAsia="Arial" w:hAnsi="Arial"/>
                <w:sz w:val="18"/>
                <w:szCs w:val="18"/>
                <w:color w:val="auto"/>
                <w:w w:val="95"/>
              </w:rPr>
              <w:t>(172,218)</w:t>
            </w:r>
          </w:p>
        </w:tc>
        <w:tc>
          <w:tcPr>
            <w:tcW w:w="80" w:type="dxa"/>
            <w:vAlign w:val="bottom"/>
          </w:tcPr>
          <w:p>
            <w:pPr>
              <w:spacing w:after="0"/>
              <w:rPr>
                <w:sz w:val="18"/>
                <w:szCs w:val="18"/>
                <w:color w:val="auto"/>
              </w:rPr>
            </w:pPr>
          </w:p>
        </w:tc>
        <w:tc>
          <w:tcPr>
            <w:tcW w:w="820" w:type="dxa"/>
            <w:vAlign w:val="bottom"/>
            <w:gridSpan w:val="2"/>
          </w:tcPr>
          <w:p>
            <w:pPr>
              <w:jc w:val="right"/>
              <w:ind w:right="40"/>
              <w:spacing w:after="0"/>
              <w:rPr>
                <w:sz w:val="20"/>
                <w:szCs w:val="20"/>
                <w:color w:val="auto"/>
              </w:rPr>
            </w:pPr>
            <w:r>
              <w:rPr>
                <w:rFonts w:ascii="Arial" w:cs="Arial" w:eastAsia="Arial" w:hAnsi="Arial"/>
                <w:sz w:val="18"/>
                <w:szCs w:val="18"/>
                <w:color w:val="auto"/>
              </w:rPr>
              <w:t>(65,816)</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9380" w:type="dxa"/>
            <w:vAlign w:val="bottom"/>
            <w:shd w:val="clear" w:color="auto" w:fill="CCEEFF"/>
          </w:tcPr>
          <w:p>
            <w:pPr>
              <w:ind w:left="860"/>
              <w:spacing w:after="0"/>
              <w:rPr>
                <w:sz w:val="20"/>
                <w:szCs w:val="20"/>
                <w:color w:val="auto"/>
              </w:rPr>
            </w:pPr>
            <w:r>
              <w:rPr>
                <w:rFonts w:ascii="Arial" w:cs="Arial" w:eastAsia="Arial" w:hAnsi="Arial"/>
                <w:sz w:val="18"/>
                <w:szCs w:val="18"/>
                <w:color w:val="auto"/>
              </w:rPr>
              <w:t>Inventories</w:t>
            </w:r>
          </w:p>
        </w:tc>
        <w:tc>
          <w:tcPr>
            <w:tcW w:w="80" w:type="dxa"/>
            <w:vAlign w:val="bottom"/>
            <w:shd w:val="clear" w:color="auto" w:fill="CCEEFF"/>
          </w:tcPr>
          <w:p>
            <w:pPr>
              <w:spacing w:after="0"/>
              <w:rPr>
                <w:sz w:val="18"/>
                <w:szCs w:val="18"/>
                <w:color w:val="auto"/>
              </w:rPr>
            </w:pPr>
          </w:p>
        </w:tc>
        <w:tc>
          <w:tcPr>
            <w:tcW w:w="7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83,548</w:t>
            </w:r>
          </w:p>
        </w:tc>
        <w:tc>
          <w:tcPr>
            <w:tcW w:w="3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82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95,850</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9380" w:type="dxa"/>
            <w:vAlign w:val="bottom"/>
          </w:tcPr>
          <w:p>
            <w:pPr>
              <w:ind w:left="860"/>
              <w:spacing w:after="0"/>
              <w:rPr>
                <w:sz w:val="20"/>
                <w:szCs w:val="20"/>
                <w:color w:val="auto"/>
              </w:rPr>
            </w:pPr>
            <w:r>
              <w:rPr>
                <w:rFonts w:ascii="Arial" w:cs="Arial" w:eastAsia="Arial" w:hAnsi="Arial"/>
                <w:sz w:val="18"/>
                <w:szCs w:val="18"/>
                <w:color w:val="auto"/>
              </w:rPr>
              <w:t>Prepaids and other assets</w:t>
            </w:r>
          </w:p>
        </w:tc>
        <w:tc>
          <w:tcPr>
            <w:tcW w:w="80" w:type="dxa"/>
            <w:vAlign w:val="bottom"/>
          </w:tcPr>
          <w:p>
            <w:pPr>
              <w:spacing w:after="0"/>
              <w:rPr>
                <w:sz w:val="18"/>
                <w:szCs w:val="18"/>
                <w:color w:val="auto"/>
              </w:rPr>
            </w:pPr>
          </w:p>
        </w:tc>
        <w:tc>
          <w:tcPr>
            <w:tcW w:w="720" w:type="dxa"/>
            <w:vAlign w:val="bottom"/>
          </w:tcPr>
          <w:p>
            <w:pPr>
              <w:jc w:val="right"/>
              <w:spacing w:after="0"/>
              <w:rPr>
                <w:sz w:val="20"/>
                <w:szCs w:val="20"/>
                <w:color w:val="auto"/>
              </w:rPr>
            </w:pPr>
            <w:r>
              <w:rPr>
                <w:rFonts w:ascii="Arial" w:cs="Arial" w:eastAsia="Arial" w:hAnsi="Arial"/>
                <w:sz w:val="18"/>
                <w:szCs w:val="18"/>
                <w:color w:val="auto"/>
              </w:rPr>
              <w:t>7,559</w:t>
            </w:r>
          </w:p>
        </w:tc>
        <w:tc>
          <w:tcPr>
            <w:tcW w:w="3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820" w:type="dxa"/>
            <w:vAlign w:val="bottom"/>
            <w:gridSpan w:val="2"/>
          </w:tcPr>
          <w:p>
            <w:pPr>
              <w:jc w:val="right"/>
              <w:ind w:right="100"/>
              <w:spacing w:after="0"/>
              <w:rPr>
                <w:sz w:val="20"/>
                <w:szCs w:val="20"/>
                <w:color w:val="auto"/>
              </w:rPr>
            </w:pPr>
            <w:r>
              <w:rPr>
                <w:rFonts w:ascii="Arial" w:cs="Arial" w:eastAsia="Arial" w:hAnsi="Arial"/>
                <w:sz w:val="18"/>
                <w:szCs w:val="18"/>
                <w:color w:val="auto"/>
              </w:rPr>
              <w:t>61,847</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9380" w:type="dxa"/>
            <w:vAlign w:val="bottom"/>
            <w:shd w:val="clear" w:color="auto" w:fill="CCEEFF"/>
          </w:tcPr>
          <w:p>
            <w:pPr>
              <w:ind w:left="860"/>
              <w:spacing w:after="0"/>
              <w:rPr>
                <w:sz w:val="20"/>
                <w:szCs w:val="20"/>
                <w:color w:val="auto"/>
              </w:rPr>
            </w:pPr>
            <w:r>
              <w:rPr>
                <w:rFonts w:ascii="Arial" w:cs="Arial" w:eastAsia="Arial" w:hAnsi="Arial"/>
                <w:sz w:val="18"/>
                <w:szCs w:val="18"/>
                <w:color w:val="auto"/>
              </w:rPr>
              <w:t>Accounts payable</w:t>
            </w:r>
          </w:p>
        </w:tc>
        <w:tc>
          <w:tcPr>
            <w:tcW w:w="80" w:type="dxa"/>
            <w:vAlign w:val="bottom"/>
            <w:shd w:val="clear" w:color="auto" w:fill="CCEEFF"/>
          </w:tcPr>
          <w:p>
            <w:pPr>
              <w:spacing w:after="0"/>
              <w:rPr>
                <w:sz w:val="18"/>
                <w:szCs w:val="18"/>
                <w:color w:val="auto"/>
              </w:rPr>
            </w:pPr>
          </w:p>
        </w:tc>
        <w:tc>
          <w:tcPr>
            <w:tcW w:w="7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172,062</w:t>
            </w:r>
          </w:p>
        </w:tc>
        <w:tc>
          <w:tcPr>
            <w:tcW w:w="3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82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(6,004)</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9380" w:type="dxa"/>
            <w:vAlign w:val="bottom"/>
          </w:tcPr>
          <w:p>
            <w:pPr>
              <w:ind w:left="860"/>
              <w:spacing w:after="0"/>
              <w:rPr>
                <w:sz w:val="20"/>
                <w:szCs w:val="20"/>
                <w:color w:val="auto"/>
              </w:rPr>
            </w:pPr>
            <w:r>
              <w:rPr>
                <w:rFonts w:ascii="Arial" w:cs="Arial" w:eastAsia="Arial" w:hAnsi="Arial"/>
                <w:sz w:val="18"/>
                <w:szCs w:val="18"/>
                <w:color w:val="auto"/>
              </w:rPr>
              <w:t>Accrued liabilities and other</w:t>
            </w:r>
          </w:p>
        </w:tc>
        <w:tc>
          <w:tcPr>
            <w:tcW w:w="80" w:type="dxa"/>
            <w:vAlign w:val="bottom"/>
          </w:tcPr>
          <w:p>
            <w:pPr>
              <w:spacing w:after="0"/>
              <w:rPr>
                <w:sz w:val="18"/>
                <w:szCs w:val="18"/>
                <w:color w:val="auto"/>
              </w:rPr>
            </w:pPr>
          </w:p>
        </w:tc>
        <w:tc>
          <w:tcPr>
            <w:tcW w:w="1040" w:type="dxa"/>
            <w:vAlign w:val="bottom"/>
            <w:gridSpan w:val="2"/>
          </w:tcPr>
          <w:p>
            <w:pPr>
              <w:jc w:val="right"/>
              <w:ind w:right="280"/>
              <w:spacing w:after="0"/>
              <w:rPr>
                <w:sz w:val="20"/>
                <w:szCs w:val="20"/>
                <w:color w:val="auto"/>
              </w:rPr>
            </w:pPr>
            <w:r>
              <w:rPr>
                <w:rFonts w:ascii="Arial" w:cs="Arial" w:eastAsia="Arial" w:hAnsi="Arial"/>
                <w:sz w:val="18"/>
                <w:szCs w:val="18"/>
                <w:color w:val="auto"/>
              </w:rPr>
              <w:t>(13,628)</w:t>
            </w:r>
          </w:p>
        </w:tc>
        <w:tc>
          <w:tcPr>
            <w:tcW w:w="80" w:type="dxa"/>
            <w:vAlign w:val="bottom"/>
          </w:tcPr>
          <w:p>
            <w:pPr>
              <w:spacing w:after="0"/>
              <w:rPr>
                <w:sz w:val="18"/>
                <w:szCs w:val="18"/>
                <w:color w:val="auto"/>
              </w:rPr>
            </w:pPr>
          </w:p>
        </w:tc>
        <w:tc>
          <w:tcPr>
            <w:tcW w:w="820" w:type="dxa"/>
            <w:vAlign w:val="bottom"/>
            <w:gridSpan w:val="2"/>
          </w:tcPr>
          <w:p>
            <w:pPr>
              <w:jc w:val="right"/>
              <w:ind w:right="40"/>
              <w:spacing w:after="0"/>
              <w:rPr>
                <w:sz w:val="20"/>
                <w:szCs w:val="20"/>
                <w:color w:val="auto"/>
              </w:rPr>
            </w:pPr>
            <w:r>
              <w:rPr>
                <w:rFonts w:ascii="Arial" w:cs="Arial" w:eastAsia="Arial" w:hAnsi="Arial"/>
                <w:sz w:val="18"/>
                <w:szCs w:val="18"/>
                <w:color w:val="auto"/>
              </w:rPr>
              <w:t>(23,693)</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9380" w:type="dxa"/>
            <w:vAlign w:val="bottom"/>
            <w:shd w:val="clear" w:color="auto" w:fill="CCEEFF"/>
          </w:tcPr>
          <w:p>
            <w:pPr>
              <w:ind w:left="860"/>
              <w:spacing w:after="0"/>
              <w:rPr>
                <w:sz w:val="20"/>
                <w:szCs w:val="20"/>
                <w:color w:val="auto"/>
              </w:rPr>
            </w:pPr>
            <w:r>
              <w:rPr>
                <w:rFonts w:ascii="Arial" w:cs="Arial" w:eastAsia="Arial" w:hAnsi="Arial"/>
                <w:sz w:val="18"/>
                <w:szCs w:val="18"/>
                <w:color w:val="auto"/>
              </w:rPr>
              <w:t>Accrued employee compensation</w:t>
            </w:r>
          </w:p>
        </w:tc>
        <w:tc>
          <w:tcPr>
            <w:tcW w:w="80" w:type="dxa"/>
            <w:vAlign w:val="bottom"/>
            <w:shd w:val="clear" w:color="auto" w:fill="CCEEFF"/>
          </w:tcPr>
          <w:p>
            <w:pPr>
              <w:spacing w:after="0"/>
              <w:rPr>
                <w:sz w:val="18"/>
                <w:szCs w:val="18"/>
                <w:color w:val="auto"/>
              </w:rPr>
            </w:pPr>
          </w:p>
        </w:tc>
        <w:tc>
          <w:tcPr>
            <w:tcW w:w="7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35,149</w:t>
            </w:r>
          </w:p>
        </w:tc>
        <w:tc>
          <w:tcPr>
            <w:tcW w:w="3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82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17,659</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9380" w:type="dxa"/>
            <w:vAlign w:val="bottom"/>
          </w:tcPr>
          <w:p>
            <w:pPr>
              <w:ind w:left="860"/>
              <w:spacing w:after="0"/>
              <w:rPr>
                <w:sz w:val="20"/>
                <w:szCs w:val="20"/>
                <w:color w:val="auto"/>
              </w:rPr>
            </w:pPr>
            <w:r>
              <w:rPr>
                <w:rFonts w:ascii="Arial" w:cs="Arial" w:eastAsia="Arial" w:hAnsi="Arial"/>
                <w:sz w:val="18"/>
                <w:szCs w:val="18"/>
                <w:color w:val="auto"/>
              </w:rPr>
              <w:t>Income taxes payable</w:t>
            </w:r>
          </w:p>
        </w:tc>
        <w:tc>
          <w:tcPr>
            <w:tcW w:w="80" w:type="dxa"/>
            <w:vAlign w:val="bottom"/>
          </w:tcPr>
          <w:p>
            <w:pPr>
              <w:spacing w:after="0"/>
              <w:rPr>
                <w:sz w:val="18"/>
                <w:szCs w:val="18"/>
                <w:color w:val="auto"/>
              </w:rPr>
            </w:pPr>
          </w:p>
        </w:tc>
        <w:tc>
          <w:tcPr>
            <w:tcW w:w="1040" w:type="dxa"/>
            <w:vAlign w:val="bottom"/>
            <w:gridSpan w:val="2"/>
          </w:tcPr>
          <w:p>
            <w:pPr>
              <w:jc w:val="right"/>
              <w:ind w:right="280"/>
              <w:spacing w:after="0"/>
              <w:rPr>
                <w:sz w:val="20"/>
                <w:szCs w:val="20"/>
                <w:color w:val="auto"/>
              </w:rPr>
            </w:pPr>
            <w:r>
              <w:rPr>
                <w:rFonts w:ascii="Arial" w:cs="Arial" w:eastAsia="Arial" w:hAnsi="Arial"/>
                <w:sz w:val="18"/>
                <w:szCs w:val="18"/>
                <w:color w:val="auto"/>
              </w:rPr>
              <w:t>(29,060)</w:t>
            </w:r>
          </w:p>
        </w:tc>
        <w:tc>
          <w:tcPr>
            <w:tcW w:w="80" w:type="dxa"/>
            <w:vAlign w:val="bottom"/>
          </w:tcPr>
          <w:p>
            <w:pPr>
              <w:spacing w:after="0"/>
              <w:rPr>
                <w:sz w:val="18"/>
                <w:szCs w:val="18"/>
                <w:color w:val="auto"/>
              </w:rPr>
            </w:pPr>
          </w:p>
        </w:tc>
        <w:tc>
          <w:tcPr>
            <w:tcW w:w="820" w:type="dxa"/>
            <w:vAlign w:val="bottom"/>
            <w:gridSpan w:val="2"/>
          </w:tcPr>
          <w:p>
            <w:pPr>
              <w:jc w:val="right"/>
              <w:ind w:right="40"/>
              <w:spacing w:after="0"/>
              <w:rPr>
                <w:sz w:val="20"/>
                <w:szCs w:val="20"/>
                <w:color w:val="auto"/>
              </w:rPr>
            </w:pPr>
            <w:r>
              <w:rPr>
                <w:rFonts w:ascii="Arial" w:cs="Arial" w:eastAsia="Arial" w:hAnsi="Arial"/>
                <w:sz w:val="18"/>
                <w:szCs w:val="18"/>
                <w:color w:val="auto"/>
              </w:rPr>
              <w:t>(100)</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9380" w:type="dxa"/>
            <w:vAlign w:val="bottom"/>
            <w:shd w:val="clear" w:color="auto" w:fill="CCEEFF"/>
          </w:tcPr>
          <w:p>
            <w:pPr>
              <w:ind w:left="860"/>
              <w:spacing w:after="0"/>
              <w:rPr>
                <w:sz w:val="20"/>
                <w:szCs w:val="20"/>
                <w:color w:val="auto"/>
              </w:rPr>
            </w:pPr>
            <w:r>
              <w:rPr>
                <w:rFonts w:ascii="Arial" w:cs="Arial" w:eastAsia="Arial" w:hAnsi="Arial"/>
                <w:sz w:val="18"/>
                <w:szCs w:val="18"/>
                <w:color w:val="auto"/>
              </w:rPr>
              <w:t>Deferred income</w:t>
            </w:r>
          </w:p>
        </w:tc>
        <w:tc>
          <w:tcPr>
            <w:tcW w:w="80" w:type="dxa"/>
            <w:vAlign w:val="bottom"/>
            <w:shd w:val="clear" w:color="auto" w:fill="CCEEFF"/>
          </w:tcPr>
          <w:p>
            <w:pPr>
              <w:spacing w:after="0"/>
              <w:rPr>
                <w:sz w:val="18"/>
                <w:szCs w:val="18"/>
                <w:color w:val="auto"/>
              </w:rPr>
            </w:pPr>
          </w:p>
        </w:tc>
        <w:tc>
          <w:tcPr>
            <w:tcW w:w="7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27,538</w:t>
            </w:r>
          </w:p>
        </w:tc>
        <w:tc>
          <w:tcPr>
            <w:tcW w:w="3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82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(4,700)</w:t>
            </w:r>
          </w:p>
        </w:tc>
        <w:tc>
          <w:tcPr>
            <w:tcW w:w="0" w:type="dxa"/>
            <w:vAlign w:val="bottom"/>
          </w:tcPr>
          <w:p>
            <w:pPr>
              <w:spacing w:after="0"/>
              <w:rPr>
                <w:sz w:val="1"/>
                <w:szCs w:val="1"/>
                <w:color w:val="auto"/>
              </w:rPr>
            </w:pPr>
          </w:p>
        </w:tc>
      </w:tr>
      <w:tr>
        <w:trPr>
          <w:trHeight w:val="230"/>
        </w:trPr>
        <w:tc>
          <w:tcPr>
            <w:tcW w:w="20" w:type="dxa"/>
            <w:vAlign w:val="bottom"/>
          </w:tcPr>
          <w:p>
            <w:pPr>
              <w:spacing w:after="0"/>
              <w:rPr>
                <w:sz w:val="20"/>
                <w:szCs w:val="20"/>
                <w:color w:val="auto"/>
              </w:rPr>
            </w:pPr>
          </w:p>
        </w:tc>
        <w:tc>
          <w:tcPr>
            <w:tcW w:w="9380" w:type="dxa"/>
            <w:vAlign w:val="bottom"/>
          </w:tcPr>
          <w:p>
            <w:pPr>
              <w:ind w:left="1280"/>
              <w:spacing w:after="0"/>
              <w:rPr>
                <w:sz w:val="20"/>
                <w:szCs w:val="20"/>
                <w:color w:val="auto"/>
              </w:rPr>
            </w:pPr>
            <w:r>
              <w:rPr>
                <w:rFonts w:ascii="Arial" w:cs="Arial" w:eastAsia="Arial" w:hAnsi="Arial"/>
                <w:sz w:val="18"/>
                <w:szCs w:val="18"/>
                <w:color w:val="auto"/>
              </w:rPr>
              <w:t>Net cash provided by operating activities</w:t>
            </w:r>
          </w:p>
        </w:tc>
        <w:tc>
          <w:tcPr>
            <w:tcW w:w="80" w:type="dxa"/>
            <w:vAlign w:val="bottom"/>
            <w:tcBorders>
              <w:top w:val="single" w:sz="8" w:color="auto"/>
              <w:bottom w:val="single" w:sz="8" w:color="auto"/>
            </w:tcBorders>
          </w:tcPr>
          <w:p>
            <w:pPr>
              <w:spacing w:after="0"/>
              <w:rPr>
                <w:sz w:val="20"/>
                <w:szCs w:val="20"/>
                <w:color w:val="auto"/>
              </w:rPr>
            </w:pPr>
          </w:p>
        </w:tc>
        <w:tc>
          <w:tcPr>
            <w:tcW w:w="72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530,396</w:t>
            </w:r>
          </w:p>
        </w:tc>
        <w:tc>
          <w:tcPr>
            <w:tcW w:w="320" w:type="dxa"/>
            <w:vAlign w:val="bottom"/>
          </w:tcPr>
          <w:p>
            <w:pPr>
              <w:spacing w:after="0"/>
              <w:rPr>
                <w:sz w:val="20"/>
                <w:szCs w:val="20"/>
                <w:color w:val="auto"/>
              </w:rPr>
            </w:pPr>
          </w:p>
        </w:tc>
        <w:tc>
          <w:tcPr>
            <w:tcW w:w="80" w:type="dxa"/>
            <w:vAlign w:val="bottom"/>
            <w:tcBorders>
              <w:top w:val="single" w:sz="8" w:color="auto"/>
              <w:bottom w:val="single" w:sz="8" w:color="auto"/>
            </w:tcBorders>
          </w:tcPr>
          <w:p>
            <w:pPr>
              <w:spacing w:after="0"/>
              <w:rPr>
                <w:sz w:val="20"/>
                <w:szCs w:val="20"/>
                <w:color w:val="auto"/>
              </w:rPr>
            </w:pPr>
          </w:p>
        </w:tc>
        <w:tc>
          <w:tcPr>
            <w:tcW w:w="72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571,542</w:t>
            </w:r>
          </w:p>
        </w:tc>
        <w:tc>
          <w:tcPr>
            <w:tcW w:w="10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9380" w:type="dxa"/>
            <w:vAlign w:val="bottom"/>
            <w:shd w:val="clear" w:color="auto" w:fill="CCEEFF"/>
          </w:tcPr>
          <w:p>
            <w:pPr>
              <w:spacing w:after="0"/>
              <w:rPr>
                <w:sz w:val="20"/>
                <w:szCs w:val="20"/>
                <w:color w:val="auto"/>
              </w:rPr>
            </w:pPr>
            <w:r>
              <w:rPr>
                <w:rFonts w:ascii="Arial" w:cs="Arial" w:eastAsia="Arial" w:hAnsi="Arial"/>
                <w:sz w:val="18"/>
                <w:szCs w:val="18"/>
                <w:b w:val="1"/>
                <w:bCs w:val="1"/>
                <w:color w:val="auto"/>
              </w:rPr>
              <w:t>Cash flows from investing activities:</w:t>
            </w:r>
          </w:p>
        </w:tc>
        <w:tc>
          <w:tcPr>
            <w:tcW w:w="80" w:type="dxa"/>
            <w:vAlign w:val="bottom"/>
            <w:shd w:val="clear" w:color="auto" w:fill="CCEEFF"/>
          </w:tcPr>
          <w:p>
            <w:pPr>
              <w:spacing w:after="0"/>
              <w:rPr>
                <w:sz w:val="18"/>
                <w:szCs w:val="18"/>
                <w:color w:val="auto"/>
              </w:rPr>
            </w:pPr>
          </w:p>
        </w:tc>
        <w:tc>
          <w:tcPr>
            <w:tcW w:w="720" w:type="dxa"/>
            <w:vAlign w:val="bottom"/>
            <w:shd w:val="clear" w:color="auto" w:fill="CCEEFF"/>
          </w:tcPr>
          <w:p>
            <w:pPr>
              <w:spacing w:after="0"/>
              <w:rPr>
                <w:sz w:val="18"/>
                <w:szCs w:val="18"/>
                <w:color w:val="auto"/>
              </w:rPr>
            </w:pPr>
          </w:p>
        </w:tc>
        <w:tc>
          <w:tcPr>
            <w:tcW w:w="3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7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9380" w:type="dxa"/>
            <w:vAlign w:val="bottom"/>
          </w:tcPr>
          <w:p>
            <w:pPr>
              <w:ind w:left="420"/>
              <w:spacing w:after="0"/>
              <w:rPr>
                <w:sz w:val="20"/>
                <w:szCs w:val="20"/>
                <w:color w:val="auto"/>
              </w:rPr>
            </w:pPr>
            <w:r>
              <w:rPr>
                <w:rFonts w:ascii="Arial" w:cs="Arial" w:eastAsia="Arial" w:hAnsi="Arial"/>
                <w:sz w:val="18"/>
                <w:szCs w:val="18"/>
                <w:color w:val="auto"/>
              </w:rPr>
              <w:t>Purchases of investments</w:t>
            </w:r>
          </w:p>
        </w:tc>
        <w:tc>
          <w:tcPr>
            <w:tcW w:w="80" w:type="dxa"/>
            <w:vAlign w:val="bottom"/>
          </w:tcPr>
          <w:p>
            <w:pPr>
              <w:spacing w:after="0"/>
              <w:rPr>
                <w:sz w:val="18"/>
                <w:szCs w:val="18"/>
                <w:color w:val="auto"/>
              </w:rPr>
            </w:pPr>
          </w:p>
        </w:tc>
        <w:tc>
          <w:tcPr>
            <w:tcW w:w="1040" w:type="dxa"/>
            <w:vAlign w:val="bottom"/>
            <w:gridSpan w:val="2"/>
          </w:tcPr>
          <w:p>
            <w:pPr>
              <w:jc w:val="right"/>
              <w:ind w:right="280"/>
              <w:spacing w:after="0"/>
              <w:rPr>
                <w:sz w:val="20"/>
                <w:szCs w:val="20"/>
                <w:color w:val="auto"/>
              </w:rPr>
            </w:pPr>
            <w:r>
              <w:rPr>
                <w:rFonts w:ascii="Arial" w:cs="Arial" w:eastAsia="Arial" w:hAnsi="Arial"/>
                <w:sz w:val="18"/>
                <w:szCs w:val="18"/>
                <w:color w:val="auto"/>
                <w:w w:val="95"/>
              </w:rPr>
              <w:t>(426,998)</w:t>
            </w:r>
          </w:p>
        </w:tc>
        <w:tc>
          <w:tcPr>
            <w:tcW w:w="80" w:type="dxa"/>
            <w:vAlign w:val="bottom"/>
          </w:tcPr>
          <w:p>
            <w:pPr>
              <w:spacing w:after="0"/>
              <w:rPr>
                <w:sz w:val="18"/>
                <w:szCs w:val="18"/>
                <w:color w:val="auto"/>
              </w:rPr>
            </w:pPr>
          </w:p>
        </w:tc>
        <w:tc>
          <w:tcPr>
            <w:tcW w:w="820" w:type="dxa"/>
            <w:vAlign w:val="bottom"/>
            <w:gridSpan w:val="2"/>
          </w:tcPr>
          <w:p>
            <w:pPr>
              <w:jc w:val="right"/>
              <w:ind w:right="40"/>
              <w:spacing w:after="0"/>
              <w:rPr>
                <w:sz w:val="20"/>
                <w:szCs w:val="20"/>
                <w:color w:val="auto"/>
              </w:rPr>
            </w:pPr>
            <w:r>
              <w:rPr>
                <w:rFonts w:ascii="Arial" w:cs="Arial" w:eastAsia="Arial" w:hAnsi="Arial"/>
                <w:sz w:val="18"/>
                <w:szCs w:val="18"/>
                <w:color w:val="auto"/>
              </w:rPr>
              <w:t>(10,172)</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9380" w:type="dxa"/>
            <w:vAlign w:val="bottom"/>
            <w:shd w:val="clear" w:color="auto" w:fill="CCEEFF"/>
          </w:tcPr>
          <w:p>
            <w:pPr>
              <w:ind w:left="420"/>
              <w:spacing w:after="0"/>
              <w:rPr>
                <w:sz w:val="20"/>
                <w:szCs w:val="20"/>
                <w:color w:val="auto"/>
              </w:rPr>
            </w:pPr>
            <w:r>
              <w:rPr>
                <w:rFonts w:ascii="Arial" w:cs="Arial" w:eastAsia="Arial" w:hAnsi="Arial"/>
                <w:sz w:val="18"/>
                <w:szCs w:val="18"/>
                <w:color w:val="auto"/>
              </w:rPr>
              <w:t>Sales and maturities of investments</w:t>
            </w:r>
          </w:p>
        </w:tc>
        <w:tc>
          <w:tcPr>
            <w:tcW w:w="80" w:type="dxa"/>
            <w:vAlign w:val="bottom"/>
            <w:shd w:val="clear" w:color="auto" w:fill="CCEEFF"/>
          </w:tcPr>
          <w:p>
            <w:pPr>
              <w:spacing w:after="0"/>
              <w:rPr>
                <w:sz w:val="18"/>
                <w:szCs w:val="18"/>
                <w:color w:val="auto"/>
              </w:rPr>
            </w:pPr>
          </w:p>
        </w:tc>
        <w:tc>
          <w:tcPr>
            <w:tcW w:w="7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10,318</w:t>
            </w:r>
          </w:p>
        </w:tc>
        <w:tc>
          <w:tcPr>
            <w:tcW w:w="3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82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29,181</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9380" w:type="dxa"/>
            <w:vAlign w:val="bottom"/>
          </w:tcPr>
          <w:p>
            <w:pPr>
              <w:ind w:left="420"/>
              <w:spacing w:after="0"/>
              <w:rPr>
                <w:sz w:val="20"/>
                <w:szCs w:val="20"/>
                <w:color w:val="auto"/>
              </w:rPr>
            </w:pPr>
            <w:r>
              <w:rPr>
                <w:rFonts w:ascii="Arial" w:cs="Arial" w:eastAsia="Arial" w:hAnsi="Arial"/>
                <w:sz w:val="18"/>
                <w:szCs w:val="18"/>
                <w:color w:val="auto"/>
              </w:rPr>
              <w:t>Purchases of technology licenses</w:t>
            </w:r>
          </w:p>
        </w:tc>
        <w:tc>
          <w:tcPr>
            <w:tcW w:w="80" w:type="dxa"/>
            <w:vAlign w:val="bottom"/>
          </w:tcPr>
          <w:p>
            <w:pPr>
              <w:spacing w:after="0"/>
              <w:rPr>
                <w:sz w:val="18"/>
                <w:szCs w:val="18"/>
                <w:color w:val="auto"/>
              </w:rPr>
            </w:pPr>
          </w:p>
        </w:tc>
        <w:tc>
          <w:tcPr>
            <w:tcW w:w="1040" w:type="dxa"/>
            <w:vAlign w:val="bottom"/>
            <w:gridSpan w:val="2"/>
          </w:tcPr>
          <w:p>
            <w:pPr>
              <w:jc w:val="right"/>
              <w:ind w:right="280"/>
              <w:spacing w:after="0"/>
              <w:rPr>
                <w:sz w:val="20"/>
                <w:szCs w:val="20"/>
                <w:color w:val="auto"/>
              </w:rPr>
            </w:pPr>
            <w:r>
              <w:rPr>
                <w:rFonts w:ascii="Arial" w:cs="Arial" w:eastAsia="Arial" w:hAnsi="Arial"/>
                <w:sz w:val="18"/>
                <w:szCs w:val="18"/>
                <w:color w:val="auto"/>
              </w:rPr>
              <w:t>(12,550)</w:t>
            </w:r>
          </w:p>
        </w:tc>
        <w:tc>
          <w:tcPr>
            <w:tcW w:w="80" w:type="dxa"/>
            <w:vAlign w:val="bottom"/>
          </w:tcPr>
          <w:p>
            <w:pPr>
              <w:spacing w:after="0"/>
              <w:rPr>
                <w:sz w:val="18"/>
                <w:szCs w:val="18"/>
                <w:color w:val="auto"/>
              </w:rPr>
            </w:pPr>
          </w:p>
        </w:tc>
        <w:tc>
          <w:tcPr>
            <w:tcW w:w="820" w:type="dxa"/>
            <w:vAlign w:val="bottom"/>
            <w:gridSpan w:val="2"/>
          </w:tcPr>
          <w:p>
            <w:pPr>
              <w:jc w:val="right"/>
              <w:ind w:right="40"/>
              <w:spacing w:after="0"/>
              <w:rPr>
                <w:sz w:val="20"/>
                <w:szCs w:val="20"/>
                <w:color w:val="auto"/>
              </w:rPr>
            </w:pPr>
            <w:r>
              <w:rPr>
                <w:rFonts w:ascii="Arial" w:cs="Arial" w:eastAsia="Arial" w:hAnsi="Arial"/>
                <w:sz w:val="18"/>
                <w:szCs w:val="18"/>
                <w:color w:val="auto"/>
              </w:rPr>
              <w:t>(2,650)</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9380" w:type="dxa"/>
            <w:vAlign w:val="bottom"/>
            <w:shd w:val="clear" w:color="auto" w:fill="CCEEFF"/>
          </w:tcPr>
          <w:p>
            <w:pPr>
              <w:ind w:left="420"/>
              <w:spacing w:after="0"/>
              <w:rPr>
                <w:sz w:val="20"/>
                <w:szCs w:val="20"/>
                <w:color w:val="auto"/>
              </w:rPr>
            </w:pPr>
            <w:r>
              <w:rPr>
                <w:rFonts w:ascii="Arial" w:cs="Arial" w:eastAsia="Arial" w:hAnsi="Arial"/>
                <w:sz w:val="18"/>
                <w:szCs w:val="18"/>
                <w:color w:val="auto"/>
              </w:rPr>
              <w:t>Purchases of property and equipment</w:t>
            </w:r>
          </w:p>
        </w:tc>
        <w:tc>
          <w:tcPr>
            <w:tcW w:w="80" w:type="dxa"/>
            <w:vAlign w:val="bottom"/>
            <w:shd w:val="clear" w:color="auto" w:fill="CCEEFF"/>
          </w:tcPr>
          <w:p>
            <w:pPr>
              <w:spacing w:after="0"/>
              <w:rPr>
                <w:sz w:val="18"/>
                <w:szCs w:val="18"/>
                <w:color w:val="auto"/>
              </w:rPr>
            </w:pPr>
          </w:p>
        </w:tc>
        <w:tc>
          <w:tcPr>
            <w:tcW w:w="1040" w:type="dxa"/>
            <w:vAlign w:val="bottom"/>
            <w:gridSpan w:val="2"/>
            <w:shd w:val="clear" w:color="auto" w:fill="CCEEFF"/>
          </w:tcPr>
          <w:p>
            <w:pPr>
              <w:jc w:val="right"/>
              <w:ind w:right="280"/>
              <w:spacing w:after="0"/>
              <w:rPr>
                <w:sz w:val="20"/>
                <w:szCs w:val="20"/>
                <w:color w:val="auto"/>
              </w:rPr>
            </w:pPr>
            <w:r>
              <w:rPr>
                <w:rFonts w:ascii="Arial" w:cs="Arial" w:eastAsia="Arial" w:hAnsi="Arial"/>
                <w:sz w:val="18"/>
                <w:szCs w:val="18"/>
                <w:color w:val="auto"/>
              </w:rPr>
              <w:t>(14,808)</w:t>
            </w:r>
          </w:p>
        </w:tc>
        <w:tc>
          <w:tcPr>
            <w:tcW w:w="80" w:type="dxa"/>
            <w:vAlign w:val="bottom"/>
            <w:shd w:val="clear" w:color="auto" w:fill="CCEEFF"/>
          </w:tcPr>
          <w:p>
            <w:pPr>
              <w:spacing w:after="0"/>
              <w:rPr>
                <w:sz w:val="18"/>
                <w:szCs w:val="18"/>
                <w:color w:val="auto"/>
              </w:rPr>
            </w:pPr>
          </w:p>
        </w:tc>
        <w:tc>
          <w:tcPr>
            <w:tcW w:w="82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(59,312)</w:t>
            </w: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9380" w:type="dxa"/>
            <w:vAlign w:val="bottom"/>
            <w:vMerge w:val="restart"/>
          </w:tcPr>
          <w:p>
            <w:pPr>
              <w:ind w:left="1280"/>
              <w:spacing w:after="0"/>
              <w:rPr>
                <w:sz w:val="20"/>
                <w:szCs w:val="20"/>
                <w:color w:val="auto"/>
              </w:rPr>
            </w:pPr>
            <w:r>
              <w:rPr>
                <w:rFonts w:ascii="Arial" w:cs="Arial" w:eastAsia="Arial" w:hAnsi="Arial"/>
                <w:sz w:val="18"/>
                <w:szCs w:val="18"/>
                <w:color w:val="auto"/>
              </w:rPr>
              <w:t>Net cash used in investing activities</w:t>
            </w:r>
          </w:p>
        </w:tc>
        <w:tc>
          <w:tcPr>
            <w:tcW w:w="80" w:type="dxa"/>
            <w:vAlign w:val="bottom"/>
            <w:shd w:val="clear" w:color="auto" w:fill="000000"/>
          </w:tcPr>
          <w:p>
            <w:pPr>
              <w:spacing w:after="0" w:line="20" w:lineRule="exact"/>
              <w:rPr>
                <w:sz w:val="1"/>
                <w:szCs w:val="1"/>
                <w:color w:val="auto"/>
              </w:rPr>
            </w:pPr>
          </w:p>
        </w:tc>
        <w:tc>
          <w:tcPr>
            <w:tcW w:w="720" w:type="dxa"/>
            <w:vAlign w:val="bottom"/>
            <w:shd w:val="clear" w:color="auto" w:fill="000000"/>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80" w:type="dxa"/>
            <w:vAlign w:val="bottom"/>
            <w:shd w:val="clear" w:color="auto" w:fill="000000"/>
          </w:tcPr>
          <w:p>
            <w:pPr>
              <w:spacing w:after="0" w:line="20" w:lineRule="exact"/>
              <w:rPr>
                <w:sz w:val="1"/>
                <w:szCs w:val="1"/>
                <w:color w:val="auto"/>
              </w:rPr>
            </w:pPr>
          </w:p>
        </w:tc>
        <w:tc>
          <w:tcPr>
            <w:tcW w:w="720" w:type="dxa"/>
            <w:vAlign w:val="bottom"/>
            <w:shd w:val="clear" w:color="auto" w:fill="000000"/>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30"/>
        </w:trPr>
        <w:tc>
          <w:tcPr>
            <w:tcW w:w="20" w:type="dxa"/>
            <w:vAlign w:val="bottom"/>
          </w:tcPr>
          <w:p>
            <w:pPr>
              <w:spacing w:after="0"/>
              <w:rPr>
                <w:sz w:val="20"/>
                <w:szCs w:val="20"/>
                <w:color w:val="auto"/>
              </w:rPr>
            </w:pPr>
          </w:p>
        </w:tc>
        <w:tc>
          <w:tcPr>
            <w:tcW w:w="9380" w:type="dxa"/>
            <w:vAlign w:val="bottom"/>
            <w:vMerge w:val="continue"/>
          </w:tcPr>
          <w:p>
            <w:pPr>
              <w:spacing w:after="0"/>
              <w:rPr>
                <w:sz w:val="20"/>
                <w:szCs w:val="20"/>
                <w:color w:val="auto"/>
              </w:rPr>
            </w:pPr>
          </w:p>
        </w:tc>
        <w:tc>
          <w:tcPr>
            <w:tcW w:w="80" w:type="dxa"/>
            <w:vAlign w:val="bottom"/>
          </w:tcPr>
          <w:p>
            <w:pPr>
              <w:spacing w:after="0"/>
              <w:rPr>
                <w:sz w:val="20"/>
                <w:szCs w:val="20"/>
                <w:color w:val="auto"/>
              </w:rPr>
            </w:pPr>
          </w:p>
        </w:tc>
        <w:tc>
          <w:tcPr>
            <w:tcW w:w="1040" w:type="dxa"/>
            <w:vAlign w:val="bottom"/>
            <w:gridSpan w:val="2"/>
          </w:tcPr>
          <w:p>
            <w:pPr>
              <w:jc w:val="right"/>
              <w:ind w:right="280"/>
              <w:spacing w:after="0"/>
              <w:rPr>
                <w:sz w:val="20"/>
                <w:szCs w:val="20"/>
                <w:color w:val="auto"/>
              </w:rPr>
            </w:pPr>
            <w:r>
              <w:rPr>
                <w:rFonts w:ascii="Arial" w:cs="Arial" w:eastAsia="Arial" w:hAnsi="Arial"/>
                <w:sz w:val="18"/>
                <w:szCs w:val="18"/>
                <w:color w:val="auto"/>
                <w:w w:val="95"/>
              </w:rPr>
              <w:t>(444,038)</w:t>
            </w:r>
          </w:p>
        </w:tc>
        <w:tc>
          <w:tcPr>
            <w:tcW w:w="80" w:type="dxa"/>
            <w:vAlign w:val="bottom"/>
          </w:tcPr>
          <w:p>
            <w:pPr>
              <w:spacing w:after="0"/>
              <w:rPr>
                <w:sz w:val="20"/>
                <w:szCs w:val="20"/>
                <w:color w:val="auto"/>
              </w:rPr>
            </w:pPr>
          </w:p>
        </w:tc>
        <w:tc>
          <w:tcPr>
            <w:tcW w:w="820" w:type="dxa"/>
            <w:vAlign w:val="bottom"/>
            <w:gridSpan w:val="2"/>
          </w:tcPr>
          <w:p>
            <w:pPr>
              <w:jc w:val="right"/>
              <w:ind w:right="40"/>
              <w:spacing w:after="0"/>
              <w:rPr>
                <w:sz w:val="20"/>
                <w:szCs w:val="20"/>
                <w:color w:val="auto"/>
              </w:rPr>
            </w:pPr>
            <w:r>
              <w:rPr>
                <w:rFonts w:ascii="Arial" w:cs="Arial" w:eastAsia="Arial" w:hAnsi="Arial"/>
                <w:sz w:val="18"/>
                <w:szCs w:val="18"/>
                <w:color w:val="auto"/>
              </w:rPr>
              <w:t>(42,953)</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9380" w:type="dxa"/>
            <w:vAlign w:val="bottom"/>
            <w:shd w:val="clear" w:color="auto" w:fill="CCEEFF"/>
          </w:tcPr>
          <w:p>
            <w:pPr>
              <w:spacing w:after="0"/>
              <w:rPr>
                <w:sz w:val="20"/>
                <w:szCs w:val="20"/>
                <w:color w:val="auto"/>
              </w:rPr>
            </w:pPr>
            <w:r>
              <w:rPr>
                <w:rFonts w:ascii="Arial" w:cs="Arial" w:eastAsia="Arial" w:hAnsi="Arial"/>
                <w:sz w:val="18"/>
                <w:szCs w:val="18"/>
                <w:b w:val="1"/>
                <w:bCs w:val="1"/>
                <w:color w:val="auto"/>
              </w:rPr>
              <w:t>Cash flows from financing activities:</w:t>
            </w:r>
          </w:p>
        </w:tc>
        <w:tc>
          <w:tcPr>
            <w:tcW w:w="80" w:type="dxa"/>
            <w:vAlign w:val="bottom"/>
            <w:tcBorders>
              <w:top w:val="single" w:sz="8" w:color="auto"/>
            </w:tcBorders>
            <w:shd w:val="clear" w:color="auto" w:fill="CCEEFF"/>
          </w:tcPr>
          <w:p>
            <w:pPr>
              <w:spacing w:after="0"/>
              <w:rPr>
                <w:sz w:val="18"/>
                <w:szCs w:val="18"/>
                <w:color w:val="auto"/>
              </w:rPr>
            </w:pPr>
          </w:p>
        </w:tc>
        <w:tc>
          <w:tcPr>
            <w:tcW w:w="720" w:type="dxa"/>
            <w:vAlign w:val="bottom"/>
            <w:tcBorders>
              <w:top w:val="single" w:sz="8" w:color="auto"/>
            </w:tcBorders>
            <w:shd w:val="clear" w:color="auto" w:fill="CCEEFF"/>
          </w:tcPr>
          <w:p>
            <w:pPr>
              <w:spacing w:after="0"/>
              <w:rPr>
                <w:sz w:val="18"/>
                <w:szCs w:val="18"/>
                <w:color w:val="auto"/>
              </w:rPr>
            </w:pPr>
          </w:p>
        </w:tc>
        <w:tc>
          <w:tcPr>
            <w:tcW w:w="320" w:type="dxa"/>
            <w:vAlign w:val="bottom"/>
            <w:shd w:val="clear" w:color="auto" w:fill="CCEEFF"/>
          </w:tcPr>
          <w:p>
            <w:pPr>
              <w:spacing w:after="0"/>
              <w:rPr>
                <w:sz w:val="18"/>
                <w:szCs w:val="18"/>
                <w:color w:val="auto"/>
              </w:rPr>
            </w:pPr>
          </w:p>
        </w:tc>
        <w:tc>
          <w:tcPr>
            <w:tcW w:w="80" w:type="dxa"/>
            <w:vAlign w:val="bottom"/>
            <w:tcBorders>
              <w:top w:val="single" w:sz="8" w:color="auto"/>
            </w:tcBorders>
            <w:shd w:val="clear" w:color="auto" w:fill="CCEEFF"/>
          </w:tcPr>
          <w:p>
            <w:pPr>
              <w:spacing w:after="0"/>
              <w:rPr>
                <w:sz w:val="18"/>
                <w:szCs w:val="18"/>
                <w:color w:val="auto"/>
              </w:rPr>
            </w:pPr>
          </w:p>
        </w:tc>
        <w:tc>
          <w:tcPr>
            <w:tcW w:w="720" w:type="dxa"/>
            <w:vAlign w:val="bottom"/>
            <w:tcBorders>
              <w:top w:val="single" w:sz="8" w:color="auto"/>
            </w:tcBorders>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9380" w:type="dxa"/>
            <w:vAlign w:val="bottom"/>
          </w:tcPr>
          <w:p>
            <w:pPr>
              <w:ind w:left="420"/>
              <w:spacing w:after="0"/>
              <w:rPr>
                <w:sz w:val="20"/>
                <w:szCs w:val="20"/>
                <w:color w:val="auto"/>
              </w:rPr>
            </w:pPr>
            <w:r>
              <w:rPr>
                <w:rFonts w:ascii="Arial" w:cs="Arial" w:eastAsia="Arial" w:hAnsi="Arial"/>
                <w:sz w:val="18"/>
                <w:szCs w:val="18"/>
                <w:color w:val="auto"/>
              </w:rPr>
              <w:t>Proceeds from the issuance of common shares</w:t>
            </w:r>
          </w:p>
        </w:tc>
        <w:tc>
          <w:tcPr>
            <w:tcW w:w="80" w:type="dxa"/>
            <w:vAlign w:val="bottom"/>
          </w:tcPr>
          <w:p>
            <w:pPr>
              <w:spacing w:after="0"/>
              <w:rPr>
                <w:sz w:val="18"/>
                <w:szCs w:val="18"/>
                <w:color w:val="auto"/>
              </w:rPr>
            </w:pPr>
          </w:p>
        </w:tc>
        <w:tc>
          <w:tcPr>
            <w:tcW w:w="720" w:type="dxa"/>
            <w:vAlign w:val="bottom"/>
          </w:tcPr>
          <w:p>
            <w:pPr>
              <w:jc w:val="right"/>
              <w:spacing w:after="0"/>
              <w:rPr>
                <w:sz w:val="20"/>
                <w:szCs w:val="20"/>
                <w:color w:val="auto"/>
              </w:rPr>
            </w:pPr>
            <w:r>
              <w:rPr>
                <w:rFonts w:ascii="Arial" w:cs="Arial" w:eastAsia="Arial" w:hAnsi="Arial"/>
                <w:sz w:val="18"/>
                <w:szCs w:val="18"/>
                <w:color w:val="auto"/>
              </w:rPr>
              <w:t>34,749</w:t>
            </w:r>
          </w:p>
        </w:tc>
        <w:tc>
          <w:tcPr>
            <w:tcW w:w="3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820" w:type="dxa"/>
            <w:vAlign w:val="bottom"/>
            <w:gridSpan w:val="2"/>
          </w:tcPr>
          <w:p>
            <w:pPr>
              <w:jc w:val="right"/>
              <w:ind w:right="100"/>
              <w:spacing w:after="0"/>
              <w:rPr>
                <w:sz w:val="20"/>
                <w:szCs w:val="20"/>
                <w:color w:val="auto"/>
              </w:rPr>
            </w:pPr>
            <w:r>
              <w:rPr>
                <w:rFonts w:ascii="Arial" w:cs="Arial" w:eastAsia="Arial" w:hAnsi="Arial"/>
                <w:sz w:val="18"/>
                <w:szCs w:val="18"/>
                <w:color w:val="auto"/>
              </w:rPr>
              <w:t>80,453</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9380" w:type="dxa"/>
            <w:vAlign w:val="bottom"/>
            <w:shd w:val="clear" w:color="auto" w:fill="CCEEFF"/>
          </w:tcPr>
          <w:p>
            <w:pPr>
              <w:ind w:left="420"/>
              <w:spacing w:after="0"/>
              <w:rPr>
                <w:sz w:val="20"/>
                <w:szCs w:val="20"/>
                <w:color w:val="auto"/>
              </w:rPr>
            </w:pPr>
            <w:r>
              <w:rPr>
                <w:rFonts w:ascii="Arial" w:cs="Arial" w:eastAsia="Arial" w:hAnsi="Arial"/>
                <w:sz w:val="18"/>
                <w:szCs w:val="18"/>
                <w:color w:val="auto"/>
              </w:rPr>
              <w:t>Principal payments on capital lease and debt obligations</w:t>
            </w:r>
          </w:p>
        </w:tc>
        <w:tc>
          <w:tcPr>
            <w:tcW w:w="80" w:type="dxa"/>
            <w:vAlign w:val="bottom"/>
            <w:shd w:val="clear" w:color="auto" w:fill="CCEEFF"/>
          </w:tcPr>
          <w:p>
            <w:pPr>
              <w:spacing w:after="0"/>
              <w:rPr>
                <w:sz w:val="18"/>
                <w:szCs w:val="18"/>
                <w:color w:val="auto"/>
              </w:rPr>
            </w:pPr>
          </w:p>
        </w:tc>
        <w:tc>
          <w:tcPr>
            <w:tcW w:w="1040" w:type="dxa"/>
            <w:vAlign w:val="bottom"/>
            <w:gridSpan w:val="2"/>
            <w:shd w:val="clear" w:color="auto" w:fill="CCEEFF"/>
          </w:tcPr>
          <w:p>
            <w:pPr>
              <w:jc w:val="right"/>
              <w:ind w:right="280"/>
              <w:spacing w:after="0"/>
              <w:rPr>
                <w:sz w:val="20"/>
                <w:szCs w:val="20"/>
                <w:color w:val="auto"/>
              </w:rPr>
            </w:pPr>
            <w:r>
              <w:rPr>
                <w:rFonts w:ascii="Arial" w:cs="Arial" w:eastAsia="Arial" w:hAnsi="Arial"/>
                <w:sz w:val="18"/>
                <w:szCs w:val="18"/>
                <w:color w:val="auto"/>
              </w:rPr>
              <w:t>(1,326)</w:t>
            </w:r>
          </w:p>
        </w:tc>
        <w:tc>
          <w:tcPr>
            <w:tcW w:w="80" w:type="dxa"/>
            <w:vAlign w:val="bottom"/>
            <w:shd w:val="clear" w:color="auto" w:fill="CCEEFF"/>
          </w:tcPr>
          <w:p>
            <w:pPr>
              <w:spacing w:after="0"/>
              <w:rPr>
                <w:sz w:val="18"/>
                <w:szCs w:val="18"/>
                <w:color w:val="auto"/>
              </w:rPr>
            </w:pPr>
          </w:p>
        </w:tc>
        <w:tc>
          <w:tcPr>
            <w:tcW w:w="82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w w:val="98"/>
              </w:rPr>
              <w:t>(205,039)</w:t>
            </w:r>
          </w:p>
        </w:tc>
        <w:tc>
          <w:tcPr>
            <w:tcW w:w="0" w:type="dxa"/>
            <w:vAlign w:val="bottom"/>
          </w:tcPr>
          <w:p>
            <w:pPr>
              <w:spacing w:after="0"/>
              <w:rPr>
                <w:sz w:val="1"/>
                <w:szCs w:val="1"/>
                <w:color w:val="auto"/>
              </w:rPr>
            </w:pPr>
          </w:p>
        </w:tc>
      </w:tr>
      <w:tr>
        <w:trPr>
          <w:trHeight w:val="223"/>
        </w:trPr>
        <w:tc>
          <w:tcPr>
            <w:tcW w:w="20" w:type="dxa"/>
            <w:vAlign w:val="bottom"/>
          </w:tcPr>
          <w:p>
            <w:pPr>
              <w:spacing w:after="0"/>
              <w:rPr>
                <w:sz w:val="19"/>
                <w:szCs w:val="19"/>
                <w:color w:val="auto"/>
              </w:rPr>
            </w:pPr>
          </w:p>
        </w:tc>
        <w:tc>
          <w:tcPr>
            <w:tcW w:w="9380" w:type="dxa"/>
            <w:vAlign w:val="bottom"/>
          </w:tcPr>
          <w:p>
            <w:pPr>
              <w:ind w:left="420"/>
              <w:spacing w:after="0"/>
              <w:rPr>
                <w:sz w:val="20"/>
                <w:szCs w:val="20"/>
                <w:color w:val="auto"/>
              </w:rPr>
            </w:pPr>
            <w:r>
              <w:rPr>
                <w:rFonts w:ascii="Arial" w:cs="Arial" w:eastAsia="Arial" w:hAnsi="Arial"/>
                <w:sz w:val="18"/>
                <w:szCs w:val="18"/>
                <w:color w:val="auto"/>
              </w:rPr>
              <w:t>Excess tax benefits from stock-based compensation</w:t>
            </w:r>
          </w:p>
        </w:tc>
        <w:tc>
          <w:tcPr>
            <w:tcW w:w="80" w:type="dxa"/>
            <w:vAlign w:val="bottom"/>
            <w:tcBorders>
              <w:bottom w:val="single" w:sz="8" w:color="auto"/>
            </w:tcBorders>
          </w:tcPr>
          <w:p>
            <w:pPr>
              <w:spacing w:after="0"/>
              <w:rPr>
                <w:sz w:val="19"/>
                <w:szCs w:val="19"/>
                <w:color w:val="auto"/>
              </w:rPr>
            </w:pPr>
          </w:p>
        </w:tc>
        <w:tc>
          <w:tcPr>
            <w:tcW w:w="72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205</w:t>
            </w:r>
          </w:p>
        </w:tc>
        <w:tc>
          <w:tcPr>
            <w:tcW w:w="320" w:type="dxa"/>
            <w:vAlign w:val="bottom"/>
          </w:tcPr>
          <w:p>
            <w:pPr>
              <w:spacing w:after="0"/>
              <w:rPr>
                <w:sz w:val="19"/>
                <w:szCs w:val="19"/>
                <w:color w:val="auto"/>
              </w:rPr>
            </w:pPr>
          </w:p>
        </w:tc>
        <w:tc>
          <w:tcPr>
            <w:tcW w:w="80" w:type="dxa"/>
            <w:vAlign w:val="bottom"/>
            <w:tcBorders>
              <w:bottom w:val="single" w:sz="8" w:color="auto"/>
            </w:tcBorders>
          </w:tcPr>
          <w:p>
            <w:pPr>
              <w:spacing w:after="0"/>
              <w:rPr>
                <w:sz w:val="19"/>
                <w:szCs w:val="19"/>
                <w:color w:val="auto"/>
              </w:rPr>
            </w:pPr>
          </w:p>
        </w:tc>
        <w:tc>
          <w:tcPr>
            <w:tcW w:w="72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356</w:t>
            </w:r>
          </w:p>
        </w:tc>
        <w:tc>
          <w:tcPr>
            <w:tcW w:w="1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9380" w:type="dxa"/>
            <w:vAlign w:val="bottom"/>
            <w:shd w:val="clear" w:color="auto" w:fill="CCEEFF"/>
          </w:tcPr>
          <w:p>
            <w:pPr>
              <w:ind w:left="1280"/>
              <w:spacing w:after="0"/>
              <w:rPr>
                <w:sz w:val="20"/>
                <w:szCs w:val="20"/>
                <w:color w:val="auto"/>
              </w:rPr>
            </w:pPr>
            <w:r>
              <w:rPr>
                <w:rFonts w:ascii="Arial" w:cs="Arial" w:eastAsia="Arial" w:hAnsi="Arial"/>
                <w:sz w:val="18"/>
                <w:szCs w:val="18"/>
                <w:color w:val="auto"/>
              </w:rPr>
              <w:t>Net cash provided by (used in) financing activities</w:t>
            </w:r>
          </w:p>
        </w:tc>
        <w:tc>
          <w:tcPr>
            <w:tcW w:w="80" w:type="dxa"/>
            <w:vAlign w:val="bottom"/>
            <w:shd w:val="clear" w:color="auto" w:fill="CCEEFF"/>
          </w:tcPr>
          <w:p>
            <w:pPr>
              <w:spacing w:after="0"/>
              <w:rPr>
                <w:sz w:val="18"/>
                <w:szCs w:val="18"/>
                <w:color w:val="auto"/>
              </w:rPr>
            </w:pPr>
          </w:p>
        </w:tc>
        <w:tc>
          <w:tcPr>
            <w:tcW w:w="7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33,628</w:t>
            </w:r>
          </w:p>
        </w:tc>
        <w:tc>
          <w:tcPr>
            <w:tcW w:w="3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82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w w:val="98"/>
              </w:rPr>
              <w:t>(124,230)</w:t>
            </w:r>
          </w:p>
        </w:tc>
        <w:tc>
          <w:tcPr>
            <w:tcW w:w="0" w:type="dxa"/>
            <w:vAlign w:val="bottom"/>
          </w:tcPr>
          <w:p>
            <w:pPr>
              <w:spacing w:after="0"/>
              <w:rPr>
                <w:sz w:val="1"/>
                <w:szCs w:val="1"/>
                <w:color w:val="auto"/>
              </w:rPr>
            </w:pPr>
          </w:p>
        </w:tc>
      </w:tr>
      <w:tr>
        <w:trPr>
          <w:trHeight w:val="221"/>
        </w:trPr>
        <w:tc>
          <w:tcPr>
            <w:tcW w:w="9400" w:type="dxa"/>
            <w:vAlign w:val="bottom"/>
            <w:gridSpan w:val="2"/>
          </w:tcPr>
          <w:p>
            <w:pPr>
              <w:spacing w:after="0"/>
              <w:rPr>
                <w:sz w:val="20"/>
                <w:szCs w:val="20"/>
                <w:color w:val="auto"/>
              </w:rPr>
            </w:pPr>
            <w:r>
              <w:rPr>
                <w:rFonts w:ascii="Arial" w:cs="Arial" w:eastAsia="Arial" w:hAnsi="Arial"/>
                <w:sz w:val="18"/>
                <w:szCs w:val="18"/>
                <w:color w:val="auto"/>
              </w:rPr>
              <w:t>Net increase in cash and cash equivalents</w:t>
            </w:r>
          </w:p>
        </w:tc>
        <w:tc>
          <w:tcPr>
            <w:tcW w:w="80" w:type="dxa"/>
            <w:vAlign w:val="bottom"/>
            <w:tcBorders>
              <w:top w:val="single" w:sz="8" w:color="auto"/>
            </w:tcBorders>
          </w:tcPr>
          <w:p>
            <w:pPr>
              <w:spacing w:after="0"/>
              <w:rPr>
                <w:sz w:val="19"/>
                <w:szCs w:val="19"/>
                <w:color w:val="auto"/>
              </w:rPr>
            </w:pPr>
          </w:p>
        </w:tc>
        <w:tc>
          <w:tcPr>
            <w:tcW w:w="72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rPr>
              <w:t>119,986</w:t>
            </w:r>
          </w:p>
        </w:tc>
        <w:tc>
          <w:tcPr>
            <w:tcW w:w="320" w:type="dxa"/>
            <w:vAlign w:val="bottom"/>
          </w:tcPr>
          <w:p>
            <w:pPr>
              <w:spacing w:after="0"/>
              <w:rPr>
                <w:sz w:val="19"/>
                <w:szCs w:val="19"/>
                <w:color w:val="auto"/>
              </w:rPr>
            </w:pPr>
          </w:p>
        </w:tc>
        <w:tc>
          <w:tcPr>
            <w:tcW w:w="80" w:type="dxa"/>
            <w:vAlign w:val="bottom"/>
            <w:tcBorders>
              <w:top w:val="single" w:sz="8" w:color="auto"/>
            </w:tcBorders>
          </w:tcPr>
          <w:p>
            <w:pPr>
              <w:spacing w:after="0"/>
              <w:rPr>
                <w:sz w:val="19"/>
                <w:szCs w:val="19"/>
                <w:color w:val="auto"/>
              </w:rPr>
            </w:pPr>
          </w:p>
        </w:tc>
        <w:tc>
          <w:tcPr>
            <w:tcW w:w="72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rPr>
              <w:t>404,359</w:t>
            </w:r>
          </w:p>
        </w:tc>
        <w:tc>
          <w:tcPr>
            <w:tcW w:w="1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18"/>
        </w:trPr>
        <w:tc>
          <w:tcPr>
            <w:tcW w:w="20" w:type="dxa"/>
            <w:vAlign w:val="bottom"/>
          </w:tcPr>
          <w:p>
            <w:pPr>
              <w:spacing w:after="0"/>
              <w:rPr>
                <w:sz w:val="18"/>
                <w:szCs w:val="18"/>
                <w:color w:val="auto"/>
              </w:rPr>
            </w:pPr>
          </w:p>
        </w:tc>
        <w:tc>
          <w:tcPr>
            <w:tcW w:w="9380" w:type="dxa"/>
            <w:vAlign w:val="bottom"/>
            <w:shd w:val="clear" w:color="auto" w:fill="CCEEFF"/>
          </w:tcPr>
          <w:p>
            <w:pPr>
              <w:spacing w:after="0"/>
              <w:rPr>
                <w:sz w:val="20"/>
                <w:szCs w:val="20"/>
                <w:color w:val="auto"/>
              </w:rPr>
            </w:pPr>
            <w:r>
              <w:rPr>
                <w:rFonts w:ascii="Arial" w:cs="Arial" w:eastAsia="Arial" w:hAnsi="Arial"/>
                <w:sz w:val="18"/>
                <w:szCs w:val="18"/>
                <w:color w:val="auto"/>
              </w:rPr>
              <w:t>Cash and cash equivalents at beginning of period</w:t>
            </w:r>
          </w:p>
        </w:tc>
        <w:tc>
          <w:tcPr>
            <w:tcW w:w="80" w:type="dxa"/>
            <w:vAlign w:val="bottom"/>
            <w:tcBorders>
              <w:bottom w:val="single" w:sz="8" w:color="auto"/>
            </w:tcBorders>
            <w:shd w:val="clear" w:color="auto" w:fill="CCEEFF"/>
          </w:tcPr>
          <w:p>
            <w:pPr>
              <w:spacing w:after="0"/>
              <w:rPr>
                <w:sz w:val="18"/>
                <w:szCs w:val="18"/>
                <w:color w:val="auto"/>
              </w:rPr>
            </w:pPr>
          </w:p>
        </w:tc>
        <w:tc>
          <w:tcPr>
            <w:tcW w:w="72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927,409</w:t>
            </w:r>
          </w:p>
        </w:tc>
        <w:tc>
          <w:tcPr>
            <w:tcW w:w="320" w:type="dxa"/>
            <w:vAlign w:val="bottom"/>
            <w:shd w:val="clear" w:color="auto" w:fill="CCEEFF"/>
          </w:tcPr>
          <w:p>
            <w:pPr>
              <w:spacing w:after="0"/>
              <w:rPr>
                <w:sz w:val="18"/>
                <w:szCs w:val="18"/>
                <w:color w:val="auto"/>
              </w:rPr>
            </w:pPr>
          </w:p>
        </w:tc>
        <w:tc>
          <w:tcPr>
            <w:tcW w:w="80" w:type="dxa"/>
            <w:vAlign w:val="bottom"/>
            <w:tcBorders>
              <w:bottom w:val="single" w:sz="8" w:color="auto"/>
            </w:tcBorders>
            <w:shd w:val="clear" w:color="auto" w:fill="CCEEFF"/>
          </w:tcPr>
          <w:p>
            <w:pPr>
              <w:spacing w:after="0"/>
              <w:rPr>
                <w:sz w:val="18"/>
                <w:szCs w:val="18"/>
                <w:color w:val="auto"/>
              </w:rPr>
            </w:pPr>
          </w:p>
        </w:tc>
        <w:tc>
          <w:tcPr>
            <w:tcW w:w="72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615,648</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22"/>
        </w:trPr>
        <w:tc>
          <w:tcPr>
            <w:tcW w:w="9400" w:type="dxa"/>
            <w:vAlign w:val="bottom"/>
            <w:gridSpan w:val="2"/>
          </w:tcPr>
          <w:p>
            <w:pPr>
              <w:spacing w:after="0"/>
              <w:rPr>
                <w:sz w:val="20"/>
                <w:szCs w:val="20"/>
                <w:color w:val="auto"/>
              </w:rPr>
            </w:pPr>
            <w:r>
              <w:rPr>
                <w:rFonts w:ascii="Arial" w:cs="Arial" w:eastAsia="Arial" w:hAnsi="Arial"/>
                <w:sz w:val="18"/>
                <w:szCs w:val="18"/>
                <w:color w:val="auto"/>
              </w:rPr>
              <w:t>Cash and cash equivalents at end of period</w:t>
            </w:r>
          </w:p>
        </w:tc>
        <w:tc>
          <w:tcPr>
            <w:tcW w:w="80" w:type="dxa"/>
            <w:vAlign w:val="bottom"/>
          </w:tcPr>
          <w:p>
            <w:pPr>
              <w:jc w:val="right"/>
              <w:spacing w:after="0"/>
              <w:rPr>
                <w:sz w:val="20"/>
                <w:szCs w:val="20"/>
                <w:color w:val="auto"/>
              </w:rPr>
            </w:pPr>
            <w:r>
              <w:rPr>
                <w:rFonts w:ascii="Arial" w:cs="Arial" w:eastAsia="Arial" w:hAnsi="Arial"/>
                <w:sz w:val="15"/>
                <w:szCs w:val="15"/>
                <w:u w:val="single" w:color="auto"/>
                <w:color w:val="auto"/>
                <w:w w:val="71"/>
              </w:rPr>
              <w:t>$</w:t>
            </w:r>
          </w:p>
        </w:tc>
        <w:tc>
          <w:tcPr>
            <w:tcW w:w="720" w:type="dxa"/>
            <w:vAlign w:val="bottom"/>
          </w:tcPr>
          <w:p>
            <w:pPr>
              <w:jc w:val="right"/>
              <w:spacing w:after="0"/>
              <w:rPr>
                <w:sz w:val="20"/>
                <w:szCs w:val="20"/>
                <w:color w:val="auto"/>
              </w:rPr>
            </w:pPr>
            <w:r>
              <w:rPr>
                <w:rFonts w:ascii="Arial" w:cs="Arial" w:eastAsia="Arial" w:hAnsi="Arial"/>
                <w:sz w:val="18"/>
                <w:szCs w:val="18"/>
                <w:color w:val="auto"/>
                <w:w w:val="87"/>
              </w:rPr>
              <w:t>1,047,395</w:t>
            </w:r>
          </w:p>
        </w:tc>
        <w:tc>
          <w:tcPr>
            <w:tcW w:w="320" w:type="dxa"/>
            <w:vAlign w:val="bottom"/>
          </w:tcPr>
          <w:p>
            <w:pPr>
              <w:spacing w:after="0"/>
              <w:rPr>
                <w:sz w:val="19"/>
                <w:szCs w:val="19"/>
                <w:color w:val="auto"/>
              </w:rPr>
            </w:pPr>
          </w:p>
        </w:tc>
        <w:tc>
          <w:tcPr>
            <w:tcW w:w="80" w:type="dxa"/>
            <w:vAlign w:val="bottom"/>
          </w:tcPr>
          <w:p>
            <w:pPr>
              <w:jc w:val="right"/>
              <w:spacing w:after="0"/>
              <w:rPr>
                <w:sz w:val="20"/>
                <w:szCs w:val="20"/>
                <w:color w:val="auto"/>
              </w:rPr>
            </w:pPr>
            <w:r>
              <w:rPr>
                <w:rFonts w:ascii="Arial" w:cs="Arial" w:eastAsia="Arial" w:hAnsi="Arial"/>
                <w:sz w:val="15"/>
                <w:szCs w:val="15"/>
                <w:u w:val="single" w:color="auto"/>
                <w:color w:val="auto"/>
                <w:w w:val="71"/>
              </w:rPr>
              <w:t>$</w:t>
            </w:r>
          </w:p>
        </w:tc>
        <w:tc>
          <w:tcPr>
            <w:tcW w:w="820" w:type="dxa"/>
            <w:vAlign w:val="bottom"/>
            <w:gridSpan w:val="2"/>
          </w:tcPr>
          <w:p>
            <w:pPr>
              <w:jc w:val="right"/>
              <w:ind w:right="100"/>
              <w:spacing w:after="0"/>
              <w:rPr>
                <w:sz w:val="20"/>
                <w:szCs w:val="20"/>
                <w:color w:val="auto"/>
              </w:rPr>
            </w:pPr>
            <w:r>
              <w:rPr>
                <w:rFonts w:ascii="Arial" w:cs="Arial" w:eastAsia="Arial" w:hAnsi="Arial"/>
                <w:sz w:val="18"/>
                <w:szCs w:val="18"/>
                <w:color w:val="auto"/>
                <w:w w:val="87"/>
              </w:rPr>
              <w:t>1,020,007</w:t>
            </w: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938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720" w:type="dxa"/>
            <w:vAlign w:val="bottom"/>
            <w:tcBorders>
              <w:top w:val="single" w:sz="8" w:color="auto"/>
              <w:bottom w:val="single" w:sz="8" w:color="auto"/>
            </w:tcBorders>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72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161"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See accompanying notes to unaudited condensed consolidated financial statements.</w:t>
      </w:r>
    </w:p>
    <w:p>
      <w:pPr>
        <w:spacing w:after="0" w:line="164"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5</w:t>
      </w:r>
    </w:p>
    <w:p>
      <w:pPr>
        <w:sectPr>
          <w:pgSz w:w="11900" w:h="16838" w:orient="portrait"/>
          <w:cols w:equalWidth="0" w:num="1">
            <w:col w:w="11420"/>
          </w:cols>
          <w:pgMar w:left="240" w:top="459" w:right="239" w:bottom="1440" w:gutter="0" w:footer="0" w:header="0"/>
        </w:sectPr>
      </w:pPr>
    </w:p>
    <w:bookmarkStart w:id="5" w:name="page6"/>
    <w:bookmarkEnd w:id="5"/>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0">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MARVELL TECHNOLOGY GROUP LTD.</w:t>
      </w:r>
    </w:p>
    <w:p>
      <w:pPr>
        <w:spacing w:after="0" w:line="90"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NOTES TO UNAUDITED CONDENSED CONSOLIDATED FINANCIAL STATEMENTS</w:t>
      </w:r>
    </w:p>
    <w:p>
      <w:pPr>
        <w:spacing w:after="0" w:line="171"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Note 1. The Company and its Significant Accounting Policies</w:t>
      </w:r>
    </w:p>
    <w:p>
      <w:pPr>
        <w:spacing w:after="0" w:line="96" w:lineRule="exact"/>
        <w:rPr>
          <w:sz w:val="20"/>
          <w:szCs w:val="20"/>
          <w:color w:val="auto"/>
        </w:rPr>
      </w:pPr>
    </w:p>
    <w:p>
      <w:pPr>
        <w:ind w:left="240"/>
        <w:spacing w:after="0"/>
        <w:rPr>
          <w:sz w:val="20"/>
          <w:szCs w:val="20"/>
          <w:color w:val="auto"/>
        </w:rPr>
      </w:pPr>
      <w:r>
        <w:rPr>
          <w:rFonts w:ascii="Arial" w:cs="Arial" w:eastAsia="Arial" w:hAnsi="Arial"/>
          <w:sz w:val="18"/>
          <w:szCs w:val="18"/>
          <w:b w:val="1"/>
          <w:bCs w:val="1"/>
          <w:i w:val="1"/>
          <w:iCs w:val="1"/>
          <w:color w:val="auto"/>
        </w:rPr>
        <w:t>The Company</w:t>
      </w:r>
    </w:p>
    <w:p>
      <w:pPr>
        <w:spacing w:after="0" w:line="90" w:lineRule="exact"/>
        <w:rPr>
          <w:sz w:val="20"/>
          <w:szCs w:val="20"/>
          <w:color w:val="auto"/>
        </w:rPr>
      </w:pPr>
    </w:p>
    <w:p>
      <w:pPr>
        <w:ind w:right="140" w:firstLine="456"/>
        <w:spacing w:after="0" w:line="291" w:lineRule="auto"/>
        <w:rPr>
          <w:sz w:val="20"/>
          <w:szCs w:val="20"/>
          <w:color w:val="auto"/>
        </w:rPr>
      </w:pPr>
      <w:r>
        <w:rPr>
          <w:rFonts w:ascii="Arial" w:cs="Arial" w:eastAsia="Arial" w:hAnsi="Arial"/>
          <w:sz w:val="16"/>
          <w:szCs w:val="16"/>
          <w:color w:val="auto"/>
        </w:rPr>
        <w:t>Marvell Technology Group Ltd., a Bermuda company (the “Company”), is a leading global semiconductor provider of high-performance application specific standard products. The Company’s core strength of expertise is the development of complex System-on-a-Chip devices leveraging its extensive technology portfolio of intellectual property in the areas of analog, mixed-signal, digital signal processing and embedded ARM-based microprocessor integrated circuits. The Company’s broad product portfolio includes devices for data storage, enterprise-class Ethernet data switching, Ethernet physical-layer transceiver handheld cellular, Ethernet-based wireless networking, personal area networking, Ethernet-based PC connectivity, control plane communications controllers, video-image processing and power management solutions.</w:t>
      </w:r>
    </w:p>
    <w:p>
      <w:pPr>
        <w:spacing w:after="0" w:line="201" w:lineRule="exact"/>
        <w:rPr>
          <w:sz w:val="20"/>
          <w:szCs w:val="20"/>
          <w:color w:val="auto"/>
        </w:rPr>
      </w:pPr>
    </w:p>
    <w:p>
      <w:pPr>
        <w:ind w:left="240"/>
        <w:spacing w:after="0"/>
        <w:rPr>
          <w:sz w:val="20"/>
          <w:szCs w:val="20"/>
          <w:color w:val="auto"/>
        </w:rPr>
      </w:pPr>
      <w:r>
        <w:rPr>
          <w:rFonts w:ascii="Arial" w:cs="Arial" w:eastAsia="Arial" w:hAnsi="Arial"/>
          <w:sz w:val="18"/>
          <w:szCs w:val="18"/>
          <w:b w:val="1"/>
          <w:bCs w:val="1"/>
          <w:i w:val="1"/>
          <w:iCs w:val="1"/>
          <w:color w:val="auto"/>
        </w:rPr>
        <w:t>Basis of presentation</w:t>
      </w:r>
    </w:p>
    <w:p>
      <w:pPr>
        <w:spacing w:after="0" w:line="90" w:lineRule="exact"/>
        <w:rPr>
          <w:sz w:val="20"/>
          <w:szCs w:val="20"/>
          <w:color w:val="auto"/>
        </w:rPr>
      </w:pPr>
    </w:p>
    <w:p>
      <w:pPr>
        <w:jc w:val="both"/>
        <w:ind w:right="80" w:firstLine="456"/>
        <w:spacing w:after="0" w:line="259" w:lineRule="auto"/>
        <w:rPr>
          <w:sz w:val="20"/>
          <w:szCs w:val="20"/>
          <w:color w:val="auto"/>
        </w:rPr>
      </w:pPr>
      <w:r>
        <w:rPr>
          <w:rFonts w:ascii="Arial" w:cs="Arial" w:eastAsia="Arial" w:hAnsi="Arial"/>
          <w:sz w:val="18"/>
          <w:szCs w:val="18"/>
          <w:color w:val="auto"/>
        </w:rPr>
        <w:t>The Company’s fiscal year is the 52- or 53-week period ending on the Saturday closest to January 31. In a 52-week year, each fiscal quarter consists of 13 weeks. The additional week in a 53-week year is added to the fourth quarter, making such quarter consist of 14 weeks. Fiscal 2010 and fiscal 2009 are comprised of a 52-week period.</w:t>
      </w:r>
    </w:p>
    <w:p>
      <w:pPr>
        <w:spacing w:after="0" w:line="140" w:lineRule="exact"/>
        <w:rPr>
          <w:sz w:val="20"/>
          <w:szCs w:val="20"/>
          <w:color w:val="auto"/>
        </w:rPr>
      </w:pPr>
    </w:p>
    <w:p>
      <w:pPr>
        <w:ind w:right="40" w:firstLine="456"/>
        <w:spacing w:after="0" w:line="289" w:lineRule="auto"/>
        <w:rPr>
          <w:sz w:val="20"/>
          <w:szCs w:val="20"/>
          <w:color w:val="auto"/>
        </w:rPr>
      </w:pPr>
      <w:r>
        <w:rPr>
          <w:rFonts w:ascii="Arial" w:cs="Arial" w:eastAsia="Arial" w:hAnsi="Arial"/>
          <w:sz w:val="16"/>
          <w:szCs w:val="16"/>
          <w:color w:val="auto"/>
        </w:rPr>
        <w:t>The unaudited interim condensed consolidated financial statements have been prepared in accordance with accounting principles generally accepted in the United States (“GAAP”) for interim financial information and with the instructions to Form 10-Q and Article 10 of Regulation S-X. Accordingly, they do not include all of the information and notes required by GAAP for annual financial statements. In the opinion of management, all adjustments consisting of normal and recurring entries considered necessary for a fair statement of the results for the interim periods have been included in the Company’s financial position as of October 31, 2009, the results of its operations for the three and nine months ended October 31, 2009 and November 1, 2008, and its cash flows for the nine months ended October 31, 2009 and November 1, 2008. The January 31, 2009 condensed consolidated balance sheet data was derived from audited consolidated financial statements included in the Company’s Annual Report on Form 10-K for the year ended January 31, 2009 but does not include all disclosures required by GAAP. Certain reclassifications have been made to conform to the current period’s presentation.</w:t>
      </w:r>
    </w:p>
    <w:p>
      <w:pPr>
        <w:spacing w:after="0" w:line="118" w:lineRule="exact"/>
        <w:rPr>
          <w:sz w:val="20"/>
          <w:szCs w:val="20"/>
          <w:color w:val="auto"/>
        </w:rPr>
      </w:pPr>
    </w:p>
    <w:p>
      <w:pPr>
        <w:jc w:val="both"/>
        <w:ind w:right="60" w:firstLine="456"/>
        <w:spacing w:after="0" w:line="298" w:lineRule="auto"/>
        <w:rPr>
          <w:sz w:val="20"/>
          <w:szCs w:val="20"/>
          <w:color w:val="auto"/>
        </w:rPr>
      </w:pPr>
      <w:r>
        <w:rPr>
          <w:rFonts w:ascii="Arial" w:cs="Arial" w:eastAsia="Arial" w:hAnsi="Arial"/>
          <w:sz w:val="16"/>
          <w:szCs w:val="16"/>
          <w:color w:val="auto"/>
        </w:rPr>
        <w:t>These condensed consolidated financial statements and related notes are unaudited and should be read in conjunction with the Company’s audited financial statements and related notes for the year ended January 31, 2009 included in the Company’s Annual Report on Form 10-K for the year ended January 31, 2009 as filed on March 28, 2009 with the Securities and Exchange Commission (“SEC”). The results of operations for the three and nine months ended October 31, 2009 are not necessarily indicative of the results that may be expected for any other interim period or for the full fiscal year.</w:t>
      </w:r>
    </w:p>
    <w:p>
      <w:pPr>
        <w:spacing w:after="0" w:line="194" w:lineRule="exact"/>
        <w:rPr>
          <w:sz w:val="20"/>
          <w:szCs w:val="20"/>
          <w:color w:val="auto"/>
        </w:rPr>
      </w:pPr>
    </w:p>
    <w:p>
      <w:pPr>
        <w:ind w:left="240"/>
        <w:spacing w:after="0"/>
        <w:rPr>
          <w:sz w:val="20"/>
          <w:szCs w:val="20"/>
          <w:color w:val="auto"/>
        </w:rPr>
      </w:pPr>
      <w:r>
        <w:rPr>
          <w:rFonts w:ascii="Arial" w:cs="Arial" w:eastAsia="Arial" w:hAnsi="Arial"/>
          <w:sz w:val="18"/>
          <w:szCs w:val="18"/>
          <w:b w:val="1"/>
          <w:bCs w:val="1"/>
          <w:i w:val="1"/>
          <w:iCs w:val="1"/>
          <w:color w:val="auto"/>
        </w:rPr>
        <w:t>Use of estimates</w:t>
      </w:r>
    </w:p>
    <w:p>
      <w:pPr>
        <w:spacing w:after="0" w:line="90" w:lineRule="exact"/>
        <w:rPr>
          <w:sz w:val="20"/>
          <w:szCs w:val="20"/>
          <w:color w:val="auto"/>
        </w:rPr>
      </w:pPr>
    </w:p>
    <w:p>
      <w:pPr>
        <w:ind w:firstLine="456"/>
        <w:spacing w:after="0" w:line="289" w:lineRule="auto"/>
        <w:rPr>
          <w:sz w:val="20"/>
          <w:szCs w:val="20"/>
          <w:color w:val="auto"/>
        </w:rPr>
      </w:pPr>
      <w:r>
        <w:rPr>
          <w:rFonts w:ascii="Arial" w:cs="Arial" w:eastAsia="Arial" w:hAnsi="Arial"/>
          <w:sz w:val="16"/>
          <w:szCs w:val="16"/>
          <w:color w:val="auto"/>
        </w:rPr>
        <w:t>The preparation of consolidated financial statements in conformity with GAAP in the United States requires management to make estimates, judgments and assumptions that affect the reported amounts of assets, liabilities, revenues and expenses, and related disclosure of contingent assets and liabilities. On an on-going basis, the Company evaluates its estimates, including those related to performance-based compensation, uncollectible receivables, inventory excess and obsolescence, the useful lives of long-lived assets including property and equipment, investment fair values, goodwill and other intangible assets, income taxes and contingencies. In addition, the Company uses assumptions when employing the Black-Scholes option valuation model to calculate the fair value of stock-based awards granted. The Company bases its estimates of the carrying value of certain assets and liabilities on historical experience and on various other assumptions that are believed to be reasonable under the circumstances, when these carrying values are not readily available from other sources. Actual results could differ from these estimates, and such differences could affect the results of operations reported in future periods.</w:t>
      </w:r>
    </w:p>
    <w:p>
      <w:pPr>
        <w:spacing w:after="0" w:line="199" w:lineRule="exact"/>
        <w:rPr>
          <w:sz w:val="20"/>
          <w:szCs w:val="20"/>
          <w:color w:val="auto"/>
        </w:rPr>
      </w:pPr>
    </w:p>
    <w:p>
      <w:pPr>
        <w:ind w:left="240"/>
        <w:spacing w:after="0"/>
        <w:rPr>
          <w:sz w:val="20"/>
          <w:szCs w:val="20"/>
          <w:color w:val="auto"/>
        </w:rPr>
      </w:pPr>
      <w:r>
        <w:rPr>
          <w:rFonts w:ascii="Arial" w:cs="Arial" w:eastAsia="Arial" w:hAnsi="Arial"/>
          <w:sz w:val="18"/>
          <w:szCs w:val="18"/>
          <w:b w:val="1"/>
          <w:bCs w:val="1"/>
          <w:i w:val="1"/>
          <w:iCs w:val="1"/>
          <w:color w:val="auto"/>
        </w:rPr>
        <w:t>Subsequent events</w:t>
      </w:r>
    </w:p>
    <w:p>
      <w:pPr>
        <w:spacing w:after="0" w:line="90" w:lineRule="exact"/>
        <w:rPr>
          <w:sz w:val="20"/>
          <w:szCs w:val="20"/>
          <w:color w:val="auto"/>
        </w:rPr>
      </w:pPr>
    </w:p>
    <w:p>
      <w:pPr>
        <w:ind w:left="460"/>
        <w:spacing w:after="0"/>
        <w:rPr>
          <w:sz w:val="20"/>
          <w:szCs w:val="20"/>
          <w:color w:val="auto"/>
        </w:rPr>
      </w:pPr>
      <w:r>
        <w:rPr>
          <w:rFonts w:ascii="Arial" w:cs="Arial" w:eastAsia="Arial" w:hAnsi="Arial"/>
          <w:sz w:val="18"/>
          <w:szCs w:val="18"/>
          <w:color w:val="auto"/>
        </w:rPr>
        <w:t>The Company has evaluated subsequent events through December 9, 2009, the date of this Quarterly Report on Form 10-Q.</w:t>
      </w:r>
    </w:p>
    <w:p>
      <w:pPr>
        <w:spacing w:after="0" w:line="158"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6</w:t>
      </w:r>
    </w:p>
    <w:p>
      <w:pPr>
        <w:sectPr>
          <w:pgSz w:w="11900" w:h="16838" w:orient="portrait"/>
          <w:cols w:equalWidth="0" w:num="1">
            <w:col w:w="11420"/>
          </w:cols>
          <w:pgMar w:left="240" w:top="459" w:right="239" w:bottom="1440" w:gutter="0" w:footer="0" w:header="0"/>
        </w:sectPr>
      </w:pPr>
    </w:p>
    <w:bookmarkStart w:id="6" w:name="page7"/>
    <w:bookmarkEnd w:id="6"/>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1">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MARVELL TECHNOLOGY GROUP LTD.</w:t>
      </w:r>
    </w:p>
    <w:p>
      <w:pPr>
        <w:spacing w:after="0" w:line="90"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NOTES TO UNAUDITED CONDENSED CONSOLIDATED FINANCIAL STATEMENTS—(Continued)</w:t>
      </w:r>
    </w:p>
    <w:p>
      <w:pPr>
        <w:spacing w:after="0" w:line="164" w:lineRule="exact"/>
        <w:rPr>
          <w:sz w:val="20"/>
          <w:szCs w:val="20"/>
          <w:color w:val="auto"/>
        </w:rPr>
      </w:pPr>
    </w:p>
    <w:p>
      <w:pPr>
        <w:ind w:left="240"/>
        <w:spacing w:after="0"/>
        <w:rPr>
          <w:sz w:val="20"/>
          <w:szCs w:val="20"/>
          <w:color w:val="auto"/>
        </w:rPr>
      </w:pPr>
      <w:r>
        <w:rPr>
          <w:rFonts w:ascii="Arial" w:cs="Arial" w:eastAsia="Arial" w:hAnsi="Arial"/>
          <w:sz w:val="18"/>
          <w:szCs w:val="18"/>
          <w:b w:val="1"/>
          <w:bCs w:val="1"/>
          <w:i w:val="1"/>
          <w:iCs w:val="1"/>
          <w:color w:val="auto"/>
        </w:rPr>
        <w:t>Principles of consolidation</w:t>
      </w:r>
    </w:p>
    <w:p>
      <w:pPr>
        <w:spacing w:after="0" w:line="90" w:lineRule="exact"/>
        <w:rPr>
          <w:sz w:val="20"/>
          <w:szCs w:val="20"/>
          <w:color w:val="auto"/>
        </w:rPr>
      </w:pPr>
    </w:p>
    <w:p>
      <w:pPr>
        <w:ind w:right="360" w:firstLine="456"/>
        <w:spacing w:after="0" w:line="332" w:lineRule="auto"/>
        <w:rPr>
          <w:sz w:val="20"/>
          <w:szCs w:val="20"/>
          <w:color w:val="auto"/>
        </w:rPr>
      </w:pPr>
      <w:r>
        <w:rPr>
          <w:rFonts w:ascii="Arial" w:cs="Arial" w:eastAsia="Arial" w:hAnsi="Arial"/>
          <w:sz w:val="16"/>
          <w:szCs w:val="16"/>
          <w:color w:val="auto"/>
        </w:rPr>
        <w:t>The unaudited condensed consolidated financial statements include the accounts of the Company and its wholly-owned subsidiaries. All intercompany accounts and transactions have been eliminated. The functional currency of the Company and its subsidiaries is the United States dollar.</w:t>
      </w:r>
    </w:p>
    <w:p>
      <w:pPr>
        <w:spacing w:after="0" w:line="166" w:lineRule="exact"/>
        <w:rPr>
          <w:sz w:val="20"/>
          <w:szCs w:val="20"/>
          <w:color w:val="auto"/>
        </w:rPr>
      </w:pPr>
    </w:p>
    <w:p>
      <w:pPr>
        <w:ind w:left="240"/>
        <w:spacing w:after="0"/>
        <w:rPr>
          <w:sz w:val="20"/>
          <w:szCs w:val="20"/>
          <w:color w:val="auto"/>
        </w:rPr>
      </w:pPr>
      <w:r>
        <w:rPr>
          <w:rFonts w:ascii="Arial" w:cs="Arial" w:eastAsia="Arial" w:hAnsi="Arial"/>
          <w:sz w:val="18"/>
          <w:szCs w:val="18"/>
          <w:b w:val="1"/>
          <w:bCs w:val="1"/>
          <w:i w:val="1"/>
          <w:iCs w:val="1"/>
          <w:color w:val="auto"/>
        </w:rPr>
        <w:t>Cash and cash equivalents</w:t>
      </w:r>
    </w:p>
    <w:p>
      <w:pPr>
        <w:spacing w:after="0" w:line="90" w:lineRule="exact"/>
        <w:rPr>
          <w:sz w:val="20"/>
          <w:szCs w:val="20"/>
          <w:color w:val="auto"/>
        </w:rPr>
      </w:pPr>
    </w:p>
    <w:p>
      <w:pPr>
        <w:ind w:right="260" w:firstLine="456"/>
        <w:spacing w:after="0" w:line="268" w:lineRule="auto"/>
        <w:rPr>
          <w:sz w:val="20"/>
          <w:szCs w:val="20"/>
          <w:color w:val="auto"/>
        </w:rPr>
      </w:pPr>
      <w:r>
        <w:rPr>
          <w:rFonts w:ascii="Arial" w:cs="Arial" w:eastAsia="Arial" w:hAnsi="Arial"/>
          <w:sz w:val="18"/>
          <w:szCs w:val="18"/>
          <w:color w:val="auto"/>
        </w:rPr>
        <w:t>The Company considers all highly liquid investments with a maturity of three months or less from the date of purchase to be cash equivalents. Cash and cash equivalents consist of cash on deposit with banks and money market funds.</w:t>
      </w:r>
    </w:p>
    <w:p>
      <w:pPr>
        <w:spacing w:after="0" w:line="213" w:lineRule="exact"/>
        <w:rPr>
          <w:sz w:val="20"/>
          <w:szCs w:val="20"/>
          <w:color w:val="auto"/>
        </w:rPr>
      </w:pPr>
    </w:p>
    <w:p>
      <w:pPr>
        <w:ind w:left="240"/>
        <w:spacing w:after="0"/>
        <w:rPr>
          <w:sz w:val="20"/>
          <w:szCs w:val="20"/>
          <w:color w:val="auto"/>
        </w:rPr>
      </w:pPr>
      <w:r>
        <w:rPr>
          <w:rFonts w:ascii="Arial" w:cs="Arial" w:eastAsia="Arial" w:hAnsi="Arial"/>
          <w:sz w:val="18"/>
          <w:szCs w:val="18"/>
          <w:b w:val="1"/>
          <w:bCs w:val="1"/>
          <w:i w:val="1"/>
          <w:iCs w:val="1"/>
          <w:color w:val="auto"/>
        </w:rPr>
        <w:t>Investments</w:t>
      </w:r>
    </w:p>
    <w:p>
      <w:pPr>
        <w:spacing w:after="0" w:line="90" w:lineRule="exact"/>
        <w:rPr>
          <w:sz w:val="20"/>
          <w:szCs w:val="20"/>
          <w:color w:val="auto"/>
        </w:rPr>
      </w:pPr>
    </w:p>
    <w:p>
      <w:pPr>
        <w:jc w:val="both"/>
        <w:ind w:right="40" w:firstLine="456"/>
        <w:spacing w:after="0" w:line="306" w:lineRule="auto"/>
        <w:rPr>
          <w:sz w:val="20"/>
          <w:szCs w:val="20"/>
          <w:color w:val="auto"/>
        </w:rPr>
      </w:pPr>
      <w:r>
        <w:rPr>
          <w:rFonts w:ascii="Arial" w:cs="Arial" w:eastAsia="Arial" w:hAnsi="Arial"/>
          <w:sz w:val="16"/>
          <w:szCs w:val="16"/>
          <w:color w:val="auto"/>
        </w:rPr>
        <w:t>The Company’s marketable investments are classified as available-for-sale and trading securities and are reported at fair value. Unrealized gains and losses are reported, net of tax, if any, in accumulated other comprehensive income (loss), a component of shareholders’ equity. Realized gains and losses and declines in value judged to be other than temporary on available-for-sale securities are included in interest and other income, net.</w:t>
      </w:r>
    </w:p>
    <w:p>
      <w:pPr>
        <w:spacing w:after="0" w:line="107" w:lineRule="exact"/>
        <w:rPr>
          <w:sz w:val="20"/>
          <w:szCs w:val="20"/>
          <w:color w:val="auto"/>
        </w:rPr>
      </w:pPr>
    </w:p>
    <w:p>
      <w:pPr>
        <w:ind w:firstLine="456"/>
        <w:spacing w:after="0" w:line="256" w:lineRule="auto"/>
        <w:rPr>
          <w:sz w:val="20"/>
          <w:szCs w:val="20"/>
          <w:color w:val="auto"/>
        </w:rPr>
      </w:pPr>
      <w:r>
        <w:rPr>
          <w:rFonts w:ascii="Arial" w:cs="Arial" w:eastAsia="Arial" w:hAnsi="Arial"/>
          <w:sz w:val="18"/>
          <w:szCs w:val="18"/>
          <w:color w:val="auto"/>
        </w:rPr>
        <w:t>The Company also has equity investments in privately-held companies. These investments are recorded at cost and are included in other non-current assets. The Company accounts for these investments under the cost method because its ownership is less than 20% and it does not have the ability to exercise significant influence over the operations of these companies. The Company monitors these investments for impairment and makes appropriate reductions in carrying value when impairment is deemed to be other than temporary.</w:t>
      </w:r>
    </w:p>
    <w:p>
      <w:pPr>
        <w:spacing w:after="0" w:line="224" w:lineRule="exact"/>
        <w:rPr>
          <w:sz w:val="20"/>
          <w:szCs w:val="20"/>
          <w:color w:val="auto"/>
        </w:rPr>
      </w:pPr>
    </w:p>
    <w:p>
      <w:pPr>
        <w:ind w:left="240"/>
        <w:spacing w:after="0"/>
        <w:rPr>
          <w:sz w:val="20"/>
          <w:szCs w:val="20"/>
          <w:color w:val="auto"/>
        </w:rPr>
      </w:pPr>
      <w:r>
        <w:rPr>
          <w:rFonts w:ascii="Arial" w:cs="Arial" w:eastAsia="Arial" w:hAnsi="Arial"/>
          <w:sz w:val="18"/>
          <w:szCs w:val="18"/>
          <w:b w:val="1"/>
          <w:bCs w:val="1"/>
          <w:i w:val="1"/>
          <w:iCs w:val="1"/>
          <w:color w:val="auto"/>
        </w:rPr>
        <w:t>Impairment of investments</w:t>
      </w:r>
    </w:p>
    <w:p>
      <w:pPr>
        <w:spacing w:after="0" w:line="90" w:lineRule="exact"/>
        <w:rPr>
          <w:sz w:val="20"/>
          <w:szCs w:val="20"/>
          <w:color w:val="auto"/>
        </w:rPr>
      </w:pPr>
    </w:p>
    <w:p>
      <w:pPr>
        <w:ind w:right="120" w:firstLine="456"/>
        <w:spacing w:after="0" w:line="291" w:lineRule="auto"/>
        <w:rPr>
          <w:sz w:val="20"/>
          <w:szCs w:val="20"/>
          <w:color w:val="auto"/>
        </w:rPr>
      </w:pPr>
      <w:r>
        <w:rPr>
          <w:rFonts w:ascii="Arial" w:cs="Arial" w:eastAsia="Arial" w:hAnsi="Arial"/>
          <w:sz w:val="16"/>
          <w:szCs w:val="16"/>
          <w:color w:val="auto"/>
        </w:rPr>
        <w:t>In April 2009, the Financial Accounting Standards Board (“FASB”) amended an existing guidance on determining whether impairment for investments in debt securities is other-than-temporary, FASB Accounting Standards Codification (“ASC”) 320-10-65, “Investments – Debt and Equity Securities – Overall – Transition and Open Effective Date Information.” If the debt security’s market value is below amortized cost and the Company either intends to sell the security or it is more likely than not that the Company will be required to sell the security before it anticipated recovery, the Company records an other-than-temporary impairment charge to investment income (loss) for the entire amount of impairment. However, for the remaining debt securities, if a significant decline in value exists, the Company will consider credit and other factors as included in the guidance to account for the impairment loss.</w:t>
      </w:r>
    </w:p>
    <w:p>
      <w:pPr>
        <w:spacing w:after="0" w:line="201" w:lineRule="exact"/>
        <w:rPr>
          <w:sz w:val="20"/>
          <w:szCs w:val="20"/>
          <w:color w:val="auto"/>
        </w:rPr>
      </w:pPr>
    </w:p>
    <w:p>
      <w:pPr>
        <w:ind w:left="240"/>
        <w:spacing w:after="0"/>
        <w:rPr>
          <w:sz w:val="20"/>
          <w:szCs w:val="20"/>
          <w:color w:val="auto"/>
        </w:rPr>
      </w:pPr>
      <w:r>
        <w:rPr>
          <w:rFonts w:ascii="Arial" w:cs="Arial" w:eastAsia="Arial" w:hAnsi="Arial"/>
          <w:sz w:val="18"/>
          <w:szCs w:val="18"/>
          <w:b w:val="1"/>
          <w:bCs w:val="1"/>
          <w:i w:val="1"/>
          <w:iCs w:val="1"/>
          <w:color w:val="auto"/>
        </w:rPr>
        <w:t>Derivative financial instruments</w:t>
      </w:r>
    </w:p>
    <w:p>
      <w:pPr>
        <w:spacing w:after="0" w:line="90" w:lineRule="exact"/>
        <w:rPr>
          <w:sz w:val="20"/>
          <w:szCs w:val="20"/>
          <w:color w:val="auto"/>
        </w:rPr>
      </w:pPr>
    </w:p>
    <w:p>
      <w:pPr>
        <w:ind w:right="40" w:firstLine="456"/>
        <w:spacing w:after="0" w:line="290" w:lineRule="auto"/>
        <w:rPr>
          <w:sz w:val="20"/>
          <w:szCs w:val="20"/>
          <w:color w:val="auto"/>
        </w:rPr>
      </w:pPr>
      <w:r>
        <w:rPr>
          <w:rFonts w:ascii="Arial" w:cs="Arial" w:eastAsia="Arial" w:hAnsi="Arial"/>
          <w:sz w:val="16"/>
          <w:szCs w:val="16"/>
          <w:color w:val="auto"/>
        </w:rPr>
        <w:t>The Company accounts for its derivative instruments as either assets or liabilities and carries them at fair value. Derivatives that are not defined as hedges must be adjusted to fair value through earnings. For derivative instruments that hedge the exposure to variability in expected future cash flows that are designated as cash flow hedges, the effective portion of the gain or loss on the derivative instrument is reported as a component of accumulated other comprehensive income (loss) in shareholders’ equity and reclassified into earnings in the same period or periods during which the hedged transaction affects earnings. The ineffective portion of the gain or loss on the derivative instrument is recognized in current earnings. To receive hedge accounting treatment, cash flow hedges must be highly effective in offsetting changes to expected future cash flows on hedged transactions. For options designated as cash flow hedges, changes in the time value are excluded from the assessment of hedge effectiveness and are recognized in earnings.</w:t>
      </w:r>
    </w:p>
    <w:p>
      <w:pPr>
        <w:spacing w:after="0" w:line="118" w:lineRule="exact"/>
        <w:rPr>
          <w:sz w:val="20"/>
          <w:szCs w:val="20"/>
          <w:color w:val="auto"/>
        </w:rPr>
      </w:pPr>
    </w:p>
    <w:p>
      <w:pPr>
        <w:ind w:right="60" w:firstLine="456"/>
        <w:spacing w:after="0" w:line="256" w:lineRule="auto"/>
        <w:rPr>
          <w:sz w:val="20"/>
          <w:szCs w:val="20"/>
          <w:color w:val="auto"/>
        </w:rPr>
      </w:pPr>
      <w:r>
        <w:rPr>
          <w:rFonts w:ascii="Arial" w:cs="Arial" w:eastAsia="Arial" w:hAnsi="Arial"/>
          <w:sz w:val="18"/>
          <w:szCs w:val="18"/>
          <w:color w:val="auto"/>
        </w:rPr>
        <w:t>For derivative instruments that hedge the exposure to changes in the fair value of an asset or a liability and that are designated as fair value hedges and for other derivatives not designated as hedging instruments that the Company uses to hedge monetary assets or liabilities denominated in currencies other than the U.S. dollar, the net gain or loss on the derivative instrument as well as the offsetting gain or loss on the hedged item attributable to the hedged risk are recognized in earnings in the current period.</w:t>
      </w:r>
    </w:p>
    <w:p>
      <w:pPr>
        <w:spacing w:after="0" w:line="224" w:lineRule="exact"/>
        <w:rPr>
          <w:sz w:val="20"/>
          <w:szCs w:val="20"/>
          <w:color w:val="auto"/>
        </w:rPr>
      </w:pPr>
    </w:p>
    <w:p>
      <w:pPr>
        <w:ind w:left="240"/>
        <w:spacing w:after="0"/>
        <w:rPr>
          <w:sz w:val="20"/>
          <w:szCs w:val="20"/>
          <w:color w:val="auto"/>
        </w:rPr>
      </w:pPr>
      <w:r>
        <w:rPr>
          <w:rFonts w:ascii="Arial" w:cs="Arial" w:eastAsia="Arial" w:hAnsi="Arial"/>
          <w:sz w:val="18"/>
          <w:szCs w:val="18"/>
          <w:b w:val="1"/>
          <w:bCs w:val="1"/>
          <w:i w:val="1"/>
          <w:iCs w:val="1"/>
          <w:color w:val="auto"/>
        </w:rPr>
        <w:t>Concentration of credit risk</w:t>
      </w:r>
    </w:p>
    <w:p>
      <w:pPr>
        <w:spacing w:after="0" w:line="90" w:lineRule="exact"/>
        <w:rPr>
          <w:sz w:val="20"/>
          <w:szCs w:val="20"/>
          <w:color w:val="auto"/>
        </w:rPr>
      </w:pPr>
    </w:p>
    <w:p>
      <w:pPr>
        <w:ind w:firstLine="456"/>
        <w:spacing w:after="0" w:line="288" w:lineRule="auto"/>
        <w:rPr>
          <w:sz w:val="20"/>
          <w:szCs w:val="20"/>
          <w:color w:val="auto"/>
        </w:rPr>
      </w:pPr>
      <w:r>
        <w:rPr>
          <w:rFonts w:ascii="Arial" w:cs="Arial" w:eastAsia="Arial" w:hAnsi="Arial"/>
          <w:sz w:val="16"/>
          <w:szCs w:val="16"/>
          <w:color w:val="auto"/>
        </w:rPr>
        <w:t>Financial instruments that potentially subject the Company to a significant concentration of credit risk consist principally of cash equivalents, short-term investments and accounts receivable. The Company places its cash primarily in checking and money market accounts. Cash equivalents and short-term investment balances are maintained with high quality financial institutions, the composition and maturities of which are regularly monitored by management. The Company believes that the concentration of credit risk in its trade receivables with respect to its served markets, as well as the limited customer base located primarily in the Asia Pacific Region, are substantially mitigated by the Company’s credit evaluation process, relatively short collection terms and the high level of credit worthiness of its customers. The Company performs ongoing credit evaluations of its customers’ financial conditions and limits the amount of credit extended when deemed necessary based upon payment history and the customer’s current credit worthiness, but generally requires no collateral. The Company regularly reviews the allowance for bad debt and doubtful accounts by considering factors such as historical experience, credit quality, age of the account receivable balances and current economic conditions that may affect a customer’s ability to pay.</w:t>
      </w:r>
    </w:p>
    <w:p>
      <w:pPr>
        <w:spacing w:after="0" w:line="106"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7</w:t>
      </w:r>
    </w:p>
    <w:p>
      <w:pPr>
        <w:sectPr>
          <w:pgSz w:w="11900" w:h="16838" w:orient="portrait"/>
          <w:cols w:equalWidth="0" w:num="1">
            <w:col w:w="11400"/>
          </w:cols>
          <w:pgMar w:left="240" w:top="459" w:right="259" w:bottom="1440" w:gutter="0" w:footer="0" w:header="0"/>
        </w:sectPr>
      </w:pPr>
    </w:p>
    <w:bookmarkStart w:id="7" w:name="page8"/>
    <w:bookmarkEnd w:id="7"/>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2">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MARVELL TECHNOLOGY GROUP LTD.</w:t>
      </w:r>
    </w:p>
    <w:p>
      <w:pPr>
        <w:spacing w:after="0" w:line="90"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NOTES TO UNAUDITED CONDENSED CONSOLIDATED FINANCIAL STATEMENTS—(Continued)</w:t>
      </w:r>
    </w:p>
    <w:p>
      <w:pPr>
        <w:spacing w:after="0" w:line="164" w:lineRule="exact"/>
        <w:rPr>
          <w:sz w:val="20"/>
          <w:szCs w:val="20"/>
          <w:color w:val="auto"/>
        </w:rPr>
      </w:pPr>
    </w:p>
    <w:p>
      <w:pPr>
        <w:ind w:left="240"/>
        <w:spacing w:after="0"/>
        <w:rPr>
          <w:sz w:val="20"/>
          <w:szCs w:val="20"/>
          <w:color w:val="auto"/>
        </w:rPr>
      </w:pPr>
      <w:r>
        <w:rPr>
          <w:rFonts w:ascii="Arial" w:cs="Arial" w:eastAsia="Arial" w:hAnsi="Arial"/>
          <w:sz w:val="18"/>
          <w:szCs w:val="18"/>
          <w:b w:val="1"/>
          <w:bCs w:val="1"/>
          <w:i w:val="1"/>
          <w:iCs w:val="1"/>
          <w:color w:val="auto"/>
        </w:rPr>
        <w:t>Inventories</w:t>
      </w:r>
    </w:p>
    <w:p>
      <w:pPr>
        <w:spacing w:after="0" w:line="90" w:lineRule="exact"/>
        <w:rPr>
          <w:sz w:val="20"/>
          <w:szCs w:val="20"/>
          <w:color w:val="auto"/>
        </w:rPr>
      </w:pPr>
    </w:p>
    <w:p>
      <w:pPr>
        <w:ind w:right="40" w:firstLine="456"/>
        <w:spacing w:after="0" w:line="256" w:lineRule="auto"/>
        <w:rPr>
          <w:sz w:val="20"/>
          <w:szCs w:val="20"/>
          <w:color w:val="auto"/>
        </w:rPr>
      </w:pPr>
      <w:r>
        <w:rPr>
          <w:rFonts w:ascii="Arial" w:cs="Arial" w:eastAsia="Arial" w:hAnsi="Arial"/>
          <w:sz w:val="18"/>
          <w:szCs w:val="18"/>
          <w:color w:val="auto"/>
        </w:rPr>
        <w:t>Inventories are stated at the lower of cost or market, determined under the first-in, first-out method. The Company records inventory excess and obsolescence provisions for estimated obsolete or unmarketable inventory equal to the difference between the cost of inventory and estimated net realizable value based upon assumptions about future demand and market conditions. Shipping and handling costs are classified as a component of cost of goods sold in the unaudited condensed consolidated statements of operations.</w:t>
      </w:r>
    </w:p>
    <w:p>
      <w:pPr>
        <w:spacing w:after="0" w:line="224" w:lineRule="exact"/>
        <w:rPr>
          <w:sz w:val="20"/>
          <w:szCs w:val="20"/>
          <w:color w:val="auto"/>
        </w:rPr>
      </w:pPr>
    </w:p>
    <w:p>
      <w:pPr>
        <w:ind w:left="240"/>
        <w:spacing w:after="0"/>
        <w:rPr>
          <w:sz w:val="20"/>
          <w:szCs w:val="20"/>
          <w:color w:val="auto"/>
        </w:rPr>
      </w:pPr>
      <w:r>
        <w:rPr>
          <w:rFonts w:ascii="Arial" w:cs="Arial" w:eastAsia="Arial" w:hAnsi="Arial"/>
          <w:sz w:val="18"/>
          <w:szCs w:val="18"/>
          <w:b w:val="1"/>
          <w:bCs w:val="1"/>
          <w:i w:val="1"/>
          <w:iCs w:val="1"/>
          <w:color w:val="auto"/>
        </w:rPr>
        <w:t>Property and equipment, net</w:t>
      </w:r>
    </w:p>
    <w:p>
      <w:pPr>
        <w:spacing w:after="0" w:line="90" w:lineRule="exact"/>
        <w:rPr>
          <w:sz w:val="20"/>
          <w:szCs w:val="20"/>
          <w:color w:val="auto"/>
        </w:rPr>
      </w:pPr>
    </w:p>
    <w:p>
      <w:pPr>
        <w:ind w:right="120" w:firstLine="456"/>
        <w:spacing w:after="0" w:line="255" w:lineRule="auto"/>
        <w:rPr>
          <w:sz w:val="20"/>
          <w:szCs w:val="20"/>
          <w:color w:val="auto"/>
        </w:rPr>
      </w:pPr>
      <w:r>
        <w:rPr>
          <w:rFonts w:ascii="Arial" w:cs="Arial" w:eastAsia="Arial" w:hAnsi="Arial"/>
          <w:sz w:val="18"/>
          <w:szCs w:val="18"/>
          <w:color w:val="auto"/>
        </w:rPr>
        <w:t>Property and equipment, net, including capital leases and leasehold improvements, are stated at cost less accumulated depreciation and amortization. Depreciation for property and equipment other than buildings is computed using the straight-line method over the estimated useful lives of the assets, which ranges from three to five years. Buildings are depreciated on a straight-line method over an estimated useful life of 30 years and building improvements are depreciated over estimated useful lives of 15 years. Land is not depreciated. Assets held under capital leases and leasehold improvements are amortized over the shorter of term of lease or their estimated useful lives.</w:t>
      </w:r>
    </w:p>
    <w:p>
      <w:pPr>
        <w:spacing w:after="0" w:line="224" w:lineRule="exact"/>
        <w:rPr>
          <w:sz w:val="20"/>
          <w:szCs w:val="20"/>
          <w:color w:val="auto"/>
        </w:rPr>
      </w:pPr>
    </w:p>
    <w:p>
      <w:pPr>
        <w:ind w:left="240"/>
        <w:spacing w:after="0"/>
        <w:rPr>
          <w:sz w:val="20"/>
          <w:szCs w:val="20"/>
          <w:color w:val="auto"/>
        </w:rPr>
      </w:pPr>
      <w:r>
        <w:rPr>
          <w:rFonts w:ascii="Arial" w:cs="Arial" w:eastAsia="Arial" w:hAnsi="Arial"/>
          <w:sz w:val="18"/>
          <w:szCs w:val="18"/>
          <w:b w:val="1"/>
          <w:bCs w:val="1"/>
          <w:i w:val="1"/>
          <w:iCs w:val="1"/>
          <w:color w:val="auto"/>
        </w:rPr>
        <w:t>Goodwill and acquired intangible assets, net</w:t>
      </w:r>
    </w:p>
    <w:p>
      <w:pPr>
        <w:spacing w:after="0" w:line="90" w:lineRule="exact"/>
        <w:rPr>
          <w:sz w:val="20"/>
          <w:szCs w:val="20"/>
          <w:color w:val="auto"/>
        </w:rPr>
      </w:pPr>
    </w:p>
    <w:p>
      <w:pPr>
        <w:ind w:right="220" w:firstLine="456"/>
        <w:spacing w:after="0" w:line="256" w:lineRule="auto"/>
        <w:rPr>
          <w:sz w:val="20"/>
          <w:szCs w:val="20"/>
          <w:color w:val="auto"/>
        </w:rPr>
      </w:pPr>
      <w:r>
        <w:rPr>
          <w:rFonts w:ascii="Arial" w:cs="Arial" w:eastAsia="Arial" w:hAnsi="Arial"/>
          <w:sz w:val="18"/>
          <w:szCs w:val="18"/>
          <w:color w:val="auto"/>
        </w:rPr>
        <w:t>Goodwill is recorded when the consideration paid for a business acquisition exceeds the fair value of net tangible and intangible assets acquired. Acquisition-related identified intangible assets are amortized on a straight-line basis over their estimated economic lives of one to seven years for purchased technology, one to eight years for core technology, one to five years for trade name, four to seven years for customer contracts and three years for non-compete agreements.</w:t>
      </w:r>
    </w:p>
    <w:p>
      <w:pPr>
        <w:spacing w:after="0" w:line="143" w:lineRule="exact"/>
        <w:rPr>
          <w:sz w:val="20"/>
          <w:szCs w:val="20"/>
          <w:color w:val="auto"/>
        </w:rPr>
      </w:pPr>
    </w:p>
    <w:p>
      <w:pPr>
        <w:ind w:firstLine="456"/>
        <w:spacing w:after="0" w:line="287" w:lineRule="auto"/>
        <w:rPr>
          <w:sz w:val="20"/>
          <w:szCs w:val="20"/>
          <w:color w:val="auto"/>
        </w:rPr>
      </w:pPr>
      <w:r>
        <w:rPr>
          <w:rFonts w:ascii="Arial" w:cs="Arial" w:eastAsia="Arial" w:hAnsi="Arial"/>
          <w:sz w:val="16"/>
          <w:szCs w:val="16"/>
          <w:color w:val="auto"/>
        </w:rPr>
        <w:t>Goodwill is measured and tested for impairment on an annual basis during the fourth fiscal quarter or more frequently if the Company believes indicators of impairment exist. The performance of the test involves a two-step process. The first step requires comparing the fair value of the reporting unit to its net book value, including goodwill. As the Company has only one reporting unit, the fair value of the reporting unit is determined by taking the market capitalization of the reporting unit as determined through quoted market prices and adjusted for control premiums and other relevant factors. A potential impairment exists if the fair value of the reporting unit is lower than its net book value. The second step of the process is only performed if a potential impairment exists, and it involves determining the difference between the fair value of the reporting unit’s net assets other than goodwill and the fair value of the reporting unit. If the difference is less than the net book value of goodwill, impairment exists and is recorded. In the event that the Company determines that the value of goodwill has become impaired, the Company will record an accounting charge for the amount of impairment during the fiscal quarter in which the determination is made. The Company has not been required to perform this second step of the process because the fair value of the reporting unit has exceeded its net book value at every measurement date.</w:t>
      </w:r>
    </w:p>
    <w:p>
      <w:pPr>
        <w:spacing w:after="0" w:line="204" w:lineRule="exact"/>
        <w:rPr>
          <w:sz w:val="20"/>
          <w:szCs w:val="20"/>
          <w:color w:val="auto"/>
        </w:rPr>
      </w:pPr>
    </w:p>
    <w:p>
      <w:pPr>
        <w:ind w:left="240"/>
        <w:spacing w:after="0"/>
        <w:rPr>
          <w:sz w:val="20"/>
          <w:szCs w:val="20"/>
          <w:color w:val="auto"/>
        </w:rPr>
      </w:pPr>
      <w:r>
        <w:rPr>
          <w:rFonts w:ascii="Arial" w:cs="Arial" w:eastAsia="Arial" w:hAnsi="Arial"/>
          <w:sz w:val="18"/>
          <w:szCs w:val="18"/>
          <w:b w:val="1"/>
          <w:bCs w:val="1"/>
          <w:i w:val="1"/>
          <w:iCs w:val="1"/>
          <w:color w:val="auto"/>
        </w:rPr>
        <w:t>Impairment of long-lived assets</w:t>
      </w:r>
    </w:p>
    <w:p>
      <w:pPr>
        <w:spacing w:after="0" w:line="90" w:lineRule="exact"/>
        <w:rPr>
          <w:sz w:val="20"/>
          <w:szCs w:val="20"/>
          <w:color w:val="auto"/>
        </w:rPr>
      </w:pPr>
    </w:p>
    <w:p>
      <w:pPr>
        <w:ind w:right="160" w:firstLine="456"/>
        <w:spacing w:after="0" w:line="323" w:lineRule="auto"/>
        <w:rPr>
          <w:sz w:val="20"/>
          <w:szCs w:val="20"/>
          <w:color w:val="auto"/>
        </w:rPr>
      </w:pPr>
      <w:r>
        <w:rPr>
          <w:rFonts w:ascii="Arial" w:cs="Arial" w:eastAsia="Arial" w:hAnsi="Arial"/>
          <w:sz w:val="15"/>
          <w:szCs w:val="15"/>
          <w:color w:val="auto"/>
        </w:rPr>
        <w:t>Long-lived assets include equipment, furniture and fixtures, privately-held equity investments and intangible assets. Whenever events or changes in circumstances indicate that the carrying amount of long-lived assets may not be recoverable, the Company estimates the future cash flows, undiscounted and without interest charges, expected to result from the use of those assets and their eventual cash position. If the sum of the expected future cash flows is less than the carrying amount of those assets, the Company recognizes an impairment loss based on the excess of the carrying amount over the fair value of the assets.</w:t>
      </w:r>
    </w:p>
    <w:p>
      <w:pPr>
        <w:spacing w:after="0" w:line="179" w:lineRule="exact"/>
        <w:rPr>
          <w:sz w:val="20"/>
          <w:szCs w:val="20"/>
          <w:color w:val="auto"/>
        </w:rPr>
      </w:pPr>
    </w:p>
    <w:p>
      <w:pPr>
        <w:ind w:left="240"/>
        <w:spacing w:after="0"/>
        <w:rPr>
          <w:sz w:val="20"/>
          <w:szCs w:val="20"/>
          <w:color w:val="auto"/>
        </w:rPr>
      </w:pPr>
      <w:r>
        <w:rPr>
          <w:rFonts w:ascii="Arial" w:cs="Arial" w:eastAsia="Arial" w:hAnsi="Arial"/>
          <w:sz w:val="18"/>
          <w:szCs w:val="18"/>
          <w:b w:val="1"/>
          <w:bCs w:val="1"/>
          <w:i w:val="1"/>
          <w:iCs w:val="1"/>
          <w:color w:val="auto"/>
        </w:rPr>
        <w:t>Revenue recognition</w:t>
      </w:r>
    </w:p>
    <w:p>
      <w:pPr>
        <w:spacing w:after="0" w:line="90" w:lineRule="exact"/>
        <w:rPr>
          <w:sz w:val="20"/>
          <w:szCs w:val="20"/>
          <w:color w:val="auto"/>
        </w:rPr>
      </w:pPr>
    </w:p>
    <w:p>
      <w:pPr>
        <w:ind w:right="500" w:firstLine="456"/>
        <w:spacing w:after="0" w:line="268" w:lineRule="auto"/>
        <w:rPr>
          <w:sz w:val="20"/>
          <w:szCs w:val="20"/>
          <w:color w:val="auto"/>
        </w:rPr>
      </w:pPr>
      <w:r>
        <w:rPr>
          <w:rFonts w:ascii="Arial" w:cs="Arial" w:eastAsia="Arial" w:hAnsi="Arial"/>
          <w:sz w:val="18"/>
          <w:szCs w:val="18"/>
          <w:color w:val="auto"/>
        </w:rPr>
        <w:t>The Company recognizes revenues when there is persuasive evidence of an arrangement, delivery has occurred, the fee is fixed or determinable, and collection is reasonably assured.</w:t>
      </w:r>
    </w:p>
    <w:p>
      <w:pPr>
        <w:spacing w:after="0" w:line="132" w:lineRule="exact"/>
        <w:rPr>
          <w:sz w:val="20"/>
          <w:szCs w:val="20"/>
          <w:color w:val="auto"/>
        </w:rPr>
      </w:pPr>
    </w:p>
    <w:p>
      <w:pPr>
        <w:ind w:right="40" w:firstLine="456"/>
        <w:spacing w:after="0" w:line="294" w:lineRule="auto"/>
        <w:rPr>
          <w:sz w:val="20"/>
          <w:szCs w:val="20"/>
          <w:color w:val="auto"/>
        </w:rPr>
      </w:pPr>
      <w:r>
        <w:rPr>
          <w:rFonts w:ascii="Arial" w:cs="Arial" w:eastAsia="Arial" w:hAnsi="Arial"/>
          <w:sz w:val="16"/>
          <w:szCs w:val="16"/>
          <w:color w:val="auto"/>
        </w:rPr>
        <w:t>Product revenue is generally recognized upon shipment of product to customers, net of accruals for estimated sales returns. However, some of the Company’s sales are made through distributors under agreements allowing for price protection, shipped from stock pricing adjustment rights and limited rights of return on products unsold by the distributors. Although title passes to the distributor upon shipment terms and payment by the Company’s distributors is not contingent on resale of the product, product revenue on sales made through distributors with price protection, shipped from stock pricing adjustment rights and stock rotation rights is deferred until the distributors sell the product to end customers because the Company’s selling price is not fixed and</w:t>
      </w:r>
    </w:p>
    <w:p>
      <w:pPr>
        <w:spacing w:after="0" w:line="102"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8</w:t>
      </w:r>
    </w:p>
    <w:p>
      <w:pPr>
        <w:sectPr>
          <w:pgSz w:w="11900" w:h="16838" w:orient="portrait"/>
          <w:cols w:equalWidth="0" w:num="1">
            <w:col w:w="11400"/>
          </w:cols>
          <w:pgMar w:left="240" w:top="459" w:right="259" w:bottom="1440" w:gutter="0" w:footer="0" w:header="0"/>
        </w:sectPr>
      </w:pPr>
    </w:p>
    <w:bookmarkStart w:id="8" w:name="page9"/>
    <w:bookmarkEnd w:id="8"/>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3">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MARVELL TECHNOLOGY GROUP LTD.</w:t>
      </w:r>
    </w:p>
    <w:p>
      <w:pPr>
        <w:spacing w:after="0" w:line="90"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NOTES TO UNAUDITED CONDENSED CONSOLIDATED FINANCIAL STATEMENTS—(Continued)</w:t>
      </w:r>
    </w:p>
    <w:p>
      <w:pPr>
        <w:spacing w:after="0" w:line="164" w:lineRule="exact"/>
        <w:rPr>
          <w:sz w:val="20"/>
          <w:szCs w:val="20"/>
          <w:color w:val="auto"/>
        </w:rPr>
      </w:pPr>
    </w:p>
    <w:p>
      <w:pPr>
        <w:ind w:right="40"/>
        <w:spacing w:after="0" w:line="287" w:lineRule="auto"/>
        <w:rPr>
          <w:sz w:val="20"/>
          <w:szCs w:val="20"/>
          <w:color w:val="auto"/>
        </w:rPr>
      </w:pPr>
      <w:r>
        <w:rPr>
          <w:rFonts w:ascii="Arial" w:cs="Arial" w:eastAsia="Arial" w:hAnsi="Arial"/>
          <w:sz w:val="16"/>
          <w:szCs w:val="16"/>
          <w:color w:val="auto"/>
        </w:rPr>
        <w:t>determinable and the Company is not able to reliably estimate future returns. Deferred revenue less the related cost of the inventories is reported as deferred income. The Company does not believe that there is any significant exposure related to impairment of deferred cost of sales, as its historical returns have been minimal and inventory turnover for its distributors generally ranges from 60 to 90 days. The Company’s sales to direct customers are made primarily pursuant to standard purchase orders for delivery of products. The Company generally allows customers to cancel or change purchase orders with limited notice prior to the scheduled shipment dates and from time to time it also may request a customer to accept a shipment of product before its original requested delivery date, in which case, revenue is not recognized until there is written confirmation from the customer accepting early shipment, delivery has occurred, the fee is fixed or determinable, and collection is reasonably assured. Additionally, collection is not deemed to be “reasonably assured,” and fees are not fixed or determinable if customers receive extended payment terms. As a result, revenue on sales to customers with payment terms substantially greater than the Company’s normal payment terms is deferred and is recognized as revenue as the payments become due. Revenue related to the sale of consignment inventory is not recognized until the product is pulled from inventory stock by the customer.</w:t>
      </w:r>
    </w:p>
    <w:p>
      <w:pPr>
        <w:spacing w:after="0" w:line="123" w:lineRule="exact"/>
        <w:rPr>
          <w:sz w:val="20"/>
          <w:szCs w:val="20"/>
          <w:color w:val="auto"/>
        </w:rPr>
      </w:pPr>
    </w:p>
    <w:p>
      <w:pPr>
        <w:ind w:right="260" w:firstLine="456"/>
        <w:spacing w:after="0" w:line="268" w:lineRule="auto"/>
        <w:rPr>
          <w:sz w:val="20"/>
          <w:szCs w:val="20"/>
          <w:color w:val="auto"/>
        </w:rPr>
      </w:pPr>
      <w:r>
        <w:rPr>
          <w:rFonts w:ascii="Arial" w:cs="Arial" w:eastAsia="Arial" w:hAnsi="Arial"/>
          <w:sz w:val="18"/>
          <w:szCs w:val="18"/>
          <w:color w:val="auto"/>
        </w:rPr>
        <w:t>The provision for estimated sales returns on product sales is recorded in the same period the related revenues are recorded. These estimates are based on historical sales returns and other known factors. Actual returns could differ from these estimates.</w:t>
      </w:r>
    </w:p>
    <w:p>
      <w:pPr>
        <w:spacing w:after="0" w:line="132" w:lineRule="exact"/>
        <w:rPr>
          <w:sz w:val="20"/>
          <w:szCs w:val="20"/>
          <w:color w:val="auto"/>
        </w:rPr>
      </w:pPr>
    </w:p>
    <w:p>
      <w:pPr>
        <w:ind w:right="260" w:firstLine="456"/>
        <w:spacing w:after="0" w:line="268" w:lineRule="auto"/>
        <w:rPr>
          <w:sz w:val="20"/>
          <w:szCs w:val="20"/>
          <w:color w:val="auto"/>
        </w:rPr>
      </w:pPr>
      <w:r>
        <w:rPr>
          <w:rFonts w:ascii="Arial" w:cs="Arial" w:eastAsia="Arial" w:hAnsi="Arial"/>
          <w:sz w:val="18"/>
          <w:szCs w:val="18"/>
          <w:color w:val="auto"/>
        </w:rPr>
        <w:t>The Company accounts for rebates by recording reductions to revenue for rebates in the same period that the related revenue is recorded. The amount of these reductions is based upon the terms included in the Company’s various rebate agreements.</w:t>
      </w:r>
    </w:p>
    <w:p>
      <w:pPr>
        <w:spacing w:after="0" w:line="213" w:lineRule="exact"/>
        <w:rPr>
          <w:sz w:val="20"/>
          <w:szCs w:val="20"/>
          <w:color w:val="auto"/>
        </w:rPr>
      </w:pPr>
    </w:p>
    <w:p>
      <w:pPr>
        <w:ind w:left="240"/>
        <w:spacing w:after="0"/>
        <w:rPr>
          <w:sz w:val="20"/>
          <w:szCs w:val="20"/>
          <w:color w:val="auto"/>
        </w:rPr>
      </w:pPr>
      <w:r>
        <w:rPr>
          <w:rFonts w:ascii="Arial" w:cs="Arial" w:eastAsia="Arial" w:hAnsi="Arial"/>
          <w:sz w:val="18"/>
          <w:szCs w:val="18"/>
          <w:b w:val="1"/>
          <w:bCs w:val="1"/>
          <w:i w:val="1"/>
          <w:iCs w:val="1"/>
          <w:color w:val="auto"/>
        </w:rPr>
        <w:t>Research and development expenses</w:t>
      </w:r>
    </w:p>
    <w:p>
      <w:pPr>
        <w:spacing w:after="0" w:line="90" w:lineRule="exact"/>
        <w:rPr>
          <w:sz w:val="20"/>
          <w:szCs w:val="20"/>
          <w:color w:val="auto"/>
        </w:rPr>
      </w:pPr>
    </w:p>
    <w:p>
      <w:pPr>
        <w:ind w:firstLine="456"/>
        <w:spacing w:after="0" w:line="332" w:lineRule="auto"/>
        <w:rPr>
          <w:sz w:val="20"/>
          <w:szCs w:val="20"/>
          <w:color w:val="auto"/>
        </w:rPr>
      </w:pPr>
      <w:r>
        <w:rPr>
          <w:rFonts w:ascii="Arial" w:cs="Arial" w:eastAsia="Arial" w:hAnsi="Arial"/>
          <w:sz w:val="16"/>
          <w:szCs w:val="16"/>
          <w:color w:val="auto"/>
        </w:rPr>
        <w:t>Research and development expenses are expensed as incurred. Research and development funding from customers for development work is recognized as a credit to research and development expense under the proportionate performance method as the underlying work is performed.</w:t>
      </w:r>
    </w:p>
    <w:p>
      <w:pPr>
        <w:spacing w:after="0" w:line="166" w:lineRule="exact"/>
        <w:rPr>
          <w:sz w:val="20"/>
          <w:szCs w:val="20"/>
          <w:color w:val="auto"/>
        </w:rPr>
      </w:pPr>
    </w:p>
    <w:p>
      <w:pPr>
        <w:ind w:left="240"/>
        <w:spacing w:after="0"/>
        <w:rPr>
          <w:sz w:val="20"/>
          <w:szCs w:val="20"/>
          <w:color w:val="auto"/>
        </w:rPr>
      </w:pPr>
      <w:r>
        <w:rPr>
          <w:rFonts w:ascii="Arial" w:cs="Arial" w:eastAsia="Arial" w:hAnsi="Arial"/>
          <w:sz w:val="18"/>
          <w:szCs w:val="18"/>
          <w:b w:val="1"/>
          <w:bCs w:val="1"/>
          <w:i w:val="1"/>
          <w:iCs w:val="1"/>
          <w:color w:val="auto"/>
        </w:rPr>
        <w:t>Accounting for income taxes</w:t>
      </w:r>
    </w:p>
    <w:p>
      <w:pPr>
        <w:spacing w:after="0" w:line="90" w:lineRule="exact"/>
        <w:rPr>
          <w:sz w:val="20"/>
          <w:szCs w:val="20"/>
          <w:color w:val="auto"/>
        </w:rPr>
      </w:pPr>
    </w:p>
    <w:p>
      <w:pPr>
        <w:ind w:right="40" w:firstLine="456"/>
        <w:spacing w:after="0" w:line="286" w:lineRule="auto"/>
        <w:rPr>
          <w:sz w:val="20"/>
          <w:szCs w:val="20"/>
          <w:color w:val="auto"/>
        </w:rPr>
      </w:pPr>
      <w:r>
        <w:rPr>
          <w:rFonts w:ascii="Arial" w:cs="Arial" w:eastAsia="Arial" w:hAnsi="Arial"/>
          <w:sz w:val="16"/>
          <w:szCs w:val="16"/>
          <w:color w:val="auto"/>
        </w:rPr>
        <w:t>The Company determines deferred tax assets and liabilities based upon the difference between the income tax basis of assets and liabilities and their respective financial reporting amounts at enacted tax rates in effect for the periods in which the differences are expected to reverse. The tax consequences of most events recognized in the current year’s financial statements are included in determining income taxes currently payable. However, because tax laws and financial accounting standards differ in their recognition and measurement of assets, liabilities, equity, revenues, expenses, and gains and losses, differences arise between the amount of taxable income and pretax financial income for a year and between the tax basis of assets or liabilities and their reported amounts in the financial statements. Because it is assumed that the reported amounts of assets and liabilities will be recovered or settled, a difference between the tax basis of an asset or liability and its reported amount on the balance sheet will result in a taxable or a deductible amount in some future years when the related liabilities are settled or assets are recovered, hence giving rise to a deferred tax liability or asset, respectively. The Company then assesses the likelihood that its deferred tax assets will be recovered from future taxable income and to the extent the Company believes that recovery is not more likely than not, the Company would establish a valuation allowance. The Company classifies accrued interest and penalties as part of the accrued liability and records the expense within the provision for income taxes. The Company may recognize the tax benefit from an uncertain tax position only if it is more likely than not that the tax position will be sustained on examination by the taxing authorities, based on the technical merits of the position. The tax benefits recognized in the financial statements from such a position are measured based on the largest benefit that has a greater than 50 percent likelihood of being realized upon settlement.</w:t>
      </w:r>
    </w:p>
    <w:p>
      <w:pPr>
        <w:spacing w:after="0" w:line="121" w:lineRule="exact"/>
        <w:rPr>
          <w:sz w:val="20"/>
          <w:szCs w:val="20"/>
          <w:color w:val="auto"/>
        </w:rPr>
      </w:pPr>
    </w:p>
    <w:p>
      <w:pPr>
        <w:ind w:firstLine="456"/>
        <w:spacing w:after="0" w:line="255" w:lineRule="auto"/>
        <w:rPr>
          <w:sz w:val="20"/>
          <w:szCs w:val="20"/>
          <w:color w:val="auto"/>
        </w:rPr>
      </w:pPr>
      <w:r>
        <w:rPr>
          <w:rFonts w:ascii="Arial" w:cs="Arial" w:eastAsia="Arial" w:hAnsi="Arial"/>
          <w:sz w:val="18"/>
          <w:szCs w:val="18"/>
          <w:color w:val="auto"/>
        </w:rPr>
        <w:t>The application of income tax law is inherently complex. Laws and regulations in this area are voluminous and are often ambiguous. As such, the Company is required to make many subjective assumptions and judgments regarding its income tax exposures. Interpretations of and guidance surrounding income tax laws and regulations are subject to change over time. As such, changes in its subjective assumptions and judgments can materially affect amounts recognized in the consolidated balance sheets and statements of income. See Note 12 – Income Taxes of the notes to unaudited condensed consolidated financial statements for additional detail on the Company’s uncertain tax positions.</w:t>
      </w:r>
    </w:p>
    <w:p>
      <w:pPr>
        <w:spacing w:after="0" w:line="224" w:lineRule="exact"/>
        <w:rPr>
          <w:sz w:val="20"/>
          <w:szCs w:val="20"/>
          <w:color w:val="auto"/>
        </w:rPr>
      </w:pPr>
    </w:p>
    <w:p>
      <w:pPr>
        <w:ind w:left="240"/>
        <w:spacing w:after="0"/>
        <w:rPr>
          <w:sz w:val="20"/>
          <w:szCs w:val="20"/>
          <w:color w:val="auto"/>
        </w:rPr>
      </w:pPr>
      <w:r>
        <w:rPr>
          <w:rFonts w:ascii="Arial" w:cs="Arial" w:eastAsia="Arial" w:hAnsi="Arial"/>
          <w:sz w:val="18"/>
          <w:szCs w:val="18"/>
          <w:b w:val="1"/>
          <w:bCs w:val="1"/>
          <w:i w:val="1"/>
          <w:iCs w:val="1"/>
          <w:color w:val="auto"/>
        </w:rPr>
        <w:t>Warranty</w:t>
      </w:r>
    </w:p>
    <w:p>
      <w:pPr>
        <w:spacing w:after="0" w:line="90" w:lineRule="exact"/>
        <w:rPr>
          <w:sz w:val="20"/>
          <w:szCs w:val="20"/>
          <w:color w:val="auto"/>
        </w:rPr>
      </w:pPr>
    </w:p>
    <w:p>
      <w:pPr>
        <w:ind w:right="20" w:firstLine="456"/>
        <w:spacing w:after="0" w:line="259" w:lineRule="auto"/>
        <w:rPr>
          <w:sz w:val="20"/>
          <w:szCs w:val="20"/>
          <w:color w:val="auto"/>
        </w:rPr>
      </w:pPr>
      <w:r>
        <w:rPr>
          <w:rFonts w:ascii="Arial" w:cs="Arial" w:eastAsia="Arial" w:hAnsi="Arial"/>
          <w:sz w:val="18"/>
          <w:szCs w:val="18"/>
          <w:color w:val="auto"/>
        </w:rPr>
        <w:t>The Company’s products are generally subject to warranty, which provides for the estimated future costs of repair, replacement or customer accommodation upon shipment of the product. The Company’s products typically carry a standard 90-day warranty, with certain exceptions in which the warranty period can range from one to five years. The warranty accrual is primarily estimated based on</w:t>
      </w:r>
    </w:p>
    <w:p>
      <w:pPr>
        <w:spacing w:after="0" w:line="127"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9</w:t>
      </w:r>
    </w:p>
    <w:p>
      <w:pPr>
        <w:sectPr>
          <w:pgSz w:w="11900" w:h="16838" w:orient="portrait"/>
          <w:cols w:equalWidth="0" w:num="1">
            <w:col w:w="11420"/>
          </w:cols>
          <w:pgMar w:left="240" w:top="459" w:right="239" w:bottom="1440" w:gutter="0" w:footer="0" w:header="0"/>
        </w:sectPr>
      </w:pPr>
    </w:p>
    <w:bookmarkStart w:id="9" w:name="page10"/>
    <w:bookmarkEnd w:id="9"/>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4">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ind w:right="-39"/>
        <w:spacing w:after="0"/>
        <w:rPr>
          <w:sz w:val="20"/>
          <w:szCs w:val="20"/>
          <w:color w:val="auto"/>
        </w:rPr>
      </w:pPr>
      <w:r>
        <w:rPr>
          <w:rFonts w:ascii="Arial" w:cs="Arial" w:eastAsia="Arial" w:hAnsi="Arial"/>
          <w:sz w:val="18"/>
          <w:szCs w:val="18"/>
          <w:b w:val="1"/>
          <w:bCs w:val="1"/>
          <w:color w:val="auto"/>
        </w:rPr>
        <w:t>MARVELL TECHNOLOGY GROUP LTD.</w:t>
      </w:r>
    </w:p>
    <w:p>
      <w:pPr>
        <w:spacing w:after="0" w:line="90" w:lineRule="exact"/>
        <w:rPr>
          <w:sz w:val="20"/>
          <w:szCs w:val="20"/>
          <w:color w:val="auto"/>
        </w:rPr>
      </w:pPr>
    </w:p>
    <w:p>
      <w:pPr>
        <w:jc w:val="center"/>
        <w:ind w:right="-39"/>
        <w:spacing w:after="0"/>
        <w:rPr>
          <w:sz w:val="20"/>
          <w:szCs w:val="20"/>
          <w:color w:val="auto"/>
        </w:rPr>
      </w:pPr>
      <w:r>
        <w:rPr>
          <w:rFonts w:ascii="Arial" w:cs="Arial" w:eastAsia="Arial" w:hAnsi="Arial"/>
          <w:sz w:val="18"/>
          <w:szCs w:val="18"/>
          <w:b w:val="1"/>
          <w:bCs w:val="1"/>
          <w:color w:val="auto"/>
        </w:rPr>
        <w:t>NOTES TO UNAUDITED CONDENSED CONSOLIDATED FINANCIAL STATEMENTS—(Continued)</w:t>
      </w:r>
    </w:p>
    <w:p>
      <w:pPr>
        <w:spacing w:after="0" w:line="164" w:lineRule="exact"/>
        <w:rPr>
          <w:sz w:val="20"/>
          <w:szCs w:val="20"/>
          <w:color w:val="auto"/>
        </w:rPr>
      </w:pPr>
    </w:p>
    <w:p>
      <w:pPr>
        <w:ind w:right="40"/>
        <w:spacing w:after="0" w:line="306" w:lineRule="auto"/>
        <w:rPr>
          <w:sz w:val="20"/>
          <w:szCs w:val="20"/>
          <w:color w:val="auto"/>
        </w:rPr>
      </w:pPr>
      <w:r>
        <w:rPr>
          <w:rFonts w:ascii="Arial" w:cs="Arial" w:eastAsia="Arial" w:hAnsi="Arial"/>
          <w:sz w:val="16"/>
          <w:szCs w:val="16"/>
          <w:color w:val="auto"/>
        </w:rPr>
        <w:t>historical claims compared to historical revenues and assumes that the Company will have to replace products subject to a claim. For new products, the Company uses a historical percentage for the appropriate class of product. From time to time, the Company becomes aware of specific warranty situations, which are relatively large and it records specific amounts to cover these exposures in addition to the standard run rate provisions.</w:t>
      </w:r>
    </w:p>
    <w:p>
      <w:pPr>
        <w:spacing w:after="0" w:line="182"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Note 2. Recent Accounting Pronouncements</w:t>
      </w:r>
    </w:p>
    <w:p>
      <w:pPr>
        <w:spacing w:after="0" w:line="96" w:lineRule="exact"/>
        <w:rPr>
          <w:sz w:val="20"/>
          <w:szCs w:val="20"/>
          <w:color w:val="auto"/>
        </w:rPr>
      </w:pPr>
    </w:p>
    <w:p>
      <w:pPr>
        <w:ind w:right="20" w:firstLine="456"/>
        <w:spacing w:after="0" w:line="290" w:lineRule="auto"/>
        <w:rPr>
          <w:sz w:val="20"/>
          <w:szCs w:val="20"/>
          <w:color w:val="auto"/>
        </w:rPr>
      </w:pPr>
      <w:r>
        <w:rPr>
          <w:rFonts w:ascii="Arial" w:cs="Arial" w:eastAsia="Arial" w:hAnsi="Arial"/>
          <w:sz w:val="16"/>
          <w:szCs w:val="16"/>
          <w:color w:val="auto"/>
        </w:rPr>
        <w:t>In June 2009, the FASB issued FASB ASC 105-10, “Generally Accepted Accounting Principles – Overall” (“ASC 105-10”). ASC 105-10 establishes the FASB Accounting Standards Codification (the “Codification”), the authoritative guidance for U.S. GAAP. The Codification, which changes the referencing of financial standards, became effective for interim and annual periods ending on or after September 15, 2009. The Codification is now the single source of authoritative U.S. GAAP (other than guidance issued by the SEC) superseding all existing all non-SEC accounting and reporting standards. All other non-SEC accounting literature not included in the Codification is considered non-authoritative. The Codification does not change U.S. GAAP. The Company adopted the Codification during the quarter ended October 31, 2009. Adoption of the Codification did not have any substantive impact on the Company’s financial position or results of operations. References made to FASB guidance throughout the document have been updated for the Codification.</w:t>
      </w:r>
    </w:p>
    <w:p>
      <w:pPr>
        <w:spacing w:after="0" w:line="118" w:lineRule="exact"/>
        <w:rPr>
          <w:sz w:val="20"/>
          <w:szCs w:val="20"/>
          <w:color w:val="auto"/>
        </w:rPr>
      </w:pPr>
    </w:p>
    <w:p>
      <w:pPr>
        <w:ind w:firstLine="456"/>
        <w:spacing w:after="0" w:line="294" w:lineRule="auto"/>
        <w:rPr>
          <w:sz w:val="20"/>
          <w:szCs w:val="20"/>
          <w:color w:val="auto"/>
        </w:rPr>
      </w:pPr>
      <w:r>
        <w:rPr>
          <w:rFonts w:ascii="Arial" w:cs="Arial" w:eastAsia="Arial" w:hAnsi="Arial"/>
          <w:sz w:val="16"/>
          <w:szCs w:val="16"/>
          <w:color w:val="auto"/>
        </w:rPr>
        <w:t>In September 2009, the FASB issued new accounting guidance related to the revenue recognition of multiple element arrangements. The new guidance states that if vendor specific objective evidence or third party evidence for deliverables in an arrangement cannot be determined, companies will be required to develop a best estimate of the selling price to separate deliverables and allocate arrangement consideration using the relative selling price method. The accounting guidance will be applied prospectively and will become effective during the first quarter of fiscal year 2011. Early adoption is allowed. The Company is currently evaluating the impact of this accounting guidance on its financial position and results of operations.</w:t>
      </w:r>
    </w:p>
    <w:p>
      <w:pPr>
        <w:spacing w:after="0" w:line="191"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Note 3. Investments</w:t>
      </w:r>
    </w:p>
    <w:p>
      <w:pPr>
        <w:spacing w:after="0" w:line="96" w:lineRule="exact"/>
        <w:rPr>
          <w:sz w:val="20"/>
          <w:szCs w:val="20"/>
          <w:color w:val="auto"/>
        </w:rPr>
      </w:pPr>
    </w:p>
    <w:p>
      <w:pPr>
        <w:ind w:left="460"/>
        <w:spacing w:after="0"/>
        <w:rPr>
          <w:sz w:val="20"/>
          <w:szCs w:val="20"/>
          <w:color w:val="auto"/>
        </w:rPr>
      </w:pPr>
      <w:r>
        <w:rPr>
          <w:rFonts w:ascii="Arial" w:cs="Arial" w:eastAsia="Arial" w:hAnsi="Arial"/>
          <w:sz w:val="18"/>
          <w:szCs w:val="18"/>
          <w:color w:val="auto"/>
        </w:rPr>
        <w:t>The following tables summarize the Company’s investments (in thousands):</w:t>
      </w:r>
    </w:p>
    <w:p>
      <w:pPr>
        <w:spacing w:after="0" w:line="207" w:lineRule="exact"/>
        <w:rPr>
          <w:sz w:val="20"/>
          <w:szCs w:val="20"/>
          <w:color w:val="auto"/>
        </w:rPr>
      </w:pPr>
    </w:p>
    <w:tbl>
      <w:tblPr>
        <w:tblLayout w:type="fixed"/>
        <w:tblInd w:w="460" w:type="dxa"/>
        <w:tblCellMar>
          <w:top w:w="0" w:type="dxa"/>
          <w:left w:w="0" w:type="dxa"/>
          <w:bottom w:w="0" w:type="dxa"/>
          <w:right w:w="0" w:type="dxa"/>
        </w:tblCellMar>
      </w:tblPr>
      <w:tr>
        <w:trPr>
          <w:trHeight w:val="161"/>
        </w:trPr>
        <w:tc>
          <w:tcPr>
            <w:tcW w:w="20" w:type="dxa"/>
            <w:vAlign w:val="bottom"/>
          </w:tcPr>
          <w:p>
            <w:pPr>
              <w:spacing w:after="0"/>
              <w:rPr>
                <w:sz w:val="14"/>
                <w:szCs w:val="14"/>
                <w:color w:val="auto"/>
              </w:rPr>
            </w:pPr>
          </w:p>
        </w:tc>
        <w:tc>
          <w:tcPr>
            <w:tcW w:w="4360" w:type="dxa"/>
            <w:vAlign w:val="bottom"/>
          </w:tcPr>
          <w:p>
            <w:pPr>
              <w:spacing w:after="0"/>
              <w:rPr>
                <w:sz w:val="14"/>
                <w:szCs w:val="14"/>
                <w:color w:val="auto"/>
              </w:rPr>
            </w:pPr>
          </w:p>
        </w:tc>
        <w:tc>
          <w:tcPr>
            <w:tcW w:w="2220" w:type="dxa"/>
            <w:vAlign w:val="bottom"/>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580" w:type="dxa"/>
            <w:vAlign w:val="bottom"/>
            <w:tcBorders>
              <w:bottom w:val="single" w:sz="8" w:color="auto"/>
            </w:tcBorders>
          </w:tcPr>
          <w:p>
            <w:pPr>
              <w:spacing w:after="0"/>
              <w:rPr>
                <w:sz w:val="14"/>
                <w:szCs w:val="14"/>
                <w:color w:val="auto"/>
              </w:rPr>
            </w:pPr>
          </w:p>
        </w:tc>
        <w:tc>
          <w:tcPr>
            <w:tcW w:w="380" w:type="dxa"/>
            <w:vAlign w:val="bottom"/>
            <w:tcBorders>
              <w:bottom w:val="single" w:sz="8" w:color="auto"/>
            </w:tcBorders>
          </w:tcPr>
          <w:p>
            <w:pPr>
              <w:spacing w:after="0"/>
              <w:rPr>
                <w:sz w:val="14"/>
                <w:szCs w:val="14"/>
                <w:color w:val="auto"/>
              </w:rPr>
            </w:pPr>
          </w:p>
        </w:tc>
        <w:tc>
          <w:tcPr>
            <w:tcW w:w="120" w:type="dxa"/>
            <w:vAlign w:val="bottom"/>
            <w:tcBorders>
              <w:bottom w:val="single" w:sz="8" w:color="auto"/>
            </w:tcBorders>
          </w:tcPr>
          <w:p>
            <w:pPr>
              <w:spacing w:after="0"/>
              <w:rPr>
                <w:sz w:val="14"/>
                <w:szCs w:val="14"/>
                <w:color w:val="auto"/>
              </w:rPr>
            </w:pPr>
          </w:p>
        </w:tc>
        <w:tc>
          <w:tcPr>
            <w:tcW w:w="2040" w:type="dxa"/>
            <w:vAlign w:val="bottom"/>
            <w:tcBorders>
              <w:bottom w:val="single" w:sz="8" w:color="auto"/>
            </w:tcBorders>
            <w:gridSpan w:val="5"/>
          </w:tcPr>
          <w:p>
            <w:pPr>
              <w:ind w:left="120"/>
              <w:spacing w:after="0"/>
              <w:rPr>
                <w:sz w:val="20"/>
                <w:szCs w:val="20"/>
                <w:color w:val="auto"/>
              </w:rPr>
            </w:pPr>
            <w:r>
              <w:rPr>
                <w:rFonts w:ascii="Arial" w:cs="Arial" w:eastAsia="Arial" w:hAnsi="Arial"/>
                <w:sz w:val="14"/>
                <w:szCs w:val="14"/>
                <w:b w:val="1"/>
                <w:bCs w:val="1"/>
                <w:color w:val="auto"/>
              </w:rPr>
              <w:t>As of October 31, 2009</w:t>
            </w:r>
          </w:p>
        </w:tc>
        <w:tc>
          <w:tcPr>
            <w:tcW w:w="100" w:type="dxa"/>
            <w:vAlign w:val="bottom"/>
            <w:tcBorders>
              <w:bottom w:val="single" w:sz="8" w:color="auto"/>
            </w:tcBorders>
          </w:tcPr>
          <w:p>
            <w:pPr>
              <w:spacing w:after="0"/>
              <w:rPr>
                <w:sz w:val="14"/>
                <w:szCs w:val="14"/>
                <w:color w:val="auto"/>
              </w:rPr>
            </w:pPr>
          </w:p>
        </w:tc>
        <w:tc>
          <w:tcPr>
            <w:tcW w:w="580" w:type="dxa"/>
            <w:vAlign w:val="bottom"/>
            <w:tcBorders>
              <w:bottom w:val="single" w:sz="8" w:color="auto"/>
            </w:tcBorders>
          </w:tcPr>
          <w:p>
            <w:pPr>
              <w:spacing w:after="0"/>
              <w:rPr>
                <w:sz w:val="14"/>
                <w:szCs w:val="14"/>
                <w:color w:val="auto"/>
              </w:rPr>
            </w:pPr>
          </w:p>
        </w:tc>
        <w:tc>
          <w:tcPr>
            <w:tcW w:w="2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29"/>
        </w:trPr>
        <w:tc>
          <w:tcPr>
            <w:tcW w:w="20" w:type="dxa"/>
            <w:vAlign w:val="bottom"/>
          </w:tcPr>
          <w:p>
            <w:pPr>
              <w:spacing w:after="0"/>
              <w:rPr>
                <w:sz w:val="11"/>
                <w:szCs w:val="11"/>
                <w:color w:val="auto"/>
              </w:rPr>
            </w:pPr>
          </w:p>
        </w:tc>
        <w:tc>
          <w:tcPr>
            <w:tcW w:w="4360" w:type="dxa"/>
            <w:vAlign w:val="bottom"/>
          </w:tcPr>
          <w:p>
            <w:pPr>
              <w:spacing w:after="0"/>
              <w:rPr>
                <w:sz w:val="11"/>
                <w:szCs w:val="11"/>
                <w:color w:val="auto"/>
              </w:rPr>
            </w:pPr>
          </w:p>
        </w:tc>
        <w:tc>
          <w:tcPr>
            <w:tcW w:w="22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580" w:type="dxa"/>
            <w:vAlign w:val="bottom"/>
          </w:tcPr>
          <w:p>
            <w:pPr>
              <w:spacing w:after="0"/>
              <w:rPr>
                <w:sz w:val="11"/>
                <w:szCs w:val="11"/>
                <w:color w:val="auto"/>
              </w:rPr>
            </w:pPr>
          </w:p>
        </w:tc>
        <w:tc>
          <w:tcPr>
            <w:tcW w:w="38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520" w:type="dxa"/>
            <w:vAlign w:val="bottom"/>
          </w:tcPr>
          <w:p>
            <w:pPr>
              <w:ind w:left="40"/>
              <w:spacing w:after="0" w:line="129" w:lineRule="exact"/>
              <w:rPr>
                <w:sz w:val="20"/>
                <w:szCs w:val="20"/>
                <w:color w:val="auto"/>
              </w:rPr>
            </w:pPr>
            <w:r>
              <w:rPr>
                <w:rFonts w:ascii="Arial" w:cs="Arial" w:eastAsia="Arial" w:hAnsi="Arial"/>
                <w:sz w:val="14"/>
                <w:szCs w:val="14"/>
                <w:b w:val="1"/>
                <w:bCs w:val="1"/>
                <w:color w:val="auto"/>
              </w:rPr>
              <w:t>Gross</w:t>
            </w:r>
          </w:p>
        </w:tc>
        <w:tc>
          <w:tcPr>
            <w:tcW w:w="40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1020" w:type="dxa"/>
            <w:vAlign w:val="bottom"/>
            <w:gridSpan w:val="2"/>
          </w:tcPr>
          <w:p>
            <w:pPr>
              <w:jc w:val="right"/>
              <w:ind w:right="640"/>
              <w:spacing w:after="0" w:line="129" w:lineRule="exact"/>
              <w:rPr>
                <w:sz w:val="20"/>
                <w:szCs w:val="20"/>
                <w:color w:val="auto"/>
              </w:rPr>
            </w:pPr>
            <w:r>
              <w:rPr>
                <w:rFonts w:ascii="Arial" w:cs="Arial" w:eastAsia="Arial" w:hAnsi="Arial"/>
                <w:sz w:val="14"/>
                <w:szCs w:val="14"/>
                <w:b w:val="1"/>
                <w:bCs w:val="1"/>
                <w:color w:val="auto"/>
                <w:w w:val="88"/>
              </w:rPr>
              <w:t>Gross</w:t>
            </w:r>
          </w:p>
        </w:tc>
        <w:tc>
          <w:tcPr>
            <w:tcW w:w="100" w:type="dxa"/>
            <w:vAlign w:val="bottom"/>
          </w:tcPr>
          <w:p>
            <w:pPr>
              <w:spacing w:after="0"/>
              <w:rPr>
                <w:sz w:val="11"/>
                <w:szCs w:val="11"/>
                <w:color w:val="auto"/>
              </w:rPr>
            </w:pPr>
          </w:p>
        </w:tc>
        <w:tc>
          <w:tcPr>
            <w:tcW w:w="5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4360" w:type="dxa"/>
            <w:vAlign w:val="bottom"/>
          </w:tcPr>
          <w:p>
            <w:pPr>
              <w:spacing w:after="0"/>
              <w:rPr>
                <w:sz w:val="12"/>
                <w:szCs w:val="12"/>
                <w:color w:val="auto"/>
              </w:rPr>
            </w:pPr>
          </w:p>
        </w:tc>
        <w:tc>
          <w:tcPr>
            <w:tcW w:w="2220" w:type="dxa"/>
            <w:vAlign w:val="bottom"/>
          </w:tcPr>
          <w:p>
            <w:pPr>
              <w:spacing w:after="0"/>
              <w:rPr>
                <w:sz w:val="12"/>
                <w:szCs w:val="12"/>
                <w:color w:val="auto"/>
              </w:rPr>
            </w:pPr>
          </w:p>
        </w:tc>
        <w:tc>
          <w:tcPr>
            <w:tcW w:w="680" w:type="dxa"/>
            <w:vAlign w:val="bottom"/>
            <w:gridSpan w:val="2"/>
          </w:tcPr>
          <w:p>
            <w:pPr>
              <w:jc w:val="right"/>
              <w:spacing w:after="0" w:line="149" w:lineRule="exact"/>
              <w:rPr>
                <w:sz w:val="20"/>
                <w:szCs w:val="20"/>
                <w:color w:val="auto"/>
              </w:rPr>
            </w:pPr>
            <w:r>
              <w:rPr>
                <w:rFonts w:ascii="Arial" w:cs="Arial" w:eastAsia="Arial" w:hAnsi="Arial"/>
                <w:sz w:val="14"/>
                <w:szCs w:val="14"/>
                <w:b w:val="1"/>
                <w:bCs w:val="1"/>
                <w:color w:val="auto"/>
                <w:w w:val="90"/>
              </w:rPr>
              <w:t>Amortized</w:t>
            </w:r>
          </w:p>
        </w:tc>
        <w:tc>
          <w:tcPr>
            <w:tcW w:w="380" w:type="dxa"/>
            <w:vAlign w:val="bottom"/>
          </w:tcPr>
          <w:p>
            <w:pPr>
              <w:spacing w:after="0"/>
              <w:rPr>
                <w:sz w:val="12"/>
                <w:szCs w:val="12"/>
                <w:color w:val="auto"/>
              </w:rPr>
            </w:pPr>
          </w:p>
        </w:tc>
        <w:tc>
          <w:tcPr>
            <w:tcW w:w="640" w:type="dxa"/>
            <w:vAlign w:val="bottom"/>
            <w:gridSpan w:val="2"/>
          </w:tcPr>
          <w:p>
            <w:pPr>
              <w:spacing w:after="0" w:line="149" w:lineRule="exact"/>
              <w:rPr>
                <w:sz w:val="20"/>
                <w:szCs w:val="20"/>
                <w:color w:val="auto"/>
              </w:rPr>
            </w:pPr>
            <w:r>
              <w:rPr>
                <w:rFonts w:ascii="Arial" w:cs="Arial" w:eastAsia="Arial" w:hAnsi="Arial"/>
                <w:sz w:val="14"/>
                <w:szCs w:val="14"/>
                <w:b w:val="1"/>
                <w:bCs w:val="1"/>
                <w:color w:val="auto"/>
                <w:w w:val="87"/>
              </w:rPr>
              <w:t>Unrealized</w:t>
            </w:r>
          </w:p>
        </w:tc>
        <w:tc>
          <w:tcPr>
            <w:tcW w:w="400" w:type="dxa"/>
            <w:vAlign w:val="bottom"/>
          </w:tcPr>
          <w:p>
            <w:pPr>
              <w:spacing w:after="0"/>
              <w:rPr>
                <w:sz w:val="12"/>
                <w:szCs w:val="12"/>
                <w:color w:val="auto"/>
              </w:rPr>
            </w:pPr>
          </w:p>
        </w:tc>
        <w:tc>
          <w:tcPr>
            <w:tcW w:w="1120" w:type="dxa"/>
            <w:vAlign w:val="bottom"/>
            <w:gridSpan w:val="3"/>
          </w:tcPr>
          <w:p>
            <w:pPr>
              <w:spacing w:after="0" w:line="149" w:lineRule="exact"/>
              <w:rPr>
                <w:sz w:val="20"/>
                <w:szCs w:val="20"/>
                <w:color w:val="auto"/>
              </w:rPr>
            </w:pPr>
            <w:r>
              <w:rPr>
                <w:rFonts w:ascii="Arial" w:cs="Arial" w:eastAsia="Arial" w:hAnsi="Arial"/>
                <w:sz w:val="14"/>
                <w:szCs w:val="14"/>
                <w:b w:val="1"/>
                <w:bCs w:val="1"/>
                <w:color w:val="auto"/>
              </w:rPr>
              <w:t>Unrealized</w:t>
            </w:r>
          </w:p>
        </w:tc>
        <w:tc>
          <w:tcPr>
            <w:tcW w:w="700" w:type="dxa"/>
            <w:vAlign w:val="bottom"/>
            <w:gridSpan w:val="3"/>
          </w:tcPr>
          <w:p>
            <w:pPr>
              <w:jc w:val="right"/>
              <w:ind w:right="60"/>
              <w:spacing w:after="0" w:line="149" w:lineRule="exact"/>
              <w:rPr>
                <w:sz w:val="20"/>
                <w:szCs w:val="20"/>
                <w:color w:val="auto"/>
              </w:rPr>
            </w:pPr>
            <w:r>
              <w:rPr>
                <w:rFonts w:ascii="Arial" w:cs="Arial" w:eastAsia="Arial" w:hAnsi="Arial"/>
                <w:sz w:val="14"/>
                <w:szCs w:val="14"/>
                <w:b w:val="1"/>
                <w:bCs w:val="1"/>
                <w:color w:val="auto"/>
                <w:w w:val="92"/>
              </w:rPr>
              <w:t>Estimated</w:t>
            </w:r>
          </w:p>
        </w:tc>
        <w:tc>
          <w:tcPr>
            <w:tcW w:w="0" w:type="dxa"/>
            <w:vAlign w:val="bottom"/>
          </w:tcPr>
          <w:p>
            <w:pPr>
              <w:spacing w:after="0"/>
              <w:rPr>
                <w:sz w:val="1"/>
                <w:szCs w:val="1"/>
                <w:color w:val="auto"/>
              </w:rPr>
            </w:pPr>
          </w:p>
        </w:tc>
      </w:tr>
      <w:tr>
        <w:trPr>
          <w:trHeight w:val="161"/>
        </w:trPr>
        <w:tc>
          <w:tcPr>
            <w:tcW w:w="20" w:type="dxa"/>
            <w:vAlign w:val="bottom"/>
          </w:tcPr>
          <w:p>
            <w:pPr>
              <w:spacing w:after="0"/>
              <w:rPr>
                <w:sz w:val="14"/>
                <w:szCs w:val="14"/>
                <w:color w:val="auto"/>
              </w:rPr>
            </w:pPr>
          </w:p>
        </w:tc>
        <w:tc>
          <w:tcPr>
            <w:tcW w:w="4360" w:type="dxa"/>
            <w:vAlign w:val="bottom"/>
          </w:tcPr>
          <w:p>
            <w:pPr>
              <w:spacing w:after="0"/>
              <w:rPr>
                <w:sz w:val="14"/>
                <w:szCs w:val="14"/>
                <w:color w:val="auto"/>
              </w:rPr>
            </w:pPr>
          </w:p>
        </w:tc>
        <w:tc>
          <w:tcPr>
            <w:tcW w:w="222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580" w:type="dxa"/>
            <w:vAlign w:val="bottom"/>
          </w:tcPr>
          <w:p>
            <w:pPr>
              <w:jc w:val="right"/>
              <w:ind w:right="135"/>
              <w:spacing w:after="0"/>
              <w:rPr>
                <w:sz w:val="20"/>
                <w:szCs w:val="20"/>
                <w:color w:val="auto"/>
              </w:rPr>
            </w:pPr>
            <w:r>
              <w:rPr>
                <w:rFonts w:ascii="Arial" w:cs="Arial" w:eastAsia="Arial" w:hAnsi="Arial"/>
                <w:sz w:val="14"/>
                <w:szCs w:val="14"/>
                <w:b w:val="1"/>
                <w:bCs w:val="1"/>
                <w:color w:val="auto"/>
              </w:rPr>
              <w:t>Cost</w:t>
            </w:r>
          </w:p>
        </w:tc>
        <w:tc>
          <w:tcPr>
            <w:tcW w:w="38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520" w:type="dxa"/>
            <w:vAlign w:val="bottom"/>
          </w:tcPr>
          <w:p>
            <w:pPr>
              <w:ind w:left="40"/>
              <w:spacing w:after="0"/>
              <w:rPr>
                <w:sz w:val="20"/>
                <w:szCs w:val="20"/>
                <w:color w:val="auto"/>
              </w:rPr>
            </w:pPr>
            <w:r>
              <w:rPr>
                <w:rFonts w:ascii="Arial" w:cs="Arial" w:eastAsia="Arial" w:hAnsi="Arial"/>
                <w:sz w:val="14"/>
                <w:szCs w:val="14"/>
                <w:b w:val="1"/>
                <w:bCs w:val="1"/>
                <w:color w:val="auto"/>
              </w:rPr>
              <w:t>Gains</w:t>
            </w:r>
          </w:p>
        </w:tc>
        <w:tc>
          <w:tcPr>
            <w:tcW w:w="400" w:type="dxa"/>
            <w:vAlign w:val="bottom"/>
          </w:tcPr>
          <w:p>
            <w:pPr>
              <w:spacing w:after="0"/>
              <w:rPr>
                <w:sz w:val="14"/>
                <w:szCs w:val="14"/>
                <w:color w:val="auto"/>
              </w:rPr>
            </w:pPr>
          </w:p>
        </w:tc>
        <w:tc>
          <w:tcPr>
            <w:tcW w:w="1120" w:type="dxa"/>
            <w:vAlign w:val="bottom"/>
            <w:gridSpan w:val="3"/>
          </w:tcPr>
          <w:p>
            <w:pPr>
              <w:jc w:val="right"/>
              <w:ind w:right="580"/>
              <w:spacing w:after="0"/>
              <w:rPr>
                <w:sz w:val="20"/>
                <w:szCs w:val="20"/>
                <w:color w:val="auto"/>
              </w:rPr>
            </w:pPr>
            <w:r>
              <w:rPr>
                <w:rFonts w:ascii="Arial" w:cs="Arial" w:eastAsia="Arial" w:hAnsi="Arial"/>
                <w:sz w:val="14"/>
                <w:szCs w:val="14"/>
                <w:b w:val="1"/>
                <w:bCs w:val="1"/>
                <w:color w:val="auto"/>
                <w:w w:val="90"/>
              </w:rPr>
              <w:t>(Losses)</w:t>
            </w:r>
          </w:p>
        </w:tc>
        <w:tc>
          <w:tcPr>
            <w:tcW w:w="700" w:type="dxa"/>
            <w:vAlign w:val="bottom"/>
            <w:gridSpan w:val="3"/>
          </w:tcPr>
          <w:p>
            <w:pPr>
              <w:jc w:val="right"/>
              <w:ind w:right="60"/>
              <w:spacing w:after="0"/>
              <w:rPr>
                <w:sz w:val="20"/>
                <w:szCs w:val="20"/>
                <w:color w:val="auto"/>
              </w:rPr>
            </w:pPr>
            <w:r>
              <w:rPr>
                <w:rFonts w:ascii="Arial" w:cs="Arial" w:eastAsia="Arial" w:hAnsi="Arial"/>
                <w:sz w:val="14"/>
                <w:szCs w:val="14"/>
                <w:b w:val="1"/>
                <w:bCs w:val="1"/>
                <w:color w:val="auto"/>
                <w:w w:val="92"/>
              </w:rPr>
              <w:t>Fair Value</w:t>
            </w:r>
          </w:p>
        </w:tc>
        <w:tc>
          <w:tcPr>
            <w:tcW w:w="0" w:type="dxa"/>
            <w:vAlign w:val="bottom"/>
          </w:tcPr>
          <w:p>
            <w:pPr>
              <w:spacing w:after="0"/>
              <w:rPr>
                <w:sz w:val="1"/>
                <w:szCs w:val="1"/>
                <w:color w:val="auto"/>
              </w:rPr>
            </w:pPr>
          </w:p>
        </w:tc>
      </w:tr>
      <w:tr>
        <w:trPr>
          <w:trHeight w:val="210"/>
        </w:trPr>
        <w:tc>
          <w:tcPr>
            <w:tcW w:w="20" w:type="dxa"/>
            <w:vAlign w:val="bottom"/>
          </w:tcPr>
          <w:p>
            <w:pPr>
              <w:spacing w:after="0"/>
              <w:rPr>
                <w:sz w:val="18"/>
                <w:szCs w:val="18"/>
                <w:color w:val="auto"/>
              </w:rPr>
            </w:pPr>
          </w:p>
        </w:tc>
        <w:tc>
          <w:tcPr>
            <w:tcW w:w="4360" w:type="dxa"/>
            <w:vAlign w:val="bottom"/>
            <w:shd w:val="clear" w:color="auto" w:fill="CCEEFF"/>
          </w:tcPr>
          <w:p>
            <w:pPr>
              <w:spacing w:after="0"/>
              <w:rPr>
                <w:sz w:val="20"/>
                <w:szCs w:val="20"/>
                <w:color w:val="auto"/>
              </w:rPr>
            </w:pPr>
            <w:r>
              <w:rPr>
                <w:rFonts w:ascii="Arial" w:cs="Arial" w:eastAsia="Arial" w:hAnsi="Arial"/>
                <w:sz w:val="18"/>
                <w:szCs w:val="18"/>
                <w:b w:val="1"/>
                <w:bCs w:val="1"/>
                <w:color w:val="auto"/>
              </w:rPr>
              <w:t>Short-term investments:</w:t>
            </w:r>
          </w:p>
        </w:tc>
        <w:tc>
          <w:tcPr>
            <w:tcW w:w="2220" w:type="dxa"/>
            <w:vAlign w:val="bottom"/>
            <w:shd w:val="clear" w:color="auto" w:fill="CCEEFF"/>
          </w:tcPr>
          <w:p>
            <w:pPr>
              <w:spacing w:after="0"/>
              <w:rPr>
                <w:sz w:val="18"/>
                <w:szCs w:val="18"/>
                <w:color w:val="auto"/>
              </w:rPr>
            </w:pPr>
          </w:p>
        </w:tc>
        <w:tc>
          <w:tcPr>
            <w:tcW w:w="100" w:type="dxa"/>
            <w:vAlign w:val="bottom"/>
            <w:tcBorders>
              <w:top w:val="single" w:sz="8" w:color="auto"/>
            </w:tcBorders>
            <w:shd w:val="clear" w:color="auto" w:fill="CCEEFF"/>
          </w:tcPr>
          <w:p>
            <w:pPr>
              <w:spacing w:after="0"/>
              <w:rPr>
                <w:sz w:val="18"/>
                <w:szCs w:val="18"/>
                <w:color w:val="auto"/>
              </w:rPr>
            </w:pPr>
          </w:p>
        </w:tc>
        <w:tc>
          <w:tcPr>
            <w:tcW w:w="580" w:type="dxa"/>
            <w:vAlign w:val="bottom"/>
            <w:tcBorders>
              <w:top w:val="single" w:sz="8" w:color="auto"/>
            </w:tcBorders>
            <w:shd w:val="clear" w:color="auto" w:fill="CCEEFF"/>
          </w:tcPr>
          <w:p>
            <w:pPr>
              <w:spacing w:after="0"/>
              <w:rPr>
                <w:sz w:val="18"/>
                <w:szCs w:val="18"/>
                <w:color w:val="auto"/>
              </w:rPr>
            </w:pPr>
          </w:p>
        </w:tc>
        <w:tc>
          <w:tcPr>
            <w:tcW w:w="380" w:type="dxa"/>
            <w:vAlign w:val="bottom"/>
            <w:shd w:val="clear" w:color="auto" w:fill="CCEEFF"/>
          </w:tcPr>
          <w:p>
            <w:pPr>
              <w:spacing w:after="0"/>
              <w:rPr>
                <w:sz w:val="18"/>
                <w:szCs w:val="18"/>
                <w:color w:val="auto"/>
              </w:rPr>
            </w:pPr>
          </w:p>
        </w:tc>
        <w:tc>
          <w:tcPr>
            <w:tcW w:w="120" w:type="dxa"/>
            <w:vAlign w:val="bottom"/>
            <w:tcBorders>
              <w:top w:val="single" w:sz="8" w:color="auto"/>
            </w:tcBorders>
            <w:shd w:val="clear" w:color="auto" w:fill="CCEEFF"/>
          </w:tcPr>
          <w:p>
            <w:pPr>
              <w:spacing w:after="0"/>
              <w:rPr>
                <w:sz w:val="18"/>
                <w:szCs w:val="18"/>
                <w:color w:val="auto"/>
              </w:rPr>
            </w:pPr>
          </w:p>
        </w:tc>
        <w:tc>
          <w:tcPr>
            <w:tcW w:w="520" w:type="dxa"/>
            <w:vAlign w:val="bottom"/>
            <w:tcBorders>
              <w:top w:val="single" w:sz="8" w:color="auto"/>
            </w:tcBorders>
            <w:shd w:val="clear" w:color="auto" w:fill="CCEEFF"/>
          </w:tcPr>
          <w:p>
            <w:pPr>
              <w:spacing w:after="0"/>
              <w:rPr>
                <w:sz w:val="18"/>
                <w:szCs w:val="18"/>
                <w:color w:val="auto"/>
              </w:rPr>
            </w:pPr>
          </w:p>
        </w:tc>
        <w:tc>
          <w:tcPr>
            <w:tcW w:w="400" w:type="dxa"/>
            <w:vAlign w:val="bottom"/>
            <w:shd w:val="clear" w:color="auto" w:fill="CCEEFF"/>
          </w:tcPr>
          <w:p>
            <w:pPr>
              <w:spacing w:after="0"/>
              <w:rPr>
                <w:sz w:val="18"/>
                <w:szCs w:val="18"/>
                <w:color w:val="auto"/>
              </w:rPr>
            </w:pPr>
          </w:p>
        </w:tc>
        <w:tc>
          <w:tcPr>
            <w:tcW w:w="100" w:type="dxa"/>
            <w:vAlign w:val="bottom"/>
            <w:tcBorders>
              <w:top w:val="single" w:sz="8" w:color="auto"/>
            </w:tcBorders>
            <w:shd w:val="clear" w:color="auto" w:fill="CCEEFF"/>
          </w:tcPr>
          <w:p>
            <w:pPr>
              <w:spacing w:after="0"/>
              <w:rPr>
                <w:sz w:val="18"/>
                <w:szCs w:val="18"/>
                <w:color w:val="auto"/>
              </w:rPr>
            </w:pPr>
          </w:p>
        </w:tc>
        <w:tc>
          <w:tcPr>
            <w:tcW w:w="520" w:type="dxa"/>
            <w:vAlign w:val="bottom"/>
            <w:tcBorders>
              <w:top w:val="single" w:sz="8" w:color="auto"/>
            </w:tcBorders>
            <w:shd w:val="clear" w:color="auto" w:fill="CCEEFF"/>
          </w:tcPr>
          <w:p>
            <w:pPr>
              <w:spacing w:after="0"/>
              <w:rPr>
                <w:sz w:val="18"/>
                <w:szCs w:val="18"/>
                <w:color w:val="auto"/>
              </w:rPr>
            </w:pPr>
          </w:p>
        </w:tc>
        <w:tc>
          <w:tcPr>
            <w:tcW w:w="500" w:type="dxa"/>
            <w:vAlign w:val="bottom"/>
            <w:shd w:val="clear" w:color="auto" w:fill="CCEEFF"/>
          </w:tcPr>
          <w:p>
            <w:pPr>
              <w:spacing w:after="0"/>
              <w:rPr>
                <w:sz w:val="18"/>
                <w:szCs w:val="18"/>
                <w:color w:val="auto"/>
              </w:rPr>
            </w:pPr>
          </w:p>
        </w:tc>
        <w:tc>
          <w:tcPr>
            <w:tcW w:w="100" w:type="dxa"/>
            <w:vAlign w:val="bottom"/>
            <w:tcBorders>
              <w:top w:val="single" w:sz="8" w:color="auto"/>
            </w:tcBorders>
            <w:shd w:val="clear" w:color="auto" w:fill="CCEEFF"/>
          </w:tcPr>
          <w:p>
            <w:pPr>
              <w:spacing w:after="0"/>
              <w:rPr>
                <w:sz w:val="18"/>
                <w:szCs w:val="18"/>
                <w:color w:val="auto"/>
              </w:rPr>
            </w:pPr>
          </w:p>
        </w:tc>
        <w:tc>
          <w:tcPr>
            <w:tcW w:w="580" w:type="dxa"/>
            <w:vAlign w:val="bottom"/>
            <w:tcBorders>
              <w:top w:val="single" w:sz="8" w:color="auto"/>
            </w:tcBorders>
            <w:shd w:val="clear" w:color="auto" w:fill="CCEEFF"/>
          </w:tcPr>
          <w:p>
            <w:pPr>
              <w:spacing w:after="0"/>
              <w:rPr>
                <w:sz w:val="18"/>
                <w:szCs w:val="18"/>
                <w:color w:val="auto"/>
              </w:rPr>
            </w:pP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360" w:type="dxa"/>
            <w:vAlign w:val="bottom"/>
          </w:tcPr>
          <w:p>
            <w:pPr>
              <w:spacing w:after="0"/>
              <w:rPr>
                <w:sz w:val="20"/>
                <w:szCs w:val="20"/>
                <w:color w:val="auto"/>
              </w:rPr>
            </w:pPr>
            <w:r>
              <w:rPr>
                <w:rFonts w:ascii="Arial" w:cs="Arial" w:eastAsia="Arial" w:hAnsi="Arial"/>
                <w:sz w:val="18"/>
                <w:szCs w:val="18"/>
                <w:color w:val="auto"/>
              </w:rPr>
              <w:t>Available-for-sale:</w:t>
            </w:r>
          </w:p>
        </w:tc>
        <w:tc>
          <w:tcPr>
            <w:tcW w:w="22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38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520" w:type="dxa"/>
            <w:vAlign w:val="bottom"/>
          </w:tcPr>
          <w:p>
            <w:pPr>
              <w:spacing w:after="0"/>
              <w:rPr>
                <w:sz w:val="18"/>
                <w:szCs w:val="18"/>
                <w:color w:val="auto"/>
              </w:rPr>
            </w:pPr>
          </w:p>
        </w:tc>
        <w:tc>
          <w:tcPr>
            <w:tcW w:w="4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20" w:type="dxa"/>
            <w:vAlign w:val="bottom"/>
          </w:tcPr>
          <w:p>
            <w:pPr>
              <w:spacing w:after="0"/>
              <w:rPr>
                <w:sz w:val="18"/>
                <w:szCs w:val="18"/>
                <w:color w:val="auto"/>
              </w:rPr>
            </w:pPr>
          </w:p>
        </w:tc>
        <w:tc>
          <w:tcPr>
            <w:tcW w:w="5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360" w:type="dxa"/>
            <w:vAlign w:val="bottom"/>
            <w:shd w:val="clear" w:color="auto" w:fill="CCEEFF"/>
          </w:tcPr>
          <w:p>
            <w:pPr>
              <w:ind w:left="420"/>
              <w:spacing w:after="0"/>
              <w:rPr>
                <w:sz w:val="20"/>
                <w:szCs w:val="20"/>
                <w:color w:val="auto"/>
              </w:rPr>
            </w:pPr>
            <w:r>
              <w:rPr>
                <w:rFonts w:ascii="Arial" w:cs="Arial" w:eastAsia="Arial" w:hAnsi="Arial"/>
                <w:sz w:val="18"/>
                <w:szCs w:val="18"/>
                <w:color w:val="auto"/>
              </w:rPr>
              <w:t>Corporate debt securities</w:t>
            </w:r>
          </w:p>
        </w:tc>
        <w:tc>
          <w:tcPr>
            <w:tcW w:w="232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6"/>
              </w:rPr>
              <w:t>163,571</w:t>
            </w:r>
          </w:p>
        </w:tc>
        <w:tc>
          <w:tcPr>
            <w:tcW w:w="500" w:type="dxa"/>
            <w:vAlign w:val="bottom"/>
            <w:gridSpan w:val="2"/>
            <w:shd w:val="clear" w:color="auto" w:fill="CCEEFF"/>
          </w:tcPr>
          <w:p>
            <w:pPr>
              <w:ind w:left="380"/>
              <w:spacing w:after="0"/>
              <w:rPr>
                <w:sz w:val="20"/>
                <w:szCs w:val="20"/>
                <w:color w:val="auto"/>
              </w:rPr>
            </w:pPr>
            <w:r>
              <w:rPr>
                <w:rFonts w:ascii="Arial" w:cs="Arial" w:eastAsia="Arial" w:hAnsi="Arial"/>
                <w:sz w:val="18"/>
                <w:szCs w:val="18"/>
                <w:color w:val="auto"/>
                <w:w w:val="99"/>
              </w:rPr>
              <w:t>$</w:t>
            </w:r>
          </w:p>
        </w:tc>
        <w:tc>
          <w:tcPr>
            <w:tcW w:w="520" w:type="dxa"/>
            <w:vAlign w:val="bottom"/>
            <w:shd w:val="clear" w:color="auto" w:fill="CCEEFF"/>
          </w:tcPr>
          <w:p>
            <w:pPr>
              <w:ind w:left="260"/>
              <w:spacing w:after="0"/>
              <w:rPr>
                <w:sz w:val="20"/>
                <w:szCs w:val="20"/>
                <w:color w:val="auto"/>
              </w:rPr>
            </w:pPr>
            <w:r>
              <w:rPr>
                <w:rFonts w:ascii="Arial" w:cs="Arial" w:eastAsia="Arial" w:hAnsi="Arial"/>
                <w:sz w:val="18"/>
                <w:szCs w:val="18"/>
                <w:color w:val="auto"/>
                <w:w w:val="79"/>
              </w:rPr>
              <w:t>162</w:t>
            </w:r>
          </w:p>
        </w:tc>
        <w:tc>
          <w:tcPr>
            <w:tcW w:w="500" w:type="dxa"/>
            <w:vAlign w:val="bottom"/>
            <w:gridSpan w:val="2"/>
            <w:shd w:val="clear" w:color="auto" w:fill="CCEEFF"/>
          </w:tcPr>
          <w:p>
            <w:pPr>
              <w:ind w:left="400"/>
              <w:spacing w:after="0"/>
              <w:rPr>
                <w:sz w:val="20"/>
                <w:szCs w:val="20"/>
                <w:color w:val="auto"/>
              </w:rPr>
            </w:pPr>
            <w:r>
              <w:rPr>
                <w:rFonts w:ascii="Arial" w:cs="Arial" w:eastAsia="Arial" w:hAnsi="Arial"/>
                <w:sz w:val="18"/>
                <w:szCs w:val="18"/>
                <w:color w:val="auto"/>
                <w:w w:val="79"/>
              </w:rPr>
              <w:t>$</w:t>
            </w:r>
          </w:p>
        </w:tc>
        <w:tc>
          <w:tcPr>
            <w:tcW w:w="1020" w:type="dxa"/>
            <w:vAlign w:val="bottom"/>
            <w:gridSpan w:val="2"/>
            <w:shd w:val="clear" w:color="auto" w:fill="CCEEFF"/>
          </w:tcPr>
          <w:p>
            <w:pPr>
              <w:jc w:val="right"/>
              <w:ind w:right="440"/>
              <w:spacing w:after="0"/>
              <w:rPr>
                <w:sz w:val="20"/>
                <w:szCs w:val="20"/>
                <w:color w:val="auto"/>
              </w:rPr>
            </w:pPr>
            <w:r>
              <w:rPr>
                <w:rFonts w:ascii="Arial" w:cs="Arial" w:eastAsia="Arial" w:hAnsi="Arial"/>
                <w:sz w:val="18"/>
                <w:szCs w:val="18"/>
                <w:color w:val="auto"/>
              </w:rPr>
              <w:t>(139)</w:t>
            </w:r>
          </w:p>
        </w:tc>
        <w:tc>
          <w:tcPr>
            <w:tcW w:w="1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6"/>
              </w:rPr>
              <w:t>163,594</w:t>
            </w: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360" w:type="dxa"/>
            <w:vAlign w:val="bottom"/>
          </w:tcPr>
          <w:p>
            <w:pPr>
              <w:ind w:left="420"/>
              <w:spacing w:after="0"/>
              <w:rPr>
                <w:sz w:val="20"/>
                <w:szCs w:val="20"/>
                <w:color w:val="auto"/>
              </w:rPr>
            </w:pPr>
            <w:r>
              <w:rPr>
                <w:rFonts w:ascii="Arial" w:cs="Arial" w:eastAsia="Arial" w:hAnsi="Arial"/>
                <w:sz w:val="18"/>
                <w:szCs w:val="18"/>
                <w:color w:val="auto"/>
              </w:rPr>
              <w:t>U.S. government</w:t>
            </w:r>
          </w:p>
        </w:tc>
        <w:tc>
          <w:tcPr>
            <w:tcW w:w="2320" w:type="dxa"/>
            <w:vAlign w:val="bottom"/>
            <w:gridSpan w:val="2"/>
          </w:tcPr>
          <w:p>
            <w:pPr>
              <w:jc w:val="right"/>
              <w:spacing w:after="0"/>
              <w:rPr>
                <w:sz w:val="20"/>
                <w:szCs w:val="20"/>
                <w:color w:val="auto"/>
              </w:rPr>
            </w:pPr>
            <w:r>
              <w:rPr>
                <w:rFonts w:ascii="Arial" w:cs="Arial" w:eastAsia="Arial" w:hAnsi="Arial"/>
                <w:sz w:val="18"/>
                <w:szCs w:val="18"/>
                <w:u w:val="single" w:color="auto"/>
                <w:color w:val="auto"/>
              </w:rPr>
              <w:t>$</w:t>
            </w:r>
          </w:p>
        </w:tc>
        <w:tc>
          <w:tcPr>
            <w:tcW w:w="580" w:type="dxa"/>
            <w:vAlign w:val="bottom"/>
          </w:tcPr>
          <w:p>
            <w:pPr>
              <w:jc w:val="right"/>
              <w:spacing w:after="0"/>
              <w:rPr>
                <w:sz w:val="20"/>
                <w:szCs w:val="20"/>
                <w:color w:val="auto"/>
              </w:rPr>
            </w:pPr>
            <w:r>
              <w:rPr>
                <w:rFonts w:ascii="Arial" w:cs="Arial" w:eastAsia="Arial" w:hAnsi="Arial"/>
                <w:sz w:val="18"/>
                <w:szCs w:val="18"/>
                <w:color w:val="auto"/>
                <w:w w:val="86"/>
              </w:rPr>
              <w:t>253,267</w:t>
            </w:r>
          </w:p>
        </w:tc>
        <w:tc>
          <w:tcPr>
            <w:tcW w:w="500" w:type="dxa"/>
            <w:vAlign w:val="bottom"/>
            <w:gridSpan w:val="2"/>
          </w:tcPr>
          <w:p>
            <w:pPr>
              <w:ind w:left="380"/>
              <w:spacing w:after="0"/>
              <w:rPr>
                <w:sz w:val="20"/>
                <w:szCs w:val="20"/>
                <w:color w:val="auto"/>
              </w:rPr>
            </w:pPr>
            <w:r>
              <w:rPr>
                <w:rFonts w:ascii="Arial" w:cs="Arial" w:eastAsia="Arial" w:hAnsi="Arial"/>
                <w:sz w:val="18"/>
                <w:szCs w:val="18"/>
                <w:color w:val="auto"/>
                <w:w w:val="99"/>
              </w:rPr>
              <w:t>$</w:t>
            </w:r>
          </w:p>
        </w:tc>
        <w:tc>
          <w:tcPr>
            <w:tcW w:w="520" w:type="dxa"/>
            <w:vAlign w:val="bottom"/>
          </w:tcPr>
          <w:p>
            <w:pPr>
              <w:ind w:left="340"/>
              <w:spacing w:after="0"/>
              <w:rPr>
                <w:sz w:val="20"/>
                <w:szCs w:val="20"/>
                <w:color w:val="auto"/>
              </w:rPr>
            </w:pPr>
            <w:r>
              <w:rPr>
                <w:rFonts w:ascii="Arial" w:cs="Arial" w:eastAsia="Arial" w:hAnsi="Arial"/>
                <w:sz w:val="18"/>
                <w:szCs w:val="18"/>
                <w:color w:val="auto"/>
                <w:w w:val="79"/>
              </w:rPr>
              <w:t>41</w:t>
            </w:r>
          </w:p>
        </w:tc>
        <w:tc>
          <w:tcPr>
            <w:tcW w:w="500" w:type="dxa"/>
            <w:vAlign w:val="bottom"/>
            <w:gridSpan w:val="2"/>
          </w:tcPr>
          <w:p>
            <w:pPr>
              <w:ind w:left="400"/>
              <w:spacing w:after="0"/>
              <w:rPr>
                <w:sz w:val="20"/>
                <w:szCs w:val="20"/>
                <w:color w:val="auto"/>
              </w:rPr>
            </w:pPr>
            <w:r>
              <w:rPr>
                <w:rFonts w:ascii="Arial" w:cs="Arial" w:eastAsia="Arial" w:hAnsi="Arial"/>
                <w:sz w:val="18"/>
                <w:szCs w:val="18"/>
                <w:color w:val="auto"/>
                <w:w w:val="79"/>
              </w:rPr>
              <w:t>$</w:t>
            </w:r>
          </w:p>
        </w:tc>
        <w:tc>
          <w:tcPr>
            <w:tcW w:w="1020" w:type="dxa"/>
            <w:vAlign w:val="bottom"/>
            <w:gridSpan w:val="2"/>
          </w:tcPr>
          <w:p>
            <w:pPr>
              <w:jc w:val="right"/>
              <w:ind w:right="440"/>
              <w:spacing w:after="0"/>
              <w:rPr>
                <w:sz w:val="20"/>
                <w:szCs w:val="20"/>
                <w:color w:val="auto"/>
              </w:rPr>
            </w:pPr>
            <w:r>
              <w:rPr>
                <w:rFonts w:ascii="Arial" w:cs="Arial" w:eastAsia="Arial" w:hAnsi="Arial"/>
                <w:sz w:val="18"/>
                <w:szCs w:val="18"/>
                <w:color w:val="auto"/>
              </w:rPr>
              <w:t>(110)</w:t>
            </w:r>
          </w:p>
        </w:tc>
        <w:tc>
          <w:tcPr>
            <w:tcW w:w="100" w:type="dxa"/>
            <w:vAlign w:val="bottom"/>
          </w:tcPr>
          <w:p>
            <w:pPr>
              <w:jc w:val="right"/>
              <w:spacing w:after="0"/>
              <w:rPr>
                <w:sz w:val="20"/>
                <w:szCs w:val="20"/>
                <w:color w:val="auto"/>
              </w:rPr>
            </w:pPr>
            <w:r>
              <w:rPr>
                <w:rFonts w:ascii="Arial" w:cs="Arial" w:eastAsia="Arial" w:hAnsi="Arial"/>
                <w:sz w:val="18"/>
                <w:szCs w:val="18"/>
                <w:u w:val="single" w:color="auto"/>
                <w:color w:val="auto"/>
                <w:w w:val="79"/>
              </w:rPr>
              <w:t>$</w:t>
            </w:r>
          </w:p>
        </w:tc>
        <w:tc>
          <w:tcPr>
            <w:tcW w:w="580" w:type="dxa"/>
            <w:vAlign w:val="bottom"/>
          </w:tcPr>
          <w:p>
            <w:pPr>
              <w:jc w:val="right"/>
              <w:spacing w:after="0"/>
              <w:rPr>
                <w:sz w:val="20"/>
                <w:szCs w:val="20"/>
                <w:color w:val="auto"/>
              </w:rPr>
            </w:pPr>
            <w:r>
              <w:rPr>
                <w:rFonts w:ascii="Arial" w:cs="Arial" w:eastAsia="Arial" w:hAnsi="Arial"/>
                <w:sz w:val="18"/>
                <w:szCs w:val="18"/>
                <w:color w:val="auto"/>
                <w:w w:val="86"/>
              </w:rPr>
              <w:t>253,198</w:t>
            </w: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7"/>
        </w:trPr>
        <w:tc>
          <w:tcPr>
            <w:tcW w:w="20" w:type="dxa"/>
            <w:vAlign w:val="bottom"/>
            <w:vMerge w:val="restart"/>
          </w:tcPr>
          <w:p>
            <w:pPr>
              <w:spacing w:after="0"/>
              <w:rPr>
                <w:sz w:val="2"/>
                <w:szCs w:val="2"/>
                <w:color w:val="auto"/>
              </w:rPr>
            </w:pPr>
          </w:p>
        </w:tc>
        <w:tc>
          <w:tcPr>
            <w:tcW w:w="4360" w:type="dxa"/>
            <w:vAlign w:val="bottom"/>
          </w:tcPr>
          <w:p>
            <w:pPr>
              <w:spacing w:after="0"/>
              <w:rPr>
                <w:sz w:val="2"/>
                <w:szCs w:val="2"/>
                <w:color w:val="auto"/>
              </w:rPr>
            </w:pPr>
          </w:p>
        </w:tc>
        <w:tc>
          <w:tcPr>
            <w:tcW w:w="222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580" w:type="dxa"/>
            <w:vAlign w:val="bottom"/>
            <w:shd w:val="clear" w:color="auto" w:fill="000000"/>
          </w:tcPr>
          <w:p>
            <w:pPr>
              <w:spacing w:after="0"/>
              <w:rPr>
                <w:sz w:val="2"/>
                <w:szCs w:val="2"/>
                <w:color w:val="auto"/>
              </w:rPr>
            </w:pPr>
          </w:p>
        </w:tc>
        <w:tc>
          <w:tcPr>
            <w:tcW w:w="380" w:type="dxa"/>
            <w:vAlign w:val="bottom"/>
          </w:tcPr>
          <w:p>
            <w:pPr>
              <w:spacing w:after="0"/>
              <w:rPr>
                <w:sz w:val="2"/>
                <w:szCs w:val="2"/>
                <w:color w:val="auto"/>
              </w:rPr>
            </w:pPr>
          </w:p>
        </w:tc>
        <w:tc>
          <w:tcPr>
            <w:tcW w:w="120" w:type="dxa"/>
            <w:vAlign w:val="bottom"/>
            <w:shd w:val="clear" w:color="auto" w:fill="000000"/>
          </w:tcPr>
          <w:p>
            <w:pPr>
              <w:spacing w:after="0"/>
              <w:rPr>
                <w:sz w:val="2"/>
                <w:szCs w:val="2"/>
                <w:color w:val="auto"/>
              </w:rPr>
            </w:pPr>
          </w:p>
        </w:tc>
        <w:tc>
          <w:tcPr>
            <w:tcW w:w="520" w:type="dxa"/>
            <w:vAlign w:val="bottom"/>
            <w:shd w:val="clear" w:color="auto" w:fill="000000"/>
          </w:tcPr>
          <w:p>
            <w:pPr>
              <w:spacing w:after="0"/>
              <w:rPr>
                <w:sz w:val="2"/>
                <w:szCs w:val="2"/>
                <w:color w:val="auto"/>
              </w:rPr>
            </w:pPr>
          </w:p>
        </w:tc>
        <w:tc>
          <w:tcPr>
            <w:tcW w:w="40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520" w:type="dxa"/>
            <w:vAlign w:val="bottom"/>
            <w:shd w:val="clear" w:color="auto" w:fill="000000"/>
          </w:tcPr>
          <w:p>
            <w:pPr>
              <w:spacing w:after="0"/>
              <w:rPr>
                <w:sz w:val="2"/>
                <w:szCs w:val="2"/>
                <w:color w:val="auto"/>
              </w:rPr>
            </w:pPr>
          </w:p>
        </w:tc>
        <w:tc>
          <w:tcPr>
            <w:tcW w:w="50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580" w:type="dxa"/>
            <w:vAlign w:val="bottom"/>
            <w:shd w:val="clear" w:color="auto" w:fill="000000"/>
          </w:tcPr>
          <w:p>
            <w:pPr>
              <w:spacing w:after="0"/>
              <w:rPr>
                <w:sz w:val="2"/>
                <w:szCs w:val="2"/>
                <w:color w:val="auto"/>
              </w:rPr>
            </w:pPr>
          </w:p>
        </w:tc>
        <w:tc>
          <w:tcPr>
            <w:tcW w:w="20" w:type="dxa"/>
            <w:vAlign w:val="bottom"/>
            <w:vMerge w:val="restart"/>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16"/>
        </w:trPr>
        <w:tc>
          <w:tcPr>
            <w:tcW w:w="20" w:type="dxa"/>
            <w:vAlign w:val="bottom"/>
            <w:vMerge w:val="continue"/>
          </w:tcPr>
          <w:p>
            <w:pPr>
              <w:spacing w:after="0"/>
              <w:rPr>
                <w:sz w:val="18"/>
                <w:szCs w:val="18"/>
                <w:color w:val="auto"/>
              </w:rPr>
            </w:pPr>
          </w:p>
        </w:tc>
        <w:tc>
          <w:tcPr>
            <w:tcW w:w="4360" w:type="dxa"/>
            <w:vAlign w:val="bottom"/>
            <w:shd w:val="clear" w:color="auto" w:fill="CCEEFF"/>
          </w:tcPr>
          <w:p>
            <w:pPr>
              <w:spacing w:after="0"/>
              <w:rPr>
                <w:sz w:val="20"/>
                <w:szCs w:val="20"/>
                <w:color w:val="auto"/>
              </w:rPr>
            </w:pPr>
            <w:r>
              <w:rPr>
                <w:rFonts w:ascii="Arial" w:cs="Arial" w:eastAsia="Arial" w:hAnsi="Arial"/>
                <w:sz w:val="18"/>
                <w:szCs w:val="18"/>
                <w:color w:val="auto"/>
              </w:rPr>
              <w:t>Total short-term investments</w:t>
            </w:r>
          </w:p>
        </w:tc>
        <w:tc>
          <w:tcPr>
            <w:tcW w:w="2320" w:type="dxa"/>
            <w:vAlign w:val="bottom"/>
            <w:gridSpan w:val="2"/>
            <w:shd w:val="clear" w:color="auto" w:fill="CCEEFF"/>
          </w:tcPr>
          <w:p>
            <w:pPr>
              <w:jc w:val="right"/>
              <w:spacing w:after="0"/>
              <w:rPr>
                <w:sz w:val="20"/>
                <w:szCs w:val="20"/>
                <w:color w:val="auto"/>
              </w:rPr>
            </w:pPr>
            <w:r>
              <w:rPr>
                <w:rFonts w:ascii="Arial" w:cs="Arial" w:eastAsia="Arial" w:hAnsi="Arial"/>
                <w:sz w:val="18"/>
                <w:szCs w:val="18"/>
                <w:u w:val="single" w:color="auto"/>
                <w:color w:val="auto"/>
              </w:rPr>
              <w:t>$</w:t>
            </w: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6"/>
              </w:rPr>
              <w:t>416,838</w:t>
            </w:r>
          </w:p>
        </w:tc>
        <w:tc>
          <w:tcPr>
            <w:tcW w:w="500" w:type="dxa"/>
            <w:vAlign w:val="bottom"/>
            <w:gridSpan w:val="2"/>
            <w:shd w:val="clear" w:color="auto" w:fill="CCEEFF"/>
          </w:tcPr>
          <w:p>
            <w:pPr>
              <w:ind w:left="380"/>
              <w:spacing w:after="0"/>
              <w:rPr>
                <w:sz w:val="20"/>
                <w:szCs w:val="20"/>
                <w:color w:val="auto"/>
              </w:rPr>
            </w:pPr>
            <w:r>
              <w:rPr>
                <w:rFonts w:ascii="Arial" w:cs="Arial" w:eastAsia="Arial" w:hAnsi="Arial"/>
                <w:sz w:val="18"/>
                <w:szCs w:val="18"/>
                <w:color w:val="auto"/>
                <w:w w:val="99"/>
              </w:rPr>
              <w:t>$</w:t>
            </w:r>
          </w:p>
        </w:tc>
        <w:tc>
          <w:tcPr>
            <w:tcW w:w="520" w:type="dxa"/>
            <w:vAlign w:val="bottom"/>
            <w:shd w:val="clear" w:color="auto" w:fill="CCEEFF"/>
          </w:tcPr>
          <w:p>
            <w:pPr>
              <w:ind w:left="260"/>
              <w:spacing w:after="0"/>
              <w:rPr>
                <w:sz w:val="20"/>
                <w:szCs w:val="20"/>
                <w:color w:val="auto"/>
              </w:rPr>
            </w:pPr>
            <w:r>
              <w:rPr>
                <w:rFonts w:ascii="Arial" w:cs="Arial" w:eastAsia="Arial" w:hAnsi="Arial"/>
                <w:sz w:val="18"/>
                <w:szCs w:val="18"/>
                <w:color w:val="auto"/>
                <w:w w:val="79"/>
              </w:rPr>
              <w:t>203</w:t>
            </w:r>
          </w:p>
        </w:tc>
        <w:tc>
          <w:tcPr>
            <w:tcW w:w="500" w:type="dxa"/>
            <w:vAlign w:val="bottom"/>
            <w:gridSpan w:val="2"/>
            <w:shd w:val="clear" w:color="auto" w:fill="CCEEFF"/>
          </w:tcPr>
          <w:p>
            <w:pPr>
              <w:ind w:left="400"/>
              <w:spacing w:after="0"/>
              <w:rPr>
                <w:sz w:val="20"/>
                <w:szCs w:val="20"/>
                <w:color w:val="auto"/>
              </w:rPr>
            </w:pPr>
            <w:r>
              <w:rPr>
                <w:rFonts w:ascii="Arial" w:cs="Arial" w:eastAsia="Arial" w:hAnsi="Arial"/>
                <w:sz w:val="18"/>
                <w:szCs w:val="18"/>
                <w:color w:val="auto"/>
                <w:w w:val="79"/>
              </w:rPr>
              <w:t>$</w:t>
            </w:r>
          </w:p>
        </w:tc>
        <w:tc>
          <w:tcPr>
            <w:tcW w:w="1020" w:type="dxa"/>
            <w:vAlign w:val="bottom"/>
            <w:gridSpan w:val="2"/>
            <w:shd w:val="clear" w:color="auto" w:fill="CCEEFF"/>
          </w:tcPr>
          <w:p>
            <w:pPr>
              <w:jc w:val="right"/>
              <w:ind w:right="440"/>
              <w:spacing w:after="0"/>
              <w:rPr>
                <w:sz w:val="20"/>
                <w:szCs w:val="20"/>
                <w:color w:val="auto"/>
              </w:rPr>
            </w:pPr>
            <w:r>
              <w:rPr>
                <w:rFonts w:ascii="Arial" w:cs="Arial" w:eastAsia="Arial" w:hAnsi="Arial"/>
                <w:sz w:val="18"/>
                <w:szCs w:val="18"/>
                <w:color w:val="auto"/>
              </w:rPr>
              <w:t>(249)</w:t>
            </w:r>
          </w:p>
        </w:tc>
        <w:tc>
          <w:tcPr>
            <w:tcW w:w="100" w:type="dxa"/>
            <w:vAlign w:val="bottom"/>
            <w:shd w:val="clear" w:color="auto" w:fill="CCEEFF"/>
          </w:tcPr>
          <w:p>
            <w:pPr>
              <w:jc w:val="right"/>
              <w:spacing w:after="0"/>
              <w:rPr>
                <w:sz w:val="20"/>
                <w:szCs w:val="20"/>
                <w:color w:val="auto"/>
              </w:rPr>
            </w:pPr>
            <w:r>
              <w:rPr>
                <w:rFonts w:ascii="Arial" w:cs="Arial" w:eastAsia="Arial" w:hAnsi="Arial"/>
                <w:sz w:val="18"/>
                <w:szCs w:val="18"/>
                <w:u w:val="single" w:color="auto"/>
                <w:color w:val="auto"/>
                <w:w w:val="79"/>
              </w:rPr>
              <w:t>$</w:t>
            </w: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6"/>
              </w:rPr>
              <w:t>416,792</w:t>
            </w:r>
          </w:p>
        </w:tc>
        <w:tc>
          <w:tcPr>
            <w:tcW w:w="20" w:type="dxa"/>
            <w:vAlign w:val="bottom"/>
            <w:vMerge w:val="continue"/>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4380" w:type="dxa"/>
            <w:vAlign w:val="bottom"/>
            <w:gridSpan w:val="2"/>
            <w:vMerge w:val="restart"/>
          </w:tcPr>
          <w:p>
            <w:pPr>
              <w:spacing w:after="0"/>
              <w:rPr>
                <w:sz w:val="20"/>
                <w:szCs w:val="20"/>
                <w:color w:val="auto"/>
              </w:rPr>
            </w:pPr>
            <w:r>
              <w:rPr>
                <w:rFonts w:ascii="Arial" w:cs="Arial" w:eastAsia="Arial" w:hAnsi="Arial"/>
                <w:sz w:val="18"/>
                <w:szCs w:val="18"/>
                <w:b w:val="1"/>
                <w:bCs w:val="1"/>
                <w:color w:val="auto"/>
              </w:rPr>
              <w:t>Long-term investments:</w:t>
            </w:r>
          </w:p>
        </w:tc>
        <w:tc>
          <w:tcPr>
            <w:tcW w:w="222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380" w:type="dxa"/>
            <w:vAlign w:val="bottom"/>
          </w:tcPr>
          <w:p>
            <w:pPr>
              <w:spacing w:after="0" w:line="20" w:lineRule="exact"/>
              <w:rPr>
                <w:sz w:val="1"/>
                <w:szCs w:val="1"/>
                <w:color w:val="auto"/>
              </w:rPr>
            </w:pPr>
          </w:p>
        </w:tc>
        <w:tc>
          <w:tcPr>
            <w:tcW w:w="120" w:type="dxa"/>
            <w:vAlign w:val="bottom"/>
            <w:tcBorders>
              <w:top w:val="single" w:sz="8" w:color="auto"/>
              <w:bottom w:val="single" w:sz="8" w:color="auto"/>
            </w:tcBorders>
          </w:tcPr>
          <w:p>
            <w:pPr>
              <w:spacing w:after="0" w:line="20" w:lineRule="exact"/>
              <w:rPr>
                <w:sz w:val="1"/>
                <w:szCs w:val="1"/>
                <w:color w:val="auto"/>
              </w:rPr>
            </w:pPr>
          </w:p>
        </w:tc>
        <w:tc>
          <w:tcPr>
            <w:tcW w:w="520" w:type="dxa"/>
            <w:vAlign w:val="bottom"/>
            <w:tcBorders>
              <w:top w:val="single" w:sz="8" w:color="auto"/>
              <w:bottom w:val="single" w:sz="8" w:color="auto"/>
            </w:tcBorders>
          </w:tcPr>
          <w:p>
            <w:pPr>
              <w:spacing w:after="0" w:line="20" w:lineRule="exact"/>
              <w:rPr>
                <w:sz w:val="1"/>
                <w:szCs w:val="1"/>
                <w:color w:val="auto"/>
              </w:rPr>
            </w:pPr>
          </w:p>
        </w:tc>
        <w:tc>
          <w:tcPr>
            <w:tcW w:w="40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20" w:type="dxa"/>
            <w:vAlign w:val="bottom"/>
            <w:tcBorders>
              <w:top w:val="single" w:sz="8" w:color="auto"/>
              <w:bottom w:val="single" w:sz="8" w:color="auto"/>
            </w:tcBorders>
          </w:tcPr>
          <w:p>
            <w:pPr>
              <w:spacing w:after="0" w:line="20" w:lineRule="exact"/>
              <w:rPr>
                <w:sz w:val="1"/>
                <w:szCs w:val="1"/>
                <w:color w:val="auto"/>
              </w:rPr>
            </w:pPr>
          </w:p>
        </w:tc>
        <w:tc>
          <w:tcPr>
            <w:tcW w:w="50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316"/>
        </w:trPr>
        <w:tc>
          <w:tcPr>
            <w:tcW w:w="4380" w:type="dxa"/>
            <w:vAlign w:val="bottom"/>
            <w:gridSpan w:val="2"/>
            <w:vMerge w:val="continue"/>
          </w:tcPr>
          <w:p>
            <w:pPr>
              <w:spacing w:after="0"/>
              <w:rPr>
                <w:sz w:val="24"/>
                <w:szCs w:val="24"/>
                <w:color w:val="auto"/>
              </w:rPr>
            </w:pPr>
          </w:p>
        </w:tc>
        <w:tc>
          <w:tcPr>
            <w:tcW w:w="22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580" w:type="dxa"/>
            <w:vAlign w:val="bottom"/>
          </w:tcPr>
          <w:p>
            <w:pPr>
              <w:spacing w:after="0"/>
              <w:rPr>
                <w:sz w:val="24"/>
                <w:szCs w:val="24"/>
                <w:color w:val="auto"/>
              </w:rPr>
            </w:pPr>
          </w:p>
        </w:tc>
        <w:tc>
          <w:tcPr>
            <w:tcW w:w="38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520" w:type="dxa"/>
            <w:vAlign w:val="bottom"/>
          </w:tcPr>
          <w:p>
            <w:pPr>
              <w:spacing w:after="0"/>
              <w:rPr>
                <w:sz w:val="24"/>
                <w:szCs w:val="24"/>
                <w:color w:val="auto"/>
              </w:rPr>
            </w:pPr>
          </w:p>
        </w:tc>
        <w:tc>
          <w:tcPr>
            <w:tcW w:w="40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520" w:type="dxa"/>
            <w:vAlign w:val="bottom"/>
          </w:tcPr>
          <w:p>
            <w:pPr>
              <w:spacing w:after="0"/>
              <w:rPr>
                <w:sz w:val="24"/>
                <w:szCs w:val="24"/>
                <w:color w:val="auto"/>
              </w:rPr>
            </w:pPr>
          </w:p>
        </w:tc>
        <w:tc>
          <w:tcPr>
            <w:tcW w:w="50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58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18"/>
        </w:trPr>
        <w:tc>
          <w:tcPr>
            <w:tcW w:w="20" w:type="dxa"/>
            <w:vAlign w:val="bottom"/>
          </w:tcPr>
          <w:p>
            <w:pPr>
              <w:spacing w:after="0"/>
              <w:rPr>
                <w:sz w:val="18"/>
                <w:szCs w:val="18"/>
                <w:color w:val="auto"/>
              </w:rPr>
            </w:pPr>
          </w:p>
        </w:tc>
        <w:tc>
          <w:tcPr>
            <w:tcW w:w="4360" w:type="dxa"/>
            <w:vAlign w:val="bottom"/>
            <w:shd w:val="clear" w:color="auto" w:fill="CCEEFF"/>
          </w:tcPr>
          <w:p>
            <w:pPr>
              <w:spacing w:after="0"/>
              <w:rPr>
                <w:sz w:val="20"/>
                <w:szCs w:val="20"/>
                <w:color w:val="auto"/>
              </w:rPr>
            </w:pPr>
            <w:r>
              <w:rPr>
                <w:rFonts w:ascii="Arial" w:cs="Arial" w:eastAsia="Arial" w:hAnsi="Arial"/>
                <w:sz w:val="18"/>
                <w:szCs w:val="18"/>
                <w:color w:val="auto"/>
              </w:rPr>
              <w:t>Available-for-sale:</w:t>
            </w:r>
          </w:p>
        </w:tc>
        <w:tc>
          <w:tcPr>
            <w:tcW w:w="22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spacing w:after="0"/>
              <w:rPr>
                <w:sz w:val="18"/>
                <w:szCs w:val="18"/>
                <w:color w:val="auto"/>
              </w:rPr>
            </w:pPr>
          </w:p>
        </w:tc>
        <w:tc>
          <w:tcPr>
            <w:tcW w:w="38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520" w:type="dxa"/>
            <w:vAlign w:val="bottom"/>
            <w:shd w:val="clear" w:color="auto" w:fill="CCEEFF"/>
          </w:tcPr>
          <w:p>
            <w:pPr>
              <w:spacing w:after="0"/>
              <w:rPr>
                <w:sz w:val="18"/>
                <w:szCs w:val="18"/>
                <w:color w:val="auto"/>
              </w:rPr>
            </w:pPr>
          </w:p>
        </w:tc>
        <w:tc>
          <w:tcPr>
            <w:tcW w:w="4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20" w:type="dxa"/>
            <w:vAlign w:val="bottom"/>
            <w:shd w:val="clear" w:color="auto" w:fill="CCEEFF"/>
          </w:tcPr>
          <w:p>
            <w:pPr>
              <w:spacing w:after="0"/>
              <w:rPr>
                <w:sz w:val="18"/>
                <w:szCs w:val="18"/>
                <w:color w:val="auto"/>
              </w:rPr>
            </w:pPr>
          </w:p>
        </w:tc>
        <w:tc>
          <w:tcPr>
            <w:tcW w:w="5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spacing w:after="0"/>
              <w:rPr>
                <w:sz w:val="18"/>
                <w:szCs w:val="18"/>
                <w:color w:val="auto"/>
              </w:rPr>
            </w:pP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23"/>
        </w:trPr>
        <w:tc>
          <w:tcPr>
            <w:tcW w:w="20" w:type="dxa"/>
            <w:vAlign w:val="bottom"/>
          </w:tcPr>
          <w:p>
            <w:pPr>
              <w:spacing w:after="0"/>
              <w:rPr>
                <w:sz w:val="19"/>
                <w:szCs w:val="19"/>
                <w:color w:val="auto"/>
              </w:rPr>
            </w:pPr>
          </w:p>
        </w:tc>
        <w:tc>
          <w:tcPr>
            <w:tcW w:w="4360" w:type="dxa"/>
            <w:vAlign w:val="bottom"/>
          </w:tcPr>
          <w:p>
            <w:pPr>
              <w:ind w:left="420"/>
              <w:spacing w:after="0"/>
              <w:rPr>
                <w:sz w:val="20"/>
                <w:szCs w:val="20"/>
                <w:color w:val="auto"/>
              </w:rPr>
            </w:pPr>
            <w:r>
              <w:rPr>
                <w:rFonts w:ascii="Arial" w:cs="Arial" w:eastAsia="Arial" w:hAnsi="Arial"/>
                <w:sz w:val="18"/>
                <w:szCs w:val="18"/>
                <w:color w:val="auto"/>
              </w:rPr>
              <w:t>Auction rate securities</w:t>
            </w:r>
          </w:p>
        </w:tc>
        <w:tc>
          <w:tcPr>
            <w:tcW w:w="232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580" w:type="dxa"/>
            <w:vAlign w:val="bottom"/>
          </w:tcPr>
          <w:p>
            <w:pPr>
              <w:jc w:val="right"/>
              <w:spacing w:after="0"/>
              <w:rPr>
                <w:sz w:val="20"/>
                <w:szCs w:val="20"/>
                <w:color w:val="auto"/>
              </w:rPr>
            </w:pPr>
            <w:r>
              <w:rPr>
                <w:rFonts w:ascii="Arial" w:cs="Arial" w:eastAsia="Arial" w:hAnsi="Arial"/>
                <w:sz w:val="18"/>
                <w:szCs w:val="18"/>
                <w:color w:val="auto"/>
              </w:rPr>
              <w:t>36,700</w:t>
            </w:r>
          </w:p>
        </w:tc>
        <w:tc>
          <w:tcPr>
            <w:tcW w:w="500" w:type="dxa"/>
            <w:vAlign w:val="bottom"/>
            <w:gridSpan w:val="2"/>
          </w:tcPr>
          <w:p>
            <w:pPr>
              <w:ind w:left="380"/>
              <w:spacing w:after="0"/>
              <w:rPr>
                <w:sz w:val="20"/>
                <w:szCs w:val="20"/>
                <w:color w:val="auto"/>
              </w:rPr>
            </w:pPr>
            <w:r>
              <w:rPr>
                <w:rFonts w:ascii="Arial" w:cs="Arial" w:eastAsia="Arial" w:hAnsi="Arial"/>
                <w:sz w:val="18"/>
                <w:szCs w:val="18"/>
                <w:color w:val="auto"/>
                <w:w w:val="99"/>
              </w:rPr>
              <w:t>$</w:t>
            </w:r>
          </w:p>
        </w:tc>
        <w:tc>
          <w:tcPr>
            <w:tcW w:w="520" w:type="dxa"/>
            <w:vAlign w:val="bottom"/>
          </w:tcPr>
          <w:p>
            <w:pPr>
              <w:ind w:left="260"/>
              <w:spacing w:after="0"/>
              <w:rPr>
                <w:sz w:val="20"/>
                <w:szCs w:val="20"/>
                <w:color w:val="auto"/>
              </w:rPr>
            </w:pPr>
            <w:r>
              <w:rPr>
                <w:rFonts w:ascii="Arial" w:cs="Arial" w:eastAsia="Arial" w:hAnsi="Arial"/>
                <w:sz w:val="18"/>
                <w:szCs w:val="18"/>
                <w:color w:val="auto"/>
              </w:rPr>
              <w:t>—</w:t>
            </w:r>
          </w:p>
        </w:tc>
        <w:tc>
          <w:tcPr>
            <w:tcW w:w="500" w:type="dxa"/>
            <w:vAlign w:val="bottom"/>
            <w:gridSpan w:val="2"/>
          </w:tcPr>
          <w:p>
            <w:pPr>
              <w:ind w:left="400"/>
              <w:spacing w:after="0"/>
              <w:rPr>
                <w:sz w:val="20"/>
                <w:szCs w:val="20"/>
                <w:color w:val="auto"/>
              </w:rPr>
            </w:pPr>
            <w:r>
              <w:rPr>
                <w:rFonts w:ascii="Arial" w:cs="Arial" w:eastAsia="Arial" w:hAnsi="Arial"/>
                <w:sz w:val="18"/>
                <w:szCs w:val="18"/>
                <w:color w:val="auto"/>
                <w:w w:val="79"/>
              </w:rPr>
              <w:t>$</w:t>
            </w:r>
          </w:p>
        </w:tc>
        <w:tc>
          <w:tcPr>
            <w:tcW w:w="1020" w:type="dxa"/>
            <w:vAlign w:val="bottom"/>
            <w:gridSpan w:val="2"/>
          </w:tcPr>
          <w:p>
            <w:pPr>
              <w:jc w:val="right"/>
              <w:ind w:right="440"/>
              <w:spacing w:after="0"/>
              <w:rPr>
                <w:sz w:val="20"/>
                <w:szCs w:val="20"/>
                <w:color w:val="auto"/>
              </w:rPr>
            </w:pPr>
            <w:r>
              <w:rPr>
                <w:rFonts w:ascii="Arial" w:cs="Arial" w:eastAsia="Arial" w:hAnsi="Arial"/>
                <w:sz w:val="18"/>
                <w:szCs w:val="18"/>
                <w:color w:val="auto"/>
                <w:w w:val="98"/>
              </w:rPr>
              <w:t>(2,426)</w:t>
            </w:r>
          </w:p>
        </w:tc>
        <w:tc>
          <w:tcPr>
            <w:tcW w:w="100" w:type="dxa"/>
            <w:vAlign w:val="bottom"/>
          </w:tcPr>
          <w:p>
            <w:pPr>
              <w:jc w:val="right"/>
              <w:spacing w:after="0"/>
              <w:rPr>
                <w:sz w:val="20"/>
                <w:szCs w:val="20"/>
                <w:color w:val="auto"/>
              </w:rPr>
            </w:pPr>
            <w:r>
              <w:rPr>
                <w:rFonts w:ascii="Arial" w:cs="Arial" w:eastAsia="Arial" w:hAnsi="Arial"/>
                <w:sz w:val="18"/>
                <w:szCs w:val="18"/>
                <w:color w:val="auto"/>
                <w:w w:val="79"/>
              </w:rPr>
              <w:t>$</w:t>
            </w:r>
          </w:p>
        </w:tc>
        <w:tc>
          <w:tcPr>
            <w:tcW w:w="580" w:type="dxa"/>
            <w:vAlign w:val="bottom"/>
          </w:tcPr>
          <w:p>
            <w:pPr>
              <w:jc w:val="right"/>
              <w:spacing w:after="0"/>
              <w:rPr>
                <w:sz w:val="20"/>
                <w:szCs w:val="20"/>
                <w:color w:val="auto"/>
              </w:rPr>
            </w:pPr>
            <w:r>
              <w:rPr>
                <w:rFonts w:ascii="Arial" w:cs="Arial" w:eastAsia="Arial" w:hAnsi="Arial"/>
                <w:sz w:val="18"/>
                <w:szCs w:val="18"/>
                <w:color w:val="auto"/>
              </w:rPr>
              <w:t>34,274</w:t>
            </w:r>
          </w:p>
        </w:tc>
        <w:tc>
          <w:tcPr>
            <w:tcW w:w="2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360" w:type="dxa"/>
            <w:vAlign w:val="bottom"/>
            <w:shd w:val="clear" w:color="auto" w:fill="CCEEFF"/>
          </w:tcPr>
          <w:p>
            <w:pPr>
              <w:spacing w:after="0"/>
              <w:rPr>
                <w:sz w:val="20"/>
                <w:szCs w:val="20"/>
                <w:color w:val="auto"/>
              </w:rPr>
            </w:pPr>
            <w:r>
              <w:rPr>
                <w:rFonts w:ascii="Arial" w:cs="Arial" w:eastAsia="Arial" w:hAnsi="Arial"/>
                <w:sz w:val="18"/>
                <w:szCs w:val="18"/>
                <w:color w:val="auto"/>
              </w:rPr>
              <w:t>Trading securities:</w:t>
            </w:r>
          </w:p>
        </w:tc>
        <w:tc>
          <w:tcPr>
            <w:tcW w:w="2220" w:type="dxa"/>
            <w:vAlign w:val="bottom"/>
            <w:shd w:val="clear" w:color="auto" w:fill="CCEEFF"/>
          </w:tcPr>
          <w:p>
            <w:pPr>
              <w:spacing w:after="0"/>
              <w:rPr>
                <w:sz w:val="18"/>
                <w:szCs w:val="18"/>
                <w:color w:val="auto"/>
              </w:rPr>
            </w:pPr>
          </w:p>
        </w:tc>
        <w:tc>
          <w:tcPr>
            <w:tcW w:w="100" w:type="dxa"/>
            <w:vAlign w:val="bottom"/>
            <w:tcBorders>
              <w:top w:val="single" w:sz="8" w:color="auto"/>
            </w:tcBorders>
            <w:shd w:val="clear" w:color="auto" w:fill="CCEEFF"/>
          </w:tcPr>
          <w:p>
            <w:pPr>
              <w:spacing w:after="0"/>
              <w:rPr>
                <w:sz w:val="18"/>
                <w:szCs w:val="18"/>
                <w:color w:val="auto"/>
              </w:rPr>
            </w:pPr>
          </w:p>
        </w:tc>
        <w:tc>
          <w:tcPr>
            <w:tcW w:w="580" w:type="dxa"/>
            <w:vAlign w:val="bottom"/>
            <w:tcBorders>
              <w:top w:val="single" w:sz="8" w:color="auto"/>
            </w:tcBorders>
            <w:shd w:val="clear" w:color="auto" w:fill="CCEEFF"/>
          </w:tcPr>
          <w:p>
            <w:pPr>
              <w:spacing w:after="0"/>
              <w:rPr>
                <w:sz w:val="18"/>
                <w:szCs w:val="18"/>
                <w:color w:val="auto"/>
              </w:rPr>
            </w:pPr>
          </w:p>
        </w:tc>
        <w:tc>
          <w:tcPr>
            <w:tcW w:w="380" w:type="dxa"/>
            <w:vAlign w:val="bottom"/>
            <w:shd w:val="clear" w:color="auto" w:fill="CCEEFF"/>
          </w:tcPr>
          <w:p>
            <w:pPr>
              <w:spacing w:after="0"/>
              <w:rPr>
                <w:sz w:val="18"/>
                <w:szCs w:val="18"/>
                <w:color w:val="auto"/>
              </w:rPr>
            </w:pPr>
          </w:p>
        </w:tc>
        <w:tc>
          <w:tcPr>
            <w:tcW w:w="120" w:type="dxa"/>
            <w:vAlign w:val="bottom"/>
            <w:tcBorders>
              <w:top w:val="single" w:sz="8" w:color="auto"/>
            </w:tcBorders>
            <w:shd w:val="clear" w:color="auto" w:fill="CCEEFF"/>
          </w:tcPr>
          <w:p>
            <w:pPr>
              <w:spacing w:after="0"/>
              <w:rPr>
                <w:sz w:val="18"/>
                <w:szCs w:val="18"/>
                <w:color w:val="auto"/>
              </w:rPr>
            </w:pPr>
          </w:p>
        </w:tc>
        <w:tc>
          <w:tcPr>
            <w:tcW w:w="520" w:type="dxa"/>
            <w:vAlign w:val="bottom"/>
            <w:tcBorders>
              <w:top w:val="single" w:sz="8" w:color="auto"/>
            </w:tcBorders>
            <w:shd w:val="clear" w:color="auto" w:fill="CCEEFF"/>
          </w:tcPr>
          <w:p>
            <w:pPr>
              <w:spacing w:after="0"/>
              <w:rPr>
                <w:sz w:val="18"/>
                <w:szCs w:val="18"/>
                <w:color w:val="auto"/>
              </w:rPr>
            </w:pPr>
          </w:p>
        </w:tc>
        <w:tc>
          <w:tcPr>
            <w:tcW w:w="400" w:type="dxa"/>
            <w:vAlign w:val="bottom"/>
            <w:shd w:val="clear" w:color="auto" w:fill="CCEEFF"/>
          </w:tcPr>
          <w:p>
            <w:pPr>
              <w:spacing w:after="0"/>
              <w:rPr>
                <w:sz w:val="18"/>
                <w:szCs w:val="18"/>
                <w:color w:val="auto"/>
              </w:rPr>
            </w:pPr>
          </w:p>
        </w:tc>
        <w:tc>
          <w:tcPr>
            <w:tcW w:w="100" w:type="dxa"/>
            <w:vAlign w:val="bottom"/>
            <w:tcBorders>
              <w:top w:val="single" w:sz="8" w:color="auto"/>
            </w:tcBorders>
            <w:shd w:val="clear" w:color="auto" w:fill="CCEEFF"/>
          </w:tcPr>
          <w:p>
            <w:pPr>
              <w:spacing w:after="0"/>
              <w:rPr>
                <w:sz w:val="18"/>
                <w:szCs w:val="18"/>
                <w:color w:val="auto"/>
              </w:rPr>
            </w:pPr>
          </w:p>
        </w:tc>
        <w:tc>
          <w:tcPr>
            <w:tcW w:w="520" w:type="dxa"/>
            <w:vAlign w:val="bottom"/>
            <w:tcBorders>
              <w:top w:val="single" w:sz="8" w:color="auto"/>
            </w:tcBorders>
            <w:shd w:val="clear" w:color="auto" w:fill="CCEEFF"/>
          </w:tcPr>
          <w:p>
            <w:pPr>
              <w:spacing w:after="0"/>
              <w:rPr>
                <w:sz w:val="18"/>
                <w:szCs w:val="18"/>
                <w:color w:val="auto"/>
              </w:rPr>
            </w:pPr>
          </w:p>
        </w:tc>
        <w:tc>
          <w:tcPr>
            <w:tcW w:w="500" w:type="dxa"/>
            <w:vAlign w:val="bottom"/>
            <w:shd w:val="clear" w:color="auto" w:fill="CCEEFF"/>
          </w:tcPr>
          <w:p>
            <w:pPr>
              <w:spacing w:after="0"/>
              <w:rPr>
                <w:sz w:val="18"/>
                <w:szCs w:val="18"/>
                <w:color w:val="auto"/>
              </w:rPr>
            </w:pPr>
          </w:p>
        </w:tc>
        <w:tc>
          <w:tcPr>
            <w:tcW w:w="100" w:type="dxa"/>
            <w:vAlign w:val="bottom"/>
            <w:tcBorders>
              <w:top w:val="single" w:sz="8" w:color="auto"/>
            </w:tcBorders>
            <w:shd w:val="clear" w:color="auto" w:fill="CCEEFF"/>
          </w:tcPr>
          <w:p>
            <w:pPr>
              <w:spacing w:after="0"/>
              <w:rPr>
                <w:sz w:val="18"/>
                <w:szCs w:val="18"/>
                <w:color w:val="auto"/>
              </w:rPr>
            </w:pPr>
          </w:p>
        </w:tc>
        <w:tc>
          <w:tcPr>
            <w:tcW w:w="580" w:type="dxa"/>
            <w:vAlign w:val="bottom"/>
            <w:tcBorders>
              <w:top w:val="single" w:sz="8" w:color="auto"/>
            </w:tcBorders>
            <w:shd w:val="clear" w:color="auto" w:fill="CCEEFF"/>
          </w:tcPr>
          <w:p>
            <w:pPr>
              <w:spacing w:after="0"/>
              <w:rPr>
                <w:sz w:val="18"/>
                <w:szCs w:val="18"/>
                <w:color w:val="auto"/>
              </w:rPr>
            </w:pP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360" w:type="dxa"/>
            <w:vAlign w:val="bottom"/>
          </w:tcPr>
          <w:p>
            <w:pPr>
              <w:ind w:left="420"/>
              <w:spacing w:after="0"/>
              <w:rPr>
                <w:sz w:val="20"/>
                <w:szCs w:val="20"/>
                <w:color w:val="auto"/>
              </w:rPr>
            </w:pPr>
            <w:r>
              <w:rPr>
                <w:rFonts w:ascii="Arial" w:cs="Arial" w:eastAsia="Arial" w:hAnsi="Arial"/>
                <w:sz w:val="18"/>
                <w:szCs w:val="18"/>
                <w:color w:val="auto"/>
              </w:rPr>
              <w:t>Auction rate securities and settlement option</w:t>
            </w:r>
          </w:p>
        </w:tc>
        <w:tc>
          <w:tcPr>
            <w:tcW w:w="232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580" w:type="dxa"/>
            <w:vAlign w:val="bottom"/>
          </w:tcPr>
          <w:p>
            <w:pPr>
              <w:jc w:val="right"/>
              <w:spacing w:after="0"/>
              <w:rPr>
                <w:sz w:val="20"/>
                <w:szCs w:val="20"/>
                <w:color w:val="auto"/>
              </w:rPr>
            </w:pPr>
            <w:r>
              <w:rPr>
                <w:rFonts w:ascii="Arial" w:cs="Arial" w:eastAsia="Arial" w:hAnsi="Arial"/>
                <w:sz w:val="18"/>
                <w:szCs w:val="18"/>
                <w:color w:val="auto"/>
              </w:rPr>
              <w:t>5,000</w:t>
            </w:r>
          </w:p>
        </w:tc>
        <w:tc>
          <w:tcPr>
            <w:tcW w:w="38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520" w:type="dxa"/>
            <w:vAlign w:val="bottom"/>
          </w:tcPr>
          <w:p>
            <w:pPr>
              <w:ind w:left="260"/>
              <w:spacing w:after="0"/>
              <w:rPr>
                <w:sz w:val="20"/>
                <w:szCs w:val="20"/>
                <w:color w:val="auto"/>
              </w:rPr>
            </w:pPr>
            <w:r>
              <w:rPr>
                <w:rFonts w:ascii="Arial" w:cs="Arial" w:eastAsia="Arial" w:hAnsi="Arial"/>
                <w:sz w:val="18"/>
                <w:szCs w:val="18"/>
                <w:color w:val="auto"/>
              </w:rPr>
              <w:t>—</w:t>
            </w:r>
          </w:p>
        </w:tc>
        <w:tc>
          <w:tcPr>
            <w:tcW w:w="4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020" w:type="dxa"/>
            <w:vAlign w:val="bottom"/>
            <w:gridSpan w:val="2"/>
          </w:tcPr>
          <w:p>
            <w:pPr>
              <w:jc w:val="right"/>
              <w:ind w:right="580"/>
              <w:spacing w:after="0"/>
              <w:rPr>
                <w:sz w:val="20"/>
                <w:szCs w:val="20"/>
                <w:color w:val="auto"/>
              </w:rPr>
            </w:pPr>
            <w:r>
              <w:rPr>
                <w:rFonts w:ascii="Arial" w:cs="Arial" w:eastAsia="Arial" w:hAnsi="Arial"/>
                <w:sz w:val="18"/>
                <w:szCs w:val="18"/>
                <w:color w:val="auto"/>
              </w:rPr>
              <w:t>—</w:t>
            </w:r>
          </w:p>
        </w:tc>
        <w:tc>
          <w:tcPr>
            <w:tcW w:w="100" w:type="dxa"/>
            <w:vAlign w:val="bottom"/>
          </w:tcPr>
          <w:p>
            <w:pPr>
              <w:jc w:val="right"/>
              <w:spacing w:after="0"/>
              <w:rPr>
                <w:sz w:val="20"/>
                <w:szCs w:val="20"/>
                <w:color w:val="auto"/>
              </w:rPr>
            </w:pPr>
            <w:r>
              <w:rPr>
                <w:rFonts w:ascii="Arial" w:cs="Arial" w:eastAsia="Arial" w:hAnsi="Arial"/>
                <w:sz w:val="18"/>
                <w:szCs w:val="18"/>
                <w:color w:val="auto"/>
                <w:w w:val="79"/>
              </w:rPr>
              <w:t>$</w:t>
            </w:r>
          </w:p>
        </w:tc>
        <w:tc>
          <w:tcPr>
            <w:tcW w:w="580" w:type="dxa"/>
            <w:vAlign w:val="bottom"/>
          </w:tcPr>
          <w:p>
            <w:pPr>
              <w:jc w:val="right"/>
              <w:spacing w:after="0"/>
              <w:rPr>
                <w:sz w:val="20"/>
                <w:szCs w:val="20"/>
                <w:color w:val="auto"/>
              </w:rPr>
            </w:pPr>
            <w:r>
              <w:rPr>
                <w:rFonts w:ascii="Arial" w:cs="Arial" w:eastAsia="Arial" w:hAnsi="Arial"/>
                <w:sz w:val="18"/>
                <w:szCs w:val="18"/>
                <w:color w:val="auto"/>
              </w:rPr>
              <w:t>5,000</w:t>
            </w: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7"/>
        </w:trPr>
        <w:tc>
          <w:tcPr>
            <w:tcW w:w="20" w:type="dxa"/>
            <w:vAlign w:val="bottom"/>
            <w:vMerge w:val="restart"/>
          </w:tcPr>
          <w:p>
            <w:pPr>
              <w:spacing w:after="0"/>
              <w:rPr>
                <w:sz w:val="2"/>
                <w:szCs w:val="2"/>
                <w:color w:val="auto"/>
              </w:rPr>
            </w:pPr>
          </w:p>
        </w:tc>
        <w:tc>
          <w:tcPr>
            <w:tcW w:w="4360" w:type="dxa"/>
            <w:vAlign w:val="bottom"/>
          </w:tcPr>
          <w:p>
            <w:pPr>
              <w:spacing w:after="0"/>
              <w:rPr>
                <w:sz w:val="2"/>
                <w:szCs w:val="2"/>
                <w:color w:val="auto"/>
              </w:rPr>
            </w:pPr>
          </w:p>
        </w:tc>
        <w:tc>
          <w:tcPr>
            <w:tcW w:w="222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580" w:type="dxa"/>
            <w:vAlign w:val="bottom"/>
            <w:shd w:val="clear" w:color="auto" w:fill="000000"/>
          </w:tcPr>
          <w:p>
            <w:pPr>
              <w:spacing w:after="0"/>
              <w:rPr>
                <w:sz w:val="2"/>
                <w:szCs w:val="2"/>
                <w:color w:val="auto"/>
              </w:rPr>
            </w:pPr>
          </w:p>
        </w:tc>
        <w:tc>
          <w:tcPr>
            <w:tcW w:w="380" w:type="dxa"/>
            <w:vAlign w:val="bottom"/>
          </w:tcPr>
          <w:p>
            <w:pPr>
              <w:spacing w:after="0"/>
              <w:rPr>
                <w:sz w:val="2"/>
                <w:szCs w:val="2"/>
                <w:color w:val="auto"/>
              </w:rPr>
            </w:pPr>
          </w:p>
        </w:tc>
        <w:tc>
          <w:tcPr>
            <w:tcW w:w="120" w:type="dxa"/>
            <w:vAlign w:val="bottom"/>
            <w:shd w:val="clear" w:color="auto" w:fill="000000"/>
          </w:tcPr>
          <w:p>
            <w:pPr>
              <w:spacing w:after="0"/>
              <w:rPr>
                <w:sz w:val="2"/>
                <w:szCs w:val="2"/>
                <w:color w:val="auto"/>
              </w:rPr>
            </w:pPr>
          </w:p>
        </w:tc>
        <w:tc>
          <w:tcPr>
            <w:tcW w:w="520" w:type="dxa"/>
            <w:vAlign w:val="bottom"/>
            <w:shd w:val="clear" w:color="auto" w:fill="000000"/>
          </w:tcPr>
          <w:p>
            <w:pPr>
              <w:spacing w:after="0"/>
              <w:rPr>
                <w:sz w:val="2"/>
                <w:szCs w:val="2"/>
                <w:color w:val="auto"/>
              </w:rPr>
            </w:pPr>
          </w:p>
        </w:tc>
        <w:tc>
          <w:tcPr>
            <w:tcW w:w="40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520" w:type="dxa"/>
            <w:vAlign w:val="bottom"/>
            <w:shd w:val="clear" w:color="auto" w:fill="000000"/>
          </w:tcPr>
          <w:p>
            <w:pPr>
              <w:spacing w:after="0"/>
              <w:rPr>
                <w:sz w:val="2"/>
                <w:szCs w:val="2"/>
                <w:color w:val="auto"/>
              </w:rPr>
            </w:pPr>
          </w:p>
        </w:tc>
        <w:tc>
          <w:tcPr>
            <w:tcW w:w="50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580" w:type="dxa"/>
            <w:vAlign w:val="bottom"/>
            <w:shd w:val="clear" w:color="auto" w:fill="000000"/>
          </w:tcPr>
          <w:p>
            <w:pPr>
              <w:spacing w:after="0"/>
              <w:rPr>
                <w:sz w:val="2"/>
                <w:szCs w:val="2"/>
                <w:color w:val="auto"/>
              </w:rPr>
            </w:pPr>
          </w:p>
        </w:tc>
        <w:tc>
          <w:tcPr>
            <w:tcW w:w="20" w:type="dxa"/>
            <w:vAlign w:val="bottom"/>
            <w:vMerge w:val="restart"/>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16"/>
        </w:trPr>
        <w:tc>
          <w:tcPr>
            <w:tcW w:w="20" w:type="dxa"/>
            <w:vAlign w:val="bottom"/>
            <w:vMerge w:val="continue"/>
          </w:tcPr>
          <w:p>
            <w:pPr>
              <w:spacing w:after="0"/>
              <w:rPr>
                <w:sz w:val="18"/>
                <w:szCs w:val="18"/>
                <w:color w:val="auto"/>
              </w:rPr>
            </w:pPr>
          </w:p>
        </w:tc>
        <w:tc>
          <w:tcPr>
            <w:tcW w:w="4360" w:type="dxa"/>
            <w:vAlign w:val="bottom"/>
            <w:shd w:val="clear" w:color="auto" w:fill="CCEEFF"/>
          </w:tcPr>
          <w:p>
            <w:pPr>
              <w:spacing w:after="0"/>
              <w:rPr>
                <w:sz w:val="20"/>
                <w:szCs w:val="20"/>
                <w:color w:val="auto"/>
              </w:rPr>
            </w:pPr>
            <w:r>
              <w:rPr>
                <w:rFonts w:ascii="Arial" w:cs="Arial" w:eastAsia="Arial" w:hAnsi="Arial"/>
                <w:sz w:val="18"/>
                <w:szCs w:val="18"/>
                <w:color w:val="auto"/>
              </w:rPr>
              <w:t>Total long-term investments</w:t>
            </w:r>
          </w:p>
        </w:tc>
        <w:tc>
          <w:tcPr>
            <w:tcW w:w="232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41,700</w:t>
            </w:r>
          </w:p>
        </w:tc>
        <w:tc>
          <w:tcPr>
            <w:tcW w:w="500" w:type="dxa"/>
            <w:vAlign w:val="bottom"/>
            <w:gridSpan w:val="2"/>
            <w:shd w:val="clear" w:color="auto" w:fill="CCEEFF"/>
          </w:tcPr>
          <w:p>
            <w:pPr>
              <w:ind w:left="380"/>
              <w:spacing w:after="0"/>
              <w:rPr>
                <w:sz w:val="20"/>
                <w:szCs w:val="20"/>
                <w:color w:val="auto"/>
              </w:rPr>
            </w:pPr>
            <w:r>
              <w:rPr>
                <w:rFonts w:ascii="Arial" w:cs="Arial" w:eastAsia="Arial" w:hAnsi="Arial"/>
                <w:sz w:val="18"/>
                <w:szCs w:val="18"/>
                <w:color w:val="auto"/>
                <w:w w:val="99"/>
              </w:rPr>
              <w:t>$</w:t>
            </w:r>
          </w:p>
        </w:tc>
        <w:tc>
          <w:tcPr>
            <w:tcW w:w="520" w:type="dxa"/>
            <w:vAlign w:val="bottom"/>
            <w:shd w:val="clear" w:color="auto" w:fill="CCEEFF"/>
          </w:tcPr>
          <w:p>
            <w:pPr>
              <w:ind w:left="260"/>
              <w:spacing w:after="0"/>
              <w:rPr>
                <w:sz w:val="20"/>
                <w:szCs w:val="20"/>
                <w:color w:val="auto"/>
              </w:rPr>
            </w:pPr>
            <w:r>
              <w:rPr>
                <w:rFonts w:ascii="Arial" w:cs="Arial" w:eastAsia="Arial" w:hAnsi="Arial"/>
                <w:sz w:val="18"/>
                <w:szCs w:val="18"/>
                <w:color w:val="auto"/>
              </w:rPr>
              <w:t>—</w:t>
            </w:r>
          </w:p>
        </w:tc>
        <w:tc>
          <w:tcPr>
            <w:tcW w:w="500" w:type="dxa"/>
            <w:vAlign w:val="bottom"/>
            <w:gridSpan w:val="2"/>
            <w:shd w:val="clear" w:color="auto" w:fill="CCEEFF"/>
          </w:tcPr>
          <w:p>
            <w:pPr>
              <w:ind w:left="400"/>
              <w:spacing w:after="0"/>
              <w:rPr>
                <w:sz w:val="20"/>
                <w:szCs w:val="20"/>
                <w:color w:val="auto"/>
              </w:rPr>
            </w:pPr>
            <w:r>
              <w:rPr>
                <w:rFonts w:ascii="Arial" w:cs="Arial" w:eastAsia="Arial" w:hAnsi="Arial"/>
                <w:sz w:val="18"/>
                <w:szCs w:val="18"/>
                <w:color w:val="auto"/>
                <w:w w:val="79"/>
              </w:rPr>
              <w:t>$</w:t>
            </w:r>
          </w:p>
        </w:tc>
        <w:tc>
          <w:tcPr>
            <w:tcW w:w="1020" w:type="dxa"/>
            <w:vAlign w:val="bottom"/>
            <w:gridSpan w:val="2"/>
            <w:shd w:val="clear" w:color="auto" w:fill="CCEEFF"/>
          </w:tcPr>
          <w:p>
            <w:pPr>
              <w:jc w:val="right"/>
              <w:ind w:right="440"/>
              <w:spacing w:after="0"/>
              <w:rPr>
                <w:sz w:val="20"/>
                <w:szCs w:val="20"/>
                <w:color w:val="auto"/>
              </w:rPr>
            </w:pPr>
            <w:r>
              <w:rPr>
                <w:rFonts w:ascii="Arial" w:cs="Arial" w:eastAsia="Arial" w:hAnsi="Arial"/>
                <w:sz w:val="18"/>
                <w:szCs w:val="18"/>
                <w:color w:val="auto"/>
                <w:w w:val="98"/>
              </w:rPr>
              <w:t>(2,426)</w:t>
            </w:r>
          </w:p>
        </w:tc>
        <w:tc>
          <w:tcPr>
            <w:tcW w:w="1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39,274</w:t>
            </w:r>
          </w:p>
        </w:tc>
        <w:tc>
          <w:tcPr>
            <w:tcW w:w="20" w:type="dxa"/>
            <w:vAlign w:val="bottom"/>
            <w:vMerge w:val="continue"/>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4380" w:type="dxa"/>
            <w:vAlign w:val="bottom"/>
            <w:gridSpan w:val="2"/>
            <w:vMerge w:val="restart"/>
          </w:tcPr>
          <w:p>
            <w:pPr>
              <w:spacing w:after="0"/>
              <w:rPr>
                <w:sz w:val="20"/>
                <w:szCs w:val="20"/>
                <w:color w:val="auto"/>
              </w:rPr>
            </w:pPr>
            <w:r>
              <w:rPr>
                <w:rFonts w:ascii="Arial" w:cs="Arial" w:eastAsia="Arial" w:hAnsi="Arial"/>
                <w:sz w:val="18"/>
                <w:szCs w:val="18"/>
                <w:color w:val="auto"/>
              </w:rPr>
              <w:t>Total investments</w:t>
            </w:r>
          </w:p>
        </w:tc>
        <w:tc>
          <w:tcPr>
            <w:tcW w:w="222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380" w:type="dxa"/>
            <w:vAlign w:val="bottom"/>
          </w:tcPr>
          <w:p>
            <w:pPr>
              <w:spacing w:after="0" w:line="20" w:lineRule="exact"/>
              <w:rPr>
                <w:sz w:val="1"/>
                <w:szCs w:val="1"/>
                <w:color w:val="auto"/>
              </w:rPr>
            </w:pPr>
          </w:p>
        </w:tc>
        <w:tc>
          <w:tcPr>
            <w:tcW w:w="120" w:type="dxa"/>
            <w:vAlign w:val="bottom"/>
            <w:tcBorders>
              <w:top w:val="single" w:sz="8" w:color="auto"/>
              <w:bottom w:val="single" w:sz="8" w:color="auto"/>
            </w:tcBorders>
          </w:tcPr>
          <w:p>
            <w:pPr>
              <w:spacing w:after="0" w:line="20" w:lineRule="exact"/>
              <w:rPr>
                <w:sz w:val="1"/>
                <w:szCs w:val="1"/>
                <w:color w:val="auto"/>
              </w:rPr>
            </w:pPr>
          </w:p>
        </w:tc>
        <w:tc>
          <w:tcPr>
            <w:tcW w:w="520" w:type="dxa"/>
            <w:vAlign w:val="bottom"/>
            <w:tcBorders>
              <w:top w:val="single" w:sz="8" w:color="auto"/>
              <w:bottom w:val="single" w:sz="8" w:color="auto"/>
            </w:tcBorders>
          </w:tcPr>
          <w:p>
            <w:pPr>
              <w:spacing w:after="0" w:line="20" w:lineRule="exact"/>
              <w:rPr>
                <w:sz w:val="1"/>
                <w:szCs w:val="1"/>
                <w:color w:val="auto"/>
              </w:rPr>
            </w:pPr>
          </w:p>
        </w:tc>
        <w:tc>
          <w:tcPr>
            <w:tcW w:w="40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20" w:type="dxa"/>
            <w:vAlign w:val="bottom"/>
            <w:tcBorders>
              <w:top w:val="single" w:sz="8" w:color="auto"/>
              <w:bottom w:val="single" w:sz="8" w:color="auto"/>
            </w:tcBorders>
          </w:tcPr>
          <w:p>
            <w:pPr>
              <w:spacing w:after="0" w:line="20" w:lineRule="exact"/>
              <w:rPr>
                <w:sz w:val="1"/>
                <w:szCs w:val="1"/>
                <w:color w:val="auto"/>
              </w:rPr>
            </w:pPr>
          </w:p>
        </w:tc>
        <w:tc>
          <w:tcPr>
            <w:tcW w:w="50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08"/>
        </w:trPr>
        <w:tc>
          <w:tcPr>
            <w:tcW w:w="4380" w:type="dxa"/>
            <w:vAlign w:val="bottom"/>
            <w:gridSpan w:val="2"/>
            <w:vMerge w:val="continue"/>
          </w:tcPr>
          <w:p>
            <w:pPr>
              <w:spacing w:after="0"/>
              <w:rPr>
                <w:sz w:val="18"/>
                <w:szCs w:val="18"/>
                <w:color w:val="auto"/>
              </w:rPr>
            </w:pPr>
          </w:p>
        </w:tc>
        <w:tc>
          <w:tcPr>
            <w:tcW w:w="2320" w:type="dxa"/>
            <w:vAlign w:val="bottom"/>
            <w:gridSpan w:val="2"/>
          </w:tcPr>
          <w:p>
            <w:pPr>
              <w:jc w:val="right"/>
              <w:spacing w:after="0"/>
              <w:rPr>
                <w:sz w:val="20"/>
                <w:szCs w:val="20"/>
                <w:color w:val="auto"/>
              </w:rPr>
            </w:pPr>
            <w:r>
              <w:rPr>
                <w:rFonts w:ascii="Arial" w:cs="Arial" w:eastAsia="Arial" w:hAnsi="Arial"/>
                <w:sz w:val="18"/>
                <w:szCs w:val="18"/>
                <w:u w:val="single" w:color="auto"/>
                <w:color w:val="auto"/>
              </w:rPr>
              <w:t>$</w:t>
            </w:r>
          </w:p>
        </w:tc>
        <w:tc>
          <w:tcPr>
            <w:tcW w:w="580" w:type="dxa"/>
            <w:vAlign w:val="bottom"/>
          </w:tcPr>
          <w:p>
            <w:pPr>
              <w:jc w:val="right"/>
              <w:spacing w:after="0"/>
              <w:rPr>
                <w:sz w:val="20"/>
                <w:szCs w:val="20"/>
                <w:color w:val="auto"/>
              </w:rPr>
            </w:pPr>
            <w:r>
              <w:rPr>
                <w:rFonts w:ascii="Arial" w:cs="Arial" w:eastAsia="Arial" w:hAnsi="Arial"/>
                <w:sz w:val="18"/>
                <w:szCs w:val="18"/>
                <w:color w:val="auto"/>
                <w:w w:val="86"/>
              </w:rPr>
              <w:t>458,538</w:t>
            </w:r>
          </w:p>
        </w:tc>
        <w:tc>
          <w:tcPr>
            <w:tcW w:w="500" w:type="dxa"/>
            <w:vAlign w:val="bottom"/>
            <w:gridSpan w:val="2"/>
          </w:tcPr>
          <w:p>
            <w:pPr>
              <w:ind w:left="380"/>
              <w:spacing w:after="0"/>
              <w:rPr>
                <w:sz w:val="20"/>
                <w:szCs w:val="20"/>
                <w:color w:val="auto"/>
              </w:rPr>
            </w:pPr>
            <w:r>
              <w:rPr>
                <w:rFonts w:ascii="Arial" w:cs="Arial" w:eastAsia="Arial" w:hAnsi="Arial"/>
                <w:sz w:val="18"/>
                <w:szCs w:val="18"/>
                <w:color w:val="auto"/>
                <w:w w:val="99"/>
              </w:rPr>
              <w:t>$</w:t>
            </w:r>
          </w:p>
        </w:tc>
        <w:tc>
          <w:tcPr>
            <w:tcW w:w="520" w:type="dxa"/>
            <w:vAlign w:val="bottom"/>
          </w:tcPr>
          <w:p>
            <w:pPr>
              <w:ind w:left="260"/>
              <w:spacing w:after="0"/>
              <w:rPr>
                <w:sz w:val="20"/>
                <w:szCs w:val="20"/>
                <w:color w:val="auto"/>
              </w:rPr>
            </w:pPr>
            <w:r>
              <w:rPr>
                <w:rFonts w:ascii="Arial" w:cs="Arial" w:eastAsia="Arial" w:hAnsi="Arial"/>
                <w:sz w:val="18"/>
                <w:szCs w:val="18"/>
                <w:color w:val="auto"/>
                <w:w w:val="79"/>
              </w:rPr>
              <w:t>203</w:t>
            </w:r>
          </w:p>
        </w:tc>
        <w:tc>
          <w:tcPr>
            <w:tcW w:w="500" w:type="dxa"/>
            <w:vAlign w:val="bottom"/>
            <w:gridSpan w:val="2"/>
          </w:tcPr>
          <w:p>
            <w:pPr>
              <w:ind w:left="400"/>
              <w:spacing w:after="0"/>
              <w:rPr>
                <w:sz w:val="20"/>
                <w:szCs w:val="20"/>
                <w:color w:val="auto"/>
              </w:rPr>
            </w:pPr>
            <w:r>
              <w:rPr>
                <w:rFonts w:ascii="Arial" w:cs="Arial" w:eastAsia="Arial" w:hAnsi="Arial"/>
                <w:sz w:val="18"/>
                <w:szCs w:val="18"/>
                <w:color w:val="auto"/>
                <w:w w:val="79"/>
              </w:rPr>
              <w:t>$</w:t>
            </w:r>
          </w:p>
        </w:tc>
        <w:tc>
          <w:tcPr>
            <w:tcW w:w="1020" w:type="dxa"/>
            <w:vAlign w:val="bottom"/>
            <w:gridSpan w:val="2"/>
          </w:tcPr>
          <w:p>
            <w:pPr>
              <w:jc w:val="right"/>
              <w:ind w:right="440"/>
              <w:spacing w:after="0"/>
              <w:rPr>
                <w:sz w:val="20"/>
                <w:szCs w:val="20"/>
                <w:color w:val="auto"/>
              </w:rPr>
            </w:pPr>
            <w:r>
              <w:rPr>
                <w:rFonts w:ascii="Arial" w:cs="Arial" w:eastAsia="Arial" w:hAnsi="Arial"/>
                <w:sz w:val="18"/>
                <w:szCs w:val="18"/>
                <w:color w:val="auto"/>
                <w:w w:val="98"/>
              </w:rPr>
              <w:t>(2,675)</w:t>
            </w:r>
          </w:p>
        </w:tc>
        <w:tc>
          <w:tcPr>
            <w:tcW w:w="100" w:type="dxa"/>
            <w:vAlign w:val="bottom"/>
          </w:tcPr>
          <w:p>
            <w:pPr>
              <w:jc w:val="right"/>
              <w:spacing w:after="0"/>
              <w:rPr>
                <w:sz w:val="20"/>
                <w:szCs w:val="20"/>
                <w:color w:val="auto"/>
              </w:rPr>
            </w:pPr>
            <w:r>
              <w:rPr>
                <w:rFonts w:ascii="Arial" w:cs="Arial" w:eastAsia="Arial" w:hAnsi="Arial"/>
                <w:sz w:val="18"/>
                <w:szCs w:val="18"/>
                <w:u w:val="single" w:color="auto"/>
                <w:color w:val="auto"/>
                <w:w w:val="79"/>
              </w:rPr>
              <w:t>$</w:t>
            </w:r>
          </w:p>
        </w:tc>
        <w:tc>
          <w:tcPr>
            <w:tcW w:w="600" w:type="dxa"/>
            <w:vAlign w:val="bottom"/>
            <w:gridSpan w:val="2"/>
          </w:tcPr>
          <w:p>
            <w:pPr>
              <w:jc w:val="right"/>
              <w:ind w:right="20"/>
              <w:spacing w:after="0"/>
              <w:rPr>
                <w:sz w:val="20"/>
                <w:szCs w:val="20"/>
                <w:color w:val="auto"/>
              </w:rPr>
            </w:pPr>
            <w:r>
              <w:rPr>
                <w:rFonts w:ascii="Arial" w:cs="Arial" w:eastAsia="Arial" w:hAnsi="Arial"/>
                <w:sz w:val="18"/>
                <w:szCs w:val="18"/>
                <w:color w:val="auto"/>
                <w:w w:val="86"/>
              </w:rPr>
              <w:t>456,066</w:t>
            </w: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4360" w:type="dxa"/>
            <w:vAlign w:val="bottom"/>
          </w:tcPr>
          <w:p>
            <w:pPr>
              <w:spacing w:after="0" w:line="20" w:lineRule="exact"/>
              <w:rPr>
                <w:sz w:val="1"/>
                <w:szCs w:val="1"/>
                <w:color w:val="auto"/>
              </w:rPr>
            </w:pPr>
          </w:p>
        </w:tc>
        <w:tc>
          <w:tcPr>
            <w:tcW w:w="2220" w:type="dxa"/>
            <w:vAlign w:val="bottom"/>
            <w:vMerge w:val="restart"/>
          </w:tcPr>
          <w:p>
            <w:pPr>
              <w:jc w:val="right"/>
              <w:ind w:right="1172"/>
              <w:spacing w:after="0"/>
              <w:rPr>
                <w:sz w:val="20"/>
                <w:szCs w:val="20"/>
                <w:color w:val="auto"/>
              </w:rPr>
            </w:pPr>
            <w:r>
              <w:rPr>
                <w:rFonts w:ascii="Arial" w:cs="Arial" w:eastAsia="Arial" w:hAnsi="Arial"/>
                <w:sz w:val="18"/>
                <w:szCs w:val="18"/>
                <w:color w:val="auto"/>
              </w:rPr>
              <w:t>10</w:t>
            </w: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380" w:type="dxa"/>
            <w:vAlign w:val="bottom"/>
          </w:tcPr>
          <w:p>
            <w:pPr>
              <w:spacing w:after="0" w:line="20" w:lineRule="exact"/>
              <w:rPr>
                <w:sz w:val="1"/>
                <w:szCs w:val="1"/>
                <w:color w:val="auto"/>
              </w:rPr>
            </w:pPr>
          </w:p>
        </w:tc>
        <w:tc>
          <w:tcPr>
            <w:tcW w:w="120" w:type="dxa"/>
            <w:vAlign w:val="bottom"/>
            <w:tcBorders>
              <w:top w:val="single" w:sz="8" w:color="auto"/>
              <w:bottom w:val="single" w:sz="8" w:color="auto"/>
            </w:tcBorders>
          </w:tcPr>
          <w:p>
            <w:pPr>
              <w:spacing w:after="0" w:line="20" w:lineRule="exact"/>
              <w:rPr>
                <w:sz w:val="1"/>
                <w:szCs w:val="1"/>
                <w:color w:val="auto"/>
              </w:rPr>
            </w:pPr>
          </w:p>
        </w:tc>
        <w:tc>
          <w:tcPr>
            <w:tcW w:w="520" w:type="dxa"/>
            <w:vAlign w:val="bottom"/>
            <w:tcBorders>
              <w:top w:val="single" w:sz="8" w:color="auto"/>
              <w:bottom w:val="single" w:sz="8" w:color="auto"/>
            </w:tcBorders>
          </w:tcPr>
          <w:p>
            <w:pPr>
              <w:spacing w:after="0" w:line="20" w:lineRule="exact"/>
              <w:rPr>
                <w:sz w:val="1"/>
                <w:szCs w:val="1"/>
                <w:color w:val="auto"/>
              </w:rPr>
            </w:pPr>
          </w:p>
        </w:tc>
        <w:tc>
          <w:tcPr>
            <w:tcW w:w="40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20" w:type="dxa"/>
            <w:vAlign w:val="bottom"/>
            <w:tcBorders>
              <w:top w:val="single" w:sz="8" w:color="auto"/>
              <w:bottom w:val="single" w:sz="8" w:color="auto"/>
            </w:tcBorders>
          </w:tcPr>
          <w:p>
            <w:pPr>
              <w:spacing w:after="0" w:line="20" w:lineRule="exact"/>
              <w:rPr>
                <w:sz w:val="1"/>
                <w:szCs w:val="1"/>
                <w:color w:val="auto"/>
              </w:rPr>
            </w:pPr>
          </w:p>
        </w:tc>
        <w:tc>
          <w:tcPr>
            <w:tcW w:w="50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359"/>
        </w:trPr>
        <w:tc>
          <w:tcPr>
            <w:tcW w:w="20" w:type="dxa"/>
            <w:vAlign w:val="bottom"/>
          </w:tcPr>
          <w:p>
            <w:pPr>
              <w:spacing w:after="0"/>
              <w:rPr>
                <w:sz w:val="24"/>
                <w:szCs w:val="24"/>
                <w:color w:val="auto"/>
              </w:rPr>
            </w:pPr>
          </w:p>
        </w:tc>
        <w:tc>
          <w:tcPr>
            <w:tcW w:w="4360" w:type="dxa"/>
            <w:vAlign w:val="bottom"/>
          </w:tcPr>
          <w:p>
            <w:pPr>
              <w:spacing w:after="0"/>
              <w:rPr>
                <w:sz w:val="24"/>
                <w:szCs w:val="24"/>
                <w:color w:val="auto"/>
              </w:rPr>
            </w:pPr>
          </w:p>
        </w:tc>
        <w:tc>
          <w:tcPr>
            <w:tcW w:w="2220" w:type="dxa"/>
            <w:vAlign w:val="bottom"/>
            <w:vMerge w:val="continue"/>
          </w:tcPr>
          <w:p>
            <w:pPr>
              <w:spacing w:after="0"/>
              <w:rPr>
                <w:sz w:val="24"/>
                <w:szCs w:val="24"/>
                <w:color w:val="auto"/>
              </w:rPr>
            </w:pPr>
          </w:p>
        </w:tc>
        <w:tc>
          <w:tcPr>
            <w:tcW w:w="100" w:type="dxa"/>
            <w:vAlign w:val="bottom"/>
          </w:tcPr>
          <w:p>
            <w:pPr>
              <w:spacing w:after="0"/>
              <w:rPr>
                <w:sz w:val="24"/>
                <w:szCs w:val="24"/>
                <w:color w:val="auto"/>
              </w:rPr>
            </w:pPr>
          </w:p>
        </w:tc>
        <w:tc>
          <w:tcPr>
            <w:tcW w:w="580" w:type="dxa"/>
            <w:vAlign w:val="bottom"/>
          </w:tcPr>
          <w:p>
            <w:pPr>
              <w:spacing w:after="0"/>
              <w:rPr>
                <w:sz w:val="24"/>
                <w:szCs w:val="24"/>
                <w:color w:val="auto"/>
              </w:rPr>
            </w:pPr>
          </w:p>
        </w:tc>
        <w:tc>
          <w:tcPr>
            <w:tcW w:w="38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520" w:type="dxa"/>
            <w:vAlign w:val="bottom"/>
          </w:tcPr>
          <w:p>
            <w:pPr>
              <w:spacing w:after="0"/>
              <w:rPr>
                <w:sz w:val="24"/>
                <w:szCs w:val="24"/>
                <w:color w:val="auto"/>
              </w:rPr>
            </w:pPr>
          </w:p>
        </w:tc>
        <w:tc>
          <w:tcPr>
            <w:tcW w:w="40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520" w:type="dxa"/>
            <w:vAlign w:val="bottom"/>
          </w:tcPr>
          <w:p>
            <w:pPr>
              <w:spacing w:after="0"/>
              <w:rPr>
                <w:sz w:val="24"/>
                <w:szCs w:val="24"/>
                <w:color w:val="auto"/>
              </w:rPr>
            </w:pPr>
          </w:p>
        </w:tc>
        <w:tc>
          <w:tcPr>
            <w:tcW w:w="50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58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0" w:type="dxa"/>
            <w:vAlign w:val="bottom"/>
          </w:tcPr>
          <w:p>
            <w:pPr>
              <w:spacing w:after="0"/>
              <w:rPr>
                <w:sz w:val="1"/>
                <w:szCs w:val="1"/>
                <w:color w:val="auto"/>
              </w:rPr>
            </w:pPr>
          </w:p>
        </w:tc>
      </w:tr>
    </w:tbl>
    <w:p>
      <w:pPr>
        <w:sectPr>
          <w:pgSz w:w="11900" w:h="16838" w:orient="portrait"/>
          <w:cols w:equalWidth="0" w:num="1">
            <w:col w:w="11400"/>
          </w:cols>
          <w:pgMar w:left="240" w:top="459" w:right="259" w:bottom="1440" w:gutter="0" w:footer="0" w:header="0"/>
        </w:sectPr>
      </w:pPr>
    </w:p>
    <w:bookmarkStart w:id="10" w:name="page11"/>
    <w:bookmarkEnd w:id="10"/>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25">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ind w:right="-39"/>
        <w:spacing w:after="0"/>
        <w:rPr>
          <w:sz w:val="20"/>
          <w:szCs w:val="20"/>
          <w:color w:val="auto"/>
        </w:rPr>
      </w:pPr>
      <w:r>
        <w:rPr>
          <w:rFonts w:ascii="Arial" w:cs="Arial" w:eastAsia="Arial" w:hAnsi="Arial"/>
          <w:sz w:val="18"/>
          <w:szCs w:val="18"/>
          <w:b w:val="1"/>
          <w:bCs w:val="1"/>
          <w:color w:val="auto"/>
        </w:rPr>
        <w:t>MARVELL TECHNOLOGY GROUP LTD.</w:t>
      </w:r>
    </w:p>
    <w:p>
      <w:pPr>
        <w:spacing w:after="0" w:line="90" w:lineRule="exact"/>
        <w:rPr>
          <w:sz w:val="20"/>
          <w:szCs w:val="20"/>
          <w:color w:val="auto"/>
        </w:rPr>
      </w:pPr>
    </w:p>
    <w:p>
      <w:pPr>
        <w:jc w:val="center"/>
        <w:ind w:right="-39"/>
        <w:spacing w:after="0"/>
        <w:rPr>
          <w:sz w:val="20"/>
          <w:szCs w:val="20"/>
          <w:color w:val="auto"/>
        </w:rPr>
      </w:pPr>
      <w:r>
        <w:rPr>
          <w:rFonts w:ascii="Arial" w:cs="Arial" w:eastAsia="Arial" w:hAnsi="Arial"/>
          <w:sz w:val="18"/>
          <w:szCs w:val="18"/>
          <w:b w:val="1"/>
          <w:bCs w:val="1"/>
          <w:color w:val="auto"/>
        </w:rPr>
        <w:t>NOTES TO UNAUDITED CONDENSED CONSOLIDATED FINANCIAL STATEMENTS—(Continued)</w:t>
      </w:r>
    </w:p>
    <w:p>
      <w:pPr>
        <w:spacing w:after="0" w:line="159" w:lineRule="exact"/>
        <w:rPr>
          <w:sz w:val="20"/>
          <w:szCs w:val="20"/>
          <w:color w:val="auto"/>
        </w:rPr>
      </w:pPr>
    </w:p>
    <w:tbl>
      <w:tblPr>
        <w:tblLayout w:type="fixed"/>
        <w:tblInd w:w="460" w:type="dxa"/>
        <w:tblCellMar>
          <w:top w:w="0" w:type="dxa"/>
          <w:left w:w="0" w:type="dxa"/>
          <w:bottom w:w="0" w:type="dxa"/>
          <w:right w:w="0" w:type="dxa"/>
        </w:tblCellMar>
      </w:tblPr>
      <w:tr>
        <w:trPr>
          <w:trHeight w:val="161"/>
        </w:trPr>
        <w:tc>
          <w:tcPr>
            <w:tcW w:w="5020" w:type="dxa"/>
            <w:vAlign w:val="bottom"/>
          </w:tcPr>
          <w:p>
            <w:pPr>
              <w:spacing w:after="0"/>
              <w:rPr>
                <w:sz w:val="14"/>
                <w:szCs w:val="14"/>
                <w:color w:val="auto"/>
              </w:rPr>
            </w:pPr>
          </w:p>
        </w:tc>
        <w:tc>
          <w:tcPr>
            <w:tcW w:w="1460" w:type="dxa"/>
            <w:vAlign w:val="bottom"/>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520" w:type="dxa"/>
            <w:vAlign w:val="bottom"/>
            <w:tcBorders>
              <w:bottom w:val="single" w:sz="8" w:color="auto"/>
            </w:tcBorders>
          </w:tcPr>
          <w:p>
            <w:pPr>
              <w:spacing w:after="0"/>
              <w:rPr>
                <w:sz w:val="14"/>
                <w:szCs w:val="14"/>
                <w:color w:val="auto"/>
              </w:rPr>
            </w:pPr>
          </w:p>
        </w:tc>
        <w:tc>
          <w:tcPr>
            <w:tcW w:w="480" w:type="dxa"/>
            <w:vAlign w:val="bottom"/>
            <w:tcBorders>
              <w:bottom w:val="single" w:sz="8" w:color="auto"/>
            </w:tcBorders>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1960" w:type="dxa"/>
            <w:vAlign w:val="bottom"/>
            <w:tcBorders>
              <w:bottom w:val="single" w:sz="8" w:color="auto"/>
            </w:tcBorders>
            <w:gridSpan w:val="5"/>
          </w:tcPr>
          <w:p>
            <w:pPr>
              <w:ind w:left="160"/>
              <w:spacing w:after="0"/>
              <w:rPr>
                <w:sz w:val="20"/>
                <w:szCs w:val="20"/>
                <w:color w:val="auto"/>
              </w:rPr>
            </w:pPr>
            <w:r>
              <w:rPr>
                <w:rFonts w:ascii="Arial" w:cs="Arial" w:eastAsia="Arial" w:hAnsi="Arial"/>
                <w:sz w:val="14"/>
                <w:szCs w:val="14"/>
                <w:b w:val="1"/>
                <w:bCs w:val="1"/>
                <w:color w:val="auto"/>
              </w:rPr>
              <w:t>As of January 31, 2009</w:t>
            </w:r>
          </w:p>
        </w:tc>
        <w:tc>
          <w:tcPr>
            <w:tcW w:w="260" w:type="dxa"/>
            <w:vAlign w:val="bottom"/>
            <w:tcBorders>
              <w:bottom w:val="single" w:sz="8" w:color="auto"/>
            </w:tcBorders>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500" w:type="dxa"/>
            <w:vAlign w:val="bottom"/>
            <w:tcBorders>
              <w:bottom w:val="single" w:sz="8" w:color="auto"/>
            </w:tcBorders>
          </w:tcPr>
          <w:p>
            <w:pPr>
              <w:spacing w:after="0"/>
              <w:rPr>
                <w:sz w:val="14"/>
                <w:szCs w:val="14"/>
                <w:color w:val="auto"/>
              </w:rPr>
            </w:pPr>
          </w:p>
        </w:tc>
        <w:tc>
          <w:tcPr>
            <w:tcW w:w="2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29"/>
        </w:trPr>
        <w:tc>
          <w:tcPr>
            <w:tcW w:w="5020" w:type="dxa"/>
            <w:vAlign w:val="bottom"/>
          </w:tcPr>
          <w:p>
            <w:pPr>
              <w:spacing w:after="0"/>
              <w:rPr>
                <w:sz w:val="11"/>
                <w:szCs w:val="11"/>
                <w:color w:val="auto"/>
              </w:rPr>
            </w:pPr>
          </w:p>
        </w:tc>
        <w:tc>
          <w:tcPr>
            <w:tcW w:w="146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520" w:type="dxa"/>
            <w:vAlign w:val="bottom"/>
          </w:tcPr>
          <w:p>
            <w:pPr>
              <w:spacing w:after="0"/>
              <w:rPr>
                <w:sz w:val="11"/>
                <w:szCs w:val="11"/>
                <w:color w:val="auto"/>
              </w:rPr>
            </w:pPr>
          </w:p>
        </w:tc>
        <w:tc>
          <w:tcPr>
            <w:tcW w:w="48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520" w:type="dxa"/>
            <w:vAlign w:val="bottom"/>
          </w:tcPr>
          <w:p>
            <w:pPr>
              <w:ind w:left="40"/>
              <w:spacing w:after="0" w:line="129" w:lineRule="exact"/>
              <w:rPr>
                <w:sz w:val="20"/>
                <w:szCs w:val="20"/>
                <w:color w:val="auto"/>
              </w:rPr>
            </w:pPr>
            <w:r>
              <w:rPr>
                <w:rFonts w:ascii="Arial" w:cs="Arial" w:eastAsia="Arial" w:hAnsi="Arial"/>
                <w:sz w:val="14"/>
                <w:szCs w:val="14"/>
                <w:b w:val="1"/>
                <w:bCs w:val="1"/>
                <w:color w:val="auto"/>
              </w:rPr>
              <w:t>Gross</w:t>
            </w:r>
          </w:p>
        </w:tc>
        <w:tc>
          <w:tcPr>
            <w:tcW w:w="48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840" w:type="dxa"/>
            <w:vAlign w:val="bottom"/>
            <w:gridSpan w:val="2"/>
          </w:tcPr>
          <w:p>
            <w:pPr>
              <w:jc w:val="right"/>
              <w:ind w:right="480"/>
              <w:spacing w:after="0" w:line="129" w:lineRule="exact"/>
              <w:rPr>
                <w:sz w:val="20"/>
                <w:szCs w:val="20"/>
                <w:color w:val="auto"/>
              </w:rPr>
            </w:pPr>
            <w:r>
              <w:rPr>
                <w:rFonts w:ascii="Arial" w:cs="Arial" w:eastAsia="Arial" w:hAnsi="Arial"/>
                <w:sz w:val="14"/>
                <w:szCs w:val="14"/>
                <w:b w:val="1"/>
                <w:bCs w:val="1"/>
                <w:color w:val="auto"/>
                <w:w w:val="83"/>
              </w:rPr>
              <w:t>Gross</w:t>
            </w:r>
          </w:p>
        </w:tc>
        <w:tc>
          <w:tcPr>
            <w:tcW w:w="26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5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49"/>
        </w:trPr>
        <w:tc>
          <w:tcPr>
            <w:tcW w:w="5020" w:type="dxa"/>
            <w:vAlign w:val="bottom"/>
          </w:tcPr>
          <w:p>
            <w:pPr>
              <w:spacing w:after="0"/>
              <w:rPr>
                <w:sz w:val="12"/>
                <w:szCs w:val="12"/>
                <w:color w:val="auto"/>
              </w:rPr>
            </w:pPr>
          </w:p>
        </w:tc>
        <w:tc>
          <w:tcPr>
            <w:tcW w:w="1460" w:type="dxa"/>
            <w:vAlign w:val="bottom"/>
          </w:tcPr>
          <w:p>
            <w:pPr>
              <w:spacing w:after="0"/>
              <w:rPr>
                <w:sz w:val="12"/>
                <w:szCs w:val="12"/>
                <w:color w:val="auto"/>
              </w:rPr>
            </w:pPr>
          </w:p>
        </w:tc>
        <w:tc>
          <w:tcPr>
            <w:tcW w:w="620" w:type="dxa"/>
            <w:vAlign w:val="bottom"/>
            <w:gridSpan w:val="2"/>
          </w:tcPr>
          <w:p>
            <w:pPr>
              <w:spacing w:after="0" w:line="149" w:lineRule="exact"/>
              <w:rPr>
                <w:sz w:val="20"/>
                <w:szCs w:val="20"/>
                <w:color w:val="auto"/>
              </w:rPr>
            </w:pPr>
            <w:r>
              <w:rPr>
                <w:rFonts w:ascii="Arial" w:cs="Arial" w:eastAsia="Arial" w:hAnsi="Arial"/>
                <w:sz w:val="14"/>
                <w:szCs w:val="14"/>
                <w:b w:val="1"/>
                <w:bCs w:val="1"/>
                <w:color w:val="auto"/>
                <w:w w:val="87"/>
              </w:rPr>
              <w:t>Amortized</w:t>
            </w:r>
          </w:p>
        </w:tc>
        <w:tc>
          <w:tcPr>
            <w:tcW w:w="480" w:type="dxa"/>
            <w:vAlign w:val="bottom"/>
          </w:tcPr>
          <w:p>
            <w:pPr>
              <w:spacing w:after="0"/>
              <w:rPr>
                <w:sz w:val="12"/>
                <w:szCs w:val="12"/>
                <w:color w:val="auto"/>
              </w:rPr>
            </w:pPr>
          </w:p>
        </w:tc>
        <w:tc>
          <w:tcPr>
            <w:tcW w:w="620" w:type="dxa"/>
            <w:vAlign w:val="bottom"/>
            <w:gridSpan w:val="2"/>
          </w:tcPr>
          <w:p>
            <w:pPr>
              <w:spacing w:after="0" w:line="149" w:lineRule="exact"/>
              <w:rPr>
                <w:sz w:val="20"/>
                <w:szCs w:val="20"/>
                <w:color w:val="auto"/>
              </w:rPr>
            </w:pPr>
            <w:r>
              <w:rPr>
                <w:rFonts w:ascii="Arial" w:cs="Arial" w:eastAsia="Arial" w:hAnsi="Arial"/>
                <w:sz w:val="14"/>
                <w:szCs w:val="14"/>
                <w:b w:val="1"/>
                <w:bCs w:val="1"/>
                <w:color w:val="auto"/>
                <w:w w:val="84"/>
              </w:rPr>
              <w:t>Unrealized</w:t>
            </w:r>
          </w:p>
        </w:tc>
        <w:tc>
          <w:tcPr>
            <w:tcW w:w="480" w:type="dxa"/>
            <w:vAlign w:val="bottom"/>
          </w:tcPr>
          <w:p>
            <w:pPr>
              <w:spacing w:after="0"/>
              <w:rPr>
                <w:sz w:val="12"/>
                <w:szCs w:val="12"/>
                <w:color w:val="auto"/>
              </w:rPr>
            </w:pPr>
          </w:p>
        </w:tc>
        <w:tc>
          <w:tcPr>
            <w:tcW w:w="960" w:type="dxa"/>
            <w:vAlign w:val="bottom"/>
            <w:gridSpan w:val="3"/>
          </w:tcPr>
          <w:p>
            <w:pPr>
              <w:spacing w:after="0" w:line="149" w:lineRule="exact"/>
              <w:rPr>
                <w:sz w:val="20"/>
                <w:szCs w:val="20"/>
                <w:color w:val="auto"/>
              </w:rPr>
            </w:pPr>
            <w:r>
              <w:rPr>
                <w:rFonts w:ascii="Arial" w:cs="Arial" w:eastAsia="Arial" w:hAnsi="Arial"/>
                <w:sz w:val="14"/>
                <w:szCs w:val="14"/>
                <w:b w:val="1"/>
                <w:bCs w:val="1"/>
                <w:color w:val="auto"/>
              </w:rPr>
              <w:t>Unrealized</w:t>
            </w:r>
          </w:p>
        </w:tc>
        <w:tc>
          <w:tcPr>
            <w:tcW w:w="260" w:type="dxa"/>
            <w:vAlign w:val="bottom"/>
          </w:tcPr>
          <w:p>
            <w:pPr>
              <w:spacing w:after="0"/>
              <w:rPr>
                <w:sz w:val="12"/>
                <w:szCs w:val="12"/>
                <w:color w:val="auto"/>
              </w:rPr>
            </w:pPr>
          </w:p>
        </w:tc>
        <w:tc>
          <w:tcPr>
            <w:tcW w:w="620" w:type="dxa"/>
            <w:vAlign w:val="bottom"/>
            <w:gridSpan w:val="3"/>
          </w:tcPr>
          <w:p>
            <w:pPr>
              <w:spacing w:after="0" w:line="149" w:lineRule="exact"/>
              <w:rPr>
                <w:sz w:val="20"/>
                <w:szCs w:val="20"/>
                <w:color w:val="auto"/>
              </w:rPr>
            </w:pPr>
            <w:r>
              <w:rPr>
                <w:rFonts w:ascii="Arial" w:cs="Arial" w:eastAsia="Arial" w:hAnsi="Arial"/>
                <w:sz w:val="14"/>
                <w:szCs w:val="14"/>
                <w:b w:val="1"/>
                <w:bCs w:val="1"/>
                <w:color w:val="auto"/>
                <w:w w:val="89"/>
              </w:rPr>
              <w:t>Estimated</w:t>
            </w:r>
          </w:p>
        </w:tc>
        <w:tc>
          <w:tcPr>
            <w:tcW w:w="0" w:type="dxa"/>
            <w:vAlign w:val="bottom"/>
          </w:tcPr>
          <w:p>
            <w:pPr>
              <w:spacing w:after="0"/>
              <w:rPr>
                <w:sz w:val="1"/>
                <w:szCs w:val="1"/>
                <w:color w:val="auto"/>
              </w:rPr>
            </w:pPr>
          </w:p>
        </w:tc>
      </w:tr>
      <w:tr>
        <w:trPr>
          <w:trHeight w:val="161"/>
        </w:trPr>
        <w:tc>
          <w:tcPr>
            <w:tcW w:w="5020" w:type="dxa"/>
            <w:vAlign w:val="bottom"/>
          </w:tcPr>
          <w:p>
            <w:pPr>
              <w:spacing w:after="0"/>
              <w:rPr>
                <w:sz w:val="14"/>
                <w:szCs w:val="14"/>
                <w:color w:val="auto"/>
              </w:rPr>
            </w:pPr>
          </w:p>
        </w:tc>
        <w:tc>
          <w:tcPr>
            <w:tcW w:w="146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520" w:type="dxa"/>
            <w:vAlign w:val="bottom"/>
          </w:tcPr>
          <w:p>
            <w:pPr>
              <w:jc w:val="right"/>
              <w:ind w:right="96"/>
              <w:spacing w:after="0"/>
              <w:rPr>
                <w:sz w:val="20"/>
                <w:szCs w:val="20"/>
                <w:color w:val="auto"/>
              </w:rPr>
            </w:pPr>
            <w:r>
              <w:rPr>
                <w:rFonts w:ascii="Arial" w:cs="Arial" w:eastAsia="Arial" w:hAnsi="Arial"/>
                <w:sz w:val="14"/>
                <w:szCs w:val="14"/>
                <w:b w:val="1"/>
                <w:bCs w:val="1"/>
                <w:color w:val="auto"/>
              </w:rPr>
              <w:t>Cost</w:t>
            </w:r>
          </w:p>
        </w:tc>
        <w:tc>
          <w:tcPr>
            <w:tcW w:w="48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520" w:type="dxa"/>
            <w:vAlign w:val="bottom"/>
          </w:tcPr>
          <w:p>
            <w:pPr>
              <w:ind w:left="40"/>
              <w:spacing w:after="0"/>
              <w:rPr>
                <w:sz w:val="20"/>
                <w:szCs w:val="20"/>
                <w:color w:val="auto"/>
              </w:rPr>
            </w:pPr>
            <w:r>
              <w:rPr>
                <w:rFonts w:ascii="Arial" w:cs="Arial" w:eastAsia="Arial" w:hAnsi="Arial"/>
                <w:sz w:val="14"/>
                <w:szCs w:val="14"/>
                <w:b w:val="1"/>
                <w:bCs w:val="1"/>
                <w:color w:val="auto"/>
              </w:rPr>
              <w:t>Gains</w:t>
            </w:r>
          </w:p>
        </w:tc>
        <w:tc>
          <w:tcPr>
            <w:tcW w:w="48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840" w:type="dxa"/>
            <w:vAlign w:val="bottom"/>
            <w:gridSpan w:val="2"/>
          </w:tcPr>
          <w:p>
            <w:pPr>
              <w:jc w:val="right"/>
              <w:ind w:right="460"/>
              <w:spacing w:after="0"/>
              <w:rPr>
                <w:sz w:val="20"/>
                <w:szCs w:val="20"/>
                <w:color w:val="auto"/>
              </w:rPr>
            </w:pPr>
            <w:r>
              <w:rPr>
                <w:rFonts w:ascii="Arial" w:cs="Arial" w:eastAsia="Arial" w:hAnsi="Arial"/>
                <w:sz w:val="14"/>
                <w:szCs w:val="14"/>
                <w:b w:val="1"/>
                <w:bCs w:val="1"/>
                <w:color w:val="auto"/>
                <w:w w:val="85"/>
              </w:rPr>
              <w:t>(Loss)</w:t>
            </w:r>
          </w:p>
        </w:tc>
        <w:tc>
          <w:tcPr>
            <w:tcW w:w="260" w:type="dxa"/>
            <w:vAlign w:val="bottom"/>
          </w:tcPr>
          <w:p>
            <w:pPr>
              <w:spacing w:after="0"/>
              <w:rPr>
                <w:sz w:val="14"/>
                <w:szCs w:val="14"/>
                <w:color w:val="auto"/>
              </w:rPr>
            </w:pPr>
          </w:p>
        </w:tc>
        <w:tc>
          <w:tcPr>
            <w:tcW w:w="620" w:type="dxa"/>
            <w:vAlign w:val="bottom"/>
            <w:gridSpan w:val="3"/>
          </w:tcPr>
          <w:p>
            <w:pPr>
              <w:spacing w:after="0"/>
              <w:rPr>
                <w:sz w:val="20"/>
                <w:szCs w:val="20"/>
                <w:color w:val="auto"/>
              </w:rPr>
            </w:pPr>
            <w:r>
              <w:rPr>
                <w:rFonts w:ascii="Arial" w:cs="Arial" w:eastAsia="Arial" w:hAnsi="Arial"/>
                <w:sz w:val="14"/>
                <w:szCs w:val="14"/>
                <w:b w:val="1"/>
                <w:bCs w:val="1"/>
                <w:color w:val="auto"/>
                <w:w w:val="89"/>
              </w:rPr>
              <w:t>Fair Value</w:t>
            </w:r>
          </w:p>
        </w:tc>
        <w:tc>
          <w:tcPr>
            <w:tcW w:w="0" w:type="dxa"/>
            <w:vAlign w:val="bottom"/>
          </w:tcPr>
          <w:p>
            <w:pPr>
              <w:spacing w:after="0"/>
              <w:rPr>
                <w:sz w:val="1"/>
                <w:szCs w:val="1"/>
                <w:color w:val="auto"/>
              </w:rPr>
            </w:pPr>
          </w:p>
        </w:tc>
      </w:tr>
      <w:tr>
        <w:trPr>
          <w:trHeight w:val="210"/>
        </w:trPr>
        <w:tc>
          <w:tcPr>
            <w:tcW w:w="5020" w:type="dxa"/>
            <w:vAlign w:val="bottom"/>
            <w:shd w:val="clear" w:color="auto" w:fill="CCEEFF"/>
          </w:tcPr>
          <w:p>
            <w:pPr>
              <w:spacing w:after="0"/>
              <w:rPr>
                <w:sz w:val="20"/>
                <w:szCs w:val="20"/>
                <w:color w:val="auto"/>
              </w:rPr>
            </w:pPr>
            <w:r>
              <w:rPr>
                <w:rFonts w:ascii="Arial" w:cs="Arial" w:eastAsia="Arial" w:hAnsi="Arial"/>
                <w:sz w:val="18"/>
                <w:szCs w:val="18"/>
                <w:b w:val="1"/>
                <w:bCs w:val="1"/>
                <w:color w:val="auto"/>
              </w:rPr>
              <w:t>Long-term investments</w:t>
            </w:r>
            <w:r>
              <w:rPr>
                <w:rFonts w:ascii="Arial" w:cs="Arial" w:eastAsia="Arial" w:hAnsi="Arial"/>
                <w:sz w:val="18"/>
                <w:szCs w:val="18"/>
                <w:color w:val="auto"/>
              </w:rPr>
              <w:t>:</w:t>
            </w:r>
          </w:p>
        </w:tc>
        <w:tc>
          <w:tcPr>
            <w:tcW w:w="1460" w:type="dxa"/>
            <w:vAlign w:val="bottom"/>
            <w:shd w:val="clear" w:color="auto" w:fill="CCEEFF"/>
          </w:tcPr>
          <w:p>
            <w:pPr>
              <w:spacing w:after="0"/>
              <w:rPr>
                <w:sz w:val="18"/>
                <w:szCs w:val="18"/>
                <w:color w:val="auto"/>
              </w:rPr>
            </w:pPr>
          </w:p>
        </w:tc>
        <w:tc>
          <w:tcPr>
            <w:tcW w:w="100" w:type="dxa"/>
            <w:vAlign w:val="bottom"/>
            <w:tcBorders>
              <w:top w:val="single" w:sz="8" w:color="auto"/>
            </w:tcBorders>
            <w:shd w:val="clear" w:color="auto" w:fill="CCEEFF"/>
          </w:tcPr>
          <w:p>
            <w:pPr>
              <w:spacing w:after="0"/>
              <w:rPr>
                <w:sz w:val="18"/>
                <w:szCs w:val="18"/>
                <w:color w:val="auto"/>
              </w:rPr>
            </w:pPr>
          </w:p>
        </w:tc>
        <w:tc>
          <w:tcPr>
            <w:tcW w:w="520" w:type="dxa"/>
            <w:vAlign w:val="bottom"/>
            <w:tcBorders>
              <w:top w:val="single" w:sz="8" w:color="auto"/>
            </w:tcBorders>
            <w:shd w:val="clear" w:color="auto" w:fill="CCEEFF"/>
          </w:tcPr>
          <w:p>
            <w:pPr>
              <w:spacing w:after="0"/>
              <w:rPr>
                <w:sz w:val="18"/>
                <w:szCs w:val="18"/>
                <w:color w:val="auto"/>
              </w:rPr>
            </w:pPr>
          </w:p>
        </w:tc>
        <w:tc>
          <w:tcPr>
            <w:tcW w:w="480" w:type="dxa"/>
            <w:vAlign w:val="bottom"/>
            <w:shd w:val="clear" w:color="auto" w:fill="CCEEFF"/>
          </w:tcPr>
          <w:p>
            <w:pPr>
              <w:spacing w:after="0"/>
              <w:rPr>
                <w:sz w:val="18"/>
                <w:szCs w:val="18"/>
                <w:color w:val="auto"/>
              </w:rPr>
            </w:pPr>
          </w:p>
        </w:tc>
        <w:tc>
          <w:tcPr>
            <w:tcW w:w="100" w:type="dxa"/>
            <w:vAlign w:val="bottom"/>
            <w:tcBorders>
              <w:top w:val="single" w:sz="8" w:color="auto"/>
            </w:tcBorders>
            <w:shd w:val="clear" w:color="auto" w:fill="CCEEFF"/>
          </w:tcPr>
          <w:p>
            <w:pPr>
              <w:spacing w:after="0"/>
              <w:rPr>
                <w:sz w:val="18"/>
                <w:szCs w:val="18"/>
                <w:color w:val="auto"/>
              </w:rPr>
            </w:pPr>
          </w:p>
        </w:tc>
        <w:tc>
          <w:tcPr>
            <w:tcW w:w="520" w:type="dxa"/>
            <w:vAlign w:val="bottom"/>
            <w:tcBorders>
              <w:top w:val="single" w:sz="8" w:color="auto"/>
            </w:tcBorders>
            <w:shd w:val="clear" w:color="auto" w:fill="CCEEFF"/>
          </w:tcPr>
          <w:p>
            <w:pPr>
              <w:spacing w:after="0"/>
              <w:rPr>
                <w:sz w:val="18"/>
                <w:szCs w:val="18"/>
                <w:color w:val="auto"/>
              </w:rPr>
            </w:pPr>
          </w:p>
        </w:tc>
        <w:tc>
          <w:tcPr>
            <w:tcW w:w="480" w:type="dxa"/>
            <w:vAlign w:val="bottom"/>
            <w:shd w:val="clear" w:color="auto" w:fill="CCEEFF"/>
          </w:tcPr>
          <w:p>
            <w:pPr>
              <w:spacing w:after="0"/>
              <w:rPr>
                <w:sz w:val="18"/>
                <w:szCs w:val="18"/>
                <w:color w:val="auto"/>
              </w:rPr>
            </w:pPr>
          </w:p>
        </w:tc>
        <w:tc>
          <w:tcPr>
            <w:tcW w:w="120" w:type="dxa"/>
            <w:vAlign w:val="bottom"/>
            <w:tcBorders>
              <w:top w:val="single" w:sz="8" w:color="auto"/>
            </w:tcBorders>
            <w:shd w:val="clear" w:color="auto" w:fill="CCEEFF"/>
          </w:tcPr>
          <w:p>
            <w:pPr>
              <w:spacing w:after="0"/>
              <w:rPr>
                <w:sz w:val="18"/>
                <w:szCs w:val="18"/>
                <w:color w:val="auto"/>
              </w:rPr>
            </w:pPr>
          </w:p>
        </w:tc>
        <w:tc>
          <w:tcPr>
            <w:tcW w:w="520" w:type="dxa"/>
            <w:vAlign w:val="bottom"/>
            <w:tcBorders>
              <w:top w:val="single" w:sz="8" w:color="auto"/>
            </w:tcBorders>
            <w:shd w:val="clear" w:color="auto" w:fill="CCEEFF"/>
          </w:tcPr>
          <w:p>
            <w:pPr>
              <w:spacing w:after="0"/>
              <w:rPr>
                <w:sz w:val="18"/>
                <w:szCs w:val="18"/>
                <w:color w:val="auto"/>
              </w:rPr>
            </w:pPr>
          </w:p>
        </w:tc>
        <w:tc>
          <w:tcPr>
            <w:tcW w:w="320" w:type="dxa"/>
            <w:vAlign w:val="bottom"/>
            <w:shd w:val="clear" w:color="auto" w:fill="CCEEFF"/>
          </w:tcPr>
          <w:p>
            <w:pPr>
              <w:spacing w:after="0"/>
              <w:rPr>
                <w:sz w:val="18"/>
                <w:szCs w:val="18"/>
                <w:color w:val="auto"/>
              </w:rPr>
            </w:pPr>
          </w:p>
        </w:tc>
        <w:tc>
          <w:tcPr>
            <w:tcW w:w="260" w:type="dxa"/>
            <w:vAlign w:val="bottom"/>
            <w:shd w:val="clear" w:color="auto" w:fill="CCEEFF"/>
          </w:tcPr>
          <w:p>
            <w:pPr>
              <w:spacing w:after="0"/>
              <w:rPr>
                <w:sz w:val="18"/>
                <w:szCs w:val="18"/>
                <w:color w:val="auto"/>
              </w:rPr>
            </w:pPr>
          </w:p>
        </w:tc>
        <w:tc>
          <w:tcPr>
            <w:tcW w:w="100" w:type="dxa"/>
            <w:vAlign w:val="bottom"/>
            <w:tcBorders>
              <w:top w:val="single" w:sz="8" w:color="auto"/>
            </w:tcBorders>
            <w:shd w:val="clear" w:color="auto" w:fill="CCEEFF"/>
          </w:tcPr>
          <w:p>
            <w:pPr>
              <w:spacing w:after="0"/>
              <w:rPr>
                <w:sz w:val="18"/>
                <w:szCs w:val="18"/>
                <w:color w:val="auto"/>
              </w:rPr>
            </w:pPr>
          </w:p>
        </w:tc>
        <w:tc>
          <w:tcPr>
            <w:tcW w:w="500" w:type="dxa"/>
            <w:vAlign w:val="bottom"/>
            <w:tcBorders>
              <w:top w:val="single" w:sz="8" w:color="auto"/>
            </w:tcBorders>
            <w:shd w:val="clear" w:color="auto" w:fill="CCEEFF"/>
          </w:tcPr>
          <w:p>
            <w:pPr>
              <w:spacing w:after="0"/>
              <w:rPr>
                <w:sz w:val="18"/>
                <w:szCs w:val="18"/>
                <w:color w:val="auto"/>
              </w:rPr>
            </w:pP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5020" w:type="dxa"/>
            <w:vAlign w:val="bottom"/>
          </w:tcPr>
          <w:p>
            <w:pPr>
              <w:spacing w:after="0"/>
              <w:rPr>
                <w:sz w:val="20"/>
                <w:szCs w:val="20"/>
                <w:color w:val="auto"/>
              </w:rPr>
            </w:pPr>
            <w:r>
              <w:rPr>
                <w:rFonts w:ascii="Arial" w:cs="Arial" w:eastAsia="Arial" w:hAnsi="Arial"/>
                <w:sz w:val="18"/>
                <w:szCs w:val="18"/>
                <w:color w:val="auto"/>
              </w:rPr>
              <w:t>Available-for-sale:</w:t>
            </w:r>
          </w:p>
        </w:tc>
        <w:tc>
          <w:tcPr>
            <w:tcW w:w="14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20" w:type="dxa"/>
            <w:vAlign w:val="bottom"/>
          </w:tcPr>
          <w:p>
            <w:pPr>
              <w:spacing w:after="0"/>
              <w:rPr>
                <w:sz w:val="18"/>
                <w:szCs w:val="18"/>
                <w:color w:val="auto"/>
              </w:rPr>
            </w:pPr>
          </w:p>
        </w:tc>
        <w:tc>
          <w:tcPr>
            <w:tcW w:w="4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20" w:type="dxa"/>
            <w:vAlign w:val="bottom"/>
          </w:tcPr>
          <w:p>
            <w:pPr>
              <w:spacing w:after="0"/>
              <w:rPr>
                <w:sz w:val="18"/>
                <w:szCs w:val="18"/>
                <w:color w:val="auto"/>
              </w:rPr>
            </w:pPr>
          </w:p>
        </w:tc>
        <w:tc>
          <w:tcPr>
            <w:tcW w:w="48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52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0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5020" w:type="dxa"/>
            <w:vAlign w:val="bottom"/>
            <w:shd w:val="clear" w:color="auto" w:fill="CCEEFF"/>
          </w:tcPr>
          <w:p>
            <w:pPr>
              <w:ind w:left="440"/>
              <w:spacing w:after="0"/>
              <w:rPr>
                <w:sz w:val="20"/>
                <w:szCs w:val="20"/>
                <w:color w:val="auto"/>
              </w:rPr>
            </w:pPr>
            <w:r>
              <w:rPr>
                <w:rFonts w:ascii="Arial" w:cs="Arial" w:eastAsia="Arial" w:hAnsi="Arial"/>
                <w:sz w:val="18"/>
                <w:szCs w:val="18"/>
                <w:color w:val="auto"/>
              </w:rPr>
              <w:t>Auction rate securities</w:t>
            </w:r>
          </w:p>
        </w:tc>
        <w:tc>
          <w:tcPr>
            <w:tcW w:w="1560" w:type="dxa"/>
            <w:vAlign w:val="bottom"/>
            <w:gridSpan w:val="2"/>
            <w:shd w:val="clear" w:color="auto" w:fill="CCEEFF"/>
          </w:tcPr>
          <w:p>
            <w:pPr>
              <w:ind w:left="1460"/>
              <w:spacing w:after="0"/>
              <w:rPr>
                <w:sz w:val="20"/>
                <w:szCs w:val="20"/>
                <w:color w:val="auto"/>
              </w:rPr>
            </w:pPr>
            <w:r>
              <w:rPr>
                <w:rFonts w:ascii="Arial" w:cs="Arial" w:eastAsia="Arial" w:hAnsi="Arial"/>
                <w:sz w:val="18"/>
                <w:szCs w:val="18"/>
                <w:color w:val="auto"/>
                <w:w w:val="79"/>
              </w:rPr>
              <w:t>$</w:t>
            </w:r>
          </w:p>
        </w:tc>
        <w:tc>
          <w:tcPr>
            <w:tcW w:w="520" w:type="dxa"/>
            <w:vAlign w:val="bottom"/>
            <w:shd w:val="clear" w:color="auto" w:fill="CCEEFF"/>
          </w:tcPr>
          <w:p>
            <w:pPr>
              <w:jc w:val="right"/>
              <w:spacing w:after="0"/>
              <w:rPr>
                <w:sz w:val="20"/>
                <w:szCs w:val="20"/>
                <w:color w:val="auto"/>
              </w:rPr>
            </w:pPr>
            <w:r>
              <w:rPr>
                <w:rFonts w:ascii="Arial" w:cs="Arial" w:eastAsia="Arial" w:hAnsi="Arial"/>
                <w:sz w:val="18"/>
                <w:szCs w:val="18"/>
                <w:color w:val="auto"/>
                <w:w w:val="90"/>
              </w:rPr>
              <w:t>36,850</w:t>
            </w:r>
          </w:p>
        </w:tc>
        <w:tc>
          <w:tcPr>
            <w:tcW w:w="580" w:type="dxa"/>
            <w:vAlign w:val="bottom"/>
            <w:gridSpan w:val="2"/>
            <w:shd w:val="clear" w:color="auto" w:fill="CCEEFF"/>
          </w:tcPr>
          <w:p>
            <w:pPr>
              <w:ind w:left="480"/>
              <w:spacing w:after="0"/>
              <w:rPr>
                <w:sz w:val="20"/>
                <w:szCs w:val="20"/>
                <w:color w:val="auto"/>
              </w:rPr>
            </w:pPr>
            <w:r>
              <w:rPr>
                <w:rFonts w:ascii="Arial" w:cs="Arial" w:eastAsia="Arial" w:hAnsi="Arial"/>
                <w:sz w:val="18"/>
                <w:szCs w:val="18"/>
                <w:color w:val="auto"/>
                <w:w w:val="79"/>
              </w:rPr>
              <w:t>$</w:t>
            </w:r>
          </w:p>
        </w:tc>
        <w:tc>
          <w:tcPr>
            <w:tcW w:w="520" w:type="dxa"/>
            <w:vAlign w:val="bottom"/>
            <w:shd w:val="clear" w:color="auto" w:fill="CCEEFF"/>
          </w:tcPr>
          <w:p>
            <w:pPr>
              <w:ind w:left="260"/>
              <w:spacing w:after="0"/>
              <w:rPr>
                <w:sz w:val="20"/>
                <w:szCs w:val="20"/>
                <w:color w:val="auto"/>
              </w:rPr>
            </w:pPr>
            <w:r>
              <w:rPr>
                <w:rFonts w:ascii="Arial" w:cs="Arial" w:eastAsia="Arial" w:hAnsi="Arial"/>
                <w:sz w:val="18"/>
                <w:szCs w:val="18"/>
                <w:color w:val="auto"/>
              </w:rPr>
              <w:t>—</w:t>
            </w:r>
          </w:p>
        </w:tc>
        <w:tc>
          <w:tcPr>
            <w:tcW w:w="600" w:type="dxa"/>
            <w:vAlign w:val="bottom"/>
            <w:gridSpan w:val="2"/>
            <w:shd w:val="clear" w:color="auto" w:fill="CCEEFF"/>
          </w:tcPr>
          <w:p>
            <w:pPr>
              <w:ind w:left="480"/>
              <w:spacing w:after="0"/>
              <w:rPr>
                <w:sz w:val="20"/>
                <w:szCs w:val="20"/>
                <w:color w:val="auto"/>
              </w:rPr>
            </w:pPr>
            <w:r>
              <w:rPr>
                <w:rFonts w:ascii="Arial" w:cs="Arial" w:eastAsia="Arial" w:hAnsi="Arial"/>
                <w:sz w:val="18"/>
                <w:szCs w:val="18"/>
                <w:color w:val="auto"/>
                <w:w w:val="99"/>
              </w:rPr>
              <w:t>$</w:t>
            </w:r>
          </w:p>
        </w:tc>
        <w:tc>
          <w:tcPr>
            <w:tcW w:w="840" w:type="dxa"/>
            <w:vAlign w:val="bottom"/>
            <w:gridSpan w:val="2"/>
            <w:shd w:val="clear" w:color="auto" w:fill="CCEEFF"/>
          </w:tcPr>
          <w:p>
            <w:pPr>
              <w:jc w:val="right"/>
              <w:ind w:right="260"/>
              <w:spacing w:after="0"/>
              <w:rPr>
                <w:sz w:val="20"/>
                <w:szCs w:val="20"/>
                <w:color w:val="auto"/>
              </w:rPr>
            </w:pPr>
            <w:r>
              <w:rPr>
                <w:rFonts w:ascii="Arial" w:cs="Arial" w:eastAsia="Arial" w:hAnsi="Arial"/>
                <w:sz w:val="18"/>
                <w:szCs w:val="18"/>
                <w:color w:val="auto"/>
                <w:w w:val="98"/>
              </w:rPr>
              <w:t>(1,309)</w:t>
            </w:r>
          </w:p>
        </w:tc>
        <w:tc>
          <w:tcPr>
            <w:tcW w:w="360" w:type="dxa"/>
            <w:vAlign w:val="bottom"/>
            <w:gridSpan w:val="2"/>
            <w:shd w:val="clear" w:color="auto" w:fill="CCEEFF"/>
          </w:tcPr>
          <w:p>
            <w:pPr>
              <w:ind w:left="260"/>
              <w:spacing w:after="0"/>
              <w:rPr>
                <w:sz w:val="20"/>
                <w:szCs w:val="20"/>
                <w:color w:val="auto"/>
              </w:rPr>
            </w:pPr>
            <w:r>
              <w:rPr>
                <w:rFonts w:ascii="Arial" w:cs="Arial" w:eastAsia="Arial" w:hAnsi="Arial"/>
                <w:sz w:val="18"/>
                <w:szCs w:val="18"/>
                <w:color w:val="auto"/>
                <w:w w:val="79"/>
              </w:rPr>
              <w:t>$</w:t>
            </w:r>
          </w:p>
        </w:tc>
        <w:tc>
          <w:tcPr>
            <w:tcW w:w="5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7"/>
              </w:rPr>
              <w:t>35,541</w:t>
            </w: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21"/>
        </w:trPr>
        <w:tc>
          <w:tcPr>
            <w:tcW w:w="5020" w:type="dxa"/>
            <w:vAlign w:val="bottom"/>
          </w:tcPr>
          <w:p>
            <w:pPr>
              <w:spacing w:after="0"/>
              <w:rPr>
                <w:sz w:val="20"/>
                <w:szCs w:val="20"/>
                <w:color w:val="auto"/>
              </w:rPr>
            </w:pPr>
            <w:r>
              <w:rPr>
                <w:rFonts w:ascii="Arial" w:cs="Arial" w:eastAsia="Arial" w:hAnsi="Arial"/>
                <w:sz w:val="18"/>
                <w:szCs w:val="18"/>
                <w:color w:val="auto"/>
              </w:rPr>
              <w:t>Trading securities:</w:t>
            </w:r>
          </w:p>
        </w:tc>
        <w:tc>
          <w:tcPr>
            <w:tcW w:w="1460" w:type="dxa"/>
            <w:vAlign w:val="bottom"/>
          </w:tcPr>
          <w:p>
            <w:pPr>
              <w:spacing w:after="0"/>
              <w:rPr>
                <w:sz w:val="19"/>
                <w:szCs w:val="19"/>
                <w:color w:val="auto"/>
              </w:rPr>
            </w:pPr>
          </w:p>
        </w:tc>
        <w:tc>
          <w:tcPr>
            <w:tcW w:w="100" w:type="dxa"/>
            <w:vAlign w:val="bottom"/>
            <w:tcBorders>
              <w:top w:val="single" w:sz="8" w:color="auto"/>
            </w:tcBorders>
          </w:tcPr>
          <w:p>
            <w:pPr>
              <w:spacing w:after="0"/>
              <w:rPr>
                <w:sz w:val="19"/>
                <w:szCs w:val="19"/>
                <w:color w:val="auto"/>
              </w:rPr>
            </w:pPr>
          </w:p>
        </w:tc>
        <w:tc>
          <w:tcPr>
            <w:tcW w:w="520" w:type="dxa"/>
            <w:vAlign w:val="bottom"/>
            <w:tcBorders>
              <w:top w:val="single" w:sz="8" w:color="auto"/>
            </w:tcBorders>
          </w:tcPr>
          <w:p>
            <w:pPr>
              <w:spacing w:after="0"/>
              <w:rPr>
                <w:sz w:val="19"/>
                <w:szCs w:val="19"/>
                <w:color w:val="auto"/>
              </w:rPr>
            </w:pPr>
          </w:p>
        </w:tc>
        <w:tc>
          <w:tcPr>
            <w:tcW w:w="480" w:type="dxa"/>
            <w:vAlign w:val="bottom"/>
          </w:tcPr>
          <w:p>
            <w:pPr>
              <w:spacing w:after="0"/>
              <w:rPr>
                <w:sz w:val="19"/>
                <w:szCs w:val="19"/>
                <w:color w:val="auto"/>
              </w:rPr>
            </w:pPr>
          </w:p>
        </w:tc>
        <w:tc>
          <w:tcPr>
            <w:tcW w:w="100" w:type="dxa"/>
            <w:vAlign w:val="bottom"/>
            <w:tcBorders>
              <w:top w:val="single" w:sz="8" w:color="auto"/>
            </w:tcBorders>
          </w:tcPr>
          <w:p>
            <w:pPr>
              <w:spacing w:after="0"/>
              <w:rPr>
                <w:sz w:val="19"/>
                <w:szCs w:val="19"/>
                <w:color w:val="auto"/>
              </w:rPr>
            </w:pPr>
          </w:p>
        </w:tc>
        <w:tc>
          <w:tcPr>
            <w:tcW w:w="520" w:type="dxa"/>
            <w:vAlign w:val="bottom"/>
            <w:tcBorders>
              <w:top w:val="single" w:sz="8" w:color="auto"/>
            </w:tcBorders>
          </w:tcPr>
          <w:p>
            <w:pPr>
              <w:spacing w:after="0"/>
              <w:rPr>
                <w:sz w:val="19"/>
                <w:szCs w:val="19"/>
                <w:color w:val="auto"/>
              </w:rPr>
            </w:pPr>
          </w:p>
        </w:tc>
        <w:tc>
          <w:tcPr>
            <w:tcW w:w="480" w:type="dxa"/>
            <w:vAlign w:val="bottom"/>
          </w:tcPr>
          <w:p>
            <w:pPr>
              <w:spacing w:after="0"/>
              <w:rPr>
                <w:sz w:val="19"/>
                <w:szCs w:val="19"/>
                <w:color w:val="auto"/>
              </w:rPr>
            </w:pPr>
          </w:p>
        </w:tc>
        <w:tc>
          <w:tcPr>
            <w:tcW w:w="120" w:type="dxa"/>
            <w:vAlign w:val="bottom"/>
            <w:tcBorders>
              <w:top w:val="single" w:sz="8" w:color="auto"/>
            </w:tcBorders>
          </w:tcPr>
          <w:p>
            <w:pPr>
              <w:spacing w:after="0"/>
              <w:rPr>
                <w:sz w:val="19"/>
                <w:szCs w:val="19"/>
                <w:color w:val="auto"/>
              </w:rPr>
            </w:pPr>
          </w:p>
        </w:tc>
        <w:tc>
          <w:tcPr>
            <w:tcW w:w="520" w:type="dxa"/>
            <w:vAlign w:val="bottom"/>
            <w:tcBorders>
              <w:top w:val="single" w:sz="8" w:color="auto"/>
            </w:tcBorders>
          </w:tcPr>
          <w:p>
            <w:pPr>
              <w:spacing w:after="0"/>
              <w:rPr>
                <w:sz w:val="19"/>
                <w:szCs w:val="19"/>
                <w:color w:val="auto"/>
              </w:rPr>
            </w:pPr>
          </w:p>
        </w:tc>
        <w:tc>
          <w:tcPr>
            <w:tcW w:w="320" w:type="dxa"/>
            <w:vAlign w:val="bottom"/>
          </w:tcPr>
          <w:p>
            <w:pPr>
              <w:spacing w:after="0"/>
              <w:rPr>
                <w:sz w:val="19"/>
                <w:szCs w:val="19"/>
                <w:color w:val="auto"/>
              </w:rPr>
            </w:pPr>
          </w:p>
        </w:tc>
        <w:tc>
          <w:tcPr>
            <w:tcW w:w="260" w:type="dxa"/>
            <w:vAlign w:val="bottom"/>
          </w:tcPr>
          <w:p>
            <w:pPr>
              <w:spacing w:after="0"/>
              <w:rPr>
                <w:sz w:val="19"/>
                <w:szCs w:val="19"/>
                <w:color w:val="auto"/>
              </w:rPr>
            </w:pPr>
          </w:p>
        </w:tc>
        <w:tc>
          <w:tcPr>
            <w:tcW w:w="100" w:type="dxa"/>
            <w:vAlign w:val="bottom"/>
            <w:tcBorders>
              <w:top w:val="single" w:sz="8" w:color="auto"/>
            </w:tcBorders>
          </w:tcPr>
          <w:p>
            <w:pPr>
              <w:spacing w:after="0"/>
              <w:rPr>
                <w:sz w:val="19"/>
                <w:szCs w:val="19"/>
                <w:color w:val="auto"/>
              </w:rPr>
            </w:pPr>
          </w:p>
        </w:tc>
        <w:tc>
          <w:tcPr>
            <w:tcW w:w="500" w:type="dxa"/>
            <w:vAlign w:val="bottom"/>
            <w:tcBorders>
              <w:top w:val="single" w:sz="8" w:color="auto"/>
            </w:tcBorders>
          </w:tcPr>
          <w:p>
            <w:pPr>
              <w:spacing w:after="0"/>
              <w:rPr>
                <w:sz w:val="19"/>
                <w:szCs w:val="19"/>
                <w:color w:val="auto"/>
              </w:rPr>
            </w:pPr>
          </w:p>
        </w:tc>
        <w:tc>
          <w:tcPr>
            <w:tcW w:w="2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18"/>
        </w:trPr>
        <w:tc>
          <w:tcPr>
            <w:tcW w:w="5020" w:type="dxa"/>
            <w:vAlign w:val="bottom"/>
            <w:shd w:val="clear" w:color="auto" w:fill="CCEEFF"/>
          </w:tcPr>
          <w:p>
            <w:pPr>
              <w:ind w:left="440"/>
              <w:spacing w:after="0"/>
              <w:rPr>
                <w:sz w:val="20"/>
                <w:szCs w:val="20"/>
                <w:color w:val="auto"/>
              </w:rPr>
            </w:pPr>
            <w:r>
              <w:rPr>
                <w:rFonts w:ascii="Arial" w:cs="Arial" w:eastAsia="Arial" w:hAnsi="Arial"/>
                <w:sz w:val="18"/>
                <w:szCs w:val="18"/>
                <w:color w:val="auto"/>
              </w:rPr>
              <w:t>Auction rate securities and settlement option</w:t>
            </w:r>
          </w:p>
        </w:tc>
        <w:tc>
          <w:tcPr>
            <w:tcW w:w="1560" w:type="dxa"/>
            <w:vAlign w:val="bottom"/>
            <w:gridSpan w:val="2"/>
            <w:shd w:val="clear" w:color="auto" w:fill="CCEEFF"/>
          </w:tcPr>
          <w:p>
            <w:pPr>
              <w:ind w:left="1460"/>
              <w:spacing w:after="0"/>
              <w:rPr>
                <w:sz w:val="20"/>
                <w:szCs w:val="20"/>
                <w:color w:val="auto"/>
              </w:rPr>
            </w:pPr>
            <w:r>
              <w:rPr>
                <w:rFonts w:ascii="Arial" w:cs="Arial" w:eastAsia="Arial" w:hAnsi="Arial"/>
                <w:sz w:val="18"/>
                <w:szCs w:val="18"/>
                <w:color w:val="auto"/>
                <w:w w:val="79"/>
              </w:rPr>
              <w:t>$</w:t>
            </w:r>
          </w:p>
        </w:tc>
        <w:tc>
          <w:tcPr>
            <w:tcW w:w="5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5,000</w:t>
            </w:r>
          </w:p>
        </w:tc>
        <w:tc>
          <w:tcPr>
            <w:tcW w:w="4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20" w:type="dxa"/>
            <w:vAlign w:val="bottom"/>
            <w:shd w:val="clear" w:color="auto" w:fill="CCEEFF"/>
          </w:tcPr>
          <w:p>
            <w:pPr>
              <w:ind w:left="260"/>
              <w:spacing w:after="0"/>
              <w:rPr>
                <w:sz w:val="20"/>
                <w:szCs w:val="20"/>
                <w:color w:val="auto"/>
              </w:rPr>
            </w:pPr>
            <w:r>
              <w:rPr>
                <w:rFonts w:ascii="Arial" w:cs="Arial" w:eastAsia="Arial" w:hAnsi="Arial"/>
                <w:sz w:val="18"/>
                <w:szCs w:val="18"/>
                <w:color w:val="auto"/>
              </w:rPr>
              <w:t>—</w:t>
            </w:r>
          </w:p>
        </w:tc>
        <w:tc>
          <w:tcPr>
            <w:tcW w:w="48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840" w:type="dxa"/>
            <w:vAlign w:val="bottom"/>
            <w:gridSpan w:val="2"/>
            <w:shd w:val="clear" w:color="auto" w:fill="CCEEFF"/>
          </w:tcPr>
          <w:p>
            <w:pPr>
              <w:jc w:val="right"/>
              <w:ind w:right="420"/>
              <w:spacing w:after="0"/>
              <w:rPr>
                <w:sz w:val="20"/>
                <w:szCs w:val="20"/>
                <w:color w:val="auto"/>
              </w:rPr>
            </w:pPr>
            <w:r>
              <w:rPr>
                <w:rFonts w:ascii="Arial" w:cs="Arial" w:eastAsia="Arial" w:hAnsi="Arial"/>
                <w:sz w:val="18"/>
                <w:szCs w:val="18"/>
                <w:color w:val="auto"/>
              </w:rPr>
              <w:t>—</w:t>
            </w:r>
          </w:p>
        </w:tc>
        <w:tc>
          <w:tcPr>
            <w:tcW w:w="360" w:type="dxa"/>
            <w:vAlign w:val="bottom"/>
            <w:gridSpan w:val="2"/>
            <w:shd w:val="clear" w:color="auto" w:fill="CCEEFF"/>
          </w:tcPr>
          <w:p>
            <w:pPr>
              <w:ind w:left="260"/>
              <w:spacing w:after="0"/>
              <w:rPr>
                <w:sz w:val="20"/>
                <w:szCs w:val="20"/>
                <w:color w:val="auto"/>
              </w:rPr>
            </w:pPr>
            <w:r>
              <w:rPr>
                <w:rFonts w:ascii="Arial" w:cs="Arial" w:eastAsia="Arial" w:hAnsi="Arial"/>
                <w:sz w:val="18"/>
                <w:szCs w:val="18"/>
                <w:color w:val="auto"/>
                <w:w w:val="79"/>
              </w:rPr>
              <w:t>$</w:t>
            </w:r>
          </w:p>
        </w:tc>
        <w:tc>
          <w:tcPr>
            <w:tcW w:w="5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5,000</w:t>
            </w: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5020" w:type="dxa"/>
            <w:vAlign w:val="bottom"/>
            <w:vMerge w:val="restart"/>
          </w:tcPr>
          <w:p>
            <w:pPr>
              <w:spacing w:after="0"/>
              <w:rPr>
                <w:sz w:val="20"/>
                <w:szCs w:val="20"/>
                <w:color w:val="auto"/>
              </w:rPr>
            </w:pPr>
            <w:r>
              <w:rPr>
                <w:rFonts w:ascii="Arial" w:cs="Arial" w:eastAsia="Arial" w:hAnsi="Arial"/>
                <w:sz w:val="18"/>
                <w:szCs w:val="18"/>
                <w:color w:val="auto"/>
              </w:rPr>
              <w:t>Total long-term investments</w:t>
            </w:r>
          </w:p>
        </w:tc>
        <w:tc>
          <w:tcPr>
            <w:tcW w:w="1460" w:type="dxa"/>
            <w:vAlign w:val="bottom"/>
          </w:tcPr>
          <w:p>
            <w:pPr>
              <w:spacing w:after="0" w:line="20" w:lineRule="exact"/>
              <w:rPr>
                <w:sz w:val="1"/>
                <w:szCs w:val="1"/>
                <w:color w:val="auto"/>
              </w:rPr>
            </w:pPr>
          </w:p>
        </w:tc>
        <w:tc>
          <w:tcPr>
            <w:tcW w:w="100" w:type="dxa"/>
            <w:vAlign w:val="bottom"/>
            <w:shd w:val="clear" w:color="auto" w:fill="000000"/>
          </w:tcPr>
          <w:p>
            <w:pPr>
              <w:spacing w:after="0" w:line="20" w:lineRule="exact"/>
              <w:rPr>
                <w:sz w:val="1"/>
                <w:szCs w:val="1"/>
                <w:color w:val="auto"/>
              </w:rPr>
            </w:pPr>
          </w:p>
        </w:tc>
        <w:tc>
          <w:tcPr>
            <w:tcW w:w="520" w:type="dxa"/>
            <w:vAlign w:val="bottom"/>
            <w:shd w:val="clear" w:color="auto" w:fill="000000"/>
          </w:tcPr>
          <w:p>
            <w:pPr>
              <w:spacing w:after="0" w:line="20" w:lineRule="exact"/>
              <w:rPr>
                <w:sz w:val="1"/>
                <w:szCs w:val="1"/>
                <w:color w:val="auto"/>
              </w:rPr>
            </w:pPr>
          </w:p>
        </w:tc>
        <w:tc>
          <w:tcPr>
            <w:tcW w:w="480" w:type="dxa"/>
            <w:vAlign w:val="bottom"/>
          </w:tcPr>
          <w:p>
            <w:pPr>
              <w:spacing w:after="0" w:line="20" w:lineRule="exact"/>
              <w:rPr>
                <w:sz w:val="1"/>
                <w:szCs w:val="1"/>
                <w:color w:val="auto"/>
              </w:rPr>
            </w:pPr>
          </w:p>
        </w:tc>
        <w:tc>
          <w:tcPr>
            <w:tcW w:w="100" w:type="dxa"/>
            <w:vAlign w:val="bottom"/>
            <w:shd w:val="clear" w:color="auto" w:fill="000000"/>
          </w:tcPr>
          <w:p>
            <w:pPr>
              <w:spacing w:after="0" w:line="20" w:lineRule="exact"/>
              <w:rPr>
                <w:sz w:val="1"/>
                <w:szCs w:val="1"/>
                <w:color w:val="auto"/>
              </w:rPr>
            </w:pPr>
          </w:p>
        </w:tc>
        <w:tc>
          <w:tcPr>
            <w:tcW w:w="520" w:type="dxa"/>
            <w:vAlign w:val="bottom"/>
            <w:shd w:val="clear" w:color="auto" w:fill="000000"/>
          </w:tcPr>
          <w:p>
            <w:pPr>
              <w:spacing w:after="0" w:line="20" w:lineRule="exact"/>
              <w:rPr>
                <w:sz w:val="1"/>
                <w:szCs w:val="1"/>
                <w:color w:val="auto"/>
              </w:rPr>
            </w:pPr>
          </w:p>
        </w:tc>
        <w:tc>
          <w:tcPr>
            <w:tcW w:w="480" w:type="dxa"/>
            <w:vAlign w:val="bottom"/>
          </w:tcPr>
          <w:p>
            <w:pPr>
              <w:spacing w:after="0" w:line="20" w:lineRule="exact"/>
              <w:rPr>
                <w:sz w:val="1"/>
                <w:szCs w:val="1"/>
                <w:color w:val="auto"/>
              </w:rPr>
            </w:pPr>
          </w:p>
        </w:tc>
        <w:tc>
          <w:tcPr>
            <w:tcW w:w="120" w:type="dxa"/>
            <w:vAlign w:val="bottom"/>
            <w:shd w:val="clear" w:color="auto" w:fill="000000"/>
          </w:tcPr>
          <w:p>
            <w:pPr>
              <w:spacing w:after="0" w:line="20" w:lineRule="exact"/>
              <w:rPr>
                <w:sz w:val="1"/>
                <w:szCs w:val="1"/>
                <w:color w:val="auto"/>
              </w:rPr>
            </w:pPr>
          </w:p>
        </w:tc>
        <w:tc>
          <w:tcPr>
            <w:tcW w:w="520" w:type="dxa"/>
            <w:vAlign w:val="bottom"/>
            <w:shd w:val="clear" w:color="auto" w:fill="000000"/>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260" w:type="dxa"/>
            <w:vAlign w:val="bottom"/>
          </w:tcPr>
          <w:p>
            <w:pPr>
              <w:spacing w:after="0" w:line="20" w:lineRule="exact"/>
              <w:rPr>
                <w:sz w:val="1"/>
                <w:szCs w:val="1"/>
                <w:color w:val="auto"/>
              </w:rPr>
            </w:pPr>
          </w:p>
        </w:tc>
        <w:tc>
          <w:tcPr>
            <w:tcW w:w="100" w:type="dxa"/>
            <w:vAlign w:val="bottom"/>
            <w:shd w:val="clear" w:color="auto" w:fill="000000"/>
          </w:tcPr>
          <w:p>
            <w:pPr>
              <w:spacing w:after="0" w:line="20" w:lineRule="exact"/>
              <w:rPr>
                <w:sz w:val="1"/>
                <w:szCs w:val="1"/>
                <w:color w:val="auto"/>
              </w:rPr>
            </w:pPr>
          </w:p>
        </w:tc>
        <w:tc>
          <w:tcPr>
            <w:tcW w:w="500" w:type="dxa"/>
            <w:vAlign w:val="bottom"/>
            <w:shd w:val="clear" w:color="auto" w:fill="000000"/>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22"/>
        </w:trPr>
        <w:tc>
          <w:tcPr>
            <w:tcW w:w="5020" w:type="dxa"/>
            <w:vAlign w:val="bottom"/>
            <w:vMerge w:val="continue"/>
          </w:tcPr>
          <w:p>
            <w:pPr>
              <w:spacing w:after="0"/>
              <w:rPr>
                <w:sz w:val="19"/>
                <w:szCs w:val="19"/>
                <w:color w:val="auto"/>
              </w:rPr>
            </w:pPr>
          </w:p>
        </w:tc>
        <w:tc>
          <w:tcPr>
            <w:tcW w:w="1560" w:type="dxa"/>
            <w:vAlign w:val="bottom"/>
            <w:gridSpan w:val="2"/>
          </w:tcPr>
          <w:p>
            <w:pPr>
              <w:ind w:left="1460"/>
              <w:spacing w:after="0"/>
              <w:rPr>
                <w:sz w:val="20"/>
                <w:szCs w:val="20"/>
                <w:color w:val="auto"/>
              </w:rPr>
            </w:pPr>
            <w:r>
              <w:rPr>
                <w:rFonts w:ascii="Arial" w:cs="Arial" w:eastAsia="Arial" w:hAnsi="Arial"/>
                <w:sz w:val="18"/>
                <w:szCs w:val="18"/>
                <w:color w:val="auto"/>
                <w:w w:val="79"/>
              </w:rPr>
              <w:t>$</w:t>
            </w:r>
          </w:p>
        </w:tc>
        <w:tc>
          <w:tcPr>
            <w:tcW w:w="520" w:type="dxa"/>
            <w:vAlign w:val="bottom"/>
          </w:tcPr>
          <w:p>
            <w:pPr>
              <w:jc w:val="right"/>
              <w:spacing w:after="0"/>
              <w:rPr>
                <w:sz w:val="20"/>
                <w:szCs w:val="20"/>
                <w:color w:val="auto"/>
              </w:rPr>
            </w:pPr>
            <w:r>
              <w:rPr>
                <w:rFonts w:ascii="Arial" w:cs="Arial" w:eastAsia="Arial" w:hAnsi="Arial"/>
                <w:sz w:val="18"/>
                <w:szCs w:val="18"/>
                <w:color w:val="auto"/>
                <w:w w:val="90"/>
              </w:rPr>
              <w:t>41,850</w:t>
            </w:r>
          </w:p>
        </w:tc>
        <w:tc>
          <w:tcPr>
            <w:tcW w:w="580" w:type="dxa"/>
            <w:vAlign w:val="bottom"/>
            <w:gridSpan w:val="2"/>
          </w:tcPr>
          <w:p>
            <w:pPr>
              <w:ind w:left="480"/>
              <w:spacing w:after="0"/>
              <w:rPr>
                <w:sz w:val="20"/>
                <w:szCs w:val="20"/>
                <w:color w:val="auto"/>
              </w:rPr>
            </w:pPr>
            <w:r>
              <w:rPr>
                <w:rFonts w:ascii="Arial" w:cs="Arial" w:eastAsia="Arial" w:hAnsi="Arial"/>
                <w:sz w:val="18"/>
                <w:szCs w:val="18"/>
                <w:color w:val="auto"/>
                <w:w w:val="79"/>
              </w:rPr>
              <w:t>$</w:t>
            </w:r>
          </w:p>
        </w:tc>
        <w:tc>
          <w:tcPr>
            <w:tcW w:w="520" w:type="dxa"/>
            <w:vAlign w:val="bottom"/>
          </w:tcPr>
          <w:p>
            <w:pPr>
              <w:ind w:left="260"/>
              <w:spacing w:after="0"/>
              <w:rPr>
                <w:sz w:val="20"/>
                <w:szCs w:val="20"/>
                <w:color w:val="auto"/>
              </w:rPr>
            </w:pPr>
            <w:r>
              <w:rPr>
                <w:rFonts w:ascii="Arial" w:cs="Arial" w:eastAsia="Arial" w:hAnsi="Arial"/>
                <w:sz w:val="18"/>
                <w:szCs w:val="18"/>
                <w:color w:val="auto"/>
              </w:rPr>
              <w:t>—</w:t>
            </w:r>
          </w:p>
        </w:tc>
        <w:tc>
          <w:tcPr>
            <w:tcW w:w="600" w:type="dxa"/>
            <w:vAlign w:val="bottom"/>
            <w:gridSpan w:val="2"/>
          </w:tcPr>
          <w:p>
            <w:pPr>
              <w:ind w:left="480"/>
              <w:spacing w:after="0"/>
              <w:rPr>
                <w:sz w:val="20"/>
                <w:szCs w:val="20"/>
                <w:color w:val="auto"/>
              </w:rPr>
            </w:pPr>
            <w:r>
              <w:rPr>
                <w:rFonts w:ascii="Arial" w:cs="Arial" w:eastAsia="Arial" w:hAnsi="Arial"/>
                <w:sz w:val="18"/>
                <w:szCs w:val="18"/>
                <w:color w:val="auto"/>
                <w:w w:val="99"/>
              </w:rPr>
              <w:t>$</w:t>
            </w:r>
          </w:p>
        </w:tc>
        <w:tc>
          <w:tcPr>
            <w:tcW w:w="840" w:type="dxa"/>
            <w:vAlign w:val="bottom"/>
            <w:gridSpan w:val="2"/>
          </w:tcPr>
          <w:p>
            <w:pPr>
              <w:jc w:val="right"/>
              <w:ind w:right="260"/>
              <w:spacing w:after="0"/>
              <w:rPr>
                <w:sz w:val="20"/>
                <w:szCs w:val="20"/>
                <w:color w:val="auto"/>
              </w:rPr>
            </w:pPr>
            <w:r>
              <w:rPr>
                <w:rFonts w:ascii="Arial" w:cs="Arial" w:eastAsia="Arial" w:hAnsi="Arial"/>
                <w:sz w:val="18"/>
                <w:szCs w:val="18"/>
                <w:color w:val="auto"/>
                <w:w w:val="98"/>
              </w:rPr>
              <w:t>(1,309)</w:t>
            </w:r>
          </w:p>
        </w:tc>
        <w:tc>
          <w:tcPr>
            <w:tcW w:w="360" w:type="dxa"/>
            <w:vAlign w:val="bottom"/>
            <w:gridSpan w:val="2"/>
          </w:tcPr>
          <w:p>
            <w:pPr>
              <w:ind w:left="260"/>
              <w:spacing w:after="0"/>
              <w:rPr>
                <w:sz w:val="20"/>
                <w:szCs w:val="20"/>
                <w:color w:val="auto"/>
              </w:rPr>
            </w:pPr>
            <w:r>
              <w:rPr>
                <w:rFonts w:ascii="Arial" w:cs="Arial" w:eastAsia="Arial" w:hAnsi="Arial"/>
                <w:sz w:val="18"/>
                <w:szCs w:val="18"/>
                <w:color w:val="auto"/>
                <w:w w:val="79"/>
              </w:rPr>
              <w:t>$</w:t>
            </w:r>
          </w:p>
        </w:tc>
        <w:tc>
          <w:tcPr>
            <w:tcW w:w="520" w:type="dxa"/>
            <w:vAlign w:val="bottom"/>
            <w:gridSpan w:val="2"/>
          </w:tcPr>
          <w:p>
            <w:pPr>
              <w:jc w:val="right"/>
              <w:ind w:right="20"/>
              <w:spacing w:after="0"/>
              <w:rPr>
                <w:sz w:val="20"/>
                <w:szCs w:val="20"/>
                <w:color w:val="auto"/>
              </w:rPr>
            </w:pPr>
            <w:r>
              <w:rPr>
                <w:rFonts w:ascii="Arial" w:cs="Arial" w:eastAsia="Arial" w:hAnsi="Arial"/>
                <w:sz w:val="18"/>
                <w:szCs w:val="18"/>
                <w:color w:val="auto"/>
                <w:w w:val="87"/>
              </w:rPr>
              <w:t>40,541</w:t>
            </w:r>
          </w:p>
        </w:tc>
        <w:tc>
          <w:tcPr>
            <w:tcW w:w="0" w:type="dxa"/>
            <w:vAlign w:val="bottom"/>
          </w:tcPr>
          <w:p>
            <w:pPr>
              <w:spacing w:after="0"/>
              <w:rPr>
                <w:sz w:val="1"/>
                <w:szCs w:val="1"/>
                <w:color w:val="auto"/>
              </w:rPr>
            </w:pPr>
          </w:p>
        </w:tc>
      </w:tr>
      <w:tr>
        <w:trPr>
          <w:trHeight w:val="20"/>
        </w:trPr>
        <w:tc>
          <w:tcPr>
            <w:tcW w:w="5020" w:type="dxa"/>
            <w:vAlign w:val="bottom"/>
          </w:tcPr>
          <w:p>
            <w:pPr>
              <w:spacing w:after="0" w:line="20" w:lineRule="exact"/>
              <w:rPr>
                <w:sz w:val="1"/>
                <w:szCs w:val="1"/>
                <w:color w:val="auto"/>
              </w:rPr>
            </w:pPr>
          </w:p>
        </w:tc>
        <w:tc>
          <w:tcPr>
            <w:tcW w:w="146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20" w:type="dxa"/>
            <w:vAlign w:val="bottom"/>
            <w:tcBorders>
              <w:top w:val="single" w:sz="8" w:color="auto"/>
              <w:bottom w:val="single" w:sz="8" w:color="auto"/>
            </w:tcBorders>
          </w:tcPr>
          <w:p>
            <w:pPr>
              <w:spacing w:after="0" w:line="20" w:lineRule="exact"/>
              <w:rPr>
                <w:sz w:val="1"/>
                <w:szCs w:val="1"/>
                <w:color w:val="auto"/>
              </w:rPr>
            </w:pPr>
          </w:p>
        </w:tc>
        <w:tc>
          <w:tcPr>
            <w:tcW w:w="48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20" w:type="dxa"/>
            <w:vAlign w:val="bottom"/>
            <w:tcBorders>
              <w:top w:val="single" w:sz="8" w:color="auto"/>
              <w:bottom w:val="single" w:sz="8" w:color="auto"/>
            </w:tcBorders>
          </w:tcPr>
          <w:p>
            <w:pPr>
              <w:spacing w:after="0" w:line="20" w:lineRule="exact"/>
              <w:rPr>
                <w:sz w:val="1"/>
                <w:szCs w:val="1"/>
                <w:color w:val="auto"/>
              </w:rPr>
            </w:pPr>
          </w:p>
        </w:tc>
        <w:tc>
          <w:tcPr>
            <w:tcW w:w="480" w:type="dxa"/>
            <w:vAlign w:val="bottom"/>
          </w:tcPr>
          <w:p>
            <w:pPr>
              <w:spacing w:after="0" w:line="20" w:lineRule="exact"/>
              <w:rPr>
                <w:sz w:val="1"/>
                <w:szCs w:val="1"/>
                <w:color w:val="auto"/>
              </w:rPr>
            </w:pPr>
          </w:p>
        </w:tc>
        <w:tc>
          <w:tcPr>
            <w:tcW w:w="120" w:type="dxa"/>
            <w:vAlign w:val="bottom"/>
            <w:tcBorders>
              <w:top w:val="single" w:sz="8" w:color="auto"/>
              <w:bottom w:val="single" w:sz="8" w:color="auto"/>
            </w:tcBorders>
          </w:tcPr>
          <w:p>
            <w:pPr>
              <w:spacing w:after="0" w:line="20" w:lineRule="exact"/>
              <w:rPr>
                <w:sz w:val="1"/>
                <w:szCs w:val="1"/>
                <w:color w:val="auto"/>
              </w:rPr>
            </w:pPr>
          </w:p>
        </w:tc>
        <w:tc>
          <w:tcPr>
            <w:tcW w:w="520" w:type="dxa"/>
            <w:vAlign w:val="bottom"/>
            <w:tcBorders>
              <w:top w:val="single" w:sz="8" w:color="auto"/>
              <w:bottom w:val="single" w:sz="8" w:color="auto"/>
            </w:tcBorders>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26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00" w:type="dxa"/>
            <w:vAlign w:val="bottom"/>
            <w:tcBorders>
              <w:top w:val="single" w:sz="8" w:color="auto"/>
              <w:bottom w:val="single" w:sz="8" w:color="auto"/>
            </w:tcBorders>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11"/>
        </w:trPr>
        <w:tc>
          <w:tcPr>
            <w:tcW w:w="5020" w:type="dxa"/>
            <w:vAlign w:val="bottom"/>
            <w:shd w:val="clear" w:color="auto" w:fill="CCEEFF"/>
          </w:tcPr>
          <w:p>
            <w:pPr>
              <w:spacing w:after="0"/>
              <w:rPr>
                <w:sz w:val="20"/>
                <w:szCs w:val="20"/>
                <w:color w:val="auto"/>
              </w:rPr>
            </w:pPr>
            <w:r>
              <w:rPr>
                <w:rFonts w:ascii="Arial" w:cs="Arial" w:eastAsia="Arial" w:hAnsi="Arial"/>
                <w:sz w:val="18"/>
                <w:szCs w:val="18"/>
                <w:color w:val="auto"/>
              </w:rPr>
              <w:t>Total investments</w:t>
            </w:r>
          </w:p>
        </w:tc>
        <w:tc>
          <w:tcPr>
            <w:tcW w:w="1560" w:type="dxa"/>
            <w:vAlign w:val="bottom"/>
            <w:gridSpan w:val="2"/>
            <w:shd w:val="clear" w:color="auto" w:fill="CCEEFF"/>
          </w:tcPr>
          <w:p>
            <w:pPr>
              <w:ind w:left="1460"/>
              <w:spacing w:after="0"/>
              <w:rPr>
                <w:sz w:val="20"/>
                <w:szCs w:val="20"/>
                <w:color w:val="auto"/>
              </w:rPr>
            </w:pPr>
            <w:r>
              <w:rPr>
                <w:rFonts w:ascii="Arial" w:cs="Arial" w:eastAsia="Arial" w:hAnsi="Arial"/>
                <w:sz w:val="18"/>
                <w:szCs w:val="18"/>
                <w:color w:val="auto"/>
                <w:w w:val="79"/>
              </w:rPr>
              <w:t>$</w:t>
            </w:r>
          </w:p>
        </w:tc>
        <w:tc>
          <w:tcPr>
            <w:tcW w:w="520" w:type="dxa"/>
            <w:vAlign w:val="bottom"/>
            <w:shd w:val="clear" w:color="auto" w:fill="CCEEFF"/>
          </w:tcPr>
          <w:p>
            <w:pPr>
              <w:jc w:val="right"/>
              <w:spacing w:after="0"/>
              <w:rPr>
                <w:sz w:val="20"/>
                <w:szCs w:val="20"/>
                <w:color w:val="auto"/>
              </w:rPr>
            </w:pPr>
            <w:r>
              <w:rPr>
                <w:rFonts w:ascii="Arial" w:cs="Arial" w:eastAsia="Arial" w:hAnsi="Arial"/>
                <w:sz w:val="18"/>
                <w:szCs w:val="18"/>
                <w:color w:val="auto"/>
                <w:w w:val="90"/>
              </w:rPr>
              <w:t>41,850</w:t>
            </w:r>
          </w:p>
        </w:tc>
        <w:tc>
          <w:tcPr>
            <w:tcW w:w="580" w:type="dxa"/>
            <w:vAlign w:val="bottom"/>
            <w:gridSpan w:val="2"/>
            <w:shd w:val="clear" w:color="auto" w:fill="CCEEFF"/>
          </w:tcPr>
          <w:p>
            <w:pPr>
              <w:ind w:left="480"/>
              <w:spacing w:after="0"/>
              <w:rPr>
                <w:sz w:val="20"/>
                <w:szCs w:val="20"/>
                <w:color w:val="auto"/>
              </w:rPr>
            </w:pPr>
            <w:r>
              <w:rPr>
                <w:rFonts w:ascii="Arial" w:cs="Arial" w:eastAsia="Arial" w:hAnsi="Arial"/>
                <w:sz w:val="18"/>
                <w:szCs w:val="18"/>
                <w:color w:val="auto"/>
                <w:w w:val="79"/>
              </w:rPr>
              <w:t>$</w:t>
            </w:r>
          </w:p>
        </w:tc>
        <w:tc>
          <w:tcPr>
            <w:tcW w:w="520" w:type="dxa"/>
            <w:vAlign w:val="bottom"/>
            <w:shd w:val="clear" w:color="auto" w:fill="CCEEFF"/>
          </w:tcPr>
          <w:p>
            <w:pPr>
              <w:ind w:left="260"/>
              <w:spacing w:after="0"/>
              <w:rPr>
                <w:sz w:val="20"/>
                <w:szCs w:val="20"/>
                <w:color w:val="auto"/>
              </w:rPr>
            </w:pPr>
            <w:r>
              <w:rPr>
                <w:rFonts w:ascii="Arial" w:cs="Arial" w:eastAsia="Arial" w:hAnsi="Arial"/>
                <w:sz w:val="18"/>
                <w:szCs w:val="18"/>
                <w:color w:val="auto"/>
              </w:rPr>
              <w:t>—</w:t>
            </w:r>
          </w:p>
        </w:tc>
        <w:tc>
          <w:tcPr>
            <w:tcW w:w="600" w:type="dxa"/>
            <w:vAlign w:val="bottom"/>
            <w:gridSpan w:val="2"/>
            <w:shd w:val="clear" w:color="auto" w:fill="CCEEFF"/>
          </w:tcPr>
          <w:p>
            <w:pPr>
              <w:ind w:left="480"/>
              <w:spacing w:after="0"/>
              <w:rPr>
                <w:sz w:val="20"/>
                <w:szCs w:val="20"/>
                <w:color w:val="auto"/>
              </w:rPr>
            </w:pPr>
            <w:r>
              <w:rPr>
                <w:rFonts w:ascii="Arial" w:cs="Arial" w:eastAsia="Arial" w:hAnsi="Arial"/>
                <w:sz w:val="18"/>
                <w:szCs w:val="18"/>
                <w:color w:val="auto"/>
                <w:w w:val="99"/>
              </w:rPr>
              <w:t>$</w:t>
            </w:r>
          </w:p>
        </w:tc>
        <w:tc>
          <w:tcPr>
            <w:tcW w:w="840" w:type="dxa"/>
            <w:vAlign w:val="bottom"/>
            <w:gridSpan w:val="2"/>
            <w:shd w:val="clear" w:color="auto" w:fill="CCEEFF"/>
          </w:tcPr>
          <w:p>
            <w:pPr>
              <w:jc w:val="right"/>
              <w:ind w:right="260"/>
              <w:spacing w:after="0"/>
              <w:rPr>
                <w:sz w:val="20"/>
                <w:szCs w:val="20"/>
                <w:color w:val="auto"/>
              </w:rPr>
            </w:pPr>
            <w:r>
              <w:rPr>
                <w:rFonts w:ascii="Arial" w:cs="Arial" w:eastAsia="Arial" w:hAnsi="Arial"/>
                <w:sz w:val="18"/>
                <w:szCs w:val="18"/>
                <w:color w:val="auto"/>
                <w:w w:val="98"/>
              </w:rPr>
              <w:t>(1,309)</w:t>
            </w:r>
          </w:p>
        </w:tc>
        <w:tc>
          <w:tcPr>
            <w:tcW w:w="360" w:type="dxa"/>
            <w:vAlign w:val="bottom"/>
            <w:gridSpan w:val="2"/>
            <w:shd w:val="clear" w:color="auto" w:fill="CCEEFF"/>
          </w:tcPr>
          <w:p>
            <w:pPr>
              <w:ind w:left="260"/>
              <w:spacing w:after="0"/>
              <w:rPr>
                <w:sz w:val="20"/>
                <w:szCs w:val="20"/>
                <w:color w:val="auto"/>
              </w:rPr>
            </w:pPr>
            <w:r>
              <w:rPr>
                <w:rFonts w:ascii="Arial" w:cs="Arial" w:eastAsia="Arial" w:hAnsi="Arial"/>
                <w:sz w:val="18"/>
                <w:szCs w:val="18"/>
                <w:color w:val="auto"/>
                <w:w w:val="79"/>
              </w:rPr>
              <w:t>$</w:t>
            </w:r>
          </w:p>
        </w:tc>
        <w:tc>
          <w:tcPr>
            <w:tcW w:w="5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7"/>
              </w:rPr>
              <w:t>40,541</w:t>
            </w: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5020" w:type="dxa"/>
            <w:vAlign w:val="bottom"/>
          </w:tcPr>
          <w:p>
            <w:pPr>
              <w:spacing w:after="0" w:line="20" w:lineRule="exact"/>
              <w:rPr>
                <w:sz w:val="1"/>
                <w:szCs w:val="1"/>
                <w:color w:val="auto"/>
              </w:rPr>
            </w:pPr>
          </w:p>
        </w:tc>
        <w:tc>
          <w:tcPr>
            <w:tcW w:w="146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20" w:type="dxa"/>
            <w:vAlign w:val="bottom"/>
            <w:tcBorders>
              <w:top w:val="single" w:sz="8" w:color="auto"/>
              <w:bottom w:val="single" w:sz="8" w:color="auto"/>
            </w:tcBorders>
          </w:tcPr>
          <w:p>
            <w:pPr>
              <w:spacing w:after="0" w:line="20" w:lineRule="exact"/>
              <w:rPr>
                <w:sz w:val="1"/>
                <w:szCs w:val="1"/>
                <w:color w:val="auto"/>
              </w:rPr>
            </w:pPr>
          </w:p>
        </w:tc>
        <w:tc>
          <w:tcPr>
            <w:tcW w:w="48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20" w:type="dxa"/>
            <w:vAlign w:val="bottom"/>
            <w:tcBorders>
              <w:top w:val="single" w:sz="8" w:color="auto"/>
              <w:bottom w:val="single" w:sz="8" w:color="auto"/>
            </w:tcBorders>
          </w:tcPr>
          <w:p>
            <w:pPr>
              <w:spacing w:after="0" w:line="20" w:lineRule="exact"/>
              <w:rPr>
                <w:sz w:val="1"/>
                <w:szCs w:val="1"/>
                <w:color w:val="auto"/>
              </w:rPr>
            </w:pPr>
          </w:p>
        </w:tc>
        <w:tc>
          <w:tcPr>
            <w:tcW w:w="480" w:type="dxa"/>
            <w:vAlign w:val="bottom"/>
          </w:tcPr>
          <w:p>
            <w:pPr>
              <w:spacing w:after="0" w:line="20" w:lineRule="exact"/>
              <w:rPr>
                <w:sz w:val="1"/>
                <w:szCs w:val="1"/>
                <w:color w:val="auto"/>
              </w:rPr>
            </w:pPr>
          </w:p>
        </w:tc>
        <w:tc>
          <w:tcPr>
            <w:tcW w:w="120" w:type="dxa"/>
            <w:vAlign w:val="bottom"/>
            <w:tcBorders>
              <w:top w:val="single" w:sz="8" w:color="auto"/>
              <w:bottom w:val="single" w:sz="8" w:color="auto"/>
            </w:tcBorders>
          </w:tcPr>
          <w:p>
            <w:pPr>
              <w:spacing w:after="0" w:line="20" w:lineRule="exact"/>
              <w:rPr>
                <w:sz w:val="1"/>
                <w:szCs w:val="1"/>
                <w:color w:val="auto"/>
              </w:rPr>
            </w:pPr>
          </w:p>
        </w:tc>
        <w:tc>
          <w:tcPr>
            <w:tcW w:w="520" w:type="dxa"/>
            <w:vAlign w:val="bottom"/>
            <w:tcBorders>
              <w:top w:val="single" w:sz="8" w:color="auto"/>
              <w:bottom w:val="single" w:sz="8" w:color="auto"/>
            </w:tcBorders>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26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00" w:type="dxa"/>
            <w:vAlign w:val="bottom"/>
            <w:tcBorders>
              <w:top w:val="single" w:sz="8" w:color="auto"/>
              <w:bottom w:val="single" w:sz="8" w:color="auto"/>
            </w:tcBorders>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167" w:lineRule="exact"/>
        <w:rPr>
          <w:sz w:val="20"/>
          <w:szCs w:val="20"/>
          <w:color w:val="auto"/>
        </w:rPr>
      </w:pPr>
    </w:p>
    <w:p>
      <w:pPr>
        <w:ind w:firstLine="456"/>
        <w:spacing w:after="0" w:line="290" w:lineRule="auto"/>
        <w:rPr>
          <w:sz w:val="20"/>
          <w:szCs w:val="20"/>
          <w:color w:val="auto"/>
        </w:rPr>
      </w:pPr>
      <w:r>
        <w:rPr>
          <w:rFonts w:ascii="Arial" w:cs="Arial" w:eastAsia="Arial" w:hAnsi="Arial"/>
          <w:sz w:val="16"/>
          <w:szCs w:val="16"/>
          <w:color w:val="auto"/>
        </w:rPr>
        <w:t>As of October 31, 2009 and January 31, 2009, the Company’s investment portfolio included $41.7 million and $41.9 million, respectively, in par value of auction rate securities. Auction rate securities are usually found in the form of municipal bonds, preferred stock, pools of student loans or collateralized debt obligations with contractual maturities generally between 20 and 30 years and whose interest rates are reset every seven to 35 days through an auction process. At the end of each reset period, investors can sell or continue to hold the securities at par. The Company’s auction rate securities are all backed by student loans originated under the Federal Family Education Loan Program and are over-collateralized, insured and guaranteed by the U.S. Federal Department of Education. All auction rate securities held by the Company are rated by the major independent rating agencies as either AAA or Aaa at the time of purchase. The Company believes the mark-to-market losses for its auction rate securities are all non-credit losses.</w:t>
      </w:r>
    </w:p>
    <w:p>
      <w:pPr>
        <w:spacing w:after="0" w:line="118" w:lineRule="exact"/>
        <w:rPr>
          <w:sz w:val="20"/>
          <w:szCs w:val="20"/>
          <w:color w:val="auto"/>
        </w:rPr>
      </w:pPr>
    </w:p>
    <w:p>
      <w:pPr>
        <w:jc w:val="both"/>
        <w:ind w:firstLine="456"/>
        <w:spacing w:after="0" w:line="255" w:lineRule="auto"/>
        <w:rPr>
          <w:sz w:val="20"/>
          <w:szCs w:val="20"/>
          <w:color w:val="auto"/>
        </w:rPr>
      </w:pPr>
      <w:r>
        <w:rPr>
          <w:rFonts w:ascii="Arial" w:cs="Arial" w:eastAsia="Arial" w:hAnsi="Arial"/>
          <w:sz w:val="18"/>
          <w:szCs w:val="18"/>
          <w:color w:val="auto"/>
        </w:rPr>
        <w:t>In the fourth quarter ended January 31, 2009, UBS, one of the brokers who the Company purchased auction rate securities from, offered a settlement where UBS has the right to call and sell one of the auction rate securities the Company purchased from them at par value of $5 million at a future date. As a result of the Company’s participation in this settlement, the Company included the put option from the settlement in long-term investments and elected the fair value option to measure the put option at fair value. The Company also elected to transfer this auction rate security to trading securities from available-for-sale as the Company’s intent is to exercise the put option in fiscal 2011.</w:t>
      </w:r>
    </w:p>
    <w:p>
      <w:pPr>
        <w:spacing w:after="0" w:line="143" w:lineRule="exact"/>
        <w:rPr>
          <w:sz w:val="20"/>
          <w:szCs w:val="20"/>
          <w:color w:val="auto"/>
        </w:rPr>
      </w:pPr>
    </w:p>
    <w:p>
      <w:pPr>
        <w:ind w:firstLine="456"/>
        <w:spacing w:after="0" w:line="291" w:lineRule="auto"/>
        <w:rPr>
          <w:sz w:val="20"/>
          <w:szCs w:val="20"/>
          <w:color w:val="auto"/>
        </w:rPr>
      </w:pPr>
      <w:r>
        <w:rPr>
          <w:rFonts w:ascii="Arial" w:cs="Arial" w:eastAsia="Arial" w:hAnsi="Arial"/>
          <w:sz w:val="16"/>
          <w:szCs w:val="16"/>
          <w:color w:val="auto"/>
        </w:rPr>
        <w:t>As of October 31, 2009, the estimated fair values of the auction rate securities were $2.4 million less than their par value. The Company has less than 2.8% of its total cash invested in these auction rate securities. The Company has a balance of approximately $1.5 billion in cash, cash equivalents and short-term investments other than auction rate securities, and the Company continues to generate positive cash flow on a quarterly basis. The Company has no intent to sell and it is more likely than not that the Company will not be required to sell the auction rate securities prior to recovery. The Company concluded the decline in fair values was temporary and recorded the unrealized loss to accumulated other comprehensive loss, a component of shareholders’ equity as of October 31, 2009. The Company also has an additional $0.2 million of unrealized losses in available-for-sale securities that it also considers to be temporary.</w:t>
      </w:r>
    </w:p>
    <w:p>
      <w:pPr>
        <w:spacing w:after="0" w:line="120" w:lineRule="exact"/>
        <w:rPr>
          <w:sz w:val="20"/>
          <w:szCs w:val="20"/>
          <w:color w:val="auto"/>
        </w:rPr>
      </w:pPr>
    </w:p>
    <w:p>
      <w:pPr>
        <w:ind w:right="240" w:firstLine="456"/>
        <w:spacing w:after="0" w:line="268" w:lineRule="auto"/>
        <w:rPr>
          <w:sz w:val="20"/>
          <w:szCs w:val="20"/>
          <w:color w:val="auto"/>
        </w:rPr>
      </w:pPr>
      <w:r>
        <w:rPr>
          <w:rFonts w:ascii="Arial" w:cs="Arial" w:eastAsia="Arial" w:hAnsi="Arial"/>
          <w:sz w:val="18"/>
          <w:szCs w:val="18"/>
          <w:color w:val="auto"/>
        </w:rPr>
        <w:t>The final contractual maturities of available-for-sale and trading debt securities at October 31, 2009 and January 31, 2009 are presented in the following table (in thousands):</w:t>
      </w:r>
    </w:p>
    <w:p>
      <w:pPr>
        <w:spacing w:after="0" w:line="168" w:lineRule="exact"/>
        <w:rPr>
          <w:sz w:val="20"/>
          <w:szCs w:val="20"/>
          <w:color w:val="auto"/>
        </w:rPr>
      </w:pPr>
    </w:p>
    <w:tbl>
      <w:tblPr>
        <w:tblLayout w:type="fixed"/>
        <w:tblInd w:w="460" w:type="dxa"/>
        <w:tblCellMar>
          <w:top w:w="0" w:type="dxa"/>
          <w:left w:w="0" w:type="dxa"/>
          <w:bottom w:w="0" w:type="dxa"/>
          <w:right w:w="0" w:type="dxa"/>
        </w:tblCellMar>
      </w:tblPr>
      <w:tr>
        <w:trPr>
          <w:trHeight w:val="161"/>
        </w:trPr>
        <w:tc>
          <w:tcPr>
            <w:tcW w:w="3720" w:type="dxa"/>
            <w:vAlign w:val="bottom"/>
          </w:tcPr>
          <w:p>
            <w:pPr>
              <w:spacing w:after="0"/>
              <w:rPr>
                <w:sz w:val="14"/>
                <w:szCs w:val="14"/>
                <w:color w:val="auto"/>
              </w:rPr>
            </w:pPr>
          </w:p>
        </w:tc>
        <w:tc>
          <w:tcPr>
            <w:tcW w:w="2960" w:type="dxa"/>
            <w:vAlign w:val="bottom"/>
          </w:tcPr>
          <w:p>
            <w:pPr>
              <w:spacing w:after="0"/>
              <w:rPr>
                <w:sz w:val="14"/>
                <w:szCs w:val="14"/>
                <w:color w:val="auto"/>
              </w:rPr>
            </w:pPr>
          </w:p>
        </w:tc>
        <w:tc>
          <w:tcPr>
            <w:tcW w:w="1760" w:type="dxa"/>
            <w:vAlign w:val="bottom"/>
            <w:gridSpan w:val="3"/>
          </w:tcPr>
          <w:p>
            <w:pPr>
              <w:jc w:val="right"/>
              <w:ind w:right="326"/>
              <w:spacing w:after="0"/>
              <w:rPr>
                <w:sz w:val="20"/>
                <w:szCs w:val="20"/>
                <w:color w:val="auto"/>
              </w:rPr>
            </w:pPr>
            <w:r>
              <w:rPr>
                <w:rFonts w:ascii="Arial" w:cs="Arial" w:eastAsia="Arial" w:hAnsi="Arial"/>
                <w:sz w:val="14"/>
                <w:szCs w:val="14"/>
                <w:b w:val="1"/>
                <w:bCs w:val="1"/>
                <w:color w:val="auto"/>
              </w:rPr>
              <w:t>October 31, 2009</w:t>
            </w:r>
          </w:p>
        </w:tc>
        <w:tc>
          <w:tcPr>
            <w:tcW w:w="42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1560" w:type="dxa"/>
            <w:vAlign w:val="bottom"/>
            <w:gridSpan w:val="6"/>
          </w:tcPr>
          <w:p>
            <w:pPr>
              <w:jc w:val="right"/>
              <w:ind w:right="340"/>
              <w:spacing w:after="0"/>
              <w:rPr>
                <w:sz w:val="20"/>
                <w:szCs w:val="20"/>
                <w:color w:val="auto"/>
              </w:rPr>
            </w:pPr>
            <w:r>
              <w:rPr>
                <w:rFonts w:ascii="Arial" w:cs="Arial" w:eastAsia="Arial" w:hAnsi="Arial"/>
                <w:sz w:val="14"/>
                <w:szCs w:val="14"/>
                <w:b w:val="1"/>
                <w:bCs w:val="1"/>
                <w:color w:val="auto"/>
              </w:rPr>
              <w:t>January 31, 2009</w:t>
            </w:r>
          </w:p>
        </w:tc>
        <w:tc>
          <w:tcPr>
            <w:tcW w:w="0" w:type="dxa"/>
            <w:vAlign w:val="bottom"/>
          </w:tcPr>
          <w:p>
            <w:pPr>
              <w:spacing w:after="0"/>
              <w:rPr>
                <w:sz w:val="1"/>
                <w:szCs w:val="1"/>
                <w:color w:val="auto"/>
              </w:rPr>
            </w:pPr>
          </w:p>
        </w:tc>
      </w:tr>
      <w:tr>
        <w:trPr>
          <w:trHeight w:val="129"/>
        </w:trPr>
        <w:tc>
          <w:tcPr>
            <w:tcW w:w="3720" w:type="dxa"/>
            <w:vAlign w:val="bottom"/>
          </w:tcPr>
          <w:p>
            <w:pPr>
              <w:spacing w:after="0"/>
              <w:rPr>
                <w:sz w:val="11"/>
                <w:szCs w:val="11"/>
                <w:color w:val="auto"/>
              </w:rPr>
            </w:pPr>
          </w:p>
        </w:tc>
        <w:tc>
          <w:tcPr>
            <w:tcW w:w="2960" w:type="dxa"/>
            <w:vAlign w:val="bottom"/>
          </w:tcPr>
          <w:p>
            <w:pPr>
              <w:spacing w:after="0"/>
              <w:rPr>
                <w:sz w:val="11"/>
                <w:szCs w:val="11"/>
                <w:color w:val="auto"/>
              </w:rPr>
            </w:pPr>
          </w:p>
        </w:tc>
        <w:tc>
          <w:tcPr>
            <w:tcW w:w="680" w:type="dxa"/>
            <w:vAlign w:val="bottom"/>
            <w:tcBorders>
              <w:top w:val="single" w:sz="8" w:color="auto"/>
            </w:tcBorders>
          </w:tcPr>
          <w:p>
            <w:pPr>
              <w:jc w:val="right"/>
              <w:spacing w:after="0" w:line="129" w:lineRule="exact"/>
              <w:rPr>
                <w:sz w:val="20"/>
                <w:szCs w:val="20"/>
                <w:color w:val="auto"/>
              </w:rPr>
            </w:pPr>
            <w:r>
              <w:rPr>
                <w:rFonts w:ascii="Arial" w:cs="Arial" w:eastAsia="Arial" w:hAnsi="Arial"/>
                <w:sz w:val="14"/>
                <w:szCs w:val="14"/>
                <w:b w:val="1"/>
                <w:bCs w:val="1"/>
                <w:color w:val="auto"/>
                <w:w w:val="90"/>
              </w:rPr>
              <w:t>Amortized</w:t>
            </w:r>
          </w:p>
        </w:tc>
        <w:tc>
          <w:tcPr>
            <w:tcW w:w="400" w:type="dxa"/>
            <w:vAlign w:val="bottom"/>
            <w:tcBorders>
              <w:top w:val="single" w:sz="8" w:color="auto"/>
            </w:tcBorders>
          </w:tcPr>
          <w:p>
            <w:pPr>
              <w:spacing w:after="0"/>
              <w:rPr>
                <w:sz w:val="11"/>
                <w:szCs w:val="11"/>
                <w:color w:val="auto"/>
              </w:rPr>
            </w:pPr>
          </w:p>
        </w:tc>
        <w:tc>
          <w:tcPr>
            <w:tcW w:w="680" w:type="dxa"/>
            <w:vAlign w:val="bottom"/>
            <w:tcBorders>
              <w:top w:val="single" w:sz="8" w:color="auto"/>
            </w:tcBorders>
          </w:tcPr>
          <w:p>
            <w:pPr>
              <w:jc w:val="right"/>
              <w:spacing w:after="0" w:line="129" w:lineRule="exact"/>
              <w:rPr>
                <w:sz w:val="20"/>
                <w:szCs w:val="20"/>
                <w:color w:val="auto"/>
              </w:rPr>
            </w:pPr>
            <w:r>
              <w:rPr>
                <w:rFonts w:ascii="Arial" w:cs="Arial" w:eastAsia="Arial" w:hAnsi="Arial"/>
                <w:sz w:val="14"/>
                <w:szCs w:val="14"/>
                <w:b w:val="1"/>
                <w:bCs w:val="1"/>
                <w:color w:val="auto"/>
                <w:w w:val="89"/>
              </w:rPr>
              <w:t>Estimated</w:t>
            </w:r>
          </w:p>
        </w:tc>
        <w:tc>
          <w:tcPr>
            <w:tcW w:w="420" w:type="dxa"/>
            <w:vAlign w:val="bottom"/>
          </w:tcPr>
          <w:p>
            <w:pPr>
              <w:spacing w:after="0"/>
              <w:rPr>
                <w:sz w:val="11"/>
                <w:szCs w:val="11"/>
                <w:color w:val="auto"/>
              </w:rPr>
            </w:pPr>
          </w:p>
        </w:tc>
        <w:tc>
          <w:tcPr>
            <w:tcW w:w="820" w:type="dxa"/>
            <w:vAlign w:val="bottom"/>
            <w:tcBorders>
              <w:top w:val="single" w:sz="8" w:color="auto"/>
            </w:tcBorders>
            <w:gridSpan w:val="3"/>
          </w:tcPr>
          <w:p>
            <w:pPr>
              <w:spacing w:after="0" w:line="129" w:lineRule="exact"/>
              <w:rPr>
                <w:sz w:val="20"/>
                <w:szCs w:val="20"/>
                <w:color w:val="auto"/>
              </w:rPr>
            </w:pPr>
            <w:r>
              <w:rPr>
                <w:rFonts w:ascii="Arial" w:cs="Arial" w:eastAsia="Arial" w:hAnsi="Arial"/>
                <w:sz w:val="14"/>
                <w:szCs w:val="14"/>
                <w:b w:val="1"/>
                <w:bCs w:val="1"/>
                <w:color w:val="auto"/>
              </w:rPr>
              <w:t>Amortized</w:t>
            </w:r>
          </w:p>
        </w:tc>
        <w:tc>
          <w:tcPr>
            <w:tcW w:w="220" w:type="dxa"/>
            <w:vAlign w:val="bottom"/>
            <w:tcBorders>
              <w:top w:val="single" w:sz="8" w:color="auto"/>
            </w:tcBorders>
          </w:tcPr>
          <w:p>
            <w:pPr>
              <w:spacing w:after="0"/>
              <w:rPr>
                <w:sz w:val="11"/>
                <w:szCs w:val="11"/>
                <w:color w:val="auto"/>
              </w:rPr>
            </w:pPr>
          </w:p>
        </w:tc>
        <w:tc>
          <w:tcPr>
            <w:tcW w:w="600" w:type="dxa"/>
            <w:vAlign w:val="bottom"/>
            <w:tcBorders>
              <w:top w:val="single" w:sz="8" w:color="auto"/>
            </w:tcBorders>
            <w:gridSpan w:val="2"/>
          </w:tcPr>
          <w:p>
            <w:pPr>
              <w:spacing w:after="0" w:line="129" w:lineRule="exact"/>
              <w:rPr>
                <w:sz w:val="20"/>
                <w:szCs w:val="20"/>
                <w:color w:val="auto"/>
              </w:rPr>
            </w:pPr>
            <w:r>
              <w:rPr>
                <w:rFonts w:ascii="Arial" w:cs="Arial" w:eastAsia="Arial" w:hAnsi="Arial"/>
                <w:sz w:val="14"/>
                <w:szCs w:val="14"/>
                <w:b w:val="1"/>
                <w:bCs w:val="1"/>
                <w:color w:val="auto"/>
                <w:w w:val="86"/>
              </w:rPr>
              <w:t>Estimated</w:t>
            </w: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1"/>
        </w:trPr>
        <w:tc>
          <w:tcPr>
            <w:tcW w:w="3720" w:type="dxa"/>
            <w:vAlign w:val="bottom"/>
          </w:tcPr>
          <w:p>
            <w:pPr>
              <w:spacing w:after="0"/>
              <w:rPr>
                <w:sz w:val="14"/>
                <w:szCs w:val="14"/>
                <w:color w:val="auto"/>
              </w:rPr>
            </w:pPr>
          </w:p>
        </w:tc>
        <w:tc>
          <w:tcPr>
            <w:tcW w:w="2960" w:type="dxa"/>
            <w:vAlign w:val="bottom"/>
          </w:tcPr>
          <w:p>
            <w:pPr>
              <w:spacing w:after="0"/>
              <w:rPr>
                <w:sz w:val="14"/>
                <w:szCs w:val="14"/>
                <w:color w:val="auto"/>
              </w:rPr>
            </w:pPr>
          </w:p>
        </w:tc>
        <w:tc>
          <w:tcPr>
            <w:tcW w:w="680" w:type="dxa"/>
            <w:vAlign w:val="bottom"/>
            <w:tcBorders>
              <w:bottom w:val="single" w:sz="8" w:color="auto"/>
            </w:tcBorders>
          </w:tcPr>
          <w:p>
            <w:pPr>
              <w:jc w:val="right"/>
              <w:ind w:right="147"/>
              <w:spacing w:after="0"/>
              <w:rPr>
                <w:sz w:val="20"/>
                <w:szCs w:val="20"/>
                <w:color w:val="auto"/>
              </w:rPr>
            </w:pPr>
            <w:r>
              <w:rPr>
                <w:rFonts w:ascii="Arial" w:cs="Arial" w:eastAsia="Arial" w:hAnsi="Arial"/>
                <w:sz w:val="14"/>
                <w:szCs w:val="14"/>
                <w:b w:val="1"/>
                <w:bCs w:val="1"/>
                <w:color w:val="auto"/>
              </w:rPr>
              <w:t>Cost</w:t>
            </w:r>
          </w:p>
        </w:tc>
        <w:tc>
          <w:tcPr>
            <w:tcW w:w="400" w:type="dxa"/>
            <w:vAlign w:val="bottom"/>
          </w:tcPr>
          <w:p>
            <w:pPr>
              <w:spacing w:after="0"/>
              <w:rPr>
                <w:sz w:val="14"/>
                <w:szCs w:val="14"/>
                <w:color w:val="auto"/>
              </w:rPr>
            </w:pPr>
          </w:p>
        </w:tc>
        <w:tc>
          <w:tcPr>
            <w:tcW w:w="680" w:type="dxa"/>
            <w:vAlign w:val="bottom"/>
            <w:tcBorders>
              <w:bottom w:val="single" w:sz="8" w:color="auto"/>
            </w:tcBorders>
          </w:tcPr>
          <w:p>
            <w:pPr>
              <w:jc w:val="right"/>
              <w:spacing w:after="0"/>
              <w:rPr>
                <w:sz w:val="20"/>
                <w:szCs w:val="20"/>
                <w:color w:val="auto"/>
              </w:rPr>
            </w:pPr>
            <w:r>
              <w:rPr>
                <w:rFonts w:ascii="Arial" w:cs="Arial" w:eastAsia="Arial" w:hAnsi="Arial"/>
                <w:sz w:val="14"/>
                <w:szCs w:val="14"/>
                <w:b w:val="1"/>
                <w:bCs w:val="1"/>
                <w:color w:val="auto"/>
                <w:w w:val="92"/>
              </w:rPr>
              <w:t>Fair Value</w:t>
            </w:r>
          </w:p>
        </w:tc>
        <w:tc>
          <w:tcPr>
            <w:tcW w:w="420" w:type="dxa"/>
            <w:vAlign w:val="bottom"/>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520" w:type="dxa"/>
            <w:vAlign w:val="bottom"/>
            <w:tcBorders>
              <w:bottom w:val="single" w:sz="8" w:color="auto"/>
            </w:tcBorders>
          </w:tcPr>
          <w:p>
            <w:pPr>
              <w:jc w:val="right"/>
              <w:ind w:right="99"/>
              <w:spacing w:after="0"/>
              <w:rPr>
                <w:sz w:val="20"/>
                <w:szCs w:val="20"/>
                <w:color w:val="auto"/>
              </w:rPr>
            </w:pPr>
            <w:r>
              <w:rPr>
                <w:rFonts w:ascii="Arial" w:cs="Arial" w:eastAsia="Arial" w:hAnsi="Arial"/>
                <w:sz w:val="14"/>
                <w:szCs w:val="14"/>
                <w:b w:val="1"/>
                <w:bCs w:val="1"/>
                <w:color w:val="auto"/>
              </w:rPr>
              <w:t>Cost</w:t>
            </w:r>
          </w:p>
        </w:tc>
        <w:tc>
          <w:tcPr>
            <w:tcW w:w="20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600" w:type="dxa"/>
            <w:vAlign w:val="bottom"/>
            <w:tcBorders>
              <w:bottom w:val="single" w:sz="8" w:color="auto"/>
            </w:tcBorders>
            <w:gridSpan w:val="2"/>
          </w:tcPr>
          <w:p>
            <w:pPr>
              <w:spacing w:after="0"/>
              <w:rPr>
                <w:sz w:val="20"/>
                <w:szCs w:val="20"/>
                <w:color w:val="auto"/>
              </w:rPr>
            </w:pPr>
            <w:r>
              <w:rPr>
                <w:rFonts w:ascii="Arial" w:cs="Arial" w:eastAsia="Arial" w:hAnsi="Arial"/>
                <w:sz w:val="14"/>
                <w:szCs w:val="14"/>
                <w:b w:val="1"/>
                <w:bCs w:val="1"/>
                <w:color w:val="auto"/>
                <w:w w:val="86"/>
              </w:rPr>
              <w:t>Fair Value</w:t>
            </w:r>
          </w:p>
        </w:tc>
        <w:tc>
          <w:tcPr>
            <w:tcW w:w="2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210"/>
        </w:trPr>
        <w:tc>
          <w:tcPr>
            <w:tcW w:w="3720" w:type="dxa"/>
            <w:vAlign w:val="bottom"/>
            <w:shd w:val="clear" w:color="auto" w:fill="CCEEFF"/>
          </w:tcPr>
          <w:p>
            <w:pPr>
              <w:spacing w:after="0"/>
              <w:rPr>
                <w:sz w:val="20"/>
                <w:szCs w:val="20"/>
                <w:color w:val="auto"/>
              </w:rPr>
            </w:pPr>
            <w:r>
              <w:rPr>
                <w:rFonts w:ascii="Arial" w:cs="Arial" w:eastAsia="Arial" w:hAnsi="Arial"/>
                <w:sz w:val="18"/>
                <w:szCs w:val="18"/>
                <w:color w:val="auto"/>
              </w:rPr>
              <w:t>Due in one year or less</w:t>
            </w:r>
          </w:p>
        </w:tc>
        <w:tc>
          <w:tcPr>
            <w:tcW w:w="364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$253,393</w:t>
            </w:r>
          </w:p>
        </w:tc>
        <w:tc>
          <w:tcPr>
            <w:tcW w:w="108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$253,321</w:t>
            </w:r>
          </w:p>
        </w:tc>
        <w:tc>
          <w:tcPr>
            <w:tcW w:w="520" w:type="dxa"/>
            <w:vAlign w:val="bottom"/>
            <w:gridSpan w:val="2"/>
            <w:shd w:val="clear" w:color="auto" w:fill="CCEEFF"/>
          </w:tcPr>
          <w:p>
            <w:pPr>
              <w:ind w:left="420"/>
              <w:spacing w:after="0"/>
              <w:rPr>
                <w:sz w:val="20"/>
                <w:szCs w:val="20"/>
                <w:color w:val="auto"/>
              </w:rPr>
            </w:pPr>
            <w:r>
              <w:rPr>
                <w:rFonts w:ascii="Arial" w:cs="Arial" w:eastAsia="Arial" w:hAnsi="Arial"/>
                <w:sz w:val="18"/>
                <w:szCs w:val="18"/>
                <w:color w:val="auto"/>
                <w:w w:val="79"/>
              </w:rPr>
              <w:t>$</w:t>
            </w:r>
          </w:p>
        </w:tc>
        <w:tc>
          <w:tcPr>
            <w:tcW w:w="720" w:type="dxa"/>
            <w:vAlign w:val="bottom"/>
            <w:gridSpan w:val="2"/>
            <w:shd w:val="clear" w:color="auto" w:fill="CCEEFF"/>
          </w:tcPr>
          <w:p>
            <w:pPr>
              <w:ind w:left="260"/>
              <w:spacing w:after="0"/>
              <w:rPr>
                <w:sz w:val="20"/>
                <w:szCs w:val="20"/>
                <w:color w:val="auto"/>
              </w:rPr>
            </w:pPr>
            <w:r>
              <w:rPr>
                <w:rFonts w:ascii="Arial" w:cs="Arial" w:eastAsia="Arial" w:hAnsi="Arial"/>
                <w:sz w:val="18"/>
                <w:szCs w:val="18"/>
                <w:color w:val="auto"/>
              </w:rPr>
              <w:t>—</w:t>
            </w:r>
          </w:p>
        </w:tc>
        <w:tc>
          <w:tcPr>
            <w:tcW w:w="320" w:type="dxa"/>
            <w:vAlign w:val="bottom"/>
            <w:gridSpan w:val="2"/>
            <w:shd w:val="clear" w:color="auto" w:fill="CCEEFF"/>
          </w:tcPr>
          <w:p>
            <w:pPr>
              <w:ind w:left="220"/>
              <w:spacing w:after="0"/>
              <w:rPr>
                <w:sz w:val="20"/>
                <w:szCs w:val="20"/>
                <w:color w:val="auto"/>
              </w:rPr>
            </w:pPr>
            <w:r>
              <w:rPr>
                <w:rFonts w:ascii="Arial" w:cs="Arial" w:eastAsia="Arial" w:hAnsi="Arial"/>
                <w:sz w:val="18"/>
                <w:szCs w:val="18"/>
                <w:color w:val="auto"/>
                <w:w w:val="79"/>
              </w:rPr>
              <w:t>$</w:t>
            </w:r>
          </w:p>
        </w:tc>
        <w:tc>
          <w:tcPr>
            <w:tcW w:w="5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3720" w:type="dxa"/>
            <w:vAlign w:val="bottom"/>
          </w:tcPr>
          <w:p>
            <w:pPr>
              <w:spacing w:after="0"/>
              <w:rPr>
                <w:sz w:val="20"/>
                <w:szCs w:val="20"/>
                <w:color w:val="auto"/>
              </w:rPr>
            </w:pPr>
            <w:r>
              <w:rPr>
                <w:rFonts w:ascii="Arial" w:cs="Arial" w:eastAsia="Arial" w:hAnsi="Arial"/>
                <w:sz w:val="18"/>
                <w:szCs w:val="18"/>
                <w:color w:val="auto"/>
              </w:rPr>
              <w:t>Due between one and five years</w:t>
            </w:r>
          </w:p>
        </w:tc>
        <w:tc>
          <w:tcPr>
            <w:tcW w:w="3640" w:type="dxa"/>
            <w:vAlign w:val="bottom"/>
            <w:gridSpan w:val="2"/>
          </w:tcPr>
          <w:p>
            <w:pPr>
              <w:jc w:val="right"/>
              <w:spacing w:after="0"/>
              <w:rPr>
                <w:sz w:val="20"/>
                <w:szCs w:val="20"/>
                <w:color w:val="auto"/>
              </w:rPr>
            </w:pPr>
            <w:r>
              <w:rPr>
                <w:rFonts w:ascii="Arial" w:cs="Arial" w:eastAsia="Arial" w:hAnsi="Arial"/>
                <w:sz w:val="18"/>
                <w:szCs w:val="18"/>
                <w:color w:val="auto"/>
              </w:rPr>
              <w:t>168,445</w:t>
            </w:r>
          </w:p>
        </w:tc>
        <w:tc>
          <w:tcPr>
            <w:tcW w:w="1080" w:type="dxa"/>
            <w:vAlign w:val="bottom"/>
            <w:gridSpan w:val="2"/>
          </w:tcPr>
          <w:p>
            <w:pPr>
              <w:jc w:val="right"/>
              <w:spacing w:after="0"/>
              <w:rPr>
                <w:sz w:val="20"/>
                <w:szCs w:val="20"/>
                <w:color w:val="auto"/>
              </w:rPr>
            </w:pPr>
            <w:r>
              <w:rPr>
                <w:rFonts w:ascii="Arial" w:cs="Arial" w:eastAsia="Arial" w:hAnsi="Arial"/>
                <w:sz w:val="18"/>
                <w:szCs w:val="18"/>
                <w:color w:val="auto"/>
              </w:rPr>
              <w:t>168,471</w:t>
            </w:r>
          </w:p>
        </w:tc>
        <w:tc>
          <w:tcPr>
            <w:tcW w:w="4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20" w:type="dxa"/>
            <w:vAlign w:val="bottom"/>
            <w:gridSpan w:val="2"/>
          </w:tcPr>
          <w:p>
            <w:pPr>
              <w:jc w:val="right"/>
              <w:ind w:right="200"/>
              <w:spacing w:after="0"/>
              <w:rPr>
                <w:sz w:val="20"/>
                <w:szCs w:val="20"/>
                <w:color w:val="auto"/>
              </w:rPr>
            </w:pPr>
            <w:r>
              <w:rPr>
                <w:rFonts w:ascii="Arial" w:cs="Arial" w:eastAsia="Arial" w:hAnsi="Arial"/>
                <w:sz w:val="18"/>
                <w:szCs w:val="18"/>
                <w:color w:val="auto"/>
              </w:rPr>
              <w:t>5,000</w:t>
            </w:r>
          </w:p>
        </w:tc>
        <w:tc>
          <w:tcPr>
            <w:tcW w:w="2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00" w:type="dxa"/>
            <w:vAlign w:val="bottom"/>
          </w:tcPr>
          <w:p>
            <w:pPr>
              <w:jc w:val="right"/>
              <w:spacing w:after="0"/>
              <w:rPr>
                <w:sz w:val="20"/>
                <w:szCs w:val="20"/>
                <w:color w:val="auto"/>
              </w:rPr>
            </w:pPr>
            <w:r>
              <w:rPr>
                <w:rFonts w:ascii="Arial" w:cs="Arial" w:eastAsia="Arial" w:hAnsi="Arial"/>
                <w:sz w:val="18"/>
                <w:szCs w:val="18"/>
                <w:color w:val="auto"/>
              </w:rPr>
              <w:t>5,000</w:t>
            </w: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3720" w:type="dxa"/>
            <w:vAlign w:val="bottom"/>
            <w:shd w:val="clear" w:color="auto" w:fill="CCEEFF"/>
          </w:tcPr>
          <w:p>
            <w:pPr>
              <w:spacing w:after="0"/>
              <w:rPr>
                <w:sz w:val="20"/>
                <w:szCs w:val="20"/>
                <w:color w:val="auto"/>
              </w:rPr>
            </w:pPr>
            <w:r>
              <w:rPr>
                <w:rFonts w:ascii="Arial" w:cs="Arial" w:eastAsia="Arial" w:hAnsi="Arial"/>
                <w:sz w:val="18"/>
                <w:szCs w:val="18"/>
                <w:color w:val="auto"/>
              </w:rPr>
              <w:t>Due over five years</w:t>
            </w:r>
          </w:p>
        </w:tc>
        <w:tc>
          <w:tcPr>
            <w:tcW w:w="2960" w:type="dxa"/>
            <w:vAlign w:val="bottom"/>
            <w:shd w:val="clear" w:color="auto" w:fill="CCEEFF"/>
          </w:tcPr>
          <w:p>
            <w:pPr>
              <w:spacing w:after="0"/>
              <w:rPr>
                <w:sz w:val="18"/>
                <w:szCs w:val="18"/>
                <w:color w:val="auto"/>
              </w:rPr>
            </w:pPr>
          </w:p>
        </w:tc>
        <w:tc>
          <w:tcPr>
            <w:tcW w:w="68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36,700</w:t>
            </w:r>
          </w:p>
        </w:tc>
        <w:tc>
          <w:tcPr>
            <w:tcW w:w="400" w:type="dxa"/>
            <w:vAlign w:val="bottom"/>
            <w:shd w:val="clear" w:color="auto" w:fill="CCEEFF"/>
          </w:tcPr>
          <w:p>
            <w:pPr>
              <w:spacing w:after="0"/>
              <w:rPr>
                <w:sz w:val="18"/>
                <w:szCs w:val="18"/>
                <w:color w:val="auto"/>
              </w:rPr>
            </w:pPr>
          </w:p>
        </w:tc>
        <w:tc>
          <w:tcPr>
            <w:tcW w:w="68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34,274</w:t>
            </w:r>
          </w:p>
        </w:tc>
        <w:tc>
          <w:tcPr>
            <w:tcW w:w="420" w:type="dxa"/>
            <w:vAlign w:val="bottom"/>
            <w:shd w:val="clear" w:color="auto" w:fill="CCEEFF"/>
          </w:tcPr>
          <w:p>
            <w:pPr>
              <w:spacing w:after="0"/>
              <w:rPr>
                <w:sz w:val="18"/>
                <w:szCs w:val="18"/>
                <w:color w:val="auto"/>
              </w:rPr>
            </w:pPr>
          </w:p>
        </w:tc>
        <w:tc>
          <w:tcPr>
            <w:tcW w:w="100" w:type="dxa"/>
            <w:vAlign w:val="bottom"/>
            <w:tcBorders>
              <w:bottom w:val="single" w:sz="8" w:color="auto"/>
            </w:tcBorders>
            <w:shd w:val="clear" w:color="auto" w:fill="CCEEFF"/>
          </w:tcPr>
          <w:p>
            <w:pPr>
              <w:spacing w:after="0"/>
              <w:rPr>
                <w:sz w:val="18"/>
                <w:szCs w:val="18"/>
                <w:color w:val="auto"/>
              </w:rPr>
            </w:pPr>
          </w:p>
        </w:tc>
        <w:tc>
          <w:tcPr>
            <w:tcW w:w="52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90"/>
              </w:rPr>
              <w:t>36,850</w:t>
            </w:r>
          </w:p>
        </w:tc>
        <w:tc>
          <w:tcPr>
            <w:tcW w:w="20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100" w:type="dxa"/>
            <w:vAlign w:val="bottom"/>
            <w:tcBorders>
              <w:bottom w:val="single" w:sz="8" w:color="auto"/>
            </w:tcBorders>
            <w:shd w:val="clear" w:color="auto" w:fill="CCEEFF"/>
          </w:tcPr>
          <w:p>
            <w:pPr>
              <w:spacing w:after="0"/>
              <w:rPr>
                <w:sz w:val="18"/>
                <w:szCs w:val="18"/>
                <w:color w:val="auto"/>
              </w:rPr>
            </w:pPr>
          </w:p>
        </w:tc>
        <w:tc>
          <w:tcPr>
            <w:tcW w:w="5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87"/>
              </w:rPr>
              <w:t>35,541</w:t>
            </w: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21"/>
        </w:trPr>
        <w:tc>
          <w:tcPr>
            <w:tcW w:w="3720" w:type="dxa"/>
            <w:vAlign w:val="bottom"/>
          </w:tcPr>
          <w:p>
            <w:pPr>
              <w:spacing w:after="0"/>
              <w:rPr>
                <w:sz w:val="19"/>
                <w:szCs w:val="19"/>
                <w:color w:val="auto"/>
              </w:rPr>
            </w:pPr>
          </w:p>
        </w:tc>
        <w:tc>
          <w:tcPr>
            <w:tcW w:w="3640" w:type="dxa"/>
            <w:vAlign w:val="bottom"/>
            <w:gridSpan w:val="2"/>
          </w:tcPr>
          <w:p>
            <w:pPr>
              <w:jc w:val="right"/>
              <w:spacing w:after="0"/>
              <w:rPr>
                <w:sz w:val="20"/>
                <w:szCs w:val="20"/>
                <w:color w:val="auto"/>
              </w:rPr>
            </w:pPr>
            <w:r>
              <w:rPr>
                <w:rFonts w:ascii="Arial" w:cs="Arial" w:eastAsia="Arial" w:hAnsi="Arial"/>
                <w:sz w:val="18"/>
                <w:szCs w:val="18"/>
                <w:u w:val="single" w:color="auto"/>
                <w:color w:val="auto"/>
              </w:rPr>
              <w:t>$</w:t>
            </w:r>
            <w:r>
              <w:rPr>
                <w:rFonts w:ascii="Arial" w:cs="Arial" w:eastAsia="Arial" w:hAnsi="Arial"/>
                <w:sz w:val="18"/>
                <w:szCs w:val="18"/>
                <w:color w:val="auto"/>
              </w:rPr>
              <w:t>458,538</w:t>
            </w:r>
          </w:p>
        </w:tc>
        <w:tc>
          <w:tcPr>
            <w:tcW w:w="1080" w:type="dxa"/>
            <w:vAlign w:val="bottom"/>
            <w:gridSpan w:val="2"/>
          </w:tcPr>
          <w:p>
            <w:pPr>
              <w:jc w:val="right"/>
              <w:spacing w:after="0"/>
              <w:rPr>
                <w:sz w:val="20"/>
                <w:szCs w:val="20"/>
                <w:color w:val="auto"/>
              </w:rPr>
            </w:pPr>
            <w:r>
              <w:rPr>
                <w:rFonts w:ascii="Arial" w:cs="Arial" w:eastAsia="Arial" w:hAnsi="Arial"/>
                <w:sz w:val="18"/>
                <w:szCs w:val="18"/>
                <w:u w:val="single" w:color="auto"/>
                <w:color w:val="auto"/>
              </w:rPr>
              <w:t>$</w:t>
            </w:r>
            <w:r>
              <w:rPr>
                <w:rFonts w:ascii="Arial" w:cs="Arial" w:eastAsia="Arial" w:hAnsi="Arial"/>
                <w:sz w:val="18"/>
                <w:szCs w:val="18"/>
                <w:color w:val="auto"/>
              </w:rPr>
              <w:t>456,066</w:t>
            </w:r>
          </w:p>
        </w:tc>
        <w:tc>
          <w:tcPr>
            <w:tcW w:w="520" w:type="dxa"/>
            <w:vAlign w:val="bottom"/>
            <w:gridSpan w:val="2"/>
          </w:tcPr>
          <w:p>
            <w:pPr>
              <w:ind w:left="420"/>
              <w:spacing w:after="0"/>
              <w:rPr>
                <w:sz w:val="20"/>
                <w:szCs w:val="20"/>
                <w:color w:val="auto"/>
              </w:rPr>
            </w:pPr>
            <w:r>
              <w:rPr>
                <w:rFonts w:ascii="Arial" w:cs="Arial" w:eastAsia="Arial" w:hAnsi="Arial"/>
                <w:sz w:val="18"/>
                <w:szCs w:val="18"/>
                <w:color w:val="auto"/>
                <w:w w:val="79"/>
              </w:rPr>
              <w:t>$</w:t>
            </w:r>
          </w:p>
        </w:tc>
        <w:tc>
          <w:tcPr>
            <w:tcW w:w="720" w:type="dxa"/>
            <w:vAlign w:val="bottom"/>
            <w:gridSpan w:val="2"/>
          </w:tcPr>
          <w:p>
            <w:pPr>
              <w:jc w:val="right"/>
              <w:ind w:right="200"/>
              <w:spacing w:after="0"/>
              <w:rPr>
                <w:sz w:val="20"/>
                <w:szCs w:val="20"/>
                <w:color w:val="auto"/>
              </w:rPr>
            </w:pPr>
            <w:r>
              <w:rPr>
                <w:rFonts w:ascii="Arial" w:cs="Arial" w:eastAsia="Arial" w:hAnsi="Arial"/>
                <w:sz w:val="18"/>
                <w:szCs w:val="18"/>
                <w:color w:val="auto"/>
                <w:w w:val="90"/>
              </w:rPr>
              <w:t>41,850</w:t>
            </w:r>
          </w:p>
        </w:tc>
        <w:tc>
          <w:tcPr>
            <w:tcW w:w="320" w:type="dxa"/>
            <w:vAlign w:val="bottom"/>
            <w:gridSpan w:val="2"/>
          </w:tcPr>
          <w:p>
            <w:pPr>
              <w:ind w:left="220"/>
              <w:spacing w:after="0"/>
              <w:rPr>
                <w:sz w:val="20"/>
                <w:szCs w:val="20"/>
                <w:color w:val="auto"/>
              </w:rPr>
            </w:pPr>
            <w:r>
              <w:rPr>
                <w:rFonts w:ascii="Arial" w:cs="Arial" w:eastAsia="Arial" w:hAnsi="Arial"/>
                <w:sz w:val="18"/>
                <w:szCs w:val="18"/>
                <w:color w:val="auto"/>
                <w:w w:val="79"/>
              </w:rPr>
              <w:t>$</w:t>
            </w:r>
          </w:p>
        </w:tc>
        <w:tc>
          <w:tcPr>
            <w:tcW w:w="520" w:type="dxa"/>
            <w:vAlign w:val="bottom"/>
            <w:gridSpan w:val="2"/>
          </w:tcPr>
          <w:p>
            <w:pPr>
              <w:jc w:val="right"/>
              <w:ind w:right="20"/>
              <w:spacing w:after="0"/>
              <w:rPr>
                <w:sz w:val="20"/>
                <w:szCs w:val="20"/>
                <w:color w:val="auto"/>
              </w:rPr>
            </w:pPr>
            <w:r>
              <w:rPr>
                <w:rFonts w:ascii="Arial" w:cs="Arial" w:eastAsia="Arial" w:hAnsi="Arial"/>
                <w:sz w:val="18"/>
                <w:szCs w:val="18"/>
                <w:color w:val="auto"/>
                <w:w w:val="87"/>
              </w:rPr>
              <w:t>40,541</w:t>
            </w:r>
          </w:p>
        </w:tc>
        <w:tc>
          <w:tcPr>
            <w:tcW w:w="0" w:type="dxa"/>
            <w:vAlign w:val="bottom"/>
          </w:tcPr>
          <w:p>
            <w:pPr>
              <w:spacing w:after="0"/>
              <w:rPr>
                <w:sz w:val="1"/>
                <w:szCs w:val="1"/>
                <w:color w:val="auto"/>
              </w:rPr>
            </w:pPr>
          </w:p>
        </w:tc>
      </w:tr>
      <w:tr>
        <w:trPr>
          <w:trHeight w:val="20"/>
        </w:trPr>
        <w:tc>
          <w:tcPr>
            <w:tcW w:w="3720" w:type="dxa"/>
            <w:vAlign w:val="bottom"/>
          </w:tcPr>
          <w:p>
            <w:pPr>
              <w:spacing w:after="0" w:line="20" w:lineRule="exact"/>
              <w:rPr>
                <w:sz w:val="1"/>
                <w:szCs w:val="1"/>
                <w:color w:val="auto"/>
              </w:rPr>
            </w:pPr>
          </w:p>
        </w:tc>
        <w:tc>
          <w:tcPr>
            <w:tcW w:w="2960" w:type="dxa"/>
            <w:vAlign w:val="bottom"/>
            <w:vMerge w:val="restart"/>
          </w:tcPr>
          <w:p>
            <w:pPr>
              <w:jc w:val="right"/>
              <w:ind w:right="1252"/>
              <w:spacing w:after="0"/>
              <w:rPr>
                <w:sz w:val="20"/>
                <w:szCs w:val="20"/>
                <w:color w:val="auto"/>
              </w:rPr>
            </w:pPr>
            <w:r>
              <w:rPr>
                <w:rFonts w:ascii="Arial" w:cs="Arial" w:eastAsia="Arial" w:hAnsi="Arial"/>
                <w:sz w:val="18"/>
                <w:szCs w:val="18"/>
                <w:color w:val="auto"/>
              </w:rPr>
              <w:t>11</w:t>
            </w:r>
          </w:p>
        </w:tc>
        <w:tc>
          <w:tcPr>
            <w:tcW w:w="680" w:type="dxa"/>
            <w:vAlign w:val="bottom"/>
            <w:tcBorders>
              <w:top w:val="single" w:sz="8" w:color="auto"/>
              <w:bottom w:val="single" w:sz="8" w:color="auto"/>
            </w:tcBorders>
          </w:tcPr>
          <w:p>
            <w:pPr>
              <w:spacing w:after="0" w:line="20" w:lineRule="exact"/>
              <w:rPr>
                <w:sz w:val="1"/>
                <w:szCs w:val="1"/>
                <w:color w:val="auto"/>
              </w:rPr>
            </w:pPr>
          </w:p>
        </w:tc>
        <w:tc>
          <w:tcPr>
            <w:tcW w:w="400" w:type="dxa"/>
            <w:vAlign w:val="bottom"/>
          </w:tcPr>
          <w:p>
            <w:pPr>
              <w:spacing w:after="0" w:line="20" w:lineRule="exact"/>
              <w:rPr>
                <w:sz w:val="1"/>
                <w:szCs w:val="1"/>
                <w:color w:val="auto"/>
              </w:rPr>
            </w:pPr>
          </w:p>
        </w:tc>
        <w:tc>
          <w:tcPr>
            <w:tcW w:w="680" w:type="dxa"/>
            <w:vAlign w:val="bottom"/>
            <w:tcBorders>
              <w:top w:val="single" w:sz="8" w:color="auto"/>
              <w:bottom w:val="single" w:sz="8" w:color="auto"/>
            </w:tcBorders>
          </w:tcPr>
          <w:p>
            <w:pPr>
              <w:spacing w:after="0" w:line="20" w:lineRule="exact"/>
              <w:rPr>
                <w:sz w:val="1"/>
                <w:szCs w:val="1"/>
                <w:color w:val="auto"/>
              </w:rPr>
            </w:pPr>
          </w:p>
        </w:tc>
        <w:tc>
          <w:tcPr>
            <w:tcW w:w="42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20" w:type="dxa"/>
            <w:vAlign w:val="bottom"/>
            <w:tcBorders>
              <w:top w:val="single" w:sz="8" w:color="auto"/>
              <w:bottom w:val="single" w:sz="8" w:color="auto"/>
            </w:tcBorders>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00" w:type="dxa"/>
            <w:vAlign w:val="bottom"/>
            <w:tcBorders>
              <w:top w:val="single" w:sz="8" w:color="auto"/>
              <w:bottom w:val="single" w:sz="8" w:color="auto"/>
            </w:tcBorders>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359"/>
        </w:trPr>
        <w:tc>
          <w:tcPr>
            <w:tcW w:w="3720" w:type="dxa"/>
            <w:vAlign w:val="bottom"/>
          </w:tcPr>
          <w:p>
            <w:pPr>
              <w:spacing w:after="0"/>
              <w:rPr>
                <w:sz w:val="24"/>
                <w:szCs w:val="24"/>
                <w:color w:val="auto"/>
              </w:rPr>
            </w:pPr>
          </w:p>
        </w:tc>
        <w:tc>
          <w:tcPr>
            <w:tcW w:w="2960" w:type="dxa"/>
            <w:vAlign w:val="bottom"/>
            <w:vMerge w:val="continue"/>
          </w:tcPr>
          <w:p>
            <w:pPr>
              <w:spacing w:after="0"/>
              <w:rPr>
                <w:sz w:val="24"/>
                <w:szCs w:val="24"/>
                <w:color w:val="auto"/>
              </w:rPr>
            </w:pPr>
          </w:p>
        </w:tc>
        <w:tc>
          <w:tcPr>
            <w:tcW w:w="680" w:type="dxa"/>
            <w:vAlign w:val="bottom"/>
          </w:tcPr>
          <w:p>
            <w:pPr>
              <w:spacing w:after="0"/>
              <w:rPr>
                <w:sz w:val="24"/>
                <w:szCs w:val="24"/>
                <w:color w:val="auto"/>
              </w:rPr>
            </w:pPr>
          </w:p>
        </w:tc>
        <w:tc>
          <w:tcPr>
            <w:tcW w:w="400" w:type="dxa"/>
            <w:vAlign w:val="bottom"/>
          </w:tcPr>
          <w:p>
            <w:pPr>
              <w:spacing w:after="0"/>
              <w:rPr>
                <w:sz w:val="24"/>
                <w:szCs w:val="24"/>
                <w:color w:val="auto"/>
              </w:rPr>
            </w:pPr>
          </w:p>
        </w:tc>
        <w:tc>
          <w:tcPr>
            <w:tcW w:w="680" w:type="dxa"/>
            <w:vAlign w:val="bottom"/>
          </w:tcPr>
          <w:p>
            <w:pPr>
              <w:spacing w:after="0"/>
              <w:rPr>
                <w:sz w:val="24"/>
                <w:szCs w:val="24"/>
                <w:color w:val="auto"/>
              </w:rPr>
            </w:pPr>
          </w:p>
        </w:tc>
        <w:tc>
          <w:tcPr>
            <w:tcW w:w="4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52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50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0" w:type="dxa"/>
            <w:vAlign w:val="bottom"/>
          </w:tcPr>
          <w:p>
            <w:pPr>
              <w:spacing w:after="0"/>
              <w:rPr>
                <w:sz w:val="1"/>
                <w:szCs w:val="1"/>
                <w:color w:val="auto"/>
              </w:rPr>
            </w:pPr>
          </w:p>
        </w:tc>
      </w:tr>
    </w:tbl>
    <w:p>
      <w:pPr>
        <w:sectPr>
          <w:pgSz w:w="11900" w:h="16838" w:orient="portrait"/>
          <w:cols w:equalWidth="0" w:num="1">
            <w:col w:w="11380"/>
          </w:cols>
          <w:pgMar w:left="240" w:top="459" w:right="279" w:bottom="1440" w:gutter="0" w:footer="0" w:header="0"/>
        </w:sectPr>
      </w:pPr>
    </w:p>
    <w:bookmarkStart w:id="11" w:name="page12"/>
    <w:bookmarkEnd w:id="11"/>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26">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MARVELL TECHNOLOGY GROUP LTD.</w:t>
      </w:r>
    </w:p>
    <w:p>
      <w:pPr>
        <w:spacing w:after="0" w:line="90"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NOTES TO UNAUDITED CONDENSED CONSOLIDATED FINANCIAL STATEMENTS—(Continued)</w:t>
      </w:r>
    </w:p>
    <w:p>
      <w:pPr>
        <w:spacing w:after="0" w:line="164" w:lineRule="exact"/>
        <w:rPr>
          <w:sz w:val="20"/>
          <w:szCs w:val="20"/>
          <w:color w:val="auto"/>
        </w:rPr>
      </w:pPr>
    </w:p>
    <w:p>
      <w:pPr>
        <w:ind w:right="300" w:firstLine="456"/>
        <w:spacing w:after="0" w:line="268" w:lineRule="auto"/>
        <w:rPr>
          <w:sz w:val="20"/>
          <w:szCs w:val="20"/>
          <w:color w:val="auto"/>
        </w:rPr>
      </w:pPr>
      <w:r>
        <w:rPr>
          <w:rFonts w:ascii="Arial" w:cs="Arial" w:eastAsia="Arial" w:hAnsi="Arial"/>
          <w:sz w:val="18"/>
          <w:szCs w:val="18"/>
          <w:color w:val="auto"/>
        </w:rPr>
        <w:t>The following table shows the investments’ gross unrealized losses and fair value, aggregated by investment category and length of time that individual securities have been in a continuous unrealized loss position (in thousands):</w:t>
      </w:r>
    </w:p>
    <w:p>
      <w:pPr>
        <w:spacing w:after="0" w:line="168"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6180" w:type="dxa"/>
            <w:vAlign w:val="bottom"/>
          </w:tcPr>
          <w:p>
            <w:pPr>
              <w:spacing w:after="0"/>
              <w:rPr>
                <w:sz w:val="14"/>
                <w:szCs w:val="14"/>
                <w:color w:val="auto"/>
              </w:rPr>
            </w:pPr>
          </w:p>
        </w:tc>
        <w:tc>
          <w:tcPr>
            <w:tcW w:w="400" w:type="dxa"/>
            <w:vAlign w:val="bottom"/>
            <w:tcBorders>
              <w:bottom w:val="single" w:sz="8" w:color="auto"/>
            </w:tcBorders>
          </w:tcPr>
          <w:p>
            <w:pPr>
              <w:spacing w:after="0"/>
              <w:rPr>
                <w:sz w:val="14"/>
                <w:szCs w:val="14"/>
                <w:color w:val="auto"/>
              </w:rPr>
            </w:pPr>
          </w:p>
        </w:tc>
        <w:tc>
          <w:tcPr>
            <w:tcW w:w="280" w:type="dxa"/>
            <w:vAlign w:val="bottom"/>
            <w:tcBorders>
              <w:bottom w:val="single" w:sz="8" w:color="auto"/>
            </w:tcBorders>
          </w:tcPr>
          <w:p>
            <w:pPr>
              <w:spacing w:after="0"/>
              <w:rPr>
                <w:sz w:val="14"/>
                <w:szCs w:val="14"/>
                <w:color w:val="auto"/>
              </w:rPr>
            </w:pPr>
          </w:p>
        </w:tc>
        <w:tc>
          <w:tcPr>
            <w:tcW w:w="120" w:type="dxa"/>
            <w:vAlign w:val="bottom"/>
            <w:tcBorders>
              <w:bottom w:val="single" w:sz="8" w:color="auto"/>
            </w:tcBorders>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120" w:type="dxa"/>
            <w:vAlign w:val="bottom"/>
            <w:tcBorders>
              <w:bottom w:val="single" w:sz="8" w:color="auto"/>
            </w:tcBorders>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400" w:type="dxa"/>
            <w:vAlign w:val="bottom"/>
            <w:tcBorders>
              <w:bottom w:val="single" w:sz="8" w:color="auto"/>
            </w:tcBorders>
          </w:tcPr>
          <w:p>
            <w:pPr>
              <w:spacing w:after="0"/>
              <w:rPr>
                <w:sz w:val="14"/>
                <w:szCs w:val="14"/>
                <w:color w:val="auto"/>
              </w:rPr>
            </w:pPr>
          </w:p>
        </w:tc>
        <w:tc>
          <w:tcPr>
            <w:tcW w:w="220" w:type="dxa"/>
            <w:vAlign w:val="bottom"/>
            <w:tcBorders>
              <w:bottom w:val="single" w:sz="8" w:color="auto"/>
            </w:tcBorders>
          </w:tcPr>
          <w:p>
            <w:pPr>
              <w:spacing w:after="0"/>
              <w:rPr>
                <w:sz w:val="14"/>
                <w:szCs w:val="14"/>
                <w:color w:val="auto"/>
              </w:rPr>
            </w:pPr>
          </w:p>
        </w:tc>
        <w:tc>
          <w:tcPr>
            <w:tcW w:w="120" w:type="dxa"/>
            <w:vAlign w:val="bottom"/>
            <w:tcBorders>
              <w:bottom w:val="single" w:sz="8" w:color="auto"/>
            </w:tcBorders>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1560" w:type="dxa"/>
            <w:vAlign w:val="bottom"/>
            <w:tcBorders>
              <w:bottom w:val="single" w:sz="8" w:color="auto"/>
            </w:tcBorders>
            <w:gridSpan w:val="8"/>
          </w:tcPr>
          <w:p>
            <w:pPr>
              <w:ind w:left="120"/>
              <w:spacing w:after="0"/>
              <w:rPr>
                <w:sz w:val="20"/>
                <w:szCs w:val="20"/>
                <w:color w:val="auto"/>
              </w:rPr>
            </w:pPr>
            <w:r>
              <w:rPr>
                <w:rFonts w:ascii="Arial" w:cs="Arial" w:eastAsia="Arial" w:hAnsi="Arial"/>
                <w:sz w:val="14"/>
                <w:szCs w:val="14"/>
                <w:b w:val="1"/>
                <w:bCs w:val="1"/>
                <w:color w:val="auto"/>
              </w:rPr>
              <w:t>October 31, 2009</w:t>
            </w:r>
          </w:p>
        </w:tc>
        <w:tc>
          <w:tcPr>
            <w:tcW w:w="80" w:type="dxa"/>
            <w:vAlign w:val="bottom"/>
            <w:tcBorders>
              <w:bottom w:val="single" w:sz="8" w:color="auto"/>
            </w:tcBorders>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580" w:type="dxa"/>
            <w:vAlign w:val="bottom"/>
            <w:tcBorders>
              <w:bottom w:val="single" w:sz="8" w:color="auto"/>
            </w:tcBorders>
          </w:tcPr>
          <w:p>
            <w:pPr>
              <w:spacing w:after="0"/>
              <w:rPr>
                <w:sz w:val="14"/>
                <w:szCs w:val="14"/>
                <w:color w:val="auto"/>
              </w:rPr>
            </w:pPr>
          </w:p>
        </w:tc>
        <w:tc>
          <w:tcPr>
            <w:tcW w:w="220" w:type="dxa"/>
            <w:vAlign w:val="bottom"/>
            <w:tcBorders>
              <w:bottom w:val="single" w:sz="8" w:color="auto"/>
            </w:tcBorders>
          </w:tcPr>
          <w:p>
            <w:pPr>
              <w:spacing w:after="0"/>
              <w:rPr>
                <w:sz w:val="14"/>
                <w:szCs w:val="14"/>
                <w:color w:val="auto"/>
              </w:rPr>
            </w:pPr>
          </w:p>
        </w:tc>
        <w:tc>
          <w:tcPr>
            <w:tcW w:w="140" w:type="dxa"/>
            <w:vAlign w:val="bottom"/>
            <w:tcBorders>
              <w:bottom w:val="single" w:sz="8" w:color="auto"/>
            </w:tcBorders>
          </w:tcPr>
          <w:p>
            <w:pPr>
              <w:spacing w:after="0"/>
              <w:rPr>
                <w:sz w:val="14"/>
                <w:szCs w:val="14"/>
                <w:color w:val="auto"/>
              </w:rPr>
            </w:pPr>
          </w:p>
        </w:tc>
        <w:tc>
          <w:tcPr>
            <w:tcW w:w="500" w:type="dxa"/>
            <w:vAlign w:val="bottom"/>
            <w:tcBorders>
              <w:bottom w:val="single" w:sz="8" w:color="auto"/>
            </w:tcBorders>
          </w:tcPr>
          <w:p>
            <w:pPr>
              <w:spacing w:after="0"/>
              <w:rPr>
                <w:sz w:val="14"/>
                <w:szCs w:val="14"/>
                <w:color w:val="auto"/>
              </w:rPr>
            </w:pPr>
          </w:p>
        </w:tc>
        <w:tc>
          <w:tcPr>
            <w:tcW w:w="1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42"/>
        </w:trPr>
        <w:tc>
          <w:tcPr>
            <w:tcW w:w="6180" w:type="dxa"/>
            <w:vAlign w:val="bottom"/>
          </w:tcPr>
          <w:p>
            <w:pPr>
              <w:spacing w:after="0"/>
              <w:rPr>
                <w:sz w:val="12"/>
                <w:szCs w:val="12"/>
                <w:color w:val="auto"/>
              </w:rPr>
            </w:pPr>
          </w:p>
        </w:tc>
        <w:tc>
          <w:tcPr>
            <w:tcW w:w="1860" w:type="dxa"/>
            <w:vAlign w:val="bottom"/>
            <w:gridSpan w:val="9"/>
          </w:tcPr>
          <w:p>
            <w:pPr>
              <w:ind w:left="180"/>
              <w:spacing w:after="0" w:line="142" w:lineRule="exact"/>
              <w:rPr>
                <w:sz w:val="20"/>
                <w:szCs w:val="20"/>
                <w:color w:val="auto"/>
              </w:rPr>
            </w:pPr>
            <w:r>
              <w:rPr>
                <w:rFonts w:ascii="Arial" w:cs="Arial" w:eastAsia="Arial" w:hAnsi="Arial"/>
                <w:sz w:val="14"/>
                <w:szCs w:val="14"/>
                <w:b w:val="1"/>
                <w:bCs w:val="1"/>
                <w:color w:val="auto"/>
              </w:rPr>
              <w:t>Less than 12 months</w:t>
            </w:r>
          </w:p>
        </w:tc>
        <w:tc>
          <w:tcPr>
            <w:tcW w:w="100" w:type="dxa"/>
            <w:vAlign w:val="bottom"/>
          </w:tcPr>
          <w:p>
            <w:pPr>
              <w:spacing w:after="0"/>
              <w:rPr>
                <w:sz w:val="12"/>
                <w:szCs w:val="12"/>
                <w:color w:val="auto"/>
              </w:rPr>
            </w:pPr>
          </w:p>
        </w:tc>
        <w:tc>
          <w:tcPr>
            <w:tcW w:w="1560" w:type="dxa"/>
            <w:vAlign w:val="bottom"/>
            <w:gridSpan w:val="8"/>
          </w:tcPr>
          <w:p>
            <w:pPr>
              <w:ind w:left="60"/>
              <w:spacing w:after="0" w:line="142" w:lineRule="exact"/>
              <w:rPr>
                <w:sz w:val="20"/>
                <w:szCs w:val="20"/>
                <w:color w:val="auto"/>
              </w:rPr>
            </w:pPr>
            <w:r>
              <w:rPr>
                <w:rFonts w:ascii="Arial" w:cs="Arial" w:eastAsia="Arial" w:hAnsi="Arial"/>
                <w:sz w:val="14"/>
                <w:szCs w:val="14"/>
                <w:b w:val="1"/>
                <w:bCs w:val="1"/>
                <w:color w:val="auto"/>
              </w:rPr>
              <w:t>12 months or more</w:t>
            </w:r>
          </w:p>
        </w:tc>
        <w:tc>
          <w:tcPr>
            <w:tcW w:w="8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940" w:type="dxa"/>
            <w:vAlign w:val="bottom"/>
            <w:gridSpan w:val="3"/>
          </w:tcPr>
          <w:p>
            <w:pPr>
              <w:ind w:left="520"/>
              <w:spacing w:after="0" w:line="142" w:lineRule="exact"/>
              <w:rPr>
                <w:sz w:val="20"/>
                <w:szCs w:val="20"/>
                <w:color w:val="auto"/>
              </w:rPr>
            </w:pPr>
            <w:r>
              <w:rPr>
                <w:rFonts w:ascii="Arial" w:cs="Arial" w:eastAsia="Arial" w:hAnsi="Arial"/>
                <w:sz w:val="14"/>
                <w:szCs w:val="14"/>
                <w:b w:val="1"/>
                <w:bCs w:val="1"/>
                <w:color w:val="auto"/>
              </w:rPr>
              <w:t>Total</w:t>
            </w:r>
          </w:p>
        </w:tc>
        <w:tc>
          <w:tcPr>
            <w:tcW w:w="50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29"/>
        </w:trPr>
        <w:tc>
          <w:tcPr>
            <w:tcW w:w="6180" w:type="dxa"/>
            <w:vAlign w:val="bottom"/>
          </w:tcPr>
          <w:p>
            <w:pPr>
              <w:spacing w:after="0"/>
              <w:rPr>
                <w:sz w:val="11"/>
                <w:szCs w:val="11"/>
                <w:color w:val="auto"/>
              </w:rPr>
            </w:pPr>
          </w:p>
        </w:tc>
        <w:tc>
          <w:tcPr>
            <w:tcW w:w="800" w:type="dxa"/>
            <w:vAlign w:val="bottom"/>
            <w:tcBorders>
              <w:top w:val="single" w:sz="8" w:color="auto"/>
            </w:tcBorders>
            <w:gridSpan w:val="3"/>
          </w:tcPr>
          <w:p>
            <w:pPr>
              <w:ind w:left="220"/>
              <w:spacing w:after="0" w:line="129" w:lineRule="exact"/>
              <w:rPr>
                <w:sz w:val="20"/>
                <w:szCs w:val="20"/>
                <w:color w:val="auto"/>
              </w:rPr>
            </w:pPr>
            <w:r>
              <w:rPr>
                <w:rFonts w:ascii="Arial" w:cs="Arial" w:eastAsia="Arial" w:hAnsi="Arial"/>
                <w:sz w:val="14"/>
                <w:szCs w:val="14"/>
                <w:b w:val="1"/>
                <w:bCs w:val="1"/>
                <w:color w:val="auto"/>
              </w:rPr>
              <w:t>Fair</w:t>
            </w:r>
          </w:p>
        </w:tc>
        <w:tc>
          <w:tcPr>
            <w:tcW w:w="100" w:type="dxa"/>
            <w:vAlign w:val="bottom"/>
            <w:tcBorders>
              <w:top w:val="single" w:sz="8" w:color="auto"/>
            </w:tcBorders>
          </w:tcPr>
          <w:p>
            <w:pPr>
              <w:spacing w:after="0"/>
              <w:rPr>
                <w:sz w:val="11"/>
                <w:szCs w:val="11"/>
                <w:color w:val="auto"/>
              </w:rPr>
            </w:pPr>
          </w:p>
        </w:tc>
        <w:tc>
          <w:tcPr>
            <w:tcW w:w="620" w:type="dxa"/>
            <w:vAlign w:val="bottom"/>
            <w:tcBorders>
              <w:top w:val="single" w:sz="8" w:color="auto"/>
            </w:tcBorders>
            <w:gridSpan w:val="3"/>
          </w:tcPr>
          <w:p>
            <w:pPr>
              <w:spacing w:after="0" w:line="129" w:lineRule="exact"/>
              <w:rPr>
                <w:sz w:val="20"/>
                <w:szCs w:val="20"/>
                <w:color w:val="auto"/>
              </w:rPr>
            </w:pPr>
            <w:r>
              <w:rPr>
                <w:rFonts w:ascii="Arial" w:cs="Arial" w:eastAsia="Arial" w:hAnsi="Arial"/>
                <w:sz w:val="14"/>
                <w:szCs w:val="14"/>
                <w:b w:val="1"/>
                <w:bCs w:val="1"/>
                <w:color w:val="auto"/>
                <w:w w:val="84"/>
              </w:rPr>
              <w:t>Unrealized</w:t>
            </w:r>
          </w:p>
        </w:tc>
        <w:tc>
          <w:tcPr>
            <w:tcW w:w="22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100" w:type="dxa"/>
            <w:vAlign w:val="bottom"/>
            <w:tcBorders>
              <w:top w:val="single" w:sz="8" w:color="auto"/>
            </w:tcBorders>
          </w:tcPr>
          <w:p>
            <w:pPr>
              <w:spacing w:after="0"/>
              <w:rPr>
                <w:sz w:val="11"/>
                <w:szCs w:val="11"/>
                <w:color w:val="auto"/>
              </w:rPr>
            </w:pPr>
          </w:p>
        </w:tc>
        <w:tc>
          <w:tcPr>
            <w:tcW w:w="680" w:type="dxa"/>
            <w:vAlign w:val="bottom"/>
            <w:tcBorders>
              <w:top w:val="single" w:sz="8" w:color="auto"/>
            </w:tcBorders>
            <w:gridSpan w:val="3"/>
          </w:tcPr>
          <w:p>
            <w:pPr>
              <w:ind w:left="60"/>
              <w:spacing w:after="0" w:line="129" w:lineRule="exact"/>
              <w:rPr>
                <w:sz w:val="20"/>
                <w:szCs w:val="20"/>
                <w:color w:val="auto"/>
              </w:rPr>
            </w:pPr>
            <w:r>
              <w:rPr>
                <w:rFonts w:ascii="Arial" w:cs="Arial" w:eastAsia="Arial" w:hAnsi="Arial"/>
                <w:sz w:val="14"/>
                <w:szCs w:val="14"/>
                <w:b w:val="1"/>
                <w:bCs w:val="1"/>
                <w:color w:val="auto"/>
              </w:rPr>
              <w:t>Fair</w:t>
            </w:r>
          </w:p>
        </w:tc>
        <w:tc>
          <w:tcPr>
            <w:tcW w:w="640" w:type="dxa"/>
            <w:vAlign w:val="bottom"/>
            <w:tcBorders>
              <w:top w:val="single" w:sz="8" w:color="auto"/>
            </w:tcBorders>
            <w:gridSpan w:val="3"/>
          </w:tcPr>
          <w:p>
            <w:pPr>
              <w:ind w:left="20"/>
              <w:spacing w:after="0" w:line="129" w:lineRule="exact"/>
              <w:rPr>
                <w:sz w:val="20"/>
                <w:szCs w:val="20"/>
                <w:color w:val="auto"/>
              </w:rPr>
            </w:pPr>
            <w:r>
              <w:rPr>
                <w:rFonts w:ascii="Arial" w:cs="Arial" w:eastAsia="Arial" w:hAnsi="Arial"/>
                <w:sz w:val="14"/>
                <w:szCs w:val="14"/>
                <w:b w:val="1"/>
                <w:bCs w:val="1"/>
                <w:color w:val="auto"/>
                <w:w w:val="84"/>
              </w:rPr>
              <w:t>Unrealized</w:t>
            </w:r>
          </w:p>
        </w:tc>
        <w:tc>
          <w:tcPr>
            <w:tcW w:w="10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100" w:type="dxa"/>
            <w:vAlign w:val="bottom"/>
            <w:tcBorders>
              <w:top w:val="single" w:sz="8" w:color="auto"/>
            </w:tcBorders>
          </w:tcPr>
          <w:p>
            <w:pPr>
              <w:spacing w:after="0"/>
              <w:rPr>
                <w:sz w:val="11"/>
                <w:szCs w:val="11"/>
                <w:color w:val="auto"/>
              </w:rPr>
            </w:pPr>
          </w:p>
        </w:tc>
        <w:tc>
          <w:tcPr>
            <w:tcW w:w="580" w:type="dxa"/>
            <w:vAlign w:val="bottom"/>
            <w:tcBorders>
              <w:top w:val="single" w:sz="8" w:color="auto"/>
            </w:tcBorders>
          </w:tcPr>
          <w:p>
            <w:pPr>
              <w:jc w:val="right"/>
              <w:ind w:right="152"/>
              <w:spacing w:after="0" w:line="129" w:lineRule="exact"/>
              <w:rPr>
                <w:sz w:val="20"/>
                <w:szCs w:val="20"/>
                <w:color w:val="auto"/>
              </w:rPr>
            </w:pPr>
            <w:r>
              <w:rPr>
                <w:rFonts w:ascii="Arial" w:cs="Arial" w:eastAsia="Arial" w:hAnsi="Arial"/>
                <w:sz w:val="14"/>
                <w:szCs w:val="14"/>
                <w:b w:val="1"/>
                <w:bCs w:val="1"/>
                <w:color w:val="auto"/>
              </w:rPr>
              <w:t>Fair</w:t>
            </w:r>
          </w:p>
        </w:tc>
        <w:tc>
          <w:tcPr>
            <w:tcW w:w="220" w:type="dxa"/>
            <w:vAlign w:val="bottom"/>
            <w:tcBorders>
              <w:top w:val="single" w:sz="8" w:color="auto"/>
            </w:tcBorders>
          </w:tcPr>
          <w:p>
            <w:pPr>
              <w:spacing w:after="0"/>
              <w:rPr>
                <w:sz w:val="11"/>
                <w:szCs w:val="11"/>
                <w:color w:val="auto"/>
              </w:rPr>
            </w:pPr>
          </w:p>
        </w:tc>
        <w:tc>
          <w:tcPr>
            <w:tcW w:w="640" w:type="dxa"/>
            <w:vAlign w:val="bottom"/>
            <w:tcBorders>
              <w:top w:val="single" w:sz="8" w:color="auto"/>
            </w:tcBorders>
            <w:gridSpan w:val="2"/>
          </w:tcPr>
          <w:p>
            <w:pPr>
              <w:spacing w:after="0" w:line="129" w:lineRule="exact"/>
              <w:rPr>
                <w:sz w:val="20"/>
                <w:szCs w:val="20"/>
                <w:color w:val="auto"/>
              </w:rPr>
            </w:pPr>
            <w:r>
              <w:rPr>
                <w:rFonts w:ascii="Arial" w:cs="Arial" w:eastAsia="Arial" w:hAnsi="Arial"/>
                <w:sz w:val="14"/>
                <w:szCs w:val="14"/>
                <w:b w:val="1"/>
                <w:bCs w:val="1"/>
                <w:color w:val="auto"/>
                <w:w w:val="87"/>
              </w:rPr>
              <w:t>Unrealized</w:t>
            </w: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1"/>
        </w:trPr>
        <w:tc>
          <w:tcPr>
            <w:tcW w:w="6180" w:type="dxa"/>
            <w:vAlign w:val="bottom"/>
          </w:tcPr>
          <w:p>
            <w:pPr>
              <w:spacing w:after="0"/>
              <w:rPr>
                <w:sz w:val="14"/>
                <w:szCs w:val="14"/>
                <w:color w:val="auto"/>
              </w:rPr>
            </w:pPr>
          </w:p>
        </w:tc>
        <w:tc>
          <w:tcPr>
            <w:tcW w:w="680" w:type="dxa"/>
            <w:vAlign w:val="bottom"/>
            <w:tcBorders>
              <w:bottom w:val="single" w:sz="8" w:color="auto"/>
            </w:tcBorders>
            <w:gridSpan w:val="2"/>
          </w:tcPr>
          <w:p>
            <w:pPr>
              <w:ind w:left="180"/>
              <w:spacing w:after="0"/>
              <w:rPr>
                <w:sz w:val="20"/>
                <w:szCs w:val="20"/>
                <w:color w:val="auto"/>
              </w:rPr>
            </w:pPr>
            <w:r>
              <w:rPr>
                <w:rFonts w:ascii="Arial" w:cs="Arial" w:eastAsia="Arial" w:hAnsi="Arial"/>
                <w:sz w:val="14"/>
                <w:szCs w:val="14"/>
                <w:b w:val="1"/>
                <w:bCs w:val="1"/>
                <w:color w:val="auto"/>
              </w:rPr>
              <w:t>Value</w:t>
            </w:r>
          </w:p>
        </w:tc>
        <w:tc>
          <w:tcPr>
            <w:tcW w:w="12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620" w:type="dxa"/>
            <w:vAlign w:val="bottom"/>
            <w:tcBorders>
              <w:bottom w:val="single" w:sz="8" w:color="auto"/>
            </w:tcBorders>
            <w:gridSpan w:val="3"/>
          </w:tcPr>
          <w:p>
            <w:pPr>
              <w:jc w:val="right"/>
              <w:spacing w:after="0"/>
              <w:rPr>
                <w:sz w:val="20"/>
                <w:szCs w:val="20"/>
                <w:color w:val="auto"/>
              </w:rPr>
            </w:pPr>
            <w:r>
              <w:rPr>
                <w:rFonts w:ascii="Arial" w:cs="Arial" w:eastAsia="Arial" w:hAnsi="Arial"/>
                <w:sz w:val="14"/>
                <w:szCs w:val="14"/>
                <w:b w:val="1"/>
                <w:bCs w:val="1"/>
                <w:color w:val="auto"/>
                <w:w w:val="90"/>
              </w:rPr>
              <w:t>(Losses)</w:t>
            </w:r>
          </w:p>
        </w:tc>
        <w:tc>
          <w:tcPr>
            <w:tcW w:w="340" w:type="dxa"/>
            <w:vAlign w:val="bottom"/>
            <w:gridSpan w:val="2"/>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480" w:type="dxa"/>
            <w:vAlign w:val="bottom"/>
            <w:tcBorders>
              <w:bottom w:val="single" w:sz="8" w:color="auto"/>
            </w:tcBorders>
          </w:tcPr>
          <w:p>
            <w:pPr>
              <w:jc w:val="right"/>
              <w:ind w:right="70"/>
              <w:spacing w:after="0"/>
              <w:rPr>
                <w:sz w:val="20"/>
                <w:szCs w:val="20"/>
                <w:color w:val="auto"/>
              </w:rPr>
            </w:pPr>
            <w:r>
              <w:rPr>
                <w:rFonts w:ascii="Arial" w:cs="Arial" w:eastAsia="Arial" w:hAnsi="Arial"/>
                <w:sz w:val="14"/>
                <w:szCs w:val="14"/>
                <w:b w:val="1"/>
                <w:bCs w:val="1"/>
                <w:color w:val="auto"/>
                <w:w w:val="85"/>
              </w:rPr>
              <w:t>Value</w:t>
            </w:r>
          </w:p>
        </w:tc>
        <w:tc>
          <w:tcPr>
            <w:tcW w:w="200" w:type="dxa"/>
            <w:vAlign w:val="bottom"/>
            <w:gridSpan w:val="2"/>
          </w:tcPr>
          <w:p>
            <w:pPr>
              <w:spacing w:after="0"/>
              <w:rPr>
                <w:sz w:val="14"/>
                <w:szCs w:val="14"/>
                <w:color w:val="auto"/>
              </w:rPr>
            </w:pPr>
          </w:p>
        </w:tc>
        <w:tc>
          <w:tcPr>
            <w:tcW w:w="640" w:type="dxa"/>
            <w:vAlign w:val="bottom"/>
            <w:tcBorders>
              <w:bottom w:val="single" w:sz="8" w:color="auto"/>
            </w:tcBorders>
            <w:gridSpan w:val="3"/>
          </w:tcPr>
          <w:p>
            <w:pPr>
              <w:jc w:val="right"/>
              <w:spacing w:after="0"/>
              <w:rPr>
                <w:sz w:val="20"/>
                <w:szCs w:val="20"/>
                <w:color w:val="auto"/>
              </w:rPr>
            </w:pPr>
            <w:r>
              <w:rPr>
                <w:rFonts w:ascii="Arial" w:cs="Arial" w:eastAsia="Arial" w:hAnsi="Arial"/>
                <w:sz w:val="14"/>
                <w:szCs w:val="14"/>
                <w:b w:val="1"/>
                <w:bCs w:val="1"/>
                <w:color w:val="auto"/>
                <w:w w:val="93"/>
              </w:rPr>
              <w:t>(Losses)</w:t>
            </w:r>
          </w:p>
        </w:tc>
        <w:tc>
          <w:tcPr>
            <w:tcW w:w="240" w:type="dxa"/>
            <w:vAlign w:val="bottom"/>
            <w:gridSpan w:val="2"/>
          </w:tcPr>
          <w:p>
            <w:pPr>
              <w:spacing w:after="0"/>
              <w:rPr>
                <w:sz w:val="14"/>
                <w:szCs w:val="14"/>
                <w:color w:val="auto"/>
              </w:rPr>
            </w:pPr>
          </w:p>
        </w:tc>
        <w:tc>
          <w:tcPr>
            <w:tcW w:w="80" w:type="dxa"/>
            <w:vAlign w:val="bottom"/>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580" w:type="dxa"/>
            <w:vAlign w:val="bottom"/>
            <w:tcBorders>
              <w:bottom w:val="single" w:sz="8" w:color="auto"/>
            </w:tcBorders>
          </w:tcPr>
          <w:p>
            <w:pPr>
              <w:jc w:val="right"/>
              <w:ind w:right="112"/>
              <w:spacing w:after="0"/>
              <w:rPr>
                <w:sz w:val="20"/>
                <w:szCs w:val="20"/>
                <w:color w:val="auto"/>
              </w:rPr>
            </w:pPr>
            <w:r>
              <w:rPr>
                <w:rFonts w:ascii="Arial" w:cs="Arial" w:eastAsia="Arial" w:hAnsi="Arial"/>
                <w:sz w:val="14"/>
                <w:szCs w:val="14"/>
                <w:b w:val="1"/>
                <w:bCs w:val="1"/>
                <w:color w:val="auto"/>
              </w:rPr>
              <w:t>Value</w:t>
            </w:r>
          </w:p>
        </w:tc>
        <w:tc>
          <w:tcPr>
            <w:tcW w:w="220" w:type="dxa"/>
            <w:vAlign w:val="bottom"/>
          </w:tcPr>
          <w:p>
            <w:pPr>
              <w:spacing w:after="0"/>
              <w:rPr>
                <w:sz w:val="14"/>
                <w:szCs w:val="14"/>
                <w:color w:val="auto"/>
              </w:rPr>
            </w:pPr>
          </w:p>
        </w:tc>
        <w:tc>
          <w:tcPr>
            <w:tcW w:w="640" w:type="dxa"/>
            <w:vAlign w:val="bottom"/>
            <w:tcBorders>
              <w:bottom w:val="single" w:sz="8" w:color="auto"/>
            </w:tcBorders>
            <w:gridSpan w:val="2"/>
          </w:tcPr>
          <w:p>
            <w:pPr>
              <w:ind w:left="80"/>
              <w:spacing w:after="0"/>
              <w:rPr>
                <w:sz w:val="20"/>
                <w:szCs w:val="20"/>
                <w:color w:val="auto"/>
              </w:rPr>
            </w:pPr>
            <w:r>
              <w:rPr>
                <w:rFonts w:ascii="Arial" w:cs="Arial" w:eastAsia="Arial" w:hAnsi="Arial"/>
                <w:sz w:val="14"/>
                <w:szCs w:val="14"/>
                <w:b w:val="1"/>
                <w:bCs w:val="1"/>
                <w:color w:val="auto"/>
                <w:w w:val="93"/>
              </w:rPr>
              <w:t>(Losses)</w:t>
            </w:r>
          </w:p>
        </w:tc>
        <w:tc>
          <w:tcPr>
            <w:tcW w:w="1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210"/>
        </w:trPr>
        <w:tc>
          <w:tcPr>
            <w:tcW w:w="6180" w:type="dxa"/>
            <w:vAlign w:val="bottom"/>
            <w:shd w:val="clear" w:color="auto" w:fill="CCEEFF"/>
          </w:tcPr>
          <w:p>
            <w:pPr>
              <w:spacing w:after="0"/>
              <w:rPr>
                <w:sz w:val="20"/>
                <w:szCs w:val="20"/>
                <w:color w:val="auto"/>
              </w:rPr>
            </w:pPr>
            <w:r>
              <w:rPr>
                <w:rFonts w:ascii="Arial" w:cs="Arial" w:eastAsia="Arial" w:hAnsi="Arial"/>
                <w:sz w:val="18"/>
                <w:szCs w:val="18"/>
                <w:color w:val="auto"/>
              </w:rPr>
              <w:t>U.S. government</w:t>
            </w:r>
          </w:p>
        </w:tc>
        <w:tc>
          <w:tcPr>
            <w:tcW w:w="800" w:type="dxa"/>
            <w:vAlign w:val="bottom"/>
            <w:gridSpan w:val="3"/>
            <w:shd w:val="clear" w:color="auto" w:fill="CCEEFF"/>
          </w:tcPr>
          <w:p>
            <w:pPr>
              <w:jc w:val="right"/>
              <w:ind w:right="120"/>
              <w:spacing w:after="0"/>
              <w:rPr>
                <w:sz w:val="20"/>
                <w:szCs w:val="20"/>
                <w:color w:val="auto"/>
              </w:rPr>
            </w:pPr>
            <w:r>
              <w:rPr>
                <w:rFonts w:ascii="Arial" w:cs="Arial" w:eastAsia="Arial" w:hAnsi="Arial"/>
                <w:sz w:val="18"/>
                <w:szCs w:val="18"/>
                <w:color w:val="auto"/>
                <w:w w:val="87"/>
              </w:rPr>
              <w:t>$155,706</w:t>
            </w:r>
          </w:p>
        </w:tc>
        <w:tc>
          <w:tcPr>
            <w:tcW w:w="220" w:type="dxa"/>
            <w:vAlign w:val="bottom"/>
            <w:gridSpan w:val="2"/>
            <w:shd w:val="clear" w:color="auto" w:fill="CCEEFF"/>
          </w:tcPr>
          <w:p>
            <w:pPr>
              <w:ind w:left="100"/>
              <w:spacing w:after="0"/>
              <w:rPr>
                <w:sz w:val="20"/>
                <w:szCs w:val="20"/>
                <w:color w:val="auto"/>
              </w:rPr>
            </w:pPr>
            <w:r>
              <w:rPr>
                <w:rFonts w:ascii="Arial" w:cs="Arial" w:eastAsia="Arial" w:hAnsi="Arial"/>
                <w:sz w:val="18"/>
                <w:szCs w:val="18"/>
                <w:color w:val="auto"/>
                <w:w w:val="99"/>
              </w:rPr>
              <w:t>$</w:t>
            </w:r>
          </w:p>
        </w:tc>
        <w:tc>
          <w:tcPr>
            <w:tcW w:w="100" w:type="dxa"/>
            <w:vAlign w:val="bottom"/>
            <w:shd w:val="clear" w:color="auto" w:fill="CCEEFF"/>
          </w:tcPr>
          <w:p>
            <w:pPr>
              <w:spacing w:after="0"/>
              <w:rPr>
                <w:sz w:val="18"/>
                <w:szCs w:val="18"/>
                <w:color w:val="auto"/>
              </w:rPr>
            </w:pPr>
          </w:p>
        </w:tc>
        <w:tc>
          <w:tcPr>
            <w:tcW w:w="620" w:type="dxa"/>
            <w:vAlign w:val="bottom"/>
            <w:gridSpan w:val="2"/>
            <w:shd w:val="clear" w:color="auto" w:fill="CCEEFF"/>
          </w:tcPr>
          <w:p>
            <w:pPr>
              <w:jc w:val="center"/>
              <w:ind w:right="60"/>
              <w:spacing w:after="0"/>
              <w:rPr>
                <w:sz w:val="20"/>
                <w:szCs w:val="20"/>
                <w:color w:val="auto"/>
              </w:rPr>
            </w:pPr>
            <w:r>
              <w:rPr>
                <w:rFonts w:ascii="Arial" w:cs="Arial" w:eastAsia="Arial" w:hAnsi="Arial"/>
                <w:sz w:val="18"/>
                <w:szCs w:val="18"/>
                <w:color w:val="auto"/>
                <w:w w:val="85"/>
              </w:rPr>
              <w:t>(110)</w:t>
            </w:r>
          </w:p>
        </w:tc>
        <w:tc>
          <w:tcPr>
            <w:tcW w:w="120" w:type="dxa"/>
            <w:vAlign w:val="bottom"/>
            <w:shd w:val="clear" w:color="auto" w:fill="CCEEFF"/>
          </w:tcPr>
          <w:p>
            <w:pPr>
              <w:spacing w:after="0"/>
              <w:rPr>
                <w:sz w:val="18"/>
                <w:szCs w:val="18"/>
                <w:color w:val="auto"/>
              </w:rPr>
            </w:pPr>
          </w:p>
        </w:tc>
        <w:tc>
          <w:tcPr>
            <w:tcW w:w="780" w:type="dxa"/>
            <w:vAlign w:val="bottom"/>
            <w:gridSpan w:val="4"/>
            <w:shd w:val="clear" w:color="auto" w:fill="CCEEFF"/>
          </w:tcPr>
          <w:p>
            <w:pPr>
              <w:jc w:val="right"/>
              <w:ind w:right="300"/>
              <w:spacing w:after="0"/>
              <w:rPr>
                <w:sz w:val="20"/>
                <w:szCs w:val="20"/>
                <w:color w:val="auto"/>
              </w:rPr>
            </w:pPr>
            <w:r>
              <w:rPr>
                <w:rFonts w:ascii="Arial" w:cs="Arial" w:eastAsia="Arial" w:hAnsi="Arial"/>
                <w:sz w:val="18"/>
                <w:szCs w:val="18"/>
                <w:color w:val="auto"/>
              </w:rPr>
              <w:t>$   —</w:t>
            </w:r>
          </w:p>
        </w:tc>
        <w:tc>
          <w:tcPr>
            <w:tcW w:w="120" w:type="dxa"/>
            <w:vAlign w:val="bottom"/>
            <w:shd w:val="clear" w:color="auto" w:fill="CCEEFF"/>
          </w:tcPr>
          <w:p>
            <w:pPr>
              <w:spacing w:after="0"/>
              <w:rPr>
                <w:sz w:val="20"/>
                <w:szCs w:val="20"/>
                <w:color w:val="auto"/>
              </w:rPr>
            </w:pPr>
            <w:r>
              <w:rPr>
                <w:rFonts w:ascii="Arial" w:cs="Arial" w:eastAsia="Arial" w:hAnsi="Arial"/>
                <w:sz w:val="18"/>
                <w:szCs w:val="18"/>
                <w:color w:val="auto"/>
                <w:w w:val="99"/>
              </w:rPr>
              <w:t>$</w:t>
            </w:r>
          </w:p>
        </w:tc>
        <w:tc>
          <w:tcPr>
            <w:tcW w:w="120" w:type="dxa"/>
            <w:vAlign w:val="bottom"/>
            <w:shd w:val="clear" w:color="auto" w:fill="CCEEFF"/>
          </w:tcPr>
          <w:p>
            <w:pPr>
              <w:spacing w:after="0"/>
              <w:rPr>
                <w:sz w:val="18"/>
                <w:szCs w:val="18"/>
                <w:color w:val="auto"/>
              </w:rPr>
            </w:pPr>
          </w:p>
        </w:tc>
        <w:tc>
          <w:tcPr>
            <w:tcW w:w="640" w:type="dxa"/>
            <w:vAlign w:val="bottom"/>
            <w:gridSpan w:val="3"/>
            <w:shd w:val="clear" w:color="auto" w:fill="CCEEFF"/>
          </w:tcPr>
          <w:p>
            <w:pPr>
              <w:jc w:val="right"/>
              <w:ind w:right="320"/>
              <w:spacing w:after="0"/>
              <w:rPr>
                <w:sz w:val="20"/>
                <w:szCs w:val="20"/>
                <w:color w:val="auto"/>
              </w:rPr>
            </w:pPr>
            <w:r>
              <w:rPr>
                <w:rFonts w:ascii="Arial" w:cs="Arial" w:eastAsia="Arial" w:hAnsi="Arial"/>
                <w:sz w:val="18"/>
                <w:szCs w:val="18"/>
                <w:color w:val="auto"/>
              </w:rPr>
              <w:t>—</w:t>
            </w:r>
          </w:p>
        </w:tc>
        <w:tc>
          <w:tcPr>
            <w:tcW w:w="760" w:type="dxa"/>
            <w:vAlign w:val="bottom"/>
            <w:gridSpan w:val="3"/>
            <w:shd w:val="clear" w:color="auto" w:fill="CCEEFF"/>
          </w:tcPr>
          <w:p>
            <w:pPr>
              <w:jc w:val="right"/>
              <w:spacing w:after="0"/>
              <w:rPr>
                <w:sz w:val="20"/>
                <w:szCs w:val="20"/>
                <w:color w:val="auto"/>
              </w:rPr>
            </w:pPr>
            <w:r>
              <w:rPr>
                <w:rFonts w:ascii="Arial" w:cs="Arial" w:eastAsia="Arial" w:hAnsi="Arial"/>
                <w:sz w:val="18"/>
                <w:szCs w:val="18"/>
                <w:color w:val="auto"/>
                <w:w w:val="98"/>
              </w:rPr>
              <w:t>$155,706</w:t>
            </w:r>
          </w:p>
        </w:tc>
        <w:tc>
          <w:tcPr>
            <w:tcW w:w="360" w:type="dxa"/>
            <w:vAlign w:val="bottom"/>
            <w:gridSpan w:val="2"/>
            <w:shd w:val="clear" w:color="auto" w:fill="CCEEFF"/>
          </w:tcPr>
          <w:p>
            <w:pPr>
              <w:ind w:left="220"/>
              <w:spacing w:after="0"/>
              <w:rPr>
                <w:sz w:val="20"/>
                <w:szCs w:val="20"/>
                <w:color w:val="auto"/>
              </w:rPr>
            </w:pPr>
            <w:r>
              <w:rPr>
                <w:rFonts w:ascii="Arial" w:cs="Arial" w:eastAsia="Arial" w:hAnsi="Arial"/>
                <w:sz w:val="18"/>
                <w:szCs w:val="18"/>
                <w:color w:val="auto"/>
              </w:rPr>
              <w:t>$</w:t>
            </w:r>
          </w:p>
        </w:tc>
        <w:tc>
          <w:tcPr>
            <w:tcW w:w="60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(110)</w:t>
            </w:r>
          </w:p>
        </w:tc>
        <w:tc>
          <w:tcPr>
            <w:tcW w:w="0" w:type="dxa"/>
            <w:vAlign w:val="bottom"/>
          </w:tcPr>
          <w:p>
            <w:pPr>
              <w:spacing w:after="0"/>
              <w:rPr>
                <w:sz w:val="1"/>
                <w:szCs w:val="1"/>
                <w:color w:val="auto"/>
              </w:rPr>
            </w:pPr>
          </w:p>
        </w:tc>
      </w:tr>
      <w:tr>
        <w:trPr>
          <w:trHeight w:val="216"/>
        </w:trPr>
        <w:tc>
          <w:tcPr>
            <w:tcW w:w="6180" w:type="dxa"/>
            <w:vAlign w:val="bottom"/>
          </w:tcPr>
          <w:p>
            <w:pPr>
              <w:spacing w:after="0"/>
              <w:rPr>
                <w:sz w:val="20"/>
                <w:szCs w:val="20"/>
                <w:color w:val="auto"/>
              </w:rPr>
            </w:pPr>
            <w:r>
              <w:rPr>
                <w:rFonts w:ascii="Arial" w:cs="Arial" w:eastAsia="Arial" w:hAnsi="Arial"/>
                <w:sz w:val="18"/>
                <w:szCs w:val="18"/>
                <w:color w:val="auto"/>
              </w:rPr>
              <w:t>Corporate debt securities</w:t>
            </w:r>
          </w:p>
        </w:tc>
        <w:tc>
          <w:tcPr>
            <w:tcW w:w="800" w:type="dxa"/>
            <w:vAlign w:val="bottom"/>
            <w:gridSpan w:val="3"/>
          </w:tcPr>
          <w:p>
            <w:pPr>
              <w:jc w:val="right"/>
              <w:ind w:right="120"/>
              <w:spacing w:after="0"/>
              <w:rPr>
                <w:sz w:val="20"/>
                <w:szCs w:val="20"/>
                <w:color w:val="auto"/>
              </w:rPr>
            </w:pPr>
            <w:r>
              <w:rPr>
                <w:rFonts w:ascii="Arial" w:cs="Arial" w:eastAsia="Arial" w:hAnsi="Arial"/>
                <w:sz w:val="18"/>
                <w:szCs w:val="18"/>
                <w:color w:val="auto"/>
              </w:rPr>
              <w:t>72,785</w:t>
            </w:r>
          </w:p>
        </w:tc>
        <w:tc>
          <w:tcPr>
            <w:tcW w:w="10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620" w:type="dxa"/>
            <w:vAlign w:val="bottom"/>
            <w:gridSpan w:val="2"/>
          </w:tcPr>
          <w:p>
            <w:pPr>
              <w:jc w:val="center"/>
              <w:ind w:right="80"/>
              <w:spacing w:after="0"/>
              <w:rPr>
                <w:sz w:val="20"/>
                <w:szCs w:val="20"/>
                <w:color w:val="auto"/>
              </w:rPr>
            </w:pPr>
            <w:r>
              <w:rPr>
                <w:rFonts w:ascii="Arial" w:cs="Arial" w:eastAsia="Arial" w:hAnsi="Arial"/>
                <w:sz w:val="18"/>
                <w:szCs w:val="18"/>
                <w:color w:val="auto"/>
                <w:w w:val="90"/>
              </w:rPr>
              <w:t>(139)</w:t>
            </w:r>
          </w:p>
        </w:tc>
        <w:tc>
          <w:tcPr>
            <w:tcW w:w="1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680" w:type="dxa"/>
            <w:vAlign w:val="bottom"/>
            <w:gridSpan w:val="3"/>
          </w:tcPr>
          <w:p>
            <w:pPr>
              <w:jc w:val="right"/>
              <w:ind w:right="300"/>
              <w:spacing w:after="0"/>
              <w:rPr>
                <w:sz w:val="20"/>
                <w:szCs w:val="20"/>
                <w:color w:val="auto"/>
              </w:rPr>
            </w:pPr>
            <w:r>
              <w:rPr>
                <w:rFonts w:ascii="Arial" w:cs="Arial" w:eastAsia="Arial" w:hAnsi="Arial"/>
                <w:sz w:val="18"/>
                <w:szCs w:val="18"/>
                <w:color w:val="auto"/>
              </w:rPr>
              <w:t>—</w:t>
            </w:r>
          </w:p>
        </w:tc>
        <w:tc>
          <w:tcPr>
            <w:tcW w:w="12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640" w:type="dxa"/>
            <w:vAlign w:val="bottom"/>
            <w:gridSpan w:val="3"/>
          </w:tcPr>
          <w:p>
            <w:pPr>
              <w:jc w:val="right"/>
              <w:ind w:right="320"/>
              <w:spacing w:after="0"/>
              <w:rPr>
                <w:sz w:val="20"/>
                <w:szCs w:val="20"/>
                <w:color w:val="auto"/>
              </w:rPr>
            </w:pPr>
            <w:r>
              <w:rPr>
                <w:rFonts w:ascii="Arial" w:cs="Arial" w:eastAsia="Arial" w:hAnsi="Arial"/>
                <w:sz w:val="18"/>
                <w:szCs w:val="18"/>
                <w:color w:val="auto"/>
              </w:rPr>
              <w:t>—</w:t>
            </w:r>
          </w:p>
        </w:tc>
        <w:tc>
          <w:tcPr>
            <w:tcW w:w="760" w:type="dxa"/>
            <w:vAlign w:val="bottom"/>
            <w:gridSpan w:val="3"/>
          </w:tcPr>
          <w:p>
            <w:pPr>
              <w:jc w:val="right"/>
              <w:spacing w:after="0"/>
              <w:rPr>
                <w:sz w:val="20"/>
                <w:szCs w:val="20"/>
                <w:color w:val="auto"/>
              </w:rPr>
            </w:pPr>
            <w:r>
              <w:rPr>
                <w:rFonts w:ascii="Arial" w:cs="Arial" w:eastAsia="Arial" w:hAnsi="Arial"/>
                <w:sz w:val="18"/>
                <w:szCs w:val="18"/>
                <w:color w:val="auto"/>
              </w:rPr>
              <w:t>72,785</w:t>
            </w:r>
          </w:p>
        </w:tc>
        <w:tc>
          <w:tcPr>
            <w:tcW w:w="22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600" w:type="dxa"/>
            <w:vAlign w:val="bottom"/>
            <w:gridSpan w:val="2"/>
          </w:tcPr>
          <w:p>
            <w:pPr>
              <w:jc w:val="right"/>
              <w:ind w:right="40"/>
              <w:spacing w:after="0"/>
              <w:rPr>
                <w:sz w:val="20"/>
                <w:szCs w:val="20"/>
                <w:color w:val="auto"/>
              </w:rPr>
            </w:pPr>
            <w:r>
              <w:rPr>
                <w:rFonts w:ascii="Arial" w:cs="Arial" w:eastAsia="Arial" w:hAnsi="Arial"/>
                <w:sz w:val="18"/>
                <w:szCs w:val="18"/>
                <w:color w:val="auto"/>
              </w:rPr>
              <w:t>(139)</w:t>
            </w:r>
          </w:p>
        </w:tc>
        <w:tc>
          <w:tcPr>
            <w:tcW w:w="0" w:type="dxa"/>
            <w:vAlign w:val="bottom"/>
          </w:tcPr>
          <w:p>
            <w:pPr>
              <w:spacing w:after="0"/>
              <w:rPr>
                <w:sz w:val="1"/>
                <w:szCs w:val="1"/>
                <w:color w:val="auto"/>
              </w:rPr>
            </w:pPr>
          </w:p>
        </w:tc>
      </w:tr>
      <w:tr>
        <w:trPr>
          <w:trHeight w:val="216"/>
        </w:trPr>
        <w:tc>
          <w:tcPr>
            <w:tcW w:w="6180" w:type="dxa"/>
            <w:vAlign w:val="bottom"/>
            <w:shd w:val="clear" w:color="auto" w:fill="CCEEFF"/>
          </w:tcPr>
          <w:p>
            <w:pPr>
              <w:spacing w:after="0"/>
              <w:rPr>
                <w:sz w:val="20"/>
                <w:szCs w:val="20"/>
                <w:color w:val="auto"/>
              </w:rPr>
            </w:pPr>
            <w:r>
              <w:rPr>
                <w:rFonts w:ascii="Arial" w:cs="Arial" w:eastAsia="Arial" w:hAnsi="Arial"/>
                <w:sz w:val="18"/>
                <w:szCs w:val="18"/>
                <w:color w:val="auto"/>
              </w:rPr>
              <w:t>Auction rate securities and settlement option</w:t>
            </w:r>
          </w:p>
        </w:tc>
        <w:tc>
          <w:tcPr>
            <w:tcW w:w="400" w:type="dxa"/>
            <w:vAlign w:val="bottom"/>
            <w:shd w:val="clear" w:color="auto" w:fill="CCEEFF"/>
          </w:tcPr>
          <w:p>
            <w:pPr>
              <w:spacing w:after="0"/>
              <w:rPr>
                <w:sz w:val="18"/>
                <w:szCs w:val="18"/>
                <w:color w:val="auto"/>
              </w:rPr>
            </w:pPr>
          </w:p>
        </w:tc>
        <w:tc>
          <w:tcPr>
            <w:tcW w:w="280" w:type="dxa"/>
            <w:vAlign w:val="bottom"/>
            <w:shd w:val="clear" w:color="auto" w:fill="CCEEFF"/>
          </w:tcPr>
          <w:p>
            <w:pPr>
              <w:ind w:left="20"/>
              <w:spacing w:after="0"/>
              <w:rPr>
                <w:sz w:val="20"/>
                <w:szCs w:val="20"/>
                <w:color w:val="auto"/>
              </w:rPr>
            </w:pPr>
            <w:r>
              <w:rPr>
                <w:rFonts w:ascii="Arial" w:cs="Arial" w:eastAsia="Arial" w:hAnsi="Arial"/>
                <w:sz w:val="18"/>
                <w:szCs w:val="18"/>
                <w:color w:val="auto"/>
              </w:rPr>
              <w:t>—</w:t>
            </w:r>
          </w:p>
        </w:tc>
        <w:tc>
          <w:tcPr>
            <w:tcW w:w="1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4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340" w:type="dxa"/>
            <w:vAlign w:val="bottom"/>
            <w:gridSpan w:val="2"/>
            <w:shd w:val="clear" w:color="auto" w:fill="CCEEFF"/>
          </w:tcPr>
          <w:p>
            <w:pPr>
              <w:spacing w:after="0"/>
              <w:rPr>
                <w:sz w:val="18"/>
                <w:szCs w:val="18"/>
                <w:color w:val="auto"/>
              </w:rPr>
            </w:pPr>
          </w:p>
        </w:tc>
        <w:tc>
          <w:tcPr>
            <w:tcW w:w="58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39,274</w:t>
            </w:r>
          </w:p>
        </w:tc>
        <w:tc>
          <w:tcPr>
            <w:tcW w:w="1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40" w:type="dxa"/>
            <w:vAlign w:val="bottom"/>
            <w:gridSpan w:val="4"/>
            <w:shd w:val="clear" w:color="auto" w:fill="CCEEFF"/>
          </w:tcPr>
          <w:p>
            <w:pPr>
              <w:jc w:val="right"/>
              <w:ind w:right="40"/>
              <w:spacing w:after="0"/>
              <w:rPr>
                <w:sz w:val="20"/>
                <w:szCs w:val="20"/>
                <w:color w:val="auto"/>
              </w:rPr>
            </w:pPr>
            <w:r>
              <w:rPr>
                <w:rFonts w:ascii="Arial" w:cs="Arial" w:eastAsia="Arial" w:hAnsi="Arial"/>
                <w:sz w:val="18"/>
                <w:szCs w:val="18"/>
                <w:color w:val="auto"/>
              </w:rPr>
              <w:t>(2,426)</w:t>
            </w:r>
          </w:p>
        </w:tc>
        <w:tc>
          <w:tcPr>
            <w:tcW w:w="140" w:type="dxa"/>
            <w:vAlign w:val="bottom"/>
            <w:shd w:val="clear" w:color="auto" w:fill="CCEEFF"/>
          </w:tcPr>
          <w:p>
            <w:pPr>
              <w:spacing w:after="0"/>
              <w:rPr>
                <w:sz w:val="18"/>
                <w:szCs w:val="18"/>
                <w:color w:val="auto"/>
              </w:rPr>
            </w:pPr>
          </w:p>
        </w:tc>
        <w:tc>
          <w:tcPr>
            <w:tcW w:w="760" w:type="dxa"/>
            <w:vAlign w:val="bottom"/>
            <w:gridSpan w:val="3"/>
            <w:shd w:val="clear" w:color="auto" w:fill="CCEEFF"/>
          </w:tcPr>
          <w:p>
            <w:pPr>
              <w:jc w:val="right"/>
              <w:spacing w:after="0"/>
              <w:rPr>
                <w:sz w:val="20"/>
                <w:szCs w:val="20"/>
                <w:color w:val="auto"/>
              </w:rPr>
            </w:pPr>
            <w:r>
              <w:rPr>
                <w:rFonts w:ascii="Arial" w:cs="Arial" w:eastAsia="Arial" w:hAnsi="Arial"/>
                <w:sz w:val="18"/>
                <w:szCs w:val="18"/>
                <w:color w:val="auto"/>
              </w:rPr>
              <w:t>39,274</w:t>
            </w:r>
          </w:p>
        </w:tc>
        <w:tc>
          <w:tcPr>
            <w:tcW w:w="22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60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w w:val="94"/>
              </w:rPr>
              <w:t>(2,426)</w:t>
            </w:r>
          </w:p>
        </w:tc>
        <w:tc>
          <w:tcPr>
            <w:tcW w:w="0" w:type="dxa"/>
            <w:vAlign w:val="bottom"/>
          </w:tcPr>
          <w:p>
            <w:pPr>
              <w:spacing w:after="0"/>
              <w:rPr>
                <w:sz w:val="1"/>
                <w:szCs w:val="1"/>
                <w:color w:val="auto"/>
              </w:rPr>
            </w:pPr>
          </w:p>
        </w:tc>
      </w:tr>
      <w:tr>
        <w:trPr>
          <w:trHeight w:val="20"/>
        </w:trPr>
        <w:tc>
          <w:tcPr>
            <w:tcW w:w="6180" w:type="dxa"/>
            <w:vAlign w:val="bottom"/>
            <w:vMerge w:val="restart"/>
          </w:tcPr>
          <w:p>
            <w:pPr>
              <w:ind w:left="440"/>
              <w:spacing w:after="0"/>
              <w:rPr>
                <w:sz w:val="20"/>
                <w:szCs w:val="20"/>
                <w:color w:val="auto"/>
              </w:rPr>
            </w:pPr>
            <w:r>
              <w:rPr>
                <w:rFonts w:ascii="Arial" w:cs="Arial" w:eastAsia="Arial" w:hAnsi="Arial"/>
                <w:sz w:val="18"/>
                <w:szCs w:val="18"/>
                <w:color w:val="auto"/>
              </w:rPr>
              <w:t>Total securities</w:t>
            </w:r>
          </w:p>
        </w:tc>
        <w:tc>
          <w:tcPr>
            <w:tcW w:w="400" w:type="dxa"/>
            <w:vAlign w:val="bottom"/>
            <w:shd w:val="clear" w:color="auto" w:fill="000000"/>
          </w:tcPr>
          <w:p>
            <w:pPr>
              <w:spacing w:after="0" w:line="20" w:lineRule="exact"/>
              <w:rPr>
                <w:sz w:val="1"/>
                <w:szCs w:val="1"/>
                <w:color w:val="auto"/>
              </w:rPr>
            </w:pPr>
          </w:p>
        </w:tc>
        <w:tc>
          <w:tcPr>
            <w:tcW w:w="280" w:type="dxa"/>
            <w:vAlign w:val="bottom"/>
            <w:shd w:val="clear" w:color="auto" w:fill="000000"/>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20" w:type="dxa"/>
            <w:vAlign w:val="bottom"/>
            <w:shd w:val="clear" w:color="auto" w:fill="000000"/>
          </w:tcPr>
          <w:p>
            <w:pPr>
              <w:spacing w:after="0" w:line="20" w:lineRule="exact"/>
              <w:rPr>
                <w:sz w:val="1"/>
                <w:szCs w:val="1"/>
                <w:color w:val="auto"/>
              </w:rPr>
            </w:pPr>
          </w:p>
        </w:tc>
        <w:tc>
          <w:tcPr>
            <w:tcW w:w="100" w:type="dxa"/>
            <w:vAlign w:val="bottom"/>
            <w:shd w:val="clear" w:color="auto" w:fill="000000"/>
          </w:tcPr>
          <w:p>
            <w:pPr>
              <w:spacing w:after="0" w:line="20" w:lineRule="exact"/>
              <w:rPr>
                <w:sz w:val="1"/>
                <w:szCs w:val="1"/>
                <w:color w:val="auto"/>
              </w:rPr>
            </w:pPr>
          </w:p>
        </w:tc>
        <w:tc>
          <w:tcPr>
            <w:tcW w:w="400" w:type="dxa"/>
            <w:vAlign w:val="bottom"/>
            <w:shd w:val="clear" w:color="auto" w:fill="000000"/>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00" w:type="dxa"/>
            <w:vAlign w:val="bottom"/>
            <w:shd w:val="clear" w:color="auto" w:fill="000000"/>
          </w:tcPr>
          <w:p>
            <w:pPr>
              <w:spacing w:after="0" w:line="20" w:lineRule="exact"/>
              <w:rPr>
                <w:sz w:val="1"/>
                <w:szCs w:val="1"/>
                <w:color w:val="auto"/>
              </w:rPr>
            </w:pPr>
          </w:p>
        </w:tc>
        <w:tc>
          <w:tcPr>
            <w:tcW w:w="480" w:type="dxa"/>
            <w:vAlign w:val="bottom"/>
            <w:shd w:val="clear" w:color="auto" w:fill="000000"/>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20" w:type="dxa"/>
            <w:vAlign w:val="bottom"/>
            <w:shd w:val="clear" w:color="auto" w:fill="000000"/>
          </w:tcPr>
          <w:p>
            <w:pPr>
              <w:spacing w:after="0" w:line="20" w:lineRule="exact"/>
              <w:rPr>
                <w:sz w:val="1"/>
                <w:szCs w:val="1"/>
                <w:color w:val="auto"/>
              </w:rPr>
            </w:pPr>
          </w:p>
        </w:tc>
        <w:tc>
          <w:tcPr>
            <w:tcW w:w="520" w:type="dxa"/>
            <w:vAlign w:val="bottom"/>
            <w:gridSpan w:val="2"/>
            <w:shd w:val="clear" w:color="auto" w:fill="000000"/>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100" w:type="dxa"/>
            <w:vAlign w:val="bottom"/>
            <w:shd w:val="clear" w:color="auto" w:fill="000000"/>
          </w:tcPr>
          <w:p>
            <w:pPr>
              <w:spacing w:after="0" w:line="20" w:lineRule="exact"/>
              <w:rPr>
                <w:sz w:val="1"/>
                <w:szCs w:val="1"/>
                <w:color w:val="auto"/>
              </w:rPr>
            </w:pPr>
          </w:p>
        </w:tc>
        <w:tc>
          <w:tcPr>
            <w:tcW w:w="580" w:type="dxa"/>
            <w:vAlign w:val="bottom"/>
            <w:shd w:val="clear" w:color="auto" w:fill="000000"/>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140" w:type="dxa"/>
            <w:vAlign w:val="bottom"/>
            <w:shd w:val="clear" w:color="auto" w:fill="000000"/>
          </w:tcPr>
          <w:p>
            <w:pPr>
              <w:spacing w:after="0" w:line="20" w:lineRule="exact"/>
              <w:rPr>
                <w:sz w:val="1"/>
                <w:szCs w:val="1"/>
                <w:color w:val="auto"/>
              </w:rPr>
            </w:pPr>
          </w:p>
        </w:tc>
        <w:tc>
          <w:tcPr>
            <w:tcW w:w="500" w:type="dxa"/>
            <w:vAlign w:val="bottom"/>
            <w:shd w:val="clear" w:color="auto" w:fill="000000"/>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22"/>
        </w:trPr>
        <w:tc>
          <w:tcPr>
            <w:tcW w:w="6180" w:type="dxa"/>
            <w:vAlign w:val="bottom"/>
            <w:vMerge w:val="continue"/>
          </w:tcPr>
          <w:p>
            <w:pPr>
              <w:spacing w:after="0"/>
              <w:rPr>
                <w:sz w:val="19"/>
                <w:szCs w:val="19"/>
                <w:color w:val="auto"/>
              </w:rPr>
            </w:pPr>
          </w:p>
        </w:tc>
        <w:tc>
          <w:tcPr>
            <w:tcW w:w="680" w:type="dxa"/>
            <w:vAlign w:val="bottom"/>
            <w:gridSpan w:val="2"/>
          </w:tcPr>
          <w:p>
            <w:pPr>
              <w:jc w:val="right"/>
              <w:spacing w:after="0"/>
              <w:rPr>
                <w:sz w:val="20"/>
                <w:szCs w:val="20"/>
                <w:color w:val="auto"/>
              </w:rPr>
            </w:pPr>
            <w:r>
              <w:rPr>
                <w:rFonts w:ascii="Arial" w:cs="Arial" w:eastAsia="Arial" w:hAnsi="Arial"/>
                <w:sz w:val="18"/>
                <w:szCs w:val="18"/>
                <w:u w:val="single" w:color="auto"/>
                <w:color w:val="auto"/>
                <w:w w:val="87"/>
              </w:rPr>
              <w:t>$</w:t>
            </w:r>
            <w:r>
              <w:rPr>
                <w:rFonts w:ascii="Arial" w:cs="Arial" w:eastAsia="Arial" w:hAnsi="Arial"/>
                <w:sz w:val="18"/>
                <w:szCs w:val="18"/>
                <w:color w:val="auto"/>
                <w:w w:val="87"/>
              </w:rPr>
              <w:t>228,491</w:t>
            </w:r>
          </w:p>
        </w:tc>
        <w:tc>
          <w:tcPr>
            <w:tcW w:w="120" w:type="dxa"/>
            <w:vAlign w:val="bottom"/>
          </w:tcPr>
          <w:p>
            <w:pPr>
              <w:spacing w:after="0"/>
              <w:rPr>
                <w:sz w:val="19"/>
                <w:szCs w:val="19"/>
                <w:color w:val="auto"/>
              </w:rPr>
            </w:pPr>
          </w:p>
        </w:tc>
        <w:tc>
          <w:tcPr>
            <w:tcW w:w="220" w:type="dxa"/>
            <w:vAlign w:val="bottom"/>
            <w:gridSpan w:val="2"/>
          </w:tcPr>
          <w:p>
            <w:pPr>
              <w:ind w:left="100"/>
              <w:spacing w:after="0"/>
              <w:rPr>
                <w:sz w:val="20"/>
                <w:szCs w:val="20"/>
                <w:color w:val="auto"/>
              </w:rPr>
            </w:pPr>
            <w:r>
              <w:rPr>
                <w:rFonts w:ascii="Arial" w:cs="Arial" w:eastAsia="Arial" w:hAnsi="Arial"/>
                <w:sz w:val="18"/>
                <w:szCs w:val="18"/>
                <w:color w:val="auto"/>
                <w:w w:val="99"/>
              </w:rPr>
              <w:t>$</w:t>
            </w:r>
          </w:p>
        </w:tc>
        <w:tc>
          <w:tcPr>
            <w:tcW w:w="100" w:type="dxa"/>
            <w:vAlign w:val="bottom"/>
          </w:tcPr>
          <w:p>
            <w:pPr>
              <w:spacing w:after="0"/>
              <w:rPr>
                <w:sz w:val="19"/>
                <w:szCs w:val="19"/>
                <w:color w:val="auto"/>
              </w:rPr>
            </w:pPr>
          </w:p>
        </w:tc>
        <w:tc>
          <w:tcPr>
            <w:tcW w:w="620" w:type="dxa"/>
            <w:vAlign w:val="bottom"/>
            <w:gridSpan w:val="2"/>
          </w:tcPr>
          <w:p>
            <w:pPr>
              <w:jc w:val="center"/>
              <w:ind w:right="80"/>
              <w:spacing w:after="0"/>
              <w:rPr>
                <w:sz w:val="20"/>
                <w:szCs w:val="20"/>
                <w:color w:val="auto"/>
              </w:rPr>
            </w:pPr>
            <w:r>
              <w:rPr>
                <w:rFonts w:ascii="Arial" w:cs="Arial" w:eastAsia="Arial" w:hAnsi="Arial"/>
                <w:sz w:val="18"/>
                <w:szCs w:val="18"/>
                <w:color w:val="auto"/>
                <w:w w:val="90"/>
              </w:rPr>
              <w:t>(249)</w:t>
            </w:r>
          </w:p>
        </w:tc>
        <w:tc>
          <w:tcPr>
            <w:tcW w:w="120" w:type="dxa"/>
            <w:vAlign w:val="bottom"/>
          </w:tcPr>
          <w:p>
            <w:pPr>
              <w:spacing w:after="0"/>
              <w:rPr>
                <w:sz w:val="19"/>
                <w:szCs w:val="19"/>
                <w:color w:val="auto"/>
              </w:rPr>
            </w:pPr>
          </w:p>
        </w:tc>
        <w:tc>
          <w:tcPr>
            <w:tcW w:w="580" w:type="dxa"/>
            <w:vAlign w:val="bottom"/>
            <w:gridSpan w:val="2"/>
          </w:tcPr>
          <w:p>
            <w:pPr>
              <w:jc w:val="right"/>
              <w:spacing w:after="0"/>
              <w:rPr>
                <w:sz w:val="20"/>
                <w:szCs w:val="20"/>
                <w:color w:val="auto"/>
              </w:rPr>
            </w:pPr>
            <w:r>
              <w:rPr>
                <w:rFonts w:ascii="Arial" w:cs="Arial" w:eastAsia="Arial" w:hAnsi="Arial"/>
                <w:sz w:val="18"/>
                <w:szCs w:val="18"/>
                <w:u w:val="single" w:color="auto"/>
                <w:color w:val="auto"/>
                <w:w w:val="86"/>
              </w:rPr>
              <w:t>$</w:t>
            </w:r>
            <w:r>
              <w:rPr>
                <w:rFonts w:ascii="Arial" w:cs="Arial" w:eastAsia="Arial" w:hAnsi="Arial"/>
                <w:sz w:val="18"/>
                <w:szCs w:val="18"/>
                <w:color w:val="auto"/>
                <w:w w:val="86"/>
              </w:rPr>
              <w:t>39,274</w:t>
            </w:r>
          </w:p>
        </w:tc>
        <w:tc>
          <w:tcPr>
            <w:tcW w:w="10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740" w:type="dxa"/>
            <w:vAlign w:val="bottom"/>
            <w:gridSpan w:val="4"/>
          </w:tcPr>
          <w:p>
            <w:pPr>
              <w:jc w:val="right"/>
              <w:ind w:right="40"/>
              <w:spacing w:after="0"/>
              <w:rPr>
                <w:sz w:val="20"/>
                <w:szCs w:val="20"/>
                <w:color w:val="auto"/>
              </w:rPr>
            </w:pPr>
            <w:r>
              <w:rPr>
                <w:rFonts w:ascii="Arial" w:cs="Arial" w:eastAsia="Arial" w:hAnsi="Arial"/>
                <w:sz w:val="18"/>
                <w:szCs w:val="18"/>
                <w:color w:val="auto"/>
                <w:w w:val="94"/>
              </w:rPr>
              <w:t>$ (2,426)</w:t>
            </w:r>
          </w:p>
        </w:tc>
        <w:tc>
          <w:tcPr>
            <w:tcW w:w="140" w:type="dxa"/>
            <w:vAlign w:val="bottom"/>
          </w:tcPr>
          <w:p>
            <w:pPr>
              <w:spacing w:after="0"/>
              <w:rPr>
                <w:sz w:val="19"/>
                <w:szCs w:val="19"/>
                <w:color w:val="auto"/>
              </w:rPr>
            </w:pPr>
          </w:p>
        </w:tc>
        <w:tc>
          <w:tcPr>
            <w:tcW w:w="760" w:type="dxa"/>
            <w:vAlign w:val="bottom"/>
            <w:gridSpan w:val="3"/>
          </w:tcPr>
          <w:p>
            <w:pPr>
              <w:jc w:val="right"/>
              <w:spacing w:after="0"/>
              <w:rPr>
                <w:sz w:val="20"/>
                <w:szCs w:val="20"/>
                <w:color w:val="auto"/>
              </w:rPr>
            </w:pPr>
            <w:r>
              <w:rPr>
                <w:rFonts w:ascii="Arial" w:cs="Arial" w:eastAsia="Arial" w:hAnsi="Arial"/>
                <w:sz w:val="18"/>
                <w:szCs w:val="18"/>
                <w:u w:val="single" w:color="auto"/>
                <w:color w:val="auto"/>
                <w:w w:val="98"/>
              </w:rPr>
              <w:t>$</w:t>
            </w:r>
            <w:r>
              <w:rPr>
                <w:rFonts w:ascii="Arial" w:cs="Arial" w:eastAsia="Arial" w:hAnsi="Arial"/>
                <w:sz w:val="18"/>
                <w:szCs w:val="18"/>
                <w:color w:val="auto"/>
                <w:w w:val="98"/>
              </w:rPr>
              <w:t>267,765</w:t>
            </w:r>
          </w:p>
        </w:tc>
        <w:tc>
          <w:tcPr>
            <w:tcW w:w="360" w:type="dxa"/>
            <w:vAlign w:val="bottom"/>
            <w:gridSpan w:val="2"/>
          </w:tcPr>
          <w:p>
            <w:pPr>
              <w:ind w:left="220"/>
              <w:spacing w:after="0"/>
              <w:rPr>
                <w:sz w:val="20"/>
                <w:szCs w:val="20"/>
                <w:color w:val="auto"/>
              </w:rPr>
            </w:pPr>
            <w:r>
              <w:rPr>
                <w:rFonts w:ascii="Arial" w:cs="Arial" w:eastAsia="Arial" w:hAnsi="Arial"/>
                <w:sz w:val="18"/>
                <w:szCs w:val="18"/>
                <w:color w:val="auto"/>
              </w:rPr>
              <w:t>$</w:t>
            </w:r>
          </w:p>
        </w:tc>
        <w:tc>
          <w:tcPr>
            <w:tcW w:w="600" w:type="dxa"/>
            <w:vAlign w:val="bottom"/>
            <w:gridSpan w:val="2"/>
          </w:tcPr>
          <w:p>
            <w:pPr>
              <w:jc w:val="right"/>
              <w:ind w:right="40"/>
              <w:spacing w:after="0"/>
              <w:rPr>
                <w:sz w:val="20"/>
                <w:szCs w:val="20"/>
                <w:color w:val="auto"/>
              </w:rPr>
            </w:pPr>
            <w:r>
              <w:rPr>
                <w:rFonts w:ascii="Arial" w:cs="Arial" w:eastAsia="Arial" w:hAnsi="Arial"/>
                <w:sz w:val="18"/>
                <w:szCs w:val="18"/>
                <w:color w:val="auto"/>
                <w:w w:val="94"/>
              </w:rPr>
              <w:t>(2,675)</w:t>
            </w:r>
          </w:p>
        </w:tc>
        <w:tc>
          <w:tcPr>
            <w:tcW w:w="0" w:type="dxa"/>
            <w:vAlign w:val="bottom"/>
          </w:tcPr>
          <w:p>
            <w:pPr>
              <w:spacing w:after="0"/>
              <w:rPr>
                <w:sz w:val="1"/>
                <w:szCs w:val="1"/>
                <w:color w:val="auto"/>
              </w:rPr>
            </w:pPr>
          </w:p>
        </w:tc>
      </w:tr>
      <w:tr>
        <w:trPr>
          <w:trHeight w:val="20"/>
        </w:trPr>
        <w:tc>
          <w:tcPr>
            <w:tcW w:w="6180" w:type="dxa"/>
            <w:vAlign w:val="bottom"/>
          </w:tcPr>
          <w:p>
            <w:pPr>
              <w:spacing w:after="0" w:line="20" w:lineRule="exact"/>
              <w:rPr>
                <w:sz w:val="1"/>
                <w:szCs w:val="1"/>
                <w:color w:val="auto"/>
              </w:rPr>
            </w:pPr>
          </w:p>
        </w:tc>
        <w:tc>
          <w:tcPr>
            <w:tcW w:w="400" w:type="dxa"/>
            <w:vAlign w:val="bottom"/>
            <w:tcBorders>
              <w:top w:val="single" w:sz="8" w:color="auto"/>
              <w:bottom w:val="single" w:sz="8" w:color="auto"/>
            </w:tcBorders>
          </w:tcPr>
          <w:p>
            <w:pPr>
              <w:spacing w:after="0" w:line="20" w:lineRule="exact"/>
              <w:rPr>
                <w:sz w:val="1"/>
                <w:szCs w:val="1"/>
                <w:color w:val="auto"/>
              </w:rPr>
            </w:pPr>
          </w:p>
        </w:tc>
        <w:tc>
          <w:tcPr>
            <w:tcW w:w="280" w:type="dxa"/>
            <w:vAlign w:val="bottom"/>
            <w:tcBorders>
              <w:top w:val="single" w:sz="8" w:color="auto"/>
              <w:bottom w:val="single" w:sz="8" w:color="auto"/>
            </w:tcBorders>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2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400" w:type="dxa"/>
            <w:vAlign w:val="bottom"/>
            <w:tcBorders>
              <w:top w:val="single" w:sz="8" w:color="auto"/>
              <w:bottom w:val="single" w:sz="8" w:color="auto"/>
            </w:tcBorders>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48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20" w:type="dxa"/>
            <w:vAlign w:val="bottom"/>
            <w:tcBorders>
              <w:top w:val="single" w:sz="8" w:color="auto"/>
              <w:bottom w:val="single" w:sz="8" w:color="auto"/>
            </w:tcBorders>
          </w:tcPr>
          <w:p>
            <w:pPr>
              <w:spacing w:after="0" w:line="20" w:lineRule="exact"/>
              <w:rPr>
                <w:sz w:val="1"/>
                <w:szCs w:val="1"/>
                <w:color w:val="auto"/>
              </w:rPr>
            </w:pPr>
          </w:p>
        </w:tc>
        <w:tc>
          <w:tcPr>
            <w:tcW w:w="520" w:type="dxa"/>
            <w:vAlign w:val="bottom"/>
            <w:tcBorders>
              <w:top w:val="single" w:sz="8" w:color="auto"/>
              <w:bottom w:val="single" w:sz="8" w:color="auto"/>
            </w:tcBorders>
            <w:gridSpan w:val="2"/>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140" w:type="dxa"/>
            <w:vAlign w:val="bottom"/>
            <w:tcBorders>
              <w:top w:val="single" w:sz="8" w:color="auto"/>
              <w:bottom w:val="single" w:sz="8" w:color="auto"/>
            </w:tcBorders>
          </w:tcPr>
          <w:p>
            <w:pPr>
              <w:spacing w:after="0" w:line="20" w:lineRule="exact"/>
              <w:rPr>
                <w:sz w:val="1"/>
                <w:szCs w:val="1"/>
                <w:color w:val="auto"/>
              </w:rPr>
            </w:pPr>
          </w:p>
        </w:tc>
        <w:tc>
          <w:tcPr>
            <w:tcW w:w="50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346"/>
        </w:trPr>
        <w:tc>
          <w:tcPr>
            <w:tcW w:w="6180" w:type="dxa"/>
            <w:vAlign w:val="bottom"/>
          </w:tcPr>
          <w:p>
            <w:pPr>
              <w:spacing w:after="0"/>
              <w:rPr>
                <w:sz w:val="24"/>
                <w:szCs w:val="24"/>
                <w:color w:val="auto"/>
              </w:rPr>
            </w:pPr>
          </w:p>
        </w:tc>
        <w:tc>
          <w:tcPr>
            <w:tcW w:w="400" w:type="dxa"/>
            <w:vAlign w:val="bottom"/>
          </w:tcPr>
          <w:p>
            <w:pPr>
              <w:spacing w:after="0"/>
              <w:rPr>
                <w:sz w:val="24"/>
                <w:szCs w:val="24"/>
                <w:color w:val="auto"/>
              </w:rPr>
            </w:pPr>
          </w:p>
        </w:tc>
        <w:tc>
          <w:tcPr>
            <w:tcW w:w="280" w:type="dxa"/>
            <w:vAlign w:val="bottom"/>
            <w:tcBorders>
              <w:bottom w:val="single" w:sz="8" w:color="auto"/>
            </w:tcBorders>
          </w:tcPr>
          <w:p>
            <w:pPr>
              <w:spacing w:after="0"/>
              <w:rPr>
                <w:sz w:val="24"/>
                <w:szCs w:val="24"/>
                <w:color w:val="auto"/>
              </w:rPr>
            </w:pPr>
          </w:p>
        </w:tc>
        <w:tc>
          <w:tcPr>
            <w:tcW w:w="120" w:type="dxa"/>
            <w:vAlign w:val="bottom"/>
            <w:tcBorders>
              <w:bottom w:val="single" w:sz="8" w:color="auto"/>
            </w:tcBorders>
          </w:tcPr>
          <w:p>
            <w:pPr>
              <w:spacing w:after="0"/>
              <w:rPr>
                <w:sz w:val="24"/>
                <w:szCs w:val="24"/>
                <w:color w:val="auto"/>
              </w:rPr>
            </w:pPr>
          </w:p>
        </w:tc>
        <w:tc>
          <w:tcPr>
            <w:tcW w:w="100" w:type="dxa"/>
            <w:vAlign w:val="bottom"/>
            <w:tcBorders>
              <w:bottom w:val="single" w:sz="8" w:color="auto"/>
            </w:tcBorders>
          </w:tcPr>
          <w:p>
            <w:pPr>
              <w:spacing w:after="0"/>
              <w:rPr>
                <w:sz w:val="24"/>
                <w:szCs w:val="24"/>
                <w:color w:val="auto"/>
              </w:rPr>
            </w:pPr>
          </w:p>
        </w:tc>
        <w:tc>
          <w:tcPr>
            <w:tcW w:w="120" w:type="dxa"/>
            <w:vAlign w:val="bottom"/>
            <w:tcBorders>
              <w:bottom w:val="single" w:sz="8" w:color="auto"/>
            </w:tcBorders>
          </w:tcPr>
          <w:p>
            <w:pPr>
              <w:spacing w:after="0"/>
              <w:rPr>
                <w:sz w:val="24"/>
                <w:szCs w:val="24"/>
                <w:color w:val="auto"/>
              </w:rPr>
            </w:pPr>
          </w:p>
        </w:tc>
        <w:tc>
          <w:tcPr>
            <w:tcW w:w="100" w:type="dxa"/>
            <w:vAlign w:val="bottom"/>
            <w:tcBorders>
              <w:bottom w:val="single" w:sz="8" w:color="auto"/>
            </w:tcBorders>
          </w:tcPr>
          <w:p>
            <w:pPr>
              <w:spacing w:after="0"/>
              <w:rPr>
                <w:sz w:val="24"/>
                <w:szCs w:val="24"/>
                <w:color w:val="auto"/>
              </w:rPr>
            </w:pPr>
          </w:p>
        </w:tc>
        <w:tc>
          <w:tcPr>
            <w:tcW w:w="400" w:type="dxa"/>
            <w:vAlign w:val="bottom"/>
            <w:tcBorders>
              <w:bottom w:val="single" w:sz="8" w:color="auto"/>
            </w:tcBorders>
          </w:tcPr>
          <w:p>
            <w:pPr>
              <w:spacing w:after="0"/>
              <w:rPr>
                <w:sz w:val="24"/>
                <w:szCs w:val="24"/>
                <w:color w:val="auto"/>
              </w:rPr>
            </w:pPr>
          </w:p>
        </w:tc>
        <w:tc>
          <w:tcPr>
            <w:tcW w:w="220" w:type="dxa"/>
            <w:vAlign w:val="bottom"/>
            <w:tcBorders>
              <w:bottom w:val="single" w:sz="8" w:color="auto"/>
            </w:tcBorders>
          </w:tcPr>
          <w:p>
            <w:pPr>
              <w:spacing w:after="0"/>
              <w:rPr>
                <w:sz w:val="24"/>
                <w:szCs w:val="24"/>
                <w:color w:val="auto"/>
              </w:rPr>
            </w:pPr>
          </w:p>
        </w:tc>
        <w:tc>
          <w:tcPr>
            <w:tcW w:w="120" w:type="dxa"/>
            <w:vAlign w:val="bottom"/>
            <w:tcBorders>
              <w:bottom w:val="single" w:sz="8" w:color="auto"/>
            </w:tcBorders>
          </w:tcPr>
          <w:p>
            <w:pPr>
              <w:spacing w:after="0"/>
              <w:rPr>
                <w:sz w:val="24"/>
                <w:szCs w:val="24"/>
                <w:color w:val="auto"/>
              </w:rPr>
            </w:pPr>
          </w:p>
        </w:tc>
        <w:tc>
          <w:tcPr>
            <w:tcW w:w="100" w:type="dxa"/>
            <w:vAlign w:val="bottom"/>
            <w:tcBorders>
              <w:bottom w:val="single" w:sz="8" w:color="auto"/>
            </w:tcBorders>
          </w:tcPr>
          <w:p>
            <w:pPr>
              <w:spacing w:after="0"/>
              <w:rPr>
                <w:sz w:val="24"/>
                <w:szCs w:val="24"/>
                <w:color w:val="auto"/>
              </w:rPr>
            </w:pPr>
          </w:p>
        </w:tc>
        <w:tc>
          <w:tcPr>
            <w:tcW w:w="1560" w:type="dxa"/>
            <w:vAlign w:val="bottom"/>
            <w:tcBorders>
              <w:bottom w:val="single" w:sz="8" w:color="auto"/>
            </w:tcBorders>
            <w:gridSpan w:val="8"/>
          </w:tcPr>
          <w:p>
            <w:pPr>
              <w:ind w:left="320"/>
              <w:spacing w:after="0"/>
              <w:rPr>
                <w:sz w:val="20"/>
                <w:szCs w:val="20"/>
                <w:color w:val="auto"/>
              </w:rPr>
            </w:pPr>
            <w:r>
              <w:rPr>
                <w:rFonts w:ascii="Arial" w:cs="Arial" w:eastAsia="Arial" w:hAnsi="Arial"/>
                <w:sz w:val="14"/>
                <w:szCs w:val="14"/>
                <w:b w:val="1"/>
                <w:bCs w:val="1"/>
                <w:color w:val="auto"/>
              </w:rPr>
              <w:t>January 31, 2009</w:t>
            </w:r>
          </w:p>
        </w:tc>
        <w:tc>
          <w:tcPr>
            <w:tcW w:w="80" w:type="dxa"/>
            <w:vAlign w:val="bottom"/>
            <w:tcBorders>
              <w:bottom w:val="single" w:sz="8" w:color="auto"/>
            </w:tcBorders>
          </w:tcPr>
          <w:p>
            <w:pPr>
              <w:spacing w:after="0"/>
              <w:rPr>
                <w:sz w:val="24"/>
                <w:szCs w:val="24"/>
                <w:color w:val="auto"/>
              </w:rPr>
            </w:pPr>
          </w:p>
        </w:tc>
        <w:tc>
          <w:tcPr>
            <w:tcW w:w="100" w:type="dxa"/>
            <w:vAlign w:val="bottom"/>
            <w:tcBorders>
              <w:bottom w:val="single" w:sz="8" w:color="auto"/>
            </w:tcBorders>
          </w:tcPr>
          <w:p>
            <w:pPr>
              <w:spacing w:after="0"/>
              <w:rPr>
                <w:sz w:val="24"/>
                <w:szCs w:val="24"/>
                <w:color w:val="auto"/>
              </w:rPr>
            </w:pPr>
          </w:p>
        </w:tc>
        <w:tc>
          <w:tcPr>
            <w:tcW w:w="580" w:type="dxa"/>
            <w:vAlign w:val="bottom"/>
            <w:tcBorders>
              <w:bottom w:val="single" w:sz="8" w:color="auto"/>
            </w:tcBorders>
          </w:tcPr>
          <w:p>
            <w:pPr>
              <w:spacing w:after="0"/>
              <w:rPr>
                <w:sz w:val="24"/>
                <w:szCs w:val="24"/>
                <w:color w:val="auto"/>
              </w:rPr>
            </w:pPr>
          </w:p>
        </w:tc>
        <w:tc>
          <w:tcPr>
            <w:tcW w:w="220" w:type="dxa"/>
            <w:vAlign w:val="bottom"/>
            <w:tcBorders>
              <w:bottom w:val="single" w:sz="8" w:color="auto"/>
            </w:tcBorders>
          </w:tcPr>
          <w:p>
            <w:pPr>
              <w:spacing w:after="0"/>
              <w:rPr>
                <w:sz w:val="24"/>
                <w:szCs w:val="24"/>
                <w:color w:val="auto"/>
              </w:rPr>
            </w:pPr>
          </w:p>
        </w:tc>
        <w:tc>
          <w:tcPr>
            <w:tcW w:w="140" w:type="dxa"/>
            <w:vAlign w:val="bottom"/>
            <w:tcBorders>
              <w:bottom w:val="single" w:sz="8" w:color="auto"/>
            </w:tcBorders>
          </w:tcPr>
          <w:p>
            <w:pPr>
              <w:spacing w:after="0"/>
              <w:rPr>
                <w:sz w:val="24"/>
                <w:szCs w:val="24"/>
                <w:color w:val="auto"/>
              </w:rPr>
            </w:pPr>
          </w:p>
        </w:tc>
        <w:tc>
          <w:tcPr>
            <w:tcW w:w="500" w:type="dxa"/>
            <w:vAlign w:val="bottom"/>
            <w:tcBorders>
              <w:bottom w:val="single" w:sz="8" w:color="auto"/>
            </w:tcBorders>
          </w:tcPr>
          <w:p>
            <w:pPr>
              <w:spacing w:after="0"/>
              <w:rPr>
                <w:sz w:val="24"/>
                <w:szCs w:val="24"/>
                <w:color w:val="auto"/>
              </w:rPr>
            </w:pPr>
          </w:p>
        </w:tc>
        <w:tc>
          <w:tcPr>
            <w:tcW w:w="10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142"/>
        </w:trPr>
        <w:tc>
          <w:tcPr>
            <w:tcW w:w="6180" w:type="dxa"/>
            <w:vAlign w:val="bottom"/>
          </w:tcPr>
          <w:p>
            <w:pPr>
              <w:spacing w:after="0"/>
              <w:rPr>
                <w:sz w:val="12"/>
                <w:szCs w:val="12"/>
                <w:color w:val="auto"/>
              </w:rPr>
            </w:pPr>
          </w:p>
        </w:tc>
        <w:tc>
          <w:tcPr>
            <w:tcW w:w="400" w:type="dxa"/>
            <w:vAlign w:val="bottom"/>
          </w:tcPr>
          <w:p>
            <w:pPr>
              <w:spacing w:after="0"/>
              <w:rPr>
                <w:sz w:val="12"/>
                <w:szCs w:val="12"/>
                <w:color w:val="auto"/>
              </w:rPr>
            </w:pPr>
          </w:p>
        </w:tc>
        <w:tc>
          <w:tcPr>
            <w:tcW w:w="1460" w:type="dxa"/>
            <w:vAlign w:val="bottom"/>
            <w:gridSpan w:val="8"/>
          </w:tcPr>
          <w:p>
            <w:pPr>
              <w:jc w:val="center"/>
              <w:ind w:right="120"/>
              <w:spacing w:after="0" w:line="142" w:lineRule="exact"/>
              <w:rPr>
                <w:sz w:val="20"/>
                <w:szCs w:val="20"/>
                <w:color w:val="auto"/>
              </w:rPr>
            </w:pPr>
            <w:r>
              <w:rPr>
                <w:rFonts w:ascii="Arial" w:cs="Arial" w:eastAsia="Arial" w:hAnsi="Arial"/>
                <w:sz w:val="14"/>
                <w:szCs w:val="14"/>
                <w:b w:val="1"/>
                <w:bCs w:val="1"/>
                <w:color w:val="auto"/>
                <w:w w:val="84"/>
              </w:rPr>
              <w:t>Less than 12 months</w:t>
            </w:r>
          </w:p>
        </w:tc>
        <w:tc>
          <w:tcPr>
            <w:tcW w:w="100" w:type="dxa"/>
            <w:vAlign w:val="bottom"/>
          </w:tcPr>
          <w:p>
            <w:pPr>
              <w:spacing w:after="0"/>
              <w:rPr>
                <w:sz w:val="12"/>
                <w:szCs w:val="12"/>
                <w:color w:val="auto"/>
              </w:rPr>
            </w:pPr>
          </w:p>
        </w:tc>
        <w:tc>
          <w:tcPr>
            <w:tcW w:w="1560" w:type="dxa"/>
            <w:vAlign w:val="bottom"/>
            <w:gridSpan w:val="8"/>
          </w:tcPr>
          <w:p>
            <w:pPr>
              <w:ind w:left="160"/>
              <w:spacing w:after="0" w:line="142" w:lineRule="exact"/>
              <w:rPr>
                <w:sz w:val="20"/>
                <w:szCs w:val="20"/>
                <w:color w:val="auto"/>
              </w:rPr>
            </w:pPr>
            <w:r>
              <w:rPr>
                <w:rFonts w:ascii="Arial" w:cs="Arial" w:eastAsia="Arial" w:hAnsi="Arial"/>
                <w:sz w:val="14"/>
                <w:szCs w:val="14"/>
                <w:b w:val="1"/>
                <w:bCs w:val="1"/>
                <w:color w:val="auto"/>
              </w:rPr>
              <w:t>12 months or more</w:t>
            </w:r>
          </w:p>
        </w:tc>
        <w:tc>
          <w:tcPr>
            <w:tcW w:w="8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940" w:type="dxa"/>
            <w:vAlign w:val="bottom"/>
            <w:gridSpan w:val="3"/>
          </w:tcPr>
          <w:p>
            <w:pPr>
              <w:ind w:left="560"/>
              <w:spacing w:after="0" w:line="142" w:lineRule="exact"/>
              <w:rPr>
                <w:sz w:val="20"/>
                <w:szCs w:val="20"/>
                <w:color w:val="auto"/>
              </w:rPr>
            </w:pPr>
            <w:r>
              <w:rPr>
                <w:rFonts w:ascii="Arial" w:cs="Arial" w:eastAsia="Arial" w:hAnsi="Arial"/>
                <w:sz w:val="14"/>
                <w:szCs w:val="14"/>
                <w:b w:val="1"/>
                <w:bCs w:val="1"/>
                <w:color w:val="auto"/>
              </w:rPr>
              <w:t>Total</w:t>
            </w:r>
          </w:p>
        </w:tc>
        <w:tc>
          <w:tcPr>
            <w:tcW w:w="50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29"/>
        </w:trPr>
        <w:tc>
          <w:tcPr>
            <w:tcW w:w="6180" w:type="dxa"/>
            <w:vAlign w:val="bottom"/>
          </w:tcPr>
          <w:p>
            <w:pPr>
              <w:spacing w:after="0"/>
              <w:rPr>
                <w:sz w:val="11"/>
                <w:szCs w:val="11"/>
                <w:color w:val="auto"/>
              </w:rPr>
            </w:pPr>
          </w:p>
        </w:tc>
        <w:tc>
          <w:tcPr>
            <w:tcW w:w="400" w:type="dxa"/>
            <w:vAlign w:val="bottom"/>
          </w:tcPr>
          <w:p>
            <w:pPr>
              <w:spacing w:after="0"/>
              <w:rPr>
                <w:sz w:val="11"/>
                <w:szCs w:val="11"/>
                <w:color w:val="auto"/>
              </w:rPr>
            </w:pPr>
          </w:p>
        </w:tc>
        <w:tc>
          <w:tcPr>
            <w:tcW w:w="400" w:type="dxa"/>
            <w:vAlign w:val="bottom"/>
            <w:tcBorders>
              <w:top w:val="single" w:sz="8" w:color="auto"/>
            </w:tcBorders>
            <w:gridSpan w:val="2"/>
          </w:tcPr>
          <w:p>
            <w:pPr>
              <w:jc w:val="center"/>
              <w:spacing w:after="0" w:line="129" w:lineRule="exact"/>
              <w:rPr>
                <w:sz w:val="20"/>
                <w:szCs w:val="20"/>
                <w:color w:val="auto"/>
              </w:rPr>
            </w:pPr>
            <w:r>
              <w:rPr>
                <w:rFonts w:ascii="Arial" w:cs="Arial" w:eastAsia="Arial" w:hAnsi="Arial"/>
                <w:sz w:val="14"/>
                <w:szCs w:val="14"/>
                <w:b w:val="1"/>
                <w:bCs w:val="1"/>
                <w:color w:val="auto"/>
                <w:w w:val="93"/>
              </w:rPr>
              <w:t>Fair</w:t>
            </w:r>
          </w:p>
        </w:tc>
        <w:tc>
          <w:tcPr>
            <w:tcW w:w="100" w:type="dxa"/>
            <w:vAlign w:val="bottom"/>
            <w:tcBorders>
              <w:top w:val="single" w:sz="8" w:color="auto"/>
            </w:tcBorders>
          </w:tcPr>
          <w:p>
            <w:pPr>
              <w:spacing w:after="0"/>
              <w:rPr>
                <w:sz w:val="11"/>
                <w:szCs w:val="11"/>
                <w:color w:val="auto"/>
              </w:rPr>
            </w:pPr>
          </w:p>
        </w:tc>
        <w:tc>
          <w:tcPr>
            <w:tcW w:w="120" w:type="dxa"/>
            <w:vAlign w:val="bottom"/>
            <w:tcBorders>
              <w:top w:val="single" w:sz="8" w:color="auto"/>
            </w:tcBorders>
          </w:tcPr>
          <w:p>
            <w:pPr>
              <w:spacing w:after="0"/>
              <w:rPr>
                <w:sz w:val="11"/>
                <w:szCs w:val="11"/>
                <w:color w:val="auto"/>
              </w:rPr>
            </w:pPr>
          </w:p>
        </w:tc>
        <w:tc>
          <w:tcPr>
            <w:tcW w:w="720" w:type="dxa"/>
            <w:vAlign w:val="bottom"/>
            <w:tcBorders>
              <w:top w:val="single" w:sz="8" w:color="auto"/>
            </w:tcBorders>
            <w:gridSpan w:val="3"/>
          </w:tcPr>
          <w:p>
            <w:pPr>
              <w:jc w:val="center"/>
              <w:spacing w:after="0" w:line="129" w:lineRule="exact"/>
              <w:rPr>
                <w:sz w:val="20"/>
                <w:szCs w:val="20"/>
                <w:color w:val="auto"/>
              </w:rPr>
            </w:pPr>
            <w:r>
              <w:rPr>
                <w:rFonts w:ascii="Arial" w:cs="Arial" w:eastAsia="Arial" w:hAnsi="Arial"/>
                <w:sz w:val="14"/>
                <w:szCs w:val="14"/>
                <w:b w:val="1"/>
                <w:bCs w:val="1"/>
                <w:color w:val="auto"/>
                <w:w w:val="90"/>
              </w:rPr>
              <w:t>Unrealized</w:t>
            </w:r>
          </w:p>
        </w:tc>
        <w:tc>
          <w:tcPr>
            <w:tcW w:w="1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80" w:type="dxa"/>
            <w:vAlign w:val="bottom"/>
            <w:tcBorders>
              <w:top w:val="single" w:sz="8" w:color="auto"/>
            </w:tcBorders>
            <w:gridSpan w:val="3"/>
          </w:tcPr>
          <w:p>
            <w:pPr>
              <w:jc w:val="center"/>
              <w:ind w:right="100"/>
              <w:spacing w:after="0" w:line="129" w:lineRule="exact"/>
              <w:rPr>
                <w:sz w:val="20"/>
                <w:szCs w:val="20"/>
                <w:color w:val="auto"/>
              </w:rPr>
            </w:pPr>
            <w:r>
              <w:rPr>
                <w:rFonts w:ascii="Arial" w:cs="Arial" w:eastAsia="Arial" w:hAnsi="Arial"/>
                <w:sz w:val="14"/>
                <w:szCs w:val="14"/>
                <w:b w:val="1"/>
                <w:bCs w:val="1"/>
                <w:color w:val="auto"/>
              </w:rPr>
              <w:t>Fair</w:t>
            </w:r>
          </w:p>
        </w:tc>
        <w:tc>
          <w:tcPr>
            <w:tcW w:w="120" w:type="dxa"/>
            <w:vAlign w:val="bottom"/>
            <w:tcBorders>
              <w:top w:val="single" w:sz="8" w:color="auto"/>
            </w:tcBorders>
          </w:tcPr>
          <w:p>
            <w:pPr>
              <w:spacing w:after="0"/>
              <w:rPr>
                <w:sz w:val="11"/>
                <w:szCs w:val="11"/>
                <w:color w:val="auto"/>
              </w:rPr>
            </w:pPr>
          </w:p>
        </w:tc>
        <w:tc>
          <w:tcPr>
            <w:tcW w:w="620" w:type="dxa"/>
            <w:vAlign w:val="bottom"/>
            <w:tcBorders>
              <w:top w:val="single" w:sz="8" w:color="auto"/>
            </w:tcBorders>
            <w:gridSpan w:val="3"/>
          </w:tcPr>
          <w:p>
            <w:pPr>
              <w:spacing w:after="0" w:line="129" w:lineRule="exact"/>
              <w:rPr>
                <w:sz w:val="20"/>
                <w:szCs w:val="20"/>
                <w:color w:val="auto"/>
              </w:rPr>
            </w:pPr>
            <w:r>
              <w:rPr>
                <w:rFonts w:ascii="Arial" w:cs="Arial" w:eastAsia="Arial" w:hAnsi="Arial"/>
                <w:sz w:val="14"/>
                <w:szCs w:val="14"/>
                <w:b w:val="1"/>
                <w:bCs w:val="1"/>
                <w:color w:val="auto"/>
                <w:w w:val="84"/>
              </w:rPr>
              <w:t>Unrealized</w:t>
            </w:r>
          </w:p>
        </w:tc>
        <w:tc>
          <w:tcPr>
            <w:tcW w:w="14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580" w:type="dxa"/>
            <w:vAlign w:val="bottom"/>
            <w:tcBorders>
              <w:top w:val="single" w:sz="8" w:color="auto"/>
            </w:tcBorders>
          </w:tcPr>
          <w:p>
            <w:pPr>
              <w:jc w:val="right"/>
              <w:ind w:right="92"/>
              <w:spacing w:after="0" w:line="129" w:lineRule="exact"/>
              <w:rPr>
                <w:sz w:val="20"/>
                <w:szCs w:val="20"/>
                <w:color w:val="auto"/>
              </w:rPr>
            </w:pPr>
            <w:r>
              <w:rPr>
                <w:rFonts w:ascii="Arial" w:cs="Arial" w:eastAsia="Arial" w:hAnsi="Arial"/>
                <w:sz w:val="14"/>
                <w:szCs w:val="14"/>
                <w:b w:val="1"/>
                <w:bCs w:val="1"/>
                <w:color w:val="auto"/>
              </w:rPr>
              <w:t>Fair</w:t>
            </w:r>
          </w:p>
        </w:tc>
        <w:tc>
          <w:tcPr>
            <w:tcW w:w="220" w:type="dxa"/>
            <w:vAlign w:val="bottom"/>
            <w:tcBorders>
              <w:top w:val="single" w:sz="8" w:color="auto"/>
            </w:tcBorders>
          </w:tcPr>
          <w:p>
            <w:pPr>
              <w:spacing w:after="0"/>
              <w:rPr>
                <w:sz w:val="11"/>
                <w:szCs w:val="11"/>
                <w:color w:val="auto"/>
              </w:rPr>
            </w:pPr>
          </w:p>
        </w:tc>
        <w:tc>
          <w:tcPr>
            <w:tcW w:w="640" w:type="dxa"/>
            <w:vAlign w:val="bottom"/>
            <w:tcBorders>
              <w:top w:val="single" w:sz="8" w:color="auto"/>
            </w:tcBorders>
            <w:gridSpan w:val="2"/>
          </w:tcPr>
          <w:p>
            <w:pPr>
              <w:spacing w:after="0" w:line="129" w:lineRule="exact"/>
              <w:rPr>
                <w:sz w:val="20"/>
                <w:szCs w:val="20"/>
                <w:color w:val="auto"/>
              </w:rPr>
            </w:pPr>
            <w:r>
              <w:rPr>
                <w:rFonts w:ascii="Arial" w:cs="Arial" w:eastAsia="Arial" w:hAnsi="Arial"/>
                <w:sz w:val="14"/>
                <w:szCs w:val="14"/>
                <w:b w:val="1"/>
                <w:bCs w:val="1"/>
                <w:color w:val="auto"/>
                <w:w w:val="87"/>
              </w:rPr>
              <w:t>Unrealized</w:t>
            </w: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1"/>
        </w:trPr>
        <w:tc>
          <w:tcPr>
            <w:tcW w:w="6180" w:type="dxa"/>
            <w:vAlign w:val="bottom"/>
          </w:tcPr>
          <w:p>
            <w:pPr>
              <w:spacing w:after="0"/>
              <w:rPr>
                <w:sz w:val="14"/>
                <w:szCs w:val="14"/>
                <w:color w:val="auto"/>
              </w:rPr>
            </w:pPr>
          </w:p>
        </w:tc>
        <w:tc>
          <w:tcPr>
            <w:tcW w:w="400" w:type="dxa"/>
            <w:vAlign w:val="bottom"/>
          </w:tcPr>
          <w:p>
            <w:pPr>
              <w:spacing w:after="0"/>
              <w:rPr>
                <w:sz w:val="14"/>
                <w:szCs w:val="14"/>
                <w:color w:val="auto"/>
              </w:rPr>
            </w:pPr>
          </w:p>
        </w:tc>
        <w:tc>
          <w:tcPr>
            <w:tcW w:w="400" w:type="dxa"/>
            <w:vAlign w:val="bottom"/>
            <w:tcBorders>
              <w:bottom w:val="single" w:sz="8" w:color="auto"/>
            </w:tcBorders>
            <w:gridSpan w:val="2"/>
          </w:tcPr>
          <w:p>
            <w:pPr>
              <w:jc w:val="center"/>
              <w:spacing w:after="0"/>
              <w:rPr>
                <w:sz w:val="20"/>
                <w:szCs w:val="20"/>
                <w:color w:val="auto"/>
              </w:rPr>
            </w:pPr>
            <w:r>
              <w:rPr>
                <w:rFonts w:ascii="Arial" w:cs="Arial" w:eastAsia="Arial" w:hAnsi="Arial"/>
                <w:sz w:val="14"/>
                <w:szCs w:val="14"/>
                <w:b w:val="1"/>
                <w:bCs w:val="1"/>
                <w:color w:val="auto"/>
                <w:w w:val="85"/>
              </w:rPr>
              <w:t>Value</w:t>
            </w:r>
          </w:p>
        </w:tc>
        <w:tc>
          <w:tcPr>
            <w:tcW w:w="10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620" w:type="dxa"/>
            <w:vAlign w:val="bottom"/>
            <w:tcBorders>
              <w:bottom w:val="single" w:sz="8" w:color="auto"/>
            </w:tcBorders>
            <w:gridSpan w:val="2"/>
          </w:tcPr>
          <w:p>
            <w:pPr>
              <w:jc w:val="center"/>
              <w:ind w:right="100"/>
              <w:spacing w:after="0"/>
              <w:rPr>
                <w:sz w:val="20"/>
                <w:szCs w:val="20"/>
                <w:color w:val="auto"/>
              </w:rPr>
            </w:pPr>
            <w:r>
              <w:rPr>
                <w:rFonts w:ascii="Arial" w:cs="Arial" w:eastAsia="Arial" w:hAnsi="Arial"/>
                <w:sz w:val="14"/>
                <w:szCs w:val="14"/>
                <w:b w:val="1"/>
                <w:bCs w:val="1"/>
                <w:color w:val="auto"/>
                <w:w w:val="83"/>
              </w:rPr>
              <w:t>(Losses)</w:t>
            </w:r>
          </w:p>
        </w:tc>
        <w:tc>
          <w:tcPr>
            <w:tcW w:w="12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580" w:type="dxa"/>
            <w:vAlign w:val="bottom"/>
            <w:tcBorders>
              <w:bottom w:val="single" w:sz="8" w:color="auto"/>
            </w:tcBorders>
            <w:gridSpan w:val="2"/>
          </w:tcPr>
          <w:p>
            <w:pPr>
              <w:jc w:val="center"/>
              <w:spacing w:after="0"/>
              <w:rPr>
                <w:sz w:val="20"/>
                <w:szCs w:val="20"/>
                <w:color w:val="auto"/>
              </w:rPr>
            </w:pPr>
            <w:r>
              <w:rPr>
                <w:rFonts w:ascii="Arial" w:cs="Arial" w:eastAsia="Arial" w:hAnsi="Arial"/>
                <w:sz w:val="14"/>
                <w:szCs w:val="14"/>
                <w:b w:val="1"/>
                <w:bCs w:val="1"/>
                <w:color w:val="auto"/>
                <w:w w:val="90"/>
              </w:rPr>
              <w:t>Value</w:t>
            </w:r>
          </w:p>
        </w:tc>
        <w:tc>
          <w:tcPr>
            <w:tcW w:w="10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620" w:type="dxa"/>
            <w:vAlign w:val="bottom"/>
            <w:tcBorders>
              <w:bottom w:val="single" w:sz="8" w:color="auto"/>
            </w:tcBorders>
            <w:gridSpan w:val="3"/>
          </w:tcPr>
          <w:p>
            <w:pPr>
              <w:jc w:val="right"/>
              <w:ind w:right="80"/>
              <w:spacing w:after="0"/>
              <w:rPr>
                <w:sz w:val="20"/>
                <w:szCs w:val="20"/>
                <w:color w:val="auto"/>
              </w:rPr>
            </w:pPr>
            <w:r>
              <w:rPr>
                <w:rFonts w:ascii="Arial" w:cs="Arial" w:eastAsia="Arial" w:hAnsi="Arial"/>
                <w:sz w:val="14"/>
                <w:szCs w:val="14"/>
                <w:b w:val="1"/>
                <w:bCs w:val="1"/>
                <w:color w:val="auto"/>
                <w:w w:val="90"/>
              </w:rPr>
              <w:t>(Losses)</w:t>
            </w:r>
          </w:p>
        </w:tc>
        <w:tc>
          <w:tcPr>
            <w:tcW w:w="14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580" w:type="dxa"/>
            <w:vAlign w:val="bottom"/>
            <w:tcBorders>
              <w:bottom w:val="single" w:sz="8" w:color="auto"/>
            </w:tcBorders>
          </w:tcPr>
          <w:p>
            <w:pPr>
              <w:jc w:val="right"/>
              <w:ind w:right="52"/>
              <w:spacing w:after="0"/>
              <w:rPr>
                <w:sz w:val="20"/>
                <w:szCs w:val="20"/>
                <w:color w:val="auto"/>
              </w:rPr>
            </w:pPr>
            <w:r>
              <w:rPr>
                <w:rFonts w:ascii="Arial" w:cs="Arial" w:eastAsia="Arial" w:hAnsi="Arial"/>
                <w:sz w:val="14"/>
                <w:szCs w:val="14"/>
                <w:b w:val="1"/>
                <w:bCs w:val="1"/>
                <w:color w:val="auto"/>
              </w:rPr>
              <w:t>Value</w:t>
            </w:r>
          </w:p>
        </w:tc>
        <w:tc>
          <w:tcPr>
            <w:tcW w:w="220" w:type="dxa"/>
            <w:vAlign w:val="bottom"/>
          </w:tcPr>
          <w:p>
            <w:pPr>
              <w:spacing w:after="0"/>
              <w:rPr>
                <w:sz w:val="14"/>
                <w:szCs w:val="14"/>
                <w:color w:val="auto"/>
              </w:rPr>
            </w:pPr>
          </w:p>
        </w:tc>
        <w:tc>
          <w:tcPr>
            <w:tcW w:w="640" w:type="dxa"/>
            <w:vAlign w:val="bottom"/>
            <w:tcBorders>
              <w:bottom w:val="single" w:sz="8" w:color="auto"/>
            </w:tcBorders>
            <w:gridSpan w:val="2"/>
          </w:tcPr>
          <w:p>
            <w:pPr>
              <w:ind w:left="80"/>
              <w:spacing w:after="0"/>
              <w:rPr>
                <w:sz w:val="20"/>
                <w:szCs w:val="20"/>
                <w:color w:val="auto"/>
              </w:rPr>
            </w:pPr>
            <w:r>
              <w:rPr>
                <w:rFonts w:ascii="Arial" w:cs="Arial" w:eastAsia="Arial" w:hAnsi="Arial"/>
                <w:sz w:val="14"/>
                <w:szCs w:val="14"/>
                <w:b w:val="1"/>
                <w:bCs w:val="1"/>
                <w:color w:val="auto"/>
                <w:w w:val="93"/>
              </w:rPr>
              <w:t>(Losses)</w:t>
            </w:r>
          </w:p>
        </w:tc>
        <w:tc>
          <w:tcPr>
            <w:tcW w:w="1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210"/>
        </w:trPr>
        <w:tc>
          <w:tcPr>
            <w:tcW w:w="6180" w:type="dxa"/>
            <w:vAlign w:val="bottom"/>
            <w:shd w:val="clear" w:color="auto" w:fill="CCEEFF"/>
          </w:tcPr>
          <w:p>
            <w:pPr>
              <w:spacing w:after="0"/>
              <w:rPr>
                <w:sz w:val="20"/>
                <w:szCs w:val="20"/>
                <w:color w:val="auto"/>
              </w:rPr>
            </w:pPr>
            <w:r>
              <w:rPr>
                <w:rFonts w:ascii="Arial" w:cs="Arial" w:eastAsia="Arial" w:hAnsi="Arial"/>
                <w:sz w:val="18"/>
                <w:szCs w:val="18"/>
                <w:color w:val="auto"/>
              </w:rPr>
              <w:t>Auction rate securities and settlement option</w:t>
            </w:r>
          </w:p>
        </w:tc>
        <w:tc>
          <w:tcPr>
            <w:tcW w:w="400" w:type="dxa"/>
            <w:vAlign w:val="bottom"/>
            <w:shd w:val="clear" w:color="auto" w:fill="CCEEFF"/>
          </w:tcPr>
          <w:p>
            <w:pPr>
              <w:spacing w:after="0"/>
              <w:rPr>
                <w:sz w:val="18"/>
                <w:szCs w:val="18"/>
                <w:color w:val="auto"/>
              </w:rPr>
            </w:pPr>
          </w:p>
        </w:tc>
        <w:tc>
          <w:tcPr>
            <w:tcW w:w="40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 —</w:t>
            </w:r>
          </w:p>
        </w:tc>
        <w:tc>
          <w:tcPr>
            <w:tcW w:w="320" w:type="dxa"/>
            <w:vAlign w:val="bottom"/>
            <w:gridSpan w:val="3"/>
            <w:shd w:val="clear" w:color="auto" w:fill="CCEEFF"/>
          </w:tcPr>
          <w:p>
            <w:pPr>
              <w:jc w:val="center"/>
              <w:ind w:left="112"/>
              <w:spacing w:after="0"/>
              <w:rPr>
                <w:sz w:val="20"/>
                <w:szCs w:val="20"/>
                <w:color w:val="auto"/>
              </w:rPr>
            </w:pPr>
            <w:r>
              <w:rPr>
                <w:rFonts w:ascii="Arial" w:cs="Arial" w:eastAsia="Arial" w:hAnsi="Arial"/>
                <w:sz w:val="18"/>
                <w:szCs w:val="18"/>
                <w:color w:val="auto"/>
                <w:w w:val="79"/>
              </w:rPr>
              <w:t>$</w:t>
            </w:r>
          </w:p>
        </w:tc>
        <w:tc>
          <w:tcPr>
            <w:tcW w:w="740" w:type="dxa"/>
            <w:vAlign w:val="bottom"/>
            <w:gridSpan w:val="3"/>
            <w:shd w:val="clear" w:color="auto" w:fill="CCEEFF"/>
          </w:tcPr>
          <w:p>
            <w:pPr>
              <w:ind w:left="360"/>
              <w:spacing w:after="0"/>
              <w:rPr>
                <w:sz w:val="20"/>
                <w:szCs w:val="20"/>
                <w:color w:val="auto"/>
              </w:rPr>
            </w:pPr>
            <w:r>
              <w:rPr>
                <w:rFonts w:ascii="Arial" w:cs="Arial" w:eastAsia="Arial" w:hAnsi="Arial"/>
                <w:sz w:val="18"/>
                <w:szCs w:val="18"/>
                <w:color w:val="auto"/>
              </w:rPr>
              <w:t>—</w:t>
            </w:r>
          </w:p>
        </w:tc>
        <w:tc>
          <w:tcPr>
            <w:tcW w:w="780" w:type="dxa"/>
            <w:vAlign w:val="bottom"/>
            <w:gridSpan w:val="4"/>
            <w:shd w:val="clear" w:color="auto" w:fill="CCEEFF"/>
          </w:tcPr>
          <w:p>
            <w:pPr>
              <w:jc w:val="center"/>
              <w:spacing w:after="0"/>
              <w:rPr>
                <w:sz w:val="20"/>
                <w:szCs w:val="20"/>
                <w:color w:val="auto"/>
              </w:rPr>
            </w:pPr>
            <w:r>
              <w:rPr>
                <w:rFonts w:ascii="Arial" w:cs="Arial" w:eastAsia="Arial" w:hAnsi="Arial"/>
                <w:sz w:val="18"/>
                <w:szCs w:val="18"/>
                <w:u w:val="single" w:color="auto"/>
                <w:color w:val="auto"/>
                <w:w w:val="89"/>
              </w:rPr>
              <w:t>$</w:t>
            </w:r>
            <w:r>
              <w:rPr>
                <w:rFonts w:ascii="Arial" w:cs="Arial" w:eastAsia="Arial" w:hAnsi="Arial"/>
                <w:sz w:val="18"/>
                <w:szCs w:val="18"/>
                <w:color w:val="auto"/>
                <w:w w:val="89"/>
              </w:rPr>
              <w:t>40,451</w:t>
            </w:r>
          </w:p>
        </w:tc>
        <w:tc>
          <w:tcPr>
            <w:tcW w:w="240" w:type="dxa"/>
            <w:vAlign w:val="bottom"/>
            <w:gridSpan w:val="2"/>
            <w:shd w:val="clear" w:color="auto" w:fill="CCEEFF"/>
          </w:tcPr>
          <w:p>
            <w:pPr>
              <w:ind w:left="120"/>
              <w:spacing w:after="0"/>
              <w:rPr>
                <w:sz w:val="20"/>
                <w:szCs w:val="20"/>
                <w:color w:val="auto"/>
              </w:rPr>
            </w:pPr>
            <w:r>
              <w:rPr>
                <w:rFonts w:ascii="Arial" w:cs="Arial" w:eastAsia="Arial" w:hAnsi="Arial"/>
                <w:sz w:val="18"/>
                <w:szCs w:val="18"/>
                <w:color w:val="auto"/>
                <w:w w:val="99"/>
              </w:rPr>
              <w:t>$</w:t>
            </w:r>
          </w:p>
        </w:tc>
        <w:tc>
          <w:tcPr>
            <w:tcW w:w="640" w:type="dxa"/>
            <w:vAlign w:val="bottom"/>
            <w:gridSpan w:val="3"/>
            <w:shd w:val="clear" w:color="auto" w:fill="CCEEFF"/>
          </w:tcPr>
          <w:p>
            <w:pPr>
              <w:jc w:val="right"/>
              <w:ind w:right="80"/>
              <w:spacing w:after="0"/>
              <w:rPr>
                <w:sz w:val="20"/>
                <w:szCs w:val="20"/>
                <w:color w:val="auto"/>
              </w:rPr>
            </w:pPr>
            <w:r>
              <w:rPr>
                <w:rFonts w:ascii="Arial" w:cs="Arial" w:eastAsia="Arial" w:hAnsi="Arial"/>
                <w:sz w:val="18"/>
                <w:szCs w:val="18"/>
                <w:color w:val="auto"/>
                <w:w w:val="94"/>
              </w:rPr>
              <w:t>(1,309)</w:t>
            </w:r>
          </w:p>
        </w:tc>
        <w:tc>
          <w:tcPr>
            <w:tcW w:w="760" w:type="dxa"/>
            <w:vAlign w:val="bottom"/>
            <w:gridSpan w:val="3"/>
            <w:shd w:val="clear" w:color="auto" w:fill="CCEEFF"/>
          </w:tcPr>
          <w:p>
            <w:pPr>
              <w:jc w:val="right"/>
              <w:spacing w:after="0"/>
              <w:rPr>
                <w:sz w:val="20"/>
                <w:szCs w:val="20"/>
                <w:color w:val="auto"/>
              </w:rPr>
            </w:pPr>
            <w:r>
              <w:rPr>
                <w:rFonts w:ascii="Arial" w:cs="Arial" w:eastAsia="Arial" w:hAnsi="Arial"/>
                <w:sz w:val="18"/>
                <w:szCs w:val="18"/>
                <w:u w:val="single" w:color="auto"/>
                <w:color w:val="auto"/>
              </w:rPr>
              <w:t>$</w:t>
            </w:r>
            <w:r>
              <w:rPr>
                <w:rFonts w:ascii="Arial" w:cs="Arial" w:eastAsia="Arial" w:hAnsi="Arial"/>
                <w:sz w:val="18"/>
                <w:szCs w:val="18"/>
                <w:color w:val="auto"/>
              </w:rPr>
              <w:t>40,451</w:t>
            </w:r>
          </w:p>
        </w:tc>
        <w:tc>
          <w:tcPr>
            <w:tcW w:w="360" w:type="dxa"/>
            <w:vAlign w:val="bottom"/>
            <w:gridSpan w:val="2"/>
            <w:shd w:val="clear" w:color="auto" w:fill="CCEEFF"/>
          </w:tcPr>
          <w:p>
            <w:pPr>
              <w:ind w:left="220"/>
              <w:spacing w:after="0"/>
              <w:rPr>
                <w:sz w:val="20"/>
                <w:szCs w:val="20"/>
                <w:color w:val="auto"/>
              </w:rPr>
            </w:pPr>
            <w:r>
              <w:rPr>
                <w:rFonts w:ascii="Arial" w:cs="Arial" w:eastAsia="Arial" w:hAnsi="Arial"/>
                <w:sz w:val="18"/>
                <w:szCs w:val="18"/>
                <w:color w:val="auto"/>
              </w:rPr>
              <w:t>$</w:t>
            </w:r>
          </w:p>
        </w:tc>
        <w:tc>
          <w:tcPr>
            <w:tcW w:w="60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w w:val="94"/>
              </w:rPr>
              <w:t>(1,309)</w:t>
            </w:r>
          </w:p>
        </w:tc>
        <w:tc>
          <w:tcPr>
            <w:tcW w:w="0" w:type="dxa"/>
            <w:vAlign w:val="bottom"/>
          </w:tcPr>
          <w:p>
            <w:pPr>
              <w:spacing w:after="0"/>
              <w:rPr>
                <w:sz w:val="1"/>
                <w:szCs w:val="1"/>
                <w:color w:val="auto"/>
              </w:rPr>
            </w:pPr>
          </w:p>
        </w:tc>
      </w:tr>
      <w:tr>
        <w:trPr>
          <w:trHeight w:val="20"/>
        </w:trPr>
        <w:tc>
          <w:tcPr>
            <w:tcW w:w="6180" w:type="dxa"/>
            <w:vAlign w:val="bottom"/>
            <w:vMerge w:val="restart"/>
          </w:tcPr>
          <w:p>
            <w:pPr>
              <w:ind w:left="440"/>
              <w:spacing w:after="0"/>
              <w:rPr>
                <w:sz w:val="20"/>
                <w:szCs w:val="20"/>
                <w:color w:val="auto"/>
              </w:rPr>
            </w:pPr>
            <w:r>
              <w:rPr>
                <w:rFonts w:ascii="Arial" w:cs="Arial" w:eastAsia="Arial" w:hAnsi="Arial"/>
                <w:sz w:val="18"/>
                <w:szCs w:val="18"/>
                <w:color w:val="auto"/>
              </w:rPr>
              <w:t>Total securities</w:t>
            </w:r>
          </w:p>
        </w:tc>
        <w:tc>
          <w:tcPr>
            <w:tcW w:w="400" w:type="dxa"/>
            <w:vAlign w:val="bottom"/>
          </w:tcPr>
          <w:p>
            <w:pPr>
              <w:spacing w:after="0" w:line="20" w:lineRule="exact"/>
              <w:rPr>
                <w:sz w:val="1"/>
                <w:szCs w:val="1"/>
                <w:color w:val="auto"/>
              </w:rPr>
            </w:pPr>
          </w:p>
        </w:tc>
        <w:tc>
          <w:tcPr>
            <w:tcW w:w="400" w:type="dxa"/>
            <w:vAlign w:val="bottom"/>
            <w:gridSpan w:val="2"/>
            <w:shd w:val="clear" w:color="auto" w:fill="000000"/>
          </w:tcPr>
          <w:p>
            <w:pPr>
              <w:spacing w:after="0" w:line="20" w:lineRule="exact"/>
              <w:rPr>
                <w:sz w:val="1"/>
                <w:szCs w:val="1"/>
                <w:color w:val="auto"/>
              </w:rPr>
            </w:pPr>
          </w:p>
        </w:tc>
        <w:tc>
          <w:tcPr>
            <w:tcW w:w="220" w:type="dxa"/>
            <w:vAlign w:val="bottom"/>
            <w:gridSpan w:val="2"/>
          </w:tcPr>
          <w:p>
            <w:pPr>
              <w:spacing w:after="0" w:line="20" w:lineRule="exact"/>
              <w:rPr>
                <w:sz w:val="1"/>
                <w:szCs w:val="1"/>
                <w:color w:val="auto"/>
              </w:rPr>
            </w:pPr>
          </w:p>
        </w:tc>
        <w:tc>
          <w:tcPr>
            <w:tcW w:w="100" w:type="dxa"/>
            <w:vAlign w:val="bottom"/>
            <w:shd w:val="clear" w:color="auto" w:fill="000000"/>
          </w:tcPr>
          <w:p>
            <w:pPr>
              <w:spacing w:after="0" w:line="20" w:lineRule="exact"/>
              <w:rPr>
                <w:sz w:val="1"/>
                <w:szCs w:val="1"/>
                <w:color w:val="auto"/>
              </w:rPr>
            </w:pPr>
          </w:p>
        </w:tc>
        <w:tc>
          <w:tcPr>
            <w:tcW w:w="620" w:type="dxa"/>
            <w:vAlign w:val="bottom"/>
            <w:gridSpan w:val="2"/>
            <w:shd w:val="clear" w:color="auto" w:fill="000000"/>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580" w:type="dxa"/>
            <w:vAlign w:val="bottom"/>
            <w:gridSpan w:val="2"/>
            <w:shd w:val="clear" w:color="auto" w:fill="000000"/>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20" w:type="dxa"/>
            <w:vAlign w:val="bottom"/>
            <w:shd w:val="clear" w:color="auto" w:fill="000000"/>
          </w:tcPr>
          <w:p>
            <w:pPr>
              <w:spacing w:after="0" w:line="20" w:lineRule="exact"/>
              <w:rPr>
                <w:sz w:val="1"/>
                <w:szCs w:val="1"/>
                <w:color w:val="auto"/>
              </w:rPr>
            </w:pPr>
          </w:p>
        </w:tc>
        <w:tc>
          <w:tcPr>
            <w:tcW w:w="500" w:type="dxa"/>
            <w:vAlign w:val="bottom"/>
            <w:gridSpan w:val="2"/>
            <w:shd w:val="clear" w:color="auto" w:fill="000000"/>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180" w:type="dxa"/>
            <w:vAlign w:val="bottom"/>
            <w:gridSpan w:val="2"/>
          </w:tcPr>
          <w:p>
            <w:pPr>
              <w:spacing w:after="0" w:line="20" w:lineRule="exact"/>
              <w:rPr>
                <w:sz w:val="1"/>
                <w:szCs w:val="1"/>
                <w:color w:val="auto"/>
              </w:rPr>
            </w:pPr>
          </w:p>
        </w:tc>
        <w:tc>
          <w:tcPr>
            <w:tcW w:w="580" w:type="dxa"/>
            <w:vAlign w:val="bottom"/>
            <w:shd w:val="clear" w:color="auto" w:fill="000000"/>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140" w:type="dxa"/>
            <w:vAlign w:val="bottom"/>
            <w:shd w:val="clear" w:color="auto" w:fill="000000"/>
          </w:tcPr>
          <w:p>
            <w:pPr>
              <w:spacing w:after="0" w:line="20" w:lineRule="exact"/>
              <w:rPr>
                <w:sz w:val="1"/>
                <w:szCs w:val="1"/>
                <w:color w:val="auto"/>
              </w:rPr>
            </w:pPr>
          </w:p>
        </w:tc>
        <w:tc>
          <w:tcPr>
            <w:tcW w:w="500" w:type="dxa"/>
            <w:vAlign w:val="bottom"/>
            <w:shd w:val="clear" w:color="auto" w:fill="000000"/>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22"/>
        </w:trPr>
        <w:tc>
          <w:tcPr>
            <w:tcW w:w="6180" w:type="dxa"/>
            <w:vAlign w:val="bottom"/>
            <w:vMerge w:val="continue"/>
          </w:tcPr>
          <w:p>
            <w:pPr>
              <w:spacing w:after="0"/>
              <w:rPr>
                <w:sz w:val="19"/>
                <w:szCs w:val="19"/>
                <w:color w:val="auto"/>
              </w:rPr>
            </w:pPr>
          </w:p>
        </w:tc>
        <w:tc>
          <w:tcPr>
            <w:tcW w:w="400" w:type="dxa"/>
            <w:vAlign w:val="bottom"/>
          </w:tcPr>
          <w:p>
            <w:pPr>
              <w:spacing w:after="0"/>
              <w:rPr>
                <w:sz w:val="19"/>
                <w:szCs w:val="19"/>
                <w:color w:val="auto"/>
              </w:rPr>
            </w:pPr>
          </w:p>
        </w:tc>
        <w:tc>
          <w:tcPr>
            <w:tcW w:w="400" w:type="dxa"/>
            <w:vAlign w:val="bottom"/>
            <w:gridSpan w:val="2"/>
          </w:tcPr>
          <w:p>
            <w:pPr>
              <w:spacing w:after="0"/>
              <w:rPr>
                <w:sz w:val="20"/>
                <w:szCs w:val="20"/>
                <w:color w:val="auto"/>
              </w:rPr>
            </w:pPr>
            <w:r>
              <w:rPr>
                <w:rFonts w:ascii="Arial" w:cs="Arial" w:eastAsia="Arial" w:hAnsi="Arial"/>
                <w:sz w:val="18"/>
                <w:szCs w:val="18"/>
                <w:color w:val="auto"/>
              </w:rPr>
              <w:t>$ —</w:t>
            </w:r>
          </w:p>
        </w:tc>
        <w:tc>
          <w:tcPr>
            <w:tcW w:w="320" w:type="dxa"/>
            <w:vAlign w:val="bottom"/>
            <w:gridSpan w:val="3"/>
          </w:tcPr>
          <w:p>
            <w:pPr>
              <w:jc w:val="center"/>
              <w:ind w:left="112"/>
              <w:spacing w:after="0"/>
              <w:rPr>
                <w:sz w:val="20"/>
                <w:szCs w:val="20"/>
                <w:color w:val="auto"/>
              </w:rPr>
            </w:pPr>
            <w:r>
              <w:rPr>
                <w:rFonts w:ascii="Arial" w:cs="Arial" w:eastAsia="Arial" w:hAnsi="Arial"/>
                <w:sz w:val="18"/>
                <w:szCs w:val="18"/>
                <w:color w:val="auto"/>
                <w:w w:val="79"/>
              </w:rPr>
              <w:t>$</w:t>
            </w:r>
          </w:p>
        </w:tc>
        <w:tc>
          <w:tcPr>
            <w:tcW w:w="740" w:type="dxa"/>
            <w:vAlign w:val="bottom"/>
            <w:gridSpan w:val="3"/>
          </w:tcPr>
          <w:p>
            <w:pPr>
              <w:ind w:left="360"/>
              <w:spacing w:after="0"/>
              <w:rPr>
                <w:sz w:val="20"/>
                <w:szCs w:val="20"/>
                <w:color w:val="auto"/>
              </w:rPr>
            </w:pPr>
            <w:r>
              <w:rPr>
                <w:rFonts w:ascii="Arial" w:cs="Arial" w:eastAsia="Arial" w:hAnsi="Arial"/>
                <w:sz w:val="18"/>
                <w:szCs w:val="18"/>
                <w:color w:val="auto"/>
              </w:rPr>
              <w:t>—</w:t>
            </w:r>
          </w:p>
        </w:tc>
        <w:tc>
          <w:tcPr>
            <w:tcW w:w="780" w:type="dxa"/>
            <w:vAlign w:val="bottom"/>
            <w:gridSpan w:val="4"/>
          </w:tcPr>
          <w:p>
            <w:pPr>
              <w:jc w:val="center"/>
              <w:spacing w:after="0"/>
              <w:rPr>
                <w:sz w:val="20"/>
                <w:szCs w:val="20"/>
                <w:color w:val="auto"/>
              </w:rPr>
            </w:pPr>
            <w:r>
              <w:rPr>
                <w:rFonts w:ascii="Arial" w:cs="Arial" w:eastAsia="Arial" w:hAnsi="Arial"/>
                <w:sz w:val="18"/>
                <w:szCs w:val="18"/>
                <w:u w:val="single" w:color="auto"/>
                <w:color w:val="auto"/>
                <w:w w:val="89"/>
              </w:rPr>
              <w:t>$</w:t>
            </w:r>
            <w:r>
              <w:rPr>
                <w:rFonts w:ascii="Arial" w:cs="Arial" w:eastAsia="Arial" w:hAnsi="Arial"/>
                <w:sz w:val="18"/>
                <w:szCs w:val="18"/>
                <w:color w:val="auto"/>
                <w:w w:val="89"/>
              </w:rPr>
              <w:t>40,451</w:t>
            </w:r>
          </w:p>
        </w:tc>
        <w:tc>
          <w:tcPr>
            <w:tcW w:w="240" w:type="dxa"/>
            <w:vAlign w:val="bottom"/>
            <w:gridSpan w:val="2"/>
          </w:tcPr>
          <w:p>
            <w:pPr>
              <w:ind w:left="120"/>
              <w:spacing w:after="0"/>
              <w:rPr>
                <w:sz w:val="20"/>
                <w:szCs w:val="20"/>
                <w:color w:val="auto"/>
              </w:rPr>
            </w:pPr>
            <w:r>
              <w:rPr>
                <w:rFonts w:ascii="Arial" w:cs="Arial" w:eastAsia="Arial" w:hAnsi="Arial"/>
                <w:sz w:val="18"/>
                <w:szCs w:val="18"/>
                <w:color w:val="auto"/>
                <w:w w:val="99"/>
              </w:rPr>
              <w:t>$</w:t>
            </w:r>
          </w:p>
        </w:tc>
        <w:tc>
          <w:tcPr>
            <w:tcW w:w="640" w:type="dxa"/>
            <w:vAlign w:val="bottom"/>
            <w:gridSpan w:val="3"/>
          </w:tcPr>
          <w:p>
            <w:pPr>
              <w:jc w:val="right"/>
              <w:ind w:right="80"/>
              <w:spacing w:after="0"/>
              <w:rPr>
                <w:sz w:val="20"/>
                <w:szCs w:val="20"/>
                <w:color w:val="auto"/>
              </w:rPr>
            </w:pPr>
            <w:r>
              <w:rPr>
                <w:rFonts w:ascii="Arial" w:cs="Arial" w:eastAsia="Arial" w:hAnsi="Arial"/>
                <w:sz w:val="18"/>
                <w:szCs w:val="18"/>
                <w:color w:val="auto"/>
                <w:w w:val="94"/>
              </w:rPr>
              <w:t>(1,309)</w:t>
            </w:r>
          </w:p>
        </w:tc>
        <w:tc>
          <w:tcPr>
            <w:tcW w:w="760" w:type="dxa"/>
            <w:vAlign w:val="bottom"/>
            <w:gridSpan w:val="3"/>
          </w:tcPr>
          <w:p>
            <w:pPr>
              <w:jc w:val="right"/>
              <w:spacing w:after="0"/>
              <w:rPr>
                <w:sz w:val="20"/>
                <w:szCs w:val="20"/>
                <w:color w:val="auto"/>
              </w:rPr>
            </w:pPr>
            <w:r>
              <w:rPr>
                <w:rFonts w:ascii="Arial" w:cs="Arial" w:eastAsia="Arial" w:hAnsi="Arial"/>
                <w:sz w:val="18"/>
                <w:szCs w:val="18"/>
                <w:u w:val="single" w:color="auto"/>
                <w:color w:val="auto"/>
              </w:rPr>
              <w:t>$</w:t>
            </w:r>
            <w:r>
              <w:rPr>
                <w:rFonts w:ascii="Arial" w:cs="Arial" w:eastAsia="Arial" w:hAnsi="Arial"/>
                <w:sz w:val="18"/>
                <w:szCs w:val="18"/>
                <w:color w:val="auto"/>
              </w:rPr>
              <w:t>40,451</w:t>
            </w:r>
          </w:p>
        </w:tc>
        <w:tc>
          <w:tcPr>
            <w:tcW w:w="360" w:type="dxa"/>
            <w:vAlign w:val="bottom"/>
            <w:gridSpan w:val="2"/>
          </w:tcPr>
          <w:p>
            <w:pPr>
              <w:ind w:left="220"/>
              <w:spacing w:after="0"/>
              <w:rPr>
                <w:sz w:val="20"/>
                <w:szCs w:val="20"/>
                <w:color w:val="auto"/>
              </w:rPr>
            </w:pPr>
            <w:r>
              <w:rPr>
                <w:rFonts w:ascii="Arial" w:cs="Arial" w:eastAsia="Arial" w:hAnsi="Arial"/>
                <w:sz w:val="18"/>
                <w:szCs w:val="18"/>
                <w:color w:val="auto"/>
              </w:rPr>
              <w:t>$</w:t>
            </w:r>
          </w:p>
        </w:tc>
        <w:tc>
          <w:tcPr>
            <w:tcW w:w="600" w:type="dxa"/>
            <w:vAlign w:val="bottom"/>
            <w:gridSpan w:val="2"/>
          </w:tcPr>
          <w:p>
            <w:pPr>
              <w:jc w:val="right"/>
              <w:ind w:right="40"/>
              <w:spacing w:after="0"/>
              <w:rPr>
                <w:sz w:val="20"/>
                <w:szCs w:val="20"/>
                <w:color w:val="auto"/>
              </w:rPr>
            </w:pPr>
            <w:r>
              <w:rPr>
                <w:rFonts w:ascii="Arial" w:cs="Arial" w:eastAsia="Arial" w:hAnsi="Arial"/>
                <w:sz w:val="18"/>
                <w:szCs w:val="18"/>
                <w:color w:val="auto"/>
                <w:w w:val="94"/>
              </w:rPr>
              <w:t>(1,309)</w:t>
            </w:r>
          </w:p>
        </w:tc>
        <w:tc>
          <w:tcPr>
            <w:tcW w:w="0" w:type="dxa"/>
            <w:vAlign w:val="bottom"/>
          </w:tcPr>
          <w:p>
            <w:pPr>
              <w:spacing w:after="0"/>
              <w:rPr>
                <w:sz w:val="1"/>
                <w:szCs w:val="1"/>
                <w:color w:val="auto"/>
              </w:rPr>
            </w:pPr>
          </w:p>
        </w:tc>
      </w:tr>
      <w:tr>
        <w:trPr>
          <w:trHeight w:val="20"/>
        </w:trPr>
        <w:tc>
          <w:tcPr>
            <w:tcW w:w="6180" w:type="dxa"/>
            <w:vAlign w:val="bottom"/>
          </w:tcPr>
          <w:p>
            <w:pPr>
              <w:spacing w:after="0" w:line="20" w:lineRule="exact"/>
              <w:rPr>
                <w:sz w:val="1"/>
                <w:szCs w:val="1"/>
                <w:color w:val="auto"/>
              </w:rPr>
            </w:pPr>
          </w:p>
        </w:tc>
        <w:tc>
          <w:tcPr>
            <w:tcW w:w="400" w:type="dxa"/>
            <w:vAlign w:val="bottom"/>
          </w:tcPr>
          <w:p>
            <w:pPr>
              <w:spacing w:after="0" w:line="20" w:lineRule="exact"/>
              <w:rPr>
                <w:sz w:val="1"/>
                <w:szCs w:val="1"/>
                <w:color w:val="auto"/>
              </w:rPr>
            </w:pPr>
          </w:p>
        </w:tc>
        <w:tc>
          <w:tcPr>
            <w:tcW w:w="280" w:type="dxa"/>
            <w:vAlign w:val="bottom"/>
            <w:tcBorders>
              <w:top w:val="single" w:sz="8" w:color="auto"/>
              <w:bottom w:val="single" w:sz="8" w:color="auto"/>
            </w:tcBorders>
          </w:tcPr>
          <w:p>
            <w:pPr>
              <w:spacing w:after="0" w:line="20" w:lineRule="exact"/>
              <w:rPr>
                <w:sz w:val="1"/>
                <w:szCs w:val="1"/>
                <w:color w:val="auto"/>
              </w:rPr>
            </w:pPr>
          </w:p>
        </w:tc>
        <w:tc>
          <w:tcPr>
            <w:tcW w:w="12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400" w:type="dxa"/>
            <w:vAlign w:val="bottom"/>
            <w:tcBorders>
              <w:top w:val="single" w:sz="8" w:color="auto"/>
              <w:bottom w:val="single" w:sz="8" w:color="auto"/>
            </w:tcBorders>
          </w:tcPr>
          <w:p>
            <w:pPr>
              <w:spacing w:after="0" w:line="20" w:lineRule="exact"/>
              <w:rPr>
                <w:sz w:val="1"/>
                <w:szCs w:val="1"/>
                <w:color w:val="auto"/>
              </w:rPr>
            </w:pPr>
          </w:p>
        </w:tc>
        <w:tc>
          <w:tcPr>
            <w:tcW w:w="220" w:type="dxa"/>
            <w:vAlign w:val="bottom"/>
            <w:tcBorders>
              <w:top w:val="single" w:sz="8" w:color="auto"/>
              <w:bottom w:val="single" w:sz="8" w:color="auto"/>
            </w:tcBorders>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48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20" w:type="dxa"/>
            <w:vAlign w:val="bottom"/>
            <w:tcBorders>
              <w:top w:val="single" w:sz="8" w:color="auto"/>
              <w:bottom w:val="single" w:sz="8" w:color="auto"/>
            </w:tcBorders>
          </w:tcPr>
          <w:p>
            <w:pPr>
              <w:spacing w:after="0" w:line="20" w:lineRule="exact"/>
              <w:rPr>
                <w:sz w:val="1"/>
                <w:szCs w:val="1"/>
                <w:color w:val="auto"/>
              </w:rPr>
            </w:pPr>
          </w:p>
        </w:tc>
        <w:tc>
          <w:tcPr>
            <w:tcW w:w="40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140" w:type="dxa"/>
            <w:vAlign w:val="bottom"/>
            <w:tcBorders>
              <w:top w:val="single" w:sz="8" w:color="auto"/>
              <w:bottom w:val="single" w:sz="8" w:color="auto"/>
            </w:tcBorders>
          </w:tcPr>
          <w:p>
            <w:pPr>
              <w:spacing w:after="0" w:line="20" w:lineRule="exact"/>
              <w:rPr>
                <w:sz w:val="1"/>
                <w:szCs w:val="1"/>
                <w:color w:val="auto"/>
              </w:rPr>
            </w:pPr>
          </w:p>
        </w:tc>
        <w:tc>
          <w:tcPr>
            <w:tcW w:w="50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242"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Note 4. Supplemental Financial Information (in thousands):</w:t>
      </w:r>
    </w:p>
    <w:p>
      <w:pPr>
        <w:spacing w:after="0" w:line="96" w:lineRule="exact"/>
        <w:rPr>
          <w:sz w:val="20"/>
          <w:szCs w:val="20"/>
          <w:color w:val="auto"/>
        </w:rPr>
      </w:pPr>
    </w:p>
    <w:p>
      <w:pPr>
        <w:ind w:left="240"/>
        <w:spacing w:after="0"/>
        <w:rPr>
          <w:sz w:val="20"/>
          <w:szCs w:val="20"/>
          <w:color w:val="auto"/>
        </w:rPr>
      </w:pPr>
      <w:r>
        <w:rPr>
          <w:rFonts w:ascii="Arial" w:cs="Arial" w:eastAsia="Arial" w:hAnsi="Arial"/>
          <w:sz w:val="18"/>
          <w:szCs w:val="18"/>
          <w:b w:val="1"/>
          <w:bCs w:val="1"/>
          <w:i w:val="1"/>
          <w:iCs w:val="1"/>
          <w:color w:val="auto"/>
        </w:rPr>
        <w:t>Inventories</w:t>
      </w:r>
    </w:p>
    <w:p>
      <w:pPr>
        <w:spacing w:after="0" w:line="195" w:lineRule="exact"/>
        <w:rPr>
          <w:sz w:val="20"/>
          <w:szCs w:val="20"/>
          <w:color w:val="auto"/>
        </w:rPr>
      </w:pPr>
    </w:p>
    <w:tbl>
      <w:tblPr>
        <w:tblLayout w:type="fixed"/>
        <w:tblInd w:w="240" w:type="dxa"/>
        <w:tblCellMar>
          <w:top w:w="0" w:type="dxa"/>
          <w:left w:w="0" w:type="dxa"/>
          <w:bottom w:w="0" w:type="dxa"/>
          <w:right w:w="0" w:type="dxa"/>
        </w:tblCellMar>
      </w:tblPr>
      <w:tr>
        <w:trPr>
          <w:trHeight w:val="161"/>
        </w:trPr>
        <w:tc>
          <w:tcPr>
            <w:tcW w:w="1140" w:type="dxa"/>
            <w:vAlign w:val="bottom"/>
          </w:tcPr>
          <w:p>
            <w:pPr>
              <w:spacing w:after="0"/>
              <w:rPr>
                <w:sz w:val="14"/>
                <w:szCs w:val="14"/>
                <w:color w:val="auto"/>
              </w:rPr>
            </w:pPr>
          </w:p>
        </w:tc>
        <w:tc>
          <w:tcPr>
            <w:tcW w:w="3860" w:type="dxa"/>
            <w:vAlign w:val="bottom"/>
          </w:tcPr>
          <w:p>
            <w:pPr>
              <w:spacing w:after="0"/>
              <w:rPr>
                <w:sz w:val="14"/>
                <w:szCs w:val="14"/>
                <w:color w:val="auto"/>
              </w:rPr>
            </w:pPr>
          </w:p>
        </w:tc>
        <w:tc>
          <w:tcPr>
            <w:tcW w:w="2740" w:type="dxa"/>
            <w:vAlign w:val="bottom"/>
          </w:tcPr>
          <w:p>
            <w:pPr>
              <w:spacing w:after="0"/>
              <w:rPr>
                <w:sz w:val="14"/>
                <w:szCs w:val="14"/>
                <w:color w:val="auto"/>
              </w:rPr>
            </w:pPr>
          </w:p>
        </w:tc>
        <w:tc>
          <w:tcPr>
            <w:tcW w:w="960" w:type="dxa"/>
            <w:vAlign w:val="bottom"/>
            <w:gridSpan w:val="3"/>
          </w:tcPr>
          <w:p>
            <w:pPr>
              <w:jc w:val="right"/>
              <w:ind w:right="20"/>
              <w:spacing w:after="0"/>
              <w:rPr>
                <w:sz w:val="20"/>
                <w:szCs w:val="20"/>
                <w:color w:val="auto"/>
              </w:rPr>
            </w:pPr>
            <w:r>
              <w:rPr>
                <w:rFonts w:ascii="Arial" w:cs="Arial" w:eastAsia="Arial" w:hAnsi="Arial"/>
                <w:sz w:val="14"/>
                <w:szCs w:val="14"/>
                <w:b w:val="1"/>
                <w:bCs w:val="1"/>
                <w:color w:val="auto"/>
              </w:rPr>
              <w:t>October 31,</w:t>
            </w:r>
          </w:p>
        </w:tc>
        <w:tc>
          <w:tcPr>
            <w:tcW w:w="280" w:type="dxa"/>
            <w:vAlign w:val="bottom"/>
          </w:tcPr>
          <w:p>
            <w:pPr>
              <w:spacing w:after="0"/>
              <w:rPr>
                <w:sz w:val="14"/>
                <w:szCs w:val="14"/>
                <w:color w:val="auto"/>
              </w:rPr>
            </w:pPr>
          </w:p>
        </w:tc>
        <w:tc>
          <w:tcPr>
            <w:tcW w:w="840" w:type="dxa"/>
            <w:vAlign w:val="bottom"/>
            <w:gridSpan w:val="3"/>
          </w:tcPr>
          <w:p>
            <w:pPr>
              <w:jc w:val="right"/>
              <w:ind w:right="20"/>
              <w:spacing w:after="0"/>
              <w:rPr>
                <w:sz w:val="20"/>
                <w:szCs w:val="20"/>
                <w:color w:val="auto"/>
              </w:rPr>
            </w:pPr>
            <w:r>
              <w:rPr>
                <w:rFonts w:ascii="Arial" w:cs="Arial" w:eastAsia="Arial" w:hAnsi="Arial"/>
                <w:sz w:val="14"/>
                <w:szCs w:val="14"/>
                <w:b w:val="1"/>
                <w:bCs w:val="1"/>
                <w:color w:val="auto"/>
              </w:rPr>
              <w:t>January 31,</w:t>
            </w:r>
          </w:p>
        </w:tc>
        <w:tc>
          <w:tcPr>
            <w:tcW w:w="0" w:type="dxa"/>
            <w:vAlign w:val="bottom"/>
          </w:tcPr>
          <w:p>
            <w:pPr>
              <w:spacing w:after="0"/>
              <w:rPr>
                <w:sz w:val="1"/>
                <w:szCs w:val="1"/>
                <w:color w:val="auto"/>
              </w:rPr>
            </w:pPr>
          </w:p>
        </w:tc>
      </w:tr>
      <w:tr>
        <w:trPr>
          <w:trHeight w:val="161"/>
        </w:trPr>
        <w:tc>
          <w:tcPr>
            <w:tcW w:w="1140" w:type="dxa"/>
            <w:vAlign w:val="bottom"/>
          </w:tcPr>
          <w:p>
            <w:pPr>
              <w:spacing w:after="0"/>
              <w:rPr>
                <w:sz w:val="14"/>
                <w:szCs w:val="14"/>
                <w:color w:val="auto"/>
              </w:rPr>
            </w:pPr>
          </w:p>
        </w:tc>
        <w:tc>
          <w:tcPr>
            <w:tcW w:w="3860" w:type="dxa"/>
            <w:vAlign w:val="bottom"/>
          </w:tcPr>
          <w:p>
            <w:pPr>
              <w:spacing w:after="0"/>
              <w:rPr>
                <w:sz w:val="14"/>
                <w:szCs w:val="14"/>
                <w:color w:val="auto"/>
              </w:rPr>
            </w:pPr>
          </w:p>
        </w:tc>
        <w:tc>
          <w:tcPr>
            <w:tcW w:w="3020" w:type="dxa"/>
            <w:vAlign w:val="bottom"/>
            <w:gridSpan w:val="2"/>
          </w:tcPr>
          <w:p>
            <w:pPr>
              <w:spacing w:after="0"/>
              <w:rPr>
                <w:sz w:val="14"/>
                <w:szCs w:val="14"/>
                <w:color w:val="auto"/>
              </w:rPr>
            </w:pPr>
          </w:p>
        </w:tc>
        <w:tc>
          <w:tcPr>
            <w:tcW w:w="680" w:type="dxa"/>
            <w:vAlign w:val="bottom"/>
            <w:tcBorders>
              <w:bottom w:val="single" w:sz="8" w:color="auto"/>
            </w:tcBorders>
            <w:gridSpan w:val="2"/>
          </w:tcPr>
          <w:p>
            <w:pPr>
              <w:jc w:val="right"/>
              <w:ind w:right="220"/>
              <w:spacing w:after="0"/>
              <w:rPr>
                <w:sz w:val="20"/>
                <w:szCs w:val="20"/>
                <w:color w:val="auto"/>
              </w:rPr>
            </w:pPr>
            <w:r>
              <w:rPr>
                <w:rFonts w:ascii="Arial" w:cs="Arial" w:eastAsia="Arial" w:hAnsi="Arial"/>
                <w:sz w:val="14"/>
                <w:szCs w:val="14"/>
                <w:b w:val="1"/>
                <w:bCs w:val="1"/>
                <w:color w:val="auto"/>
              </w:rPr>
              <w:t>2009</w:t>
            </w:r>
          </w:p>
        </w:tc>
        <w:tc>
          <w:tcPr>
            <w:tcW w:w="420" w:type="dxa"/>
            <w:vAlign w:val="bottom"/>
            <w:gridSpan w:val="2"/>
          </w:tcPr>
          <w:p>
            <w:pPr>
              <w:spacing w:after="0"/>
              <w:rPr>
                <w:sz w:val="14"/>
                <w:szCs w:val="14"/>
                <w:color w:val="auto"/>
              </w:rPr>
            </w:pPr>
          </w:p>
        </w:tc>
        <w:tc>
          <w:tcPr>
            <w:tcW w:w="580" w:type="dxa"/>
            <w:vAlign w:val="bottom"/>
            <w:tcBorders>
              <w:bottom w:val="single" w:sz="8" w:color="auto"/>
            </w:tcBorders>
          </w:tcPr>
          <w:p>
            <w:pPr>
              <w:jc w:val="right"/>
              <w:ind w:right="22"/>
              <w:spacing w:after="0"/>
              <w:rPr>
                <w:sz w:val="20"/>
                <w:szCs w:val="20"/>
                <w:color w:val="auto"/>
              </w:rPr>
            </w:pPr>
            <w:r>
              <w:rPr>
                <w:rFonts w:ascii="Arial" w:cs="Arial" w:eastAsia="Arial" w:hAnsi="Arial"/>
                <w:sz w:val="14"/>
                <w:szCs w:val="14"/>
                <w:b w:val="1"/>
                <w:bCs w:val="1"/>
                <w:color w:val="auto"/>
              </w:rPr>
              <w:t>2009</w:t>
            </w:r>
          </w:p>
        </w:tc>
        <w:tc>
          <w:tcPr>
            <w:tcW w:w="120" w:type="dxa"/>
            <w:vAlign w:val="bottom"/>
            <w:tcBorders>
              <w:bottom w:val="single" w:sz="8" w:color="auto"/>
            </w:tcBorders>
          </w:tcPr>
          <w:p>
            <w:pPr>
              <w:spacing w:after="0"/>
              <w:rPr>
                <w:sz w:val="14"/>
                <w:szCs w:val="14"/>
                <w:color w:val="auto"/>
              </w:rPr>
            </w:pPr>
          </w:p>
        </w:tc>
        <w:tc>
          <w:tcPr>
            <w:tcW w:w="0" w:type="dxa"/>
            <w:vAlign w:val="bottom"/>
          </w:tcPr>
          <w:p>
            <w:pPr>
              <w:spacing w:after="0"/>
              <w:rPr>
                <w:sz w:val="1"/>
                <w:szCs w:val="1"/>
                <w:color w:val="auto"/>
              </w:rPr>
            </w:pPr>
          </w:p>
        </w:tc>
      </w:tr>
      <w:tr>
        <w:trPr>
          <w:trHeight w:val="210"/>
        </w:trPr>
        <w:tc>
          <w:tcPr>
            <w:tcW w:w="1140" w:type="dxa"/>
            <w:vAlign w:val="bottom"/>
          </w:tcPr>
          <w:p>
            <w:pPr>
              <w:spacing w:after="0"/>
              <w:rPr>
                <w:sz w:val="18"/>
                <w:szCs w:val="18"/>
                <w:color w:val="auto"/>
              </w:rPr>
            </w:pPr>
          </w:p>
        </w:tc>
        <w:tc>
          <w:tcPr>
            <w:tcW w:w="3860" w:type="dxa"/>
            <w:vAlign w:val="bottom"/>
            <w:shd w:val="clear" w:color="auto" w:fill="CCEEFF"/>
          </w:tcPr>
          <w:p>
            <w:pPr>
              <w:spacing w:after="0"/>
              <w:rPr>
                <w:sz w:val="20"/>
                <w:szCs w:val="20"/>
                <w:color w:val="auto"/>
              </w:rPr>
            </w:pPr>
            <w:r>
              <w:rPr>
                <w:rFonts w:ascii="Arial" w:cs="Arial" w:eastAsia="Arial" w:hAnsi="Arial"/>
                <w:sz w:val="18"/>
                <w:szCs w:val="18"/>
                <w:color w:val="auto"/>
              </w:rPr>
              <w:t>Work-in-process</w:t>
            </w:r>
          </w:p>
        </w:tc>
        <w:tc>
          <w:tcPr>
            <w:tcW w:w="3700" w:type="dxa"/>
            <w:vAlign w:val="bottom"/>
            <w:gridSpan w:val="4"/>
            <w:shd w:val="clear" w:color="auto" w:fill="CCEEFF"/>
          </w:tcPr>
          <w:p>
            <w:pPr>
              <w:jc w:val="right"/>
              <w:ind w:right="20"/>
              <w:spacing w:after="0"/>
              <w:rPr>
                <w:sz w:val="20"/>
                <w:szCs w:val="20"/>
                <w:color w:val="auto"/>
              </w:rPr>
            </w:pPr>
            <w:r>
              <w:rPr>
                <w:rFonts w:ascii="Arial" w:cs="Arial" w:eastAsia="Arial" w:hAnsi="Arial"/>
                <w:sz w:val="18"/>
                <w:szCs w:val="18"/>
                <w:color w:val="auto"/>
              </w:rPr>
              <w:t>$151,018</w:t>
            </w:r>
          </w:p>
        </w:tc>
        <w:tc>
          <w:tcPr>
            <w:tcW w:w="1120" w:type="dxa"/>
            <w:vAlign w:val="bottom"/>
            <w:gridSpan w:val="4"/>
            <w:shd w:val="clear" w:color="auto" w:fill="CCEEFF"/>
          </w:tcPr>
          <w:p>
            <w:pPr>
              <w:jc w:val="right"/>
              <w:ind w:right="20"/>
              <w:spacing w:after="0"/>
              <w:rPr>
                <w:sz w:val="20"/>
                <w:szCs w:val="20"/>
                <w:color w:val="auto"/>
              </w:rPr>
            </w:pPr>
            <w:r>
              <w:rPr>
                <w:rFonts w:ascii="Arial" w:cs="Arial" w:eastAsia="Arial" w:hAnsi="Arial"/>
                <w:sz w:val="18"/>
                <w:szCs w:val="18"/>
                <w:color w:val="auto"/>
              </w:rPr>
              <w:t>$ 188,830</w:t>
            </w:r>
          </w:p>
        </w:tc>
        <w:tc>
          <w:tcPr>
            <w:tcW w:w="0" w:type="dxa"/>
            <w:vAlign w:val="bottom"/>
          </w:tcPr>
          <w:p>
            <w:pPr>
              <w:spacing w:after="0"/>
              <w:rPr>
                <w:sz w:val="1"/>
                <w:szCs w:val="1"/>
                <w:color w:val="auto"/>
              </w:rPr>
            </w:pPr>
          </w:p>
        </w:tc>
      </w:tr>
      <w:tr>
        <w:trPr>
          <w:trHeight w:val="223"/>
        </w:trPr>
        <w:tc>
          <w:tcPr>
            <w:tcW w:w="1140" w:type="dxa"/>
            <w:vAlign w:val="bottom"/>
          </w:tcPr>
          <w:p>
            <w:pPr>
              <w:spacing w:after="0"/>
              <w:rPr>
                <w:sz w:val="19"/>
                <w:szCs w:val="19"/>
                <w:color w:val="auto"/>
              </w:rPr>
            </w:pPr>
          </w:p>
        </w:tc>
        <w:tc>
          <w:tcPr>
            <w:tcW w:w="3860" w:type="dxa"/>
            <w:vAlign w:val="bottom"/>
          </w:tcPr>
          <w:p>
            <w:pPr>
              <w:spacing w:after="0"/>
              <w:rPr>
                <w:sz w:val="20"/>
                <w:szCs w:val="20"/>
                <w:color w:val="auto"/>
              </w:rPr>
            </w:pPr>
            <w:r>
              <w:rPr>
                <w:rFonts w:ascii="Arial" w:cs="Arial" w:eastAsia="Arial" w:hAnsi="Arial"/>
                <w:sz w:val="18"/>
                <w:szCs w:val="18"/>
                <w:color w:val="auto"/>
              </w:rPr>
              <w:t>Finished goods</w:t>
            </w:r>
          </w:p>
        </w:tc>
        <w:tc>
          <w:tcPr>
            <w:tcW w:w="3020" w:type="dxa"/>
            <w:vAlign w:val="bottom"/>
            <w:gridSpan w:val="2"/>
          </w:tcPr>
          <w:p>
            <w:pPr>
              <w:spacing w:after="0"/>
              <w:rPr>
                <w:sz w:val="19"/>
                <w:szCs w:val="19"/>
                <w:color w:val="auto"/>
              </w:rPr>
            </w:pPr>
          </w:p>
        </w:tc>
        <w:tc>
          <w:tcPr>
            <w:tcW w:w="680" w:type="dxa"/>
            <w:vAlign w:val="bottom"/>
            <w:tcBorders>
              <w:bottom w:val="single" w:sz="8" w:color="auto"/>
            </w:tcBorders>
            <w:gridSpan w:val="2"/>
          </w:tcPr>
          <w:p>
            <w:pPr>
              <w:jc w:val="right"/>
              <w:ind w:right="20"/>
              <w:spacing w:after="0"/>
              <w:rPr>
                <w:sz w:val="20"/>
                <w:szCs w:val="20"/>
                <w:color w:val="auto"/>
              </w:rPr>
            </w:pPr>
            <w:r>
              <w:rPr>
                <w:rFonts w:ascii="Arial" w:cs="Arial" w:eastAsia="Arial" w:hAnsi="Arial"/>
                <w:sz w:val="18"/>
                <w:szCs w:val="18"/>
                <w:color w:val="auto"/>
              </w:rPr>
              <w:t>88,191</w:t>
            </w:r>
          </w:p>
        </w:tc>
        <w:tc>
          <w:tcPr>
            <w:tcW w:w="420" w:type="dxa"/>
            <w:vAlign w:val="bottom"/>
            <w:gridSpan w:val="2"/>
          </w:tcPr>
          <w:p>
            <w:pPr>
              <w:spacing w:after="0"/>
              <w:rPr>
                <w:sz w:val="19"/>
                <w:szCs w:val="19"/>
                <w:color w:val="auto"/>
              </w:rPr>
            </w:pPr>
          </w:p>
        </w:tc>
        <w:tc>
          <w:tcPr>
            <w:tcW w:w="700" w:type="dxa"/>
            <w:vAlign w:val="bottom"/>
            <w:tcBorders>
              <w:bottom w:val="single" w:sz="8" w:color="auto"/>
            </w:tcBorders>
            <w:gridSpan w:val="2"/>
          </w:tcPr>
          <w:p>
            <w:pPr>
              <w:jc w:val="right"/>
              <w:ind w:right="20"/>
              <w:spacing w:after="0"/>
              <w:rPr>
                <w:sz w:val="20"/>
                <w:szCs w:val="20"/>
                <w:color w:val="auto"/>
              </w:rPr>
            </w:pPr>
            <w:r>
              <w:rPr>
                <w:rFonts w:ascii="Arial" w:cs="Arial" w:eastAsia="Arial" w:hAnsi="Arial"/>
                <w:sz w:val="18"/>
                <w:szCs w:val="18"/>
                <w:color w:val="auto"/>
              </w:rPr>
              <w:t>121,824</w:t>
            </w:r>
          </w:p>
        </w:tc>
        <w:tc>
          <w:tcPr>
            <w:tcW w:w="0" w:type="dxa"/>
            <w:vAlign w:val="bottom"/>
          </w:tcPr>
          <w:p>
            <w:pPr>
              <w:spacing w:after="0"/>
              <w:rPr>
                <w:sz w:val="1"/>
                <w:szCs w:val="1"/>
                <w:color w:val="auto"/>
              </w:rPr>
            </w:pPr>
          </w:p>
        </w:tc>
      </w:tr>
      <w:tr>
        <w:trPr>
          <w:trHeight w:val="216"/>
        </w:trPr>
        <w:tc>
          <w:tcPr>
            <w:tcW w:w="1140" w:type="dxa"/>
            <w:vAlign w:val="bottom"/>
          </w:tcPr>
          <w:p>
            <w:pPr>
              <w:spacing w:after="0"/>
              <w:rPr>
                <w:sz w:val="18"/>
                <w:szCs w:val="18"/>
                <w:color w:val="auto"/>
              </w:rPr>
            </w:pPr>
          </w:p>
        </w:tc>
        <w:tc>
          <w:tcPr>
            <w:tcW w:w="3860" w:type="dxa"/>
            <w:vAlign w:val="bottom"/>
            <w:shd w:val="clear" w:color="auto" w:fill="CCEEFF"/>
          </w:tcPr>
          <w:p>
            <w:pPr>
              <w:spacing w:after="0"/>
              <w:rPr>
                <w:sz w:val="18"/>
                <w:szCs w:val="18"/>
                <w:color w:val="auto"/>
              </w:rPr>
            </w:pPr>
          </w:p>
        </w:tc>
        <w:tc>
          <w:tcPr>
            <w:tcW w:w="3700" w:type="dxa"/>
            <w:vAlign w:val="bottom"/>
            <w:gridSpan w:val="4"/>
            <w:shd w:val="clear" w:color="auto" w:fill="CCEEFF"/>
          </w:tcPr>
          <w:p>
            <w:pPr>
              <w:jc w:val="right"/>
              <w:ind w:right="20"/>
              <w:spacing w:after="0"/>
              <w:rPr>
                <w:sz w:val="20"/>
                <w:szCs w:val="20"/>
                <w:color w:val="auto"/>
              </w:rPr>
            </w:pPr>
            <w:r>
              <w:rPr>
                <w:rFonts w:ascii="Arial" w:cs="Arial" w:eastAsia="Arial" w:hAnsi="Arial"/>
                <w:sz w:val="18"/>
                <w:szCs w:val="18"/>
                <w:u w:val="single" w:color="auto"/>
                <w:color w:val="auto"/>
              </w:rPr>
              <w:t>$</w:t>
            </w:r>
            <w:r>
              <w:rPr>
                <w:rFonts w:ascii="Arial" w:cs="Arial" w:eastAsia="Arial" w:hAnsi="Arial"/>
                <w:sz w:val="18"/>
                <w:szCs w:val="18"/>
                <w:color w:val="auto"/>
              </w:rPr>
              <w:t>239,209</w:t>
            </w:r>
          </w:p>
        </w:tc>
        <w:tc>
          <w:tcPr>
            <w:tcW w:w="1120" w:type="dxa"/>
            <w:vAlign w:val="bottom"/>
            <w:gridSpan w:val="4"/>
            <w:shd w:val="clear" w:color="auto" w:fill="CCEEFF"/>
          </w:tcPr>
          <w:p>
            <w:pPr>
              <w:jc w:val="right"/>
              <w:ind w:right="20"/>
              <w:spacing w:after="0"/>
              <w:rPr>
                <w:sz w:val="20"/>
                <w:szCs w:val="20"/>
                <w:color w:val="auto"/>
              </w:rPr>
            </w:pPr>
            <w:r>
              <w:rPr>
                <w:rFonts w:ascii="Arial" w:cs="Arial" w:eastAsia="Arial" w:hAnsi="Arial"/>
                <w:sz w:val="18"/>
                <w:szCs w:val="18"/>
                <w:color w:val="auto"/>
              </w:rPr>
              <w:t>$ 310,654</w:t>
            </w:r>
          </w:p>
        </w:tc>
        <w:tc>
          <w:tcPr>
            <w:tcW w:w="0" w:type="dxa"/>
            <w:vAlign w:val="bottom"/>
          </w:tcPr>
          <w:p>
            <w:pPr>
              <w:spacing w:after="0"/>
              <w:rPr>
                <w:sz w:val="1"/>
                <w:szCs w:val="1"/>
                <w:color w:val="auto"/>
              </w:rPr>
            </w:pPr>
          </w:p>
        </w:tc>
      </w:tr>
      <w:tr>
        <w:trPr>
          <w:trHeight w:val="20"/>
        </w:trPr>
        <w:tc>
          <w:tcPr>
            <w:tcW w:w="5000" w:type="dxa"/>
            <w:vAlign w:val="bottom"/>
            <w:gridSpan w:val="2"/>
            <w:vMerge w:val="restart"/>
          </w:tcPr>
          <w:p>
            <w:pPr>
              <w:spacing w:after="0"/>
              <w:rPr>
                <w:sz w:val="20"/>
                <w:szCs w:val="20"/>
                <w:color w:val="auto"/>
              </w:rPr>
            </w:pPr>
            <w:r>
              <w:rPr>
                <w:rFonts w:ascii="Arial" w:cs="Arial" w:eastAsia="Arial" w:hAnsi="Arial"/>
                <w:sz w:val="18"/>
                <w:szCs w:val="18"/>
                <w:b w:val="1"/>
                <w:bCs w:val="1"/>
                <w:i w:val="1"/>
                <w:iCs w:val="1"/>
                <w:color w:val="auto"/>
              </w:rPr>
              <w:t>Property and equipment, net</w:t>
            </w:r>
          </w:p>
        </w:tc>
        <w:tc>
          <w:tcPr>
            <w:tcW w:w="2740" w:type="dxa"/>
            <w:vAlign w:val="bottom"/>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440" w:type="dxa"/>
            <w:vAlign w:val="bottom"/>
            <w:tcBorders>
              <w:top w:val="single" w:sz="8" w:color="auto"/>
              <w:bottom w:val="single" w:sz="8" w:color="auto"/>
            </w:tcBorders>
          </w:tcPr>
          <w:p>
            <w:pPr>
              <w:spacing w:after="0" w:line="20" w:lineRule="exact"/>
              <w:rPr>
                <w:sz w:val="1"/>
                <w:szCs w:val="1"/>
                <w:color w:val="auto"/>
              </w:rPr>
            </w:pPr>
          </w:p>
        </w:tc>
        <w:tc>
          <w:tcPr>
            <w:tcW w:w="240" w:type="dxa"/>
            <w:vAlign w:val="bottom"/>
            <w:tcBorders>
              <w:top w:val="single" w:sz="8" w:color="auto"/>
              <w:bottom w:val="single" w:sz="8" w:color="auto"/>
            </w:tcBorders>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120" w:type="dxa"/>
            <w:vAlign w:val="bottom"/>
            <w:tcBorders>
              <w:top w:val="single" w:sz="8" w:color="auto"/>
              <w:bottom w:val="single" w:sz="8" w:color="auto"/>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451"/>
        </w:trPr>
        <w:tc>
          <w:tcPr>
            <w:tcW w:w="5000" w:type="dxa"/>
            <w:vAlign w:val="bottom"/>
            <w:gridSpan w:val="2"/>
            <w:vMerge w:val="continue"/>
          </w:tcPr>
          <w:p>
            <w:pPr>
              <w:spacing w:after="0"/>
              <w:rPr>
                <w:sz w:val="24"/>
                <w:szCs w:val="24"/>
                <w:color w:val="auto"/>
              </w:rPr>
            </w:pPr>
          </w:p>
        </w:tc>
        <w:tc>
          <w:tcPr>
            <w:tcW w:w="2740" w:type="dxa"/>
            <w:vAlign w:val="bottom"/>
          </w:tcPr>
          <w:p>
            <w:pPr>
              <w:spacing w:after="0"/>
              <w:rPr>
                <w:sz w:val="24"/>
                <w:szCs w:val="24"/>
                <w:color w:val="auto"/>
              </w:rPr>
            </w:pPr>
          </w:p>
        </w:tc>
        <w:tc>
          <w:tcPr>
            <w:tcW w:w="280" w:type="dxa"/>
            <w:vAlign w:val="bottom"/>
          </w:tcPr>
          <w:p>
            <w:pPr>
              <w:spacing w:after="0"/>
              <w:rPr>
                <w:sz w:val="24"/>
                <w:szCs w:val="24"/>
                <w:color w:val="auto"/>
              </w:rPr>
            </w:pPr>
          </w:p>
        </w:tc>
        <w:tc>
          <w:tcPr>
            <w:tcW w:w="440" w:type="dxa"/>
            <w:vAlign w:val="bottom"/>
          </w:tcPr>
          <w:p>
            <w:pPr>
              <w:spacing w:after="0"/>
              <w:rPr>
                <w:sz w:val="24"/>
                <w:szCs w:val="24"/>
                <w:color w:val="auto"/>
              </w:rPr>
            </w:pPr>
          </w:p>
        </w:tc>
        <w:tc>
          <w:tcPr>
            <w:tcW w:w="240" w:type="dxa"/>
            <w:vAlign w:val="bottom"/>
          </w:tcPr>
          <w:p>
            <w:pPr>
              <w:spacing w:after="0"/>
              <w:rPr>
                <w:sz w:val="24"/>
                <w:szCs w:val="24"/>
                <w:color w:val="auto"/>
              </w:rPr>
            </w:pPr>
          </w:p>
        </w:tc>
        <w:tc>
          <w:tcPr>
            <w:tcW w:w="28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58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340"/>
        </w:trPr>
        <w:tc>
          <w:tcPr>
            <w:tcW w:w="1140" w:type="dxa"/>
            <w:vAlign w:val="bottom"/>
          </w:tcPr>
          <w:p>
            <w:pPr>
              <w:spacing w:after="0"/>
              <w:rPr>
                <w:sz w:val="24"/>
                <w:szCs w:val="24"/>
                <w:color w:val="auto"/>
              </w:rPr>
            </w:pPr>
          </w:p>
        </w:tc>
        <w:tc>
          <w:tcPr>
            <w:tcW w:w="3860" w:type="dxa"/>
            <w:vAlign w:val="bottom"/>
          </w:tcPr>
          <w:p>
            <w:pPr>
              <w:spacing w:after="0"/>
              <w:rPr>
                <w:sz w:val="24"/>
                <w:szCs w:val="24"/>
                <w:color w:val="auto"/>
              </w:rPr>
            </w:pPr>
          </w:p>
        </w:tc>
        <w:tc>
          <w:tcPr>
            <w:tcW w:w="2740" w:type="dxa"/>
            <w:vAlign w:val="bottom"/>
          </w:tcPr>
          <w:p>
            <w:pPr>
              <w:spacing w:after="0"/>
              <w:rPr>
                <w:sz w:val="24"/>
                <w:szCs w:val="24"/>
                <w:color w:val="auto"/>
              </w:rPr>
            </w:pPr>
          </w:p>
        </w:tc>
        <w:tc>
          <w:tcPr>
            <w:tcW w:w="960" w:type="dxa"/>
            <w:vAlign w:val="bottom"/>
            <w:gridSpan w:val="3"/>
          </w:tcPr>
          <w:p>
            <w:pPr>
              <w:jc w:val="right"/>
              <w:ind w:right="260"/>
              <w:spacing w:after="0"/>
              <w:rPr>
                <w:sz w:val="20"/>
                <w:szCs w:val="20"/>
                <w:color w:val="auto"/>
              </w:rPr>
            </w:pPr>
            <w:r>
              <w:rPr>
                <w:rFonts w:ascii="Arial" w:cs="Arial" w:eastAsia="Arial" w:hAnsi="Arial"/>
                <w:sz w:val="14"/>
                <w:szCs w:val="14"/>
                <w:b w:val="1"/>
                <w:bCs w:val="1"/>
                <w:color w:val="auto"/>
                <w:w w:val="88"/>
              </w:rPr>
              <w:t>October 31,</w:t>
            </w:r>
          </w:p>
        </w:tc>
        <w:tc>
          <w:tcPr>
            <w:tcW w:w="280" w:type="dxa"/>
            <w:vAlign w:val="bottom"/>
          </w:tcPr>
          <w:p>
            <w:pPr>
              <w:spacing w:after="0"/>
              <w:rPr>
                <w:sz w:val="24"/>
                <w:szCs w:val="24"/>
                <w:color w:val="auto"/>
              </w:rPr>
            </w:pPr>
          </w:p>
        </w:tc>
        <w:tc>
          <w:tcPr>
            <w:tcW w:w="840" w:type="dxa"/>
            <w:vAlign w:val="bottom"/>
            <w:gridSpan w:val="3"/>
          </w:tcPr>
          <w:p>
            <w:pPr>
              <w:jc w:val="right"/>
              <w:ind w:right="140"/>
              <w:spacing w:after="0"/>
              <w:rPr>
                <w:sz w:val="20"/>
                <w:szCs w:val="20"/>
                <w:color w:val="auto"/>
              </w:rPr>
            </w:pPr>
            <w:r>
              <w:rPr>
                <w:rFonts w:ascii="Arial" w:cs="Arial" w:eastAsia="Arial" w:hAnsi="Arial"/>
                <w:sz w:val="14"/>
                <w:szCs w:val="14"/>
                <w:b w:val="1"/>
                <w:bCs w:val="1"/>
                <w:color w:val="auto"/>
                <w:w w:val="88"/>
              </w:rPr>
              <w:t>January 31,</w:t>
            </w:r>
          </w:p>
        </w:tc>
        <w:tc>
          <w:tcPr>
            <w:tcW w:w="0" w:type="dxa"/>
            <w:vAlign w:val="bottom"/>
          </w:tcPr>
          <w:p>
            <w:pPr>
              <w:spacing w:after="0"/>
              <w:rPr>
                <w:sz w:val="1"/>
                <w:szCs w:val="1"/>
                <w:color w:val="auto"/>
              </w:rPr>
            </w:pPr>
          </w:p>
        </w:tc>
      </w:tr>
      <w:tr>
        <w:trPr>
          <w:trHeight w:val="161"/>
        </w:trPr>
        <w:tc>
          <w:tcPr>
            <w:tcW w:w="1140" w:type="dxa"/>
            <w:vAlign w:val="bottom"/>
          </w:tcPr>
          <w:p>
            <w:pPr>
              <w:spacing w:after="0"/>
              <w:rPr>
                <w:sz w:val="14"/>
                <w:szCs w:val="14"/>
                <w:color w:val="auto"/>
              </w:rPr>
            </w:pPr>
          </w:p>
        </w:tc>
        <w:tc>
          <w:tcPr>
            <w:tcW w:w="3860" w:type="dxa"/>
            <w:vAlign w:val="bottom"/>
          </w:tcPr>
          <w:p>
            <w:pPr>
              <w:spacing w:after="0"/>
              <w:rPr>
                <w:sz w:val="14"/>
                <w:szCs w:val="14"/>
                <w:color w:val="auto"/>
              </w:rPr>
            </w:pPr>
          </w:p>
        </w:tc>
        <w:tc>
          <w:tcPr>
            <w:tcW w:w="2740" w:type="dxa"/>
            <w:vAlign w:val="bottom"/>
          </w:tcPr>
          <w:p>
            <w:pPr>
              <w:spacing w:after="0"/>
              <w:rPr>
                <w:sz w:val="14"/>
                <w:szCs w:val="14"/>
                <w:color w:val="auto"/>
              </w:rPr>
            </w:pPr>
          </w:p>
        </w:tc>
        <w:tc>
          <w:tcPr>
            <w:tcW w:w="720" w:type="dxa"/>
            <w:vAlign w:val="bottom"/>
            <w:tcBorders>
              <w:bottom w:val="single" w:sz="8" w:color="auto"/>
            </w:tcBorders>
            <w:gridSpan w:val="2"/>
          </w:tcPr>
          <w:p>
            <w:pPr>
              <w:jc w:val="right"/>
              <w:ind w:right="162"/>
              <w:spacing w:after="0"/>
              <w:rPr>
                <w:sz w:val="20"/>
                <w:szCs w:val="20"/>
                <w:color w:val="auto"/>
              </w:rPr>
            </w:pPr>
            <w:r>
              <w:rPr>
                <w:rFonts w:ascii="Arial" w:cs="Arial" w:eastAsia="Arial" w:hAnsi="Arial"/>
                <w:sz w:val="14"/>
                <w:szCs w:val="14"/>
                <w:b w:val="1"/>
                <w:bCs w:val="1"/>
                <w:color w:val="auto"/>
              </w:rPr>
              <w:t>2009</w:t>
            </w:r>
          </w:p>
        </w:tc>
        <w:tc>
          <w:tcPr>
            <w:tcW w:w="240" w:type="dxa"/>
            <w:vAlign w:val="bottom"/>
          </w:tcPr>
          <w:p>
            <w:pPr>
              <w:spacing w:after="0"/>
              <w:rPr>
                <w:sz w:val="14"/>
                <w:szCs w:val="14"/>
                <w:color w:val="auto"/>
              </w:rPr>
            </w:pPr>
          </w:p>
        </w:tc>
        <w:tc>
          <w:tcPr>
            <w:tcW w:w="280" w:type="dxa"/>
            <w:vAlign w:val="bottom"/>
          </w:tcPr>
          <w:p>
            <w:pPr>
              <w:spacing w:after="0"/>
              <w:rPr>
                <w:sz w:val="14"/>
                <w:szCs w:val="14"/>
                <w:color w:val="auto"/>
              </w:rPr>
            </w:pPr>
          </w:p>
        </w:tc>
        <w:tc>
          <w:tcPr>
            <w:tcW w:w="720" w:type="dxa"/>
            <w:vAlign w:val="bottom"/>
            <w:tcBorders>
              <w:bottom w:val="single" w:sz="8" w:color="auto"/>
            </w:tcBorders>
            <w:gridSpan w:val="2"/>
          </w:tcPr>
          <w:p>
            <w:pPr>
              <w:jc w:val="right"/>
              <w:ind w:right="142"/>
              <w:spacing w:after="0"/>
              <w:rPr>
                <w:sz w:val="20"/>
                <w:szCs w:val="20"/>
                <w:color w:val="auto"/>
              </w:rPr>
            </w:pPr>
            <w:r>
              <w:rPr>
                <w:rFonts w:ascii="Arial" w:cs="Arial" w:eastAsia="Arial" w:hAnsi="Arial"/>
                <w:sz w:val="14"/>
                <w:szCs w:val="14"/>
                <w:b w:val="1"/>
                <w:bCs w:val="1"/>
                <w:color w:val="auto"/>
              </w:rPr>
              <w:t>2009</w:t>
            </w:r>
          </w:p>
        </w:tc>
        <w:tc>
          <w:tcPr>
            <w:tcW w:w="12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210"/>
        </w:trPr>
        <w:tc>
          <w:tcPr>
            <w:tcW w:w="1140" w:type="dxa"/>
            <w:vAlign w:val="bottom"/>
          </w:tcPr>
          <w:p>
            <w:pPr>
              <w:spacing w:after="0"/>
              <w:rPr>
                <w:sz w:val="18"/>
                <w:szCs w:val="18"/>
                <w:color w:val="auto"/>
              </w:rPr>
            </w:pPr>
          </w:p>
        </w:tc>
        <w:tc>
          <w:tcPr>
            <w:tcW w:w="3860" w:type="dxa"/>
            <w:vAlign w:val="bottom"/>
            <w:shd w:val="clear" w:color="auto" w:fill="CCEEFF"/>
          </w:tcPr>
          <w:p>
            <w:pPr>
              <w:spacing w:after="0"/>
              <w:rPr>
                <w:sz w:val="20"/>
                <w:szCs w:val="20"/>
                <w:color w:val="auto"/>
              </w:rPr>
            </w:pPr>
            <w:r>
              <w:rPr>
                <w:rFonts w:ascii="Arial" w:cs="Arial" w:eastAsia="Arial" w:hAnsi="Arial"/>
                <w:sz w:val="18"/>
                <w:szCs w:val="18"/>
                <w:color w:val="auto"/>
              </w:rPr>
              <w:t>Machinery and equipment</w:t>
            </w:r>
          </w:p>
        </w:tc>
        <w:tc>
          <w:tcPr>
            <w:tcW w:w="3460" w:type="dxa"/>
            <w:vAlign w:val="bottom"/>
            <w:gridSpan w:val="3"/>
            <w:shd w:val="clear" w:color="auto" w:fill="CCEEFF"/>
          </w:tcPr>
          <w:p>
            <w:pPr>
              <w:jc w:val="right"/>
              <w:spacing w:after="0"/>
              <w:rPr>
                <w:sz w:val="20"/>
                <w:szCs w:val="20"/>
                <w:color w:val="auto"/>
              </w:rPr>
            </w:pPr>
            <w:r>
              <w:rPr>
                <w:rFonts w:ascii="Arial" w:cs="Arial" w:eastAsia="Arial" w:hAnsi="Arial"/>
                <w:sz w:val="18"/>
                <w:szCs w:val="18"/>
                <w:color w:val="auto"/>
              </w:rPr>
              <w:t>$ 363,038</w:t>
            </w:r>
          </w:p>
        </w:tc>
        <w:tc>
          <w:tcPr>
            <w:tcW w:w="240" w:type="dxa"/>
            <w:vAlign w:val="bottom"/>
            <w:shd w:val="clear" w:color="auto" w:fill="CCEEFF"/>
          </w:tcPr>
          <w:p>
            <w:pPr>
              <w:spacing w:after="0"/>
              <w:rPr>
                <w:sz w:val="18"/>
                <w:szCs w:val="18"/>
                <w:color w:val="auto"/>
              </w:rPr>
            </w:pPr>
          </w:p>
        </w:tc>
        <w:tc>
          <w:tcPr>
            <w:tcW w:w="1000" w:type="dxa"/>
            <w:vAlign w:val="bottom"/>
            <w:gridSpan w:val="3"/>
            <w:shd w:val="clear" w:color="auto" w:fill="CCEEFF"/>
          </w:tcPr>
          <w:p>
            <w:pPr>
              <w:jc w:val="right"/>
              <w:spacing w:after="0"/>
              <w:rPr>
                <w:sz w:val="20"/>
                <w:szCs w:val="20"/>
                <w:color w:val="auto"/>
              </w:rPr>
            </w:pPr>
            <w:r>
              <w:rPr>
                <w:rFonts w:ascii="Arial" w:cs="Arial" w:eastAsia="Arial" w:hAnsi="Arial"/>
                <w:sz w:val="18"/>
                <w:szCs w:val="18"/>
                <w:color w:val="auto"/>
              </w:rPr>
              <w:t>$ 343,772</w:t>
            </w:r>
          </w:p>
        </w:tc>
        <w:tc>
          <w:tcPr>
            <w:tcW w:w="12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1140" w:type="dxa"/>
            <w:vAlign w:val="bottom"/>
          </w:tcPr>
          <w:p>
            <w:pPr>
              <w:spacing w:after="0"/>
              <w:rPr>
                <w:sz w:val="18"/>
                <w:szCs w:val="18"/>
                <w:color w:val="auto"/>
              </w:rPr>
            </w:pPr>
          </w:p>
        </w:tc>
        <w:tc>
          <w:tcPr>
            <w:tcW w:w="3860" w:type="dxa"/>
            <w:vAlign w:val="bottom"/>
          </w:tcPr>
          <w:p>
            <w:pPr>
              <w:spacing w:after="0"/>
              <w:rPr>
                <w:sz w:val="20"/>
                <w:szCs w:val="20"/>
                <w:color w:val="auto"/>
              </w:rPr>
            </w:pPr>
            <w:r>
              <w:rPr>
                <w:rFonts w:ascii="Arial" w:cs="Arial" w:eastAsia="Arial" w:hAnsi="Arial"/>
                <w:sz w:val="18"/>
                <w:szCs w:val="18"/>
                <w:color w:val="auto"/>
              </w:rPr>
              <w:t>Computer software</w:t>
            </w:r>
          </w:p>
        </w:tc>
        <w:tc>
          <w:tcPr>
            <w:tcW w:w="3460" w:type="dxa"/>
            <w:vAlign w:val="bottom"/>
            <w:gridSpan w:val="3"/>
          </w:tcPr>
          <w:p>
            <w:pPr>
              <w:jc w:val="right"/>
              <w:spacing w:after="0"/>
              <w:rPr>
                <w:sz w:val="20"/>
                <w:szCs w:val="20"/>
                <w:color w:val="auto"/>
              </w:rPr>
            </w:pPr>
            <w:r>
              <w:rPr>
                <w:rFonts w:ascii="Arial" w:cs="Arial" w:eastAsia="Arial" w:hAnsi="Arial"/>
                <w:sz w:val="18"/>
                <w:szCs w:val="18"/>
                <w:color w:val="auto"/>
              </w:rPr>
              <w:t>78,594</w:t>
            </w:r>
          </w:p>
        </w:tc>
        <w:tc>
          <w:tcPr>
            <w:tcW w:w="240" w:type="dxa"/>
            <w:vAlign w:val="bottom"/>
          </w:tcPr>
          <w:p>
            <w:pPr>
              <w:spacing w:after="0"/>
              <w:rPr>
                <w:sz w:val="18"/>
                <w:szCs w:val="18"/>
                <w:color w:val="auto"/>
              </w:rPr>
            </w:pPr>
          </w:p>
        </w:tc>
        <w:tc>
          <w:tcPr>
            <w:tcW w:w="1000" w:type="dxa"/>
            <w:vAlign w:val="bottom"/>
            <w:gridSpan w:val="3"/>
          </w:tcPr>
          <w:p>
            <w:pPr>
              <w:jc w:val="right"/>
              <w:spacing w:after="0"/>
              <w:rPr>
                <w:sz w:val="20"/>
                <w:szCs w:val="20"/>
                <w:color w:val="auto"/>
              </w:rPr>
            </w:pPr>
            <w:r>
              <w:rPr>
                <w:rFonts w:ascii="Arial" w:cs="Arial" w:eastAsia="Arial" w:hAnsi="Arial"/>
                <w:sz w:val="18"/>
                <w:szCs w:val="18"/>
                <w:color w:val="auto"/>
              </w:rPr>
              <w:t>75,986</w:t>
            </w:r>
          </w:p>
        </w:tc>
        <w:tc>
          <w:tcPr>
            <w:tcW w:w="1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1140" w:type="dxa"/>
            <w:vAlign w:val="bottom"/>
          </w:tcPr>
          <w:p>
            <w:pPr>
              <w:spacing w:after="0"/>
              <w:rPr>
                <w:sz w:val="18"/>
                <w:szCs w:val="18"/>
                <w:color w:val="auto"/>
              </w:rPr>
            </w:pPr>
          </w:p>
        </w:tc>
        <w:tc>
          <w:tcPr>
            <w:tcW w:w="3860" w:type="dxa"/>
            <w:vAlign w:val="bottom"/>
            <w:shd w:val="clear" w:color="auto" w:fill="CCEEFF"/>
          </w:tcPr>
          <w:p>
            <w:pPr>
              <w:spacing w:after="0"/>
              <w:rPr>
                <w:sz w:val="20"/>
                <w:szCs w:val="20"/>
                <w:color w:val="auto"/>
              </w:rPr>
            </w:pPr>
            <w:r>
              <w:rPr>
                <w:rFonts w:ascii="Arial" w:cs="Arial" w:eastAsia="Arial" w:hAnsi="Arial"/>
                <w:sz w:val="18"/>
                <w:szCs w:val="18"/>
                <w:color w:val="auto"/>
              </w:rPr>
              <w:t>Furniture and fixtures</w:t>
            </w:r>
          </w:p>
        </w:tc>
        <w:tc>
          <w:tcPr>
            <w:tcW w:w="3460" w:type="dxa"/>
            <w:vAlign w:val="bottom"/>
            <w:gridSpan w:val="3"/>
            <w:shd w:val="clear" w:color="auto" w:fill="CCEEFF"/>
          </w:tcPr>
          <w:p>
            <w:pPr>
              <w:jc w:val="right"/>
              <w:spacing w:after="0"/>
              <w:rPr>
                <w:sz w:val="20"/>
                <w:szCs w:val="20"/>
                <w:color w:val="auto"/>
              </w:rPr>
            </w:pPr>
            <w:r>
              <w:rPr>
                <w:rFonts w:ascii="Arial" w:cs="Arial" w:eastAsia="Arial" w:hAnsi="Arial"/>
                <w:sz w:val="18"/>
                <w:szCs w:val="18"/>
                <w:color w:val="auto"/>
              </w:rPr>
              <w:t>23,510</w:t>
            </w:r>
          </w:p>
        </w:tc>
        <w:tc>
          <w:tcPr>
            <w:tcW w:w="240" w:type="dxa"/>
            <w:vAlign w:val="bottom"/>
            <w:shd w:val="clear" w:color="auto" w:fill="CCEEFF"/>
          </w:tcPr>
          <w:p>
            <w:pPr>
              <w:spacing w:after="0"/>
              <w:rPr>
                <w:sz w:val="18"/>
                <w:szCs w:val="18"/>
                <w:color w:val="auto"/>
              </w:rPr>
            </w:pPr>
          </w:p>
        </w:tc>
        <w:tc>
          <w:tcPr>
            <w:tcW w:w="1000" w:type="dxa"/>
            <w:vAlign w:val="bottom"/>
            <w:gridSpan w:val="3"/>
            <w:shd w:val="clear" w:color="auto" w:fill="CCEEFF"/>
          </w:tcPr>
          <w:p>
            <w:pPr>
              <w:jc w:val="right"/>
              <w:spacing w:after="0"/>
              <w:rPr>
                <w:sz w:val="20"/>
                <w:szCs w:val="20"/>
                <w:color w:val="auto"/>
              </w:rPr>
            </w:pPr>
            <w:r>
              <w:rPr>
                <w:rFonts w:ascii="Arial" w:cs="Arial" w:eastAsia="Arial" w:hAnsi="Arial"/>
                <w:sz w:val="18"/>
                <w:szCs w:val="18"/>
                <w:color w:val="auto"/>
              </w:rPr>
              <w:t>23,490</w:t>
            </w:r>
          </w:p>
        </w:tc>
        <w:tc>
          <w:tcPr>
            <w:tcW w:w="12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1140" w:type="dxa"/>
            <w:vAlign w:val="bottom"/>
          </w:tcPr>
          <w:p>
            <w:pPr>
              <w:spacing w:after="0"/>
              <w:rPr>
                <w:sz w:val="18"/>
                <w:szCs w:val="18"/>
                <w:color w:val="auto"/>
              </w:rPr>
            </w:pPr>
          </w:p>
        </w:tc>
        <w:tc>
          <w:tcPr>
            <w:tcW w:w="3860" w:type="dxa"/>
            <w:vAlign w:val="bottom"/>
          </w:tcPr>
          <w:p>
            <w:pPr>
              <w:spacing w:after="0"/>
              <w:rPr>
                <w:sz w:val="20"/>
                <w:szCs w:val="20"/>
                <w:color w:val="auto"/>
              </w:rPr>
            </w:pPr>
            <w:r>
              <w:rPr>
                <w:rFonts w:ascii="Arial" w:cs="Arial" w:eastAsia="Arial" w:hAnsi="Arial"/>
                <w:sz w:val="18"/>
                <w:szCs w:val="18"/>
                <w:color w:val="auto"/>
              </w:rPr>
              <w:t>Leasehold improvements</w:t>
            </w:r>
          </w:p>
        </w:tc>
        <w:tc>
          <w:tcPr>
            <w:tcW w:w="3460" w:type="dxa"/>
            <w:vAlign w:val="bottom"/>
            <w:gridSpan w:val="3"/>
          </w:tcPr>
          <w:p>
            <w:pPr>
              <w:jc w:val="right"/>
              <w:spacing w:after="0"/>
              <w:rPr>
                <w:sz w:val="20"/>
                <w:szCs w:val="20"/>
                <w:color w:val="auto"/>
              </w:rPr>
            </w:pPr>
            <w:r>
              <w:rPr>
                <w:rFonts w:ascii="Arial" w:cs="Arial" w:eastAsia="Arial" w:hAnsi="Arial"/>
                <w:sz w:val="18"/>
                <w:szCs w:val="18"/>
                <w:color w:val="auto"/>
              </w:rPr>
              <w:t>39,471</w:t>
            </w:r>
          </w:p>
        </w:tc>
        <w:tc>
          <w:tcPr>
            <w:tcW w:w="240" w:type="dxa"/>
            <w:vAlign w:val="bottom"/>
          </w:tcPr>
          <w:p>
            <w:pPr>
              <w:spacing w:after="0"/>
              <w:rPr>
                <w:sz w:val="18"/>
                <w:szCs w:val="18"/>
                <w:color w:val="auto"/>
              </w:rPr>
            </w:pPr>
          </w:p>
        </w:tc>
        <w:tc>
          <w:tcPr>
            <w:tcW w:w="1000" w:type="dxa"/>
            <w:vAlign w:val="bottom"/>
            <w:gridSpan w:val="3"/>
          </w:tcPr>
          <w:p>
            <w:pPr>
              <w:jc w:val="right"/>
              <w:spacing w:after="0"/>
              <w:rPr>
                <w:sz w:val="20"/>
                <w:szCs w:val="20"/>
                <w:color w:val="auto"/>
              </w:rPr>
            </w:pPr>
            <w:r>
              <w:rPr>
                <w:rFonts w:ascii="Arial" w:cs="Arial" w:eastAsia="Arial" w:hAnsi="Arial"/>
                <w:sz w:val="18"/>
                <w:szCs w:val="18"/>
                <w:color w:val="auto"/>
              </w:rPr>
              <w:t>38,872</w:t>
            </w:r>
          </w:p>
        </w:tc>
        <w:tc>
          <w:tcPr>
            <w:tcW w:w="1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1140" w:type="dxa"/>
            <w:vAlign w:val="bottom"/>
          </w:tcPr>
          <w:p>
            <w:pPr>
              <w:spacing w:after="0"/>
              <w:rPr>
                <w:sz w:val="18"/>
                <w:szCs w:val="18"/>
                <w:color w:val="auto"/>
              </w:rPr>
            </w:pPr>
          </w:p>
        </w:tc>
        <w:tc>
          <w:tcPr>
            <w:tcW w:w="3860" w:type="dxa"/>
            <w:vAlign w:val="bottom"/>
            <w:shd w:val="clear" w:color="auto" w:fill="CCEEFF"/>
          </w:tcPr>
          <w:p>
            <w:pPr>
              <w:spacing w:after="0"/>
              <w:rPr>
                <w:sz w:val="20"/>
                <w:szCs w:val="20"/>
                <w:color w:val="auto"/>
              </w:rPr>
            </w:pPr>
            <w:r>
              <w:rPr>
                <w:rFonts w:ascii="Arial" w:cs="Arial" w:eastAsia="Arial" w:hAnsi="Arial"/>
                <w:sz w:val="18"/>
                <w:szCs w:val="18"/>
                <w:color w:val="auto"/>
              </w:rPr>
              <w:t>Buildings</w:t>
            </w:r>
          </w:p>
        </w:tc>
        <w:tc>
          <w:tcPr>
            <w:tcW w:w="3460" w:type="dxa"/>
            <w:vAlign w:val="bottom"/>
            <w:gridSpan w:val="3"/>
            <w:shd w:val="clear" w:color="auto" w:fill="CCEEFF"/>
          </w:tcPr>
          <w:p>
            <w:pPr>
              <w:jc w:val="right"/>
              <w:spacing w:after="0"/>
              <w:rPr>
                <w:sz w:val="20"/>
                <w:szCs w:val="20"/>
                <w:color w:val="auto"/>
              </w:rPr>
            </w:pPr>
            <w:r>
              <w:rPr>
                <w:rFonts w:ascii="Arial" w:cs="Arial" w:eastAsia="Arial" w:hAnsi="Arial"/>
                <w:sz w:val="18"/>
                <w:szCs w:val="18"/>
                <w:color w:val="auto"/>
              </w:rPr>
              <w:t>146,294</w:t>
            </w:r>
          </w:p>
        </w:tc>
        <w:tc>
          <w:tcPr>
            <w:tcW w:w="240" w:type="dxa"/>
            <w:vAlign w:val="bottom"/>
            <w:shd w:val="clear" w:color="auto" w:fill="CCEEFF"/>
          </w:tcPr>
          <w:p>
            <w:pPr>
              <w:spacing w:after="0"/>
              <w:rPr>
                <w:sz w:val="18"/>
                <w:szCs w:val="18"/>
                <w:color w:val="auto"/>
              </w:rPr>
            </w:pPr>
          </w:p>
        </w:tc>
        <w:tc>
          <w:tcPr>
            <w:tcW w:w="1000" w:type="dxa"/>
            <w:vAlign w:val="bottom"/>
            <w:gridSpan w:val="3"/>
            <w:shd w:val="clear" w:color="auto" w:fill="CCEEFF"/>
          </w:tcPr>
          <w:p>
            <w:pPr>
              <w:jc w:val="right"/>
              <w:spacing w:after="0"/>
              <w:rPr>
                <w:sz w:val="20"/>
                <w:szCs w:val="20"/>
                <w:color w:val="auto"/>
              </w:rPr>
            </w:pPr>
            <w:r>
              <w:rPr>
                <w:rFonts w:ascii="Arial" w:cs="Arial" w:eastAsia="Arial" w:hAnsi="Arial"/>
                <w:sz w:val="18"/>
                <w:szCs w:val="18"/>
                <w:color w:val="auto"/>
              </w:rPr>
              <w:t>146,294</w:t>
            </w:r>
          </w:p>
        </w:tc>
        <w:tc>
          <w:tcPr>
            <w:tcW w:w="12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1140" w:type="dxa"/>
            <w:vAlign w:val="bottom"/>
          </w:tcPr>
          <w:p>
            <w:pPr>
              <w:spacing w:after="0"/>
              <w:rPr>
                <w:sz w:val="18"/>
                <w:szCs w:val="18"/>
                <w:color w:val="auto"/>
              </w:rPr>
            </w:pPr>
          </w:p>
        </w:tc>
        <w:tc>
          <w:tcPr>
            <w:tcW w:w="3860" w:type="dxa"/>
            <w:vAlign w:val="bottom"/>
          </w:tcPr>
          <w:p>
            <w:pPr>
              <w:spacing w:after="0"/>
              <w:rPr>
                <w:sz w:val="20"/>
                <w:szCs w:val="20"/>
                <w:color w:val="auto"/>
              </w:rPr>
            </w:pPr>
            <w:r>
              <w:rPr>
                <w:rFonts w:ascii="Arial" w:cs="Arial" w:eastAsia="Arial" w:hAnsi="Arial"/>
                <w:sz w:val="18"/>
                <w:szCs w:val="18"/>
                <w:color w:val="auto"/>
              </w:rPr>
              <w:t>Building improvements</w:t>
            </w:r>
          </w:p>
        </w:tc>
        <w:tc>
          <w:tcPr>
            <w:tcW w:w="3460" w:type="dxa"/>
            <w:vAlign w:val="bottom"/>
            <w:gridSpan w:val="3"/>
          </w:tcPr>
          <w:p>
            <w:pPr>
              <w:jc w:val="right"/>
              <w:spacing w:after="0"/>
              <w:rPr>
                <w:sz w:val="20"/>
                <w:szCs w:val="20"/>
                <w:color w:val="auto"/>
              </w:rPr>
            </w:pPr>
            <w:r>
              <w:rPr>
                <w:rFonts w:ascii="Arial" w:cs="Arial" w:eastAsia="Arial" w:hAnsi="Arial"/>
                <w:sz w:val="18"/>
                <w:szCs w:val="18"/>
                <w:color w:val="auto"/>
              </w:rPr>
              <w:t>45,586</w:t>
            </w:r>
          </w:p>
        </w:tc>
        <w:tc>
          <w:tcPr>
            <w:tcW w:w="240" w:type="dxa"/>
            <w:vAlign w:val="bottom"/>
          </w:tcPr>
          <w:p>
            <w:pPr>
              <w:spacing w:after="0"/>
              <w:rPr>
                <w:sz w:val="18"/>
                <w:szCs w:val="18"/>
                <w:color w:val="auto"/>
              </w:rPr>
            </w:pPr>
          </w:p>
        </w:tc>
        <w:tc>
          <w:tcPr>
            <w:tcW w:w="1000" w:type="dxa"/>
            <w:vAlign w:val="bottom"/>
            <w:gridSpan w:val="3"/>
          </w:tcPr>
          <w:p>
            <w:pPr>
              <w:jc w:val="right"/>
              <w:spacing w:after="0"/>
              <w:rPr>
                <w:sz w:val="20"/>
                <w:szCs w:val="20"/>
                <w:color w:val="auto"/>
              </w:rPr>
            </w:pPr>
            <w:r>
              <w:rPr>
                <w:rFonts w:ascii="Arial" w:cs="Arial" w:eastAsia="Arial" w:hAnsi="Arial"/>
                <w:sz w:val="18"/>
                <w:szCs w:val="18"/>
                <w:color w:val="auto"/>
              </w:rPr>
              <w:t>45,329</w:t>
            </w:r>
          </w:p>
        </w:tc>
        <w:tc>
          <w:tcPr>
            <w:tcW w:w="1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1140" w:type="dxa"/>
            <w:vAlign w:val="bottom"/>
          </w:tcPr>
          <w:p>
            <w:pPr>
              <w:spacing w:after="0"/>
              <w:rPr>
                <w:sz w:val="18"/>
                <w:szCs w:val="18"/>
                <w:color w:val="auto"/>
              </w:rPr>
            </w:pPr>
          </w:p>
        </w:tc>
        <w:tc>
          <w:tcPr>
            <w:tcW w:w="3860" w:type="dxa"/>
            <w:vAlign w:val="bottom"/>
            <w:shd w:val="clear" w:color="auto" w:fill="CCEEFF"/>
          </w:tcPr>
          <w:p>
            <w:pPr>
              <w:spacing w:after="0"/>
              <w:rPr>
                <w:sz w:val="20"/>
                <w:szCs w:val="20"/>
                <w:color w:val="auto"/>
              </w:rPr>
            </w:pPr>
            <w:r>
              <w:rPr>
                <w:rFonts w:ascii="Arial" w:cs="Arial" w:eastAsia="Arial" w:hAnsi="Arial"/>
                <w:sz w:val="18"/>
                <w:szCs w:val="18"/>
                <w:color w:val="auto"/>
              </w:rPr>
              <w:t>Land</w:t>
            </w:r>
          </w:p>
        </w:tc>
        <w:tc>
          <w:tcPr>
            <w:tcW w:w="3460" w:type="dxa"/>
            <w:vAlign w:val="bottom"/>
            <w:gridSpan w:val="3"/>
            <w:shd w:val="clear" w:color="auto" w:fill="CCEEFF"/>
          </w:tcPr>
          <w:p>
            <w:pPr>
              <w:jc w:val="right"/>
              <w:spacing w:after="0"/>
              <w:rPr>
                <w:sz w:val="20"/>
                <w:szCs w:val="20"/>
                <w:color w:val="auto"/>
              </w:rPr>
            </w:pPr>
            <w:r>
              <w:rPr>
                <w:rFonts w:ascii="Arial" w:cs="Arial" w:eastAsia="Arial" w:hAnsi="Arial"/>
                <w:sz w:val="18"/>
                <w:szCs w:val="18"/>
                <w:color w:val="auto"/>
              </w:rPr>
              <w:t>71,198</w:t>
            </w:r>
          </w:p>
        </w:tc>
        <w:tc>
          <w:tcPr>
            <w:tcW w:w="240" w:type="dxa"/>
            <w:vAlign w:val="bottom"/>
            <w:shd w:val="clear" w:color="auto" w:fill="CCEEFF"/>
          </w:tcPr>
          <w:p>
            <w:pPr>
              <w:spacing w:after="0"/>
              <w:rPr>
                <w:sz w:val="18"/>
                <w:szCs w:val="18"/>
                <w:color w:val="auto"/>
              </w:rPr>
            </w:pPr>
          </w:p>
        </w:tc>
        <w:tc>
          <w:tcPr>
            <w:tcW w:w="1000" w:type="dxa"/>
            <w:vAlign w:val="bottom"/>
            <w:gridSpan w:val="3"/>
            <w:shd w:val="clear" w:color="auto" w:fill="CCEEFF"/>
          </w:tcPr>
          <w:p>
            <w:pPr>
              <w:jc w:val="right"/>
              <w:spacing w:after="0"/>
              <w:rPr>
                <w:sz w:val="20"/>
                <w:szCs w:val="20"/>
                <w:color w:val="auto"/>
              </w:rPr>
            </w:pPr>
            <w:r>
              <w:rPr>
                <w:rFonts w:ascii="Arial" w:cs="Arial" w:eastAsia="Arial" w:hAnsi="Arial"/>
                <w:sz w:val="18"/>
                <w:szCs w:val="18"/>
                <w:color w:val="auto"/>
              </w:rPr>
              <w:t>71,198</w:t>
            </w:r>
          </w:p>
        </w:tc>
        <w:tc>
          <w:tcPr>
            <w:tcW w:w="12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23"/>
        </w:trPr>
        <w:tc>
          <w:tcPr>
            <w:tcW w:w="1140" w:type="dxa"/>
            <w:vAlign w:val="bottom"/>
          </w:tcPr>
          <w:p>
            <w:pPr>
              <w:spacing w:after="0"/>
              <w:rPr>
                <w:sz w:val="19"/>
                <w:szCs w:val="19"/>
                <w:color w:val="auto"/>
              </w:rPr>
            </w:pPr>
          </w:p>
        </w:tc>
        <w:tc>
          <w:tcPr>
            <w:tcW w:w="3860" w:type="dxa"/>
            <w:vAlign w:val="bottom"/>
          </w:tcPr>
          <w:p>
            <w:pPr>
              <w:spacing w:after="0"/>
              <w:rPr>
                <w:sz w:val="20"/>
                <w:szCs w:val="20"/>
                <w:color w:val="auto"/>
              </w:rPr>
            </w:pPr>
            <w:r>
              <w:rPr>
                <w:rFonts w:ascii="Arial" w:cs="Arial" w:eastAsia="Arial" w:hAnsi="Arial"/>
                <w:sz w:val="18"/>
                <w:szCs w:val="18"/>
                <w:color w:val="auto"/>
              </w:rPr>
              <w:t>Construction in progress</w:t>
            </w:r>
          </w:p>
        </w:tc>
        <w:tc>
          <w:tcPr>
            <w:tcW w:w="2740" w:type="dxa"/>
            <w:vAlign w:val="bottom"/>
          </w:tcPr>
          <w:p>
            <w:pPr>
              <w:spacing w:after="0"/>
              <w:rPr>
                <w:sz w:val="19"/>
                <w:szCs w:val="19"/>
                <w:color w:val="auto"/>
              </w:rPr>
            </w:pPr>
          </w:p>
        </w:tc>
        <w:tc>
          <w:tcPr>
            <w:tcW w:w="720" w:type="dxa"/>
            <w:vAlign w:val="bottom"/>
            <w:tcBorders>
              <w:bottom w:val="single" w:sz="8" w:color="auto"/>
            </w:tcBorders>
            <w:gridSpan w:val="2"/>
          </w:tcPr>
          <w:p>
            <w:pPr>
              <w:jc w:val="right"/>
              <w:spacing w:after="0"/>
              <w:rPr>
                <w:sz w:val="20"/>
                <w:szCs w:val="20"/>
                <w:color w:val="auto"/>
              </w:rPr>
            </w:pPr>
            <w:r>
              <w:rPr>
                <w:rFonts w:ascii="Arial" w:cs="Arial" w:eastAsia="Arial" w:hAnsi="Arial"/>
                <w:sz w:val="18"/>
                <w:szCs w:val="18"/>
                <w:color w:val="auto"/>
              </w:rPr>
              <w:t>2,928</w:t>
            </w:r>
          </w:p>
        </w:tc>
        <w:tc>
          <w:tcPr>
            <w:tcW w:w="240" w:type="dxa"/>
            <w:vAlign w:val="bottom"/>
          </w:tcPr>
          <w:p>
            <w:pPr>
              <w:spacing w:after="0"/>
              <w:rPr>
                <w:sz w:val="19"/>
                <w:szCs w:val="19"/>
                <w:color w:val="auto"/>
              </w:rPr>
            </w:pPr>
          </w:p>
        </w:tc>
        <w:tc>
          <w:tcPr>
            <w:tcW w:w="280" w:type="dxa"/>
            <w:vAlign w:val="bottom"/>
          </w:tcPr>
          <w:p>
            <w:pPr>
              <w:spacing w:after="0"/>
              <w:rPr>
                <w:sz w:val="19"/>
                <w:szCs w:val="19"/>
                <w:color w:val="auto"/>
              </w:rPr>
            </w:pPr>
          </w:p>
        </w:tc>
        <w:tc>
          <w:tcPr>
            <w:tcW w:w="720" w:type="dxa"/>
            <w:vAlign w:val="bottom"/>
            <w:tcBorders>
              <w:bottom w:val="single" w:sz="8" w:color="auto"/>
            </w:tcBorders>
            <w:gridSpan w:val="2"/>
          </w:tcPr>
          <w:p>
            <w:pPr>
              <w:jc w:val="right"/>
              <w:spacing w:after="0"/>
              <w:rPr>
                <w:sz w:val="20"/>
                <w:szCs w:val="20"/>
                <w:color w:val="auto"/>
              </w:rPr>
            </w:pPr>
            <w:r>
              <w:rPr>
                <w:rFonts w:ascii="Arial" w:cs="Arial" w:eastAsia="Arial" w:hAnsi="Arial"/>
                <w:sz w:val="18"/>
                <w:szCs w:val="18"/>
                <w:color w:val="auto"/>
              </w:rPr>
              <w:t>2,483</w:t>
            </w:r>
          </w:p>
        </w:tc>
        <w:tc>
          <w:tcPr>
            <w:tcW w:w="12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16"/>
        </w:trPr>
        <w:tc>
          <w:tcPr>
            <w:tcW w:w="1140" w:type="dxa"/>
            <w:vAlign w:val="bottom"/>
          </w:tcPr>
          <w:p>
            <w:pPr>
              <w:spacing w:after="0"/>
              <w:rPr>
                <w:sz w:val="18"/>
                <w:szCs w:val="18"/>
                <w:color w:val="auto"/>
              </w:rPr>
            </w:pPr>
          </w:p>
        </w:tc>
        <w:tc>
          <w:tcPr>
            <w:tcW w:w="3860" w:type="dxa"/>
            <w:vAlign w:val="bottom"/>
            <w:shd w:val="clear" w:color="auto" w:fill="CCEEFF"/>
          </w:tcPr>
          <w:p>
            <w:pPr>
              <w:spacing w:after="0"/>
              <w:rPr>
                <w:sz w:val="18"/>
                <w:szCs w:val="18"/>
                <w:color w:val="auto"/>
              </w:rPr>
            </w:pPr>
          </w:p>
        </w:tc>
        <w:tc>
          <w:tcPr>
            <w:tcW w:w="3460" w:type="dxa"/>
            <w:vAlign w:val="bottom"/>
            <w:gridSpan w:val="3"/>
            <w:shd w:val="clear" w:color="auto" w:fill="CCEEFF"/>
          </w:tcPr>
          <w:p>
            <w:pPr>
              <w:jc w:val="right"/>
              <w:spacing w:after="0"/>
              <w:rPr>
                <w:sz w:val="20"/>
                <w:szCs w:val="20"/>
                <w:color w:val="auto"/>
              </w:rPr>
            </w:pPr>
            <w:r>
              <w:rPr>
                <w:rFonts w:ascii="Arial" w:cs="Arial" w:eastAsia="Arial" w:hAnsi="Arial"/>
                <w:sz w:val="18"/>
                <w:szCs w:val="18"/>
                <w:color w:val="auto"/>
              </w:rPr>
              <w:t>770,619</w:t>
            </w:r>
          </w:p>
        </w:tc>
        <w:tc>
          <w:tcPr>
            <w:tcW w:w="240" w:type="dxa"/>
            <w:vAlign w:val="bottom"/>
            <w:shd w:val="clear" w:color="auto" w:fill="CCEEFF"/>
          </w:tcPr>
          <w:p>
            <w:pPr>
              <w:spacing w:after="0"/>
              <w:rPr>
                <w:sz w:val="18"/>
                <w:szCs w:val="18"/>
                <w:color w:val="auto"/>
              </w:rPr>
            </w:pPr>
          </w:p>
        </w:tc>
        <w:tc>
          <w:tcPr>
            <w:tcW w:w="1000" w:type="dxa"/>
            <w:vAlign w:val="bottom"/>
            <w:gridSpan w:val="3"/>
            <w:shd w:val="clear" w:color="auto" w:fill="CCEEFF"/>
          </w:tcPr>
          <w:p>
            <w:pPr>
              <w:jc w:val="right"/>
              <w:spacing w:after="0"/>
              <w:rPr>
                <w:sz w:val="20"/>
                <w:szCs w:val="20"/>
                <w:color w:val="auto"/>
              </w:rPr>
            </w:pPr>
            <w:r>
              <w:rPr>
                <w:rFonts w:ascii="Arial" w:cs="Arial" w:eastAsia="Arial" w:hAnsi="Arial"/>
                <w:sz w:val="18"/>
                <w:szCs w:val="18"/>
                <w:color w:val="auto"/>
              </w:rPr>
              <w:t>747,424</w:t>
            </w:r>
          </w:p>
        </w:tc>
        <w:tc>
          <w:tcPr>
            <w:tcW w:w="12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1140" w:type="dxa"/>
            <w:vAlign w:val="bottom"/>
          </w:tcPr>
          <w:p>
            <w:pPr>
              <w:spacing w:after="0"/>
              <w:rPr>
                <w:sz w:val="18"/>
                <w:szCs w:val="18"/>
                <w:color w:val="auto"/>
              </w:rPr>
            </w:pPr>
          </w:p>
        </w:tc>
        <w:tc>
          <w:tcPr>
            <w:tcW w:w="3860" w:type="dxa"/>
            <w:vAlign w:val="bottom"/>
          </w:tcPr>
          <w:p>
            <w:pPr>
              <w:spacing w:after="0"/>
              <w:rPr>
                <w:sz w:val="20"/>
                <w:szCs w:val="20"/>
                <w:color w:val="auto"/>
              </w:rPr>
            </w:pPr>
            <w:r>
              <w:rPr>
                <w:rFonts w:ascii="Arial" w:cs="Arial" w:eastAsia="Arial" w:hAnsi="Arial"/>
                <w:sz w:val="18"/>
                <w:szCs w:val="18"/>
                <w:color w:val="auto"/>
                <w:w w:val="97"/>
              </w:rPr>
              <w:t>Less: Accumulated depreciation and amortization</w:t>
            </w:r>
          </w:p>
        </w:tc>
        <w:tc>
          <w:tcPr>
            <w:tcW w:w="2740" w:type="dxa"/>
            <w:vAlign w:val="bottom"/>
          </w:tcPr>
          <w:p>
            <w:pPr>
              <w:spacing w:after="0"/>
              <w:rPr>
                <w:sz w:val="18"/>
                <w:szCs w:val="18"/>
                <w:color w:val="auto"/>
              </w:rPr>
            </w:pPr>
          </w:p>
        </w:tc>
        <w:tc>
          <w:tcPr>
            <w:tcW w:w="960" w:type="dxa"/>
            <w:vAlign w:val="bottom"/>
            <w:gridSpan w:val="3"/>
          </w:tcPr>
          <w:p>
            <w:pPr>
              <w:jc w:val="right"/>
              <w:ind w:right="180"/>
              <w:spacing w:after="0"/>
              <w:rPr>
                <w:sz w:val="20"/>
                <w:szCs w:val="20"/>
                <w:color w:val="auto"/>
              </w:rPr>
            </w:pPr>
            <w:r>
              <w:rPr>
                <w:rFonts w:ascii="Arial" w:cs="Arial" w:eastAsia="Arial" w:hAnsi="Arial"/>
                <w:sz w:val="18"/>
                <w:szCs w:val="18"/>
                <w:color w:val="auto"/>
                <w:w w:val="98"/>
              </w:rPr>
              <w:t>(421,343)</w:t>
            </w:r>
          </w:p>
        </w:tc>
        <w:tc>
          <w:tcPr>
            <w:tcW w:w="1120" w:type="dxa"/>
            <w:vAlign w:val="bottom"/>
            <w:gridSpan w:val="4"/>
          </w:tcPr>
          <w:p>
            <w:pPr>
              <w:jc w:val="right"/>
              <w:ind w:right="60"/>
              <w:spacing w:after="0"/>
              <w:rPr>
                <w:sz w:val="20"/>
                <w:szCs w:val="20"/>
                <w:color w:val="auto"/>
              </w:rPr>
            </w:pPr>
            <w:r>
              <w:rPr>
                <w:rFonts w:ascii="Arial" w:cs="Arial" w:eastAsia="Arial" w:hAnsi="Arial"/>
                <w:sz w:val="18"/>
                <w:szCs w:val="18"/>
                <w:color w:val="auto"/>
              </w:rPr>
              <w:t>(356,571)</w:t>
            </w:r>
          </w:p>
        </w:tc>
        <w:tc>
          <w:tcPr>
            <w:tcW w:w="0" w:type="dxa"/>
            <w:vAlign w:val="bottom"/>
          </w:tcPr>
          <w:p>
            <w:pPr>
              <w:spacing w:after="0"/>
              <w:rPr>
                <w:sz w:val="1"/>
                <w:szCs w:val="1"/>
                <w:color w:val="auto"/>
              </w:rPr>
            </w:pPr>
          </w:p>
        </w:tc>
      </w:tr>
      <w:tr>
        <w:trPr>
          <w:trHeight w:val="27"/>
        </w:trPr>
        <w:tc>
          <w:tcPr>
            <w:tcW w:w="1140" w:type="dxa"/>
            <w:vAlign w:val="bottom"/>
          </w:tcPr>
          <w:p>
            <w:pPr>
              <w:spacing w:after="0"/>
              <w:rPr>
                <w:sz w:val="2"/>
                <w:szCs w:val="2"/>
                <w:color w:val="auto"/>
              </w:rPr>
            </w:pPr>
          </w:p>
        </w:tc>
        <w:tc>
          <w:tcPr>
            <w:tcW w:w="3860" w:type="dxa"/>
            <w:vAlign w:val="bottom"/>
          </w:tcPr>
          <w:p>
            <w:pPr>
              <w:spacing w:after="0"/>
              <w:rPr>
                <w:sz w:val="2"/>
                <w:szCs w:val="2"/>
                <w:color w:val="auto"/>
              </w:rPr>
            </w:pPr>
          </w:p>
        </w:tc>
        <w:tc>
          <w:tcPr>
            <w:tcW w:w="2740" w:type="dxa"/>
            <w:vAlign w:val="bottom"/>
          </w:tcPr>
          <w:p>
            <w:pPr>
              <w:spacing w:after="0"/>
              <w:rPr>
                <w:sz w:val="2"/>
                <w:szCs w:val="2"/>
                <w:color w:val="auto"/>
              </w:rPr>
            </w:pPr>
          </w:p>
        </w:tc>
        <w:tc>
          <w:tcPr>
            <w:tcW w:w="280" w:type="dxa"/>
            <w:vAlign w:val="bottom"/>
            <w:shd w:val="clear" w:color="auto" w:fill="000000"/>
          </w:tcPr>
          <w:p>
            <w:pPr>
              <w:spacing w:after="0"/>
              <w:rPr>
                <w:sz w:val="2"/>
                <w:szCs w:val="2"/>
                <w:color w:val="auto"/>
              </w:rPr>
            </w:pPr>
          </w:p>
        </w:tc>
        <w:tc>
          <w:tcPr>
            <w:tcW w:w="440" w:type="dxa"/>
            <w:vAlign w:val="bottom"/>
            <w:shd w:val="clear" w:color="auto" w:fill="000000"/>
          </w:tcPr>
          <w:p>
            <w:pPr>
              <w:spacing w:after="0"/>
              <w:rPr>
                <w:sz w:val="2"/>
                <w:szCs w:val="2"/>
                <w:color w:val="auto"/>
              </w:rPr>
            </w:pPr>
          </w:p>
        </w:tc>
        <w:tc>
          <w:tcPr>
            <w:tcW w:w="240" w:type="dxa"/>
            <w:vAlign w:val="bottom"/>
          </w:tcPr>
          <w:p>
            <w:pPr>
              <w:spacing w:after="0"/>
              <w:rPr>
                <w:sz w:val="2"/>
                <w:szCs w:val="2"/>
                <w:color w:val="auto"/>
              </w:rPr>
            </w:pPr>
          </w:p>
        </w:tc>
        <w:tc>
          <w:tcPr>
            <w:tcW w:w="280" w:type="dxa"/>
            <w:vAlign w:val="bottom"/>
          </w:tcPr>
          <w:p>
            <w:pPr>
              <w:spacing w:after="0"/>
              <w:rPr>
                <w:sz w:val="2"/>
                <w:szCs w:val="2"/>
                <w:color w:val="auto"/>
              </w:rPr>
            </w:pPr>
          </w:p>
        </w:tc>
        <w:tc>
          <w:tcPr>
            <w:tcW w:w="140" w:type="dxa"/>
            <w:vAlign w:val="bottom"/>
            <w:shd w:val="clear" w:color="auto" w:fill="000000"/>
          </w:tcPr>
          <w:p>
            <w:pPr>
              <w:spacing w:after="0"/>
              <w:rPr>
                <w:sz w:val="2"/>
                <w:szCs w:val="2"/>
                <w:color w:val="auto"/>
              </w:rPr>
            </w:pPr>
          </w:p>
        </w:tc>
        <w:tc>
          <w:tcPr>
            <w:tcW w:w="580" w:type="dxa"/>
            <w:vAlign w:val="bottom"/>
            <w:shd w:val="clear" w:color="auto" w:fill="000000"/>
          </w:tcPr>
          <w:p>
            <w:pPr>
              <w:spacing w:after="0"/>
              <w:rPr>
                <w:sz w:val="2"/>
                <w:szCs w:val="2"/>
                <w:color w:val="auto"/>
              </w:rPr>
            </w:pPr>
          </w:p>
        </w:tc>
        <w:tc>
          <w:tcPr>
            <w:tcW w:w="12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16"/>
        </w:trPr>
        <w:tc>
          <w:tcPr>
            <w:tcW w:w="1140" w:type="dxa"/>
            <w:vAlign w:val="bottom"/>
          </w:tcPr>
          <w:p>
            <w:pPr>
              <w:spacing w:after="0"/>
              <w:rPr>
                <w:sz w:val="18"/>
                <w:szCs w:val="18"/>
                <w:color w:val="auto"/>
              </w:rPr>
            </w:pPr>
          </w:p>
        </w:tc>
        <w:tc>
          <w:tcPr>
            <w:tcW w:w="3860" w:type="dxa"/>
            <w:vAlign w:val="bottom"/>
            <w:shd w:val="clear" w:color="auto" w:fill="CCEEFF"/>
          </w:tcPr>
          <w:p>
            <w:pPr>
              <w:spacing w:after="0"/>
              <w:rPr>
                <w:sz w:val="18"/>
                <w:szCs w:val="18"/>
                <w:color w:val="auto"/>
              </w:rPr>
            </w:pPr>
          </w:p>
        </w:tc>
        <w:tc>
          <w:tcPr>
            <w:tcW w:w="3460" w:type="dxa"/>
            <w:vAlign w:val="bottom"/>
            <w:gridSpan w:val="3"/>
            <w:shd w:val="clear" w:color="auto" w:fill="CCEEFF"/>
          </w:tcPr>
          <w:p>
            <w:pPr>
              <w:jc w:val="right"/>
              <w:spacing w:after="0"/>
              <w:rPr>
                <w:sz w:val="20"/>
                <w:szCs w:val="20"/>
                <w:color w:val="auto"/>
              </w:rPr>
            </w:pPr>
            <w:r>
              <w:rPr>
                <w:rFonts w:ascii="Arial" w:cs="Arial" w:eastAsia="Arial" w:hAnsi="Arial"/>
                <w:sz w:val="18"/>
                <w:szCs w:val="18"/>
                <w:color w:val="auto"/>
              </w:rPr>
              <w:t>$ 349,276</w:t>
            </w:r>
          </w:p>
        </w:tc>
        <w:tc>
          <w:tcPr>
            <w:tcW w:w="240" w:type="dxa"/>
            <w:vAlign w:val="bottom"/>
            <w:shd w:val="clear" w:color="auto" w:fill="CCEEFF"/>
          </w:tcPr>
          <w:p>
            <w:pPr>
              <w:spacing w:after="0"/>
              <w:rPr>
                <w:sz w:val="18"/>
                <w:szCs w:val="18"/>
                <w:color w:val="auto"/>
              </w:rPr>
            </w:pPr>
          </w:p>
        </w:tc>
        <w:tc>
          <w:tcPr>
            <w:tcW w:w="1000" w:type="dxa"/>
            <w:vAlign w:val="bottom"/>
            <w:gridSpan w:val="3"/>
            <w:shd w:val="clear" w:color="auto" w:fill="CCEEFF"/>
          </w:tcPr>
          <w:p>
            <w:pPr>
              <w:jc w:val="right"/>
              <w:spacing w:after="0"/>
              <w:rPr>
                <w:sz w:val="20"/>
                <w:szCs w:val="20"/>
                <w:color w:val="auto"/>
              </w:rPr>
            </w:pPr>
            <w:r>
              <w:rPr>
                <w:rFonts w:ascii="Arial" w:cs="Arial" w:eastAsia="Arial" w:hAnsi="Arial"/>
                <w:sz w:val="18"/>
                <w:szCs w:val="18"/>
                <w:color w:val="auto"/>
              </w:rPr>
              <w:t>$ 390,853</w:t>
            </w:r>
          </w:p>
        </w:tc>
        <w:tc>
          <w:tcPr>
            <w:tcW w:w="12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1140" w:type="dxa"/>
            <w:vAlign w:val="bottom"/>
          </w:tcPr>
          <w:p>
            <w:pPr>
              <w:spacing w:after="0" w:line="20" w:lineRule="exact"/>
              <w:rPr>
                <w:sz w:val="1"/>
                <w:szCs w:val="1"/>
                <w:color w:val="auto"/>
              </w:rPr>
            </w:pPr>
          </w:p>
        </w:tc>
        <w:tc>
          <w:tcPr>
            <w:tcW w:w="3860" w:type="dxa"/>
            <w:vAlign w:val="bottom"/>
          </w:tcPr>
          <w:p>
            <w:pPr>
              <w:spacing w:after="0" w:line="20" w:lineRule="exact"/>
              <w:rPr>
                <w:sz w:val="1"/>
                <w:szCs w:val="1"/>
                <w:color w:val="auto"/>
              </w:rPr>
            </w:pPr>
          </w:p>
        </w:tc>
        <w:tc>
          <w:tcPr>
            <w:tcW w:w="2740" w:type="dxa"/>
            <w:vAlign w:val="bottom"/>
            <w:vMerge w:val="restart"/>
          </w:tcPr>
          <w:p>
            <w:pPr>
              <w:jc w:val="right"/>
              <w:ind w:right="2092"/>
              <w:spacing w:after="0"/>
              <w:rPr>
                <w:sz w:val="20"/>
                <w:szCs w:val="20"/>
                <w:color w:val="auto"/>
              </w:rPr>
            </w:pPr>
            <w:r>
              <w:rPr>
                <w:rFonts w:ascii="Arial" w:cs="Arial" w:eastAsia="Arial" w:hAnsi="Arial"/>
                <w:sz w:val="18"/>
                <w:szCs w:val="18"/>
                <w:color w:val="auto"/>
              </w:rPr>
              <w:t>12</w:t>
            </w:r>
          </w:p>
        </w:tc>
        <w:tc>
          <w:tcPr>
            <w:tcW w:w="280" w:type="dxa"/>
            <w:vAlign w:val="bottom"/>
            <w:tcBorders>
              <w:top w:val="single" w:sz="8" w:color="auto"/>
              <w:bottom w:val="single" w:sz="8" w:color="auto"/>
            </w:tcBorders>
          </w:tcPr>
          <w:p>
            <w:pPr>
              <w:spacing w:after="0" w:line="20" w:lineRule="exact"/>
              <w:rPr>
                <w:sz w:val="1"/>
                <w:szCs w:val="1"/>
                <w:color w:val="auto"/>
              </w:rPr>
            </w:pPr>
          </w:p>
        </w:tc>
        <w:tc>
          <w:tcPr>
            <w:tcW w:w="440" w:type="dxa"/>
            <w:vAlign w:val="bottom"/>
            <w:tcBorders>
              <w:top w:val="single" w:sz="8" w:color="auto"/>
              <w:bottom w:val="single" w:sz="8" w:color="auto"/>
            </w:tcBorders>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14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357"/>
        </w:trPr>
        <w:tc>
          <w:tcPr>
            <w:tcW w:w="1140" w:type="dxa"/>
            <w:vAlign w:val="bottom"/>
          </w:tcPr>
          <w:p>
            <w:pPr>
              <w:spacing w:after="0"/>
              <w:rPr>
                <w:sz w:val="24"/>
                <w:szCs w:val="24"/>
                <w:color w:val="auto"/>
              </w:rPr>
            </w:pPr>
          </w:p>
        </w:tc>
        <w:tc>
          <w:tcPr>
            <w:tcW w:w="3860" w:type="dxa"/>
            <w:vAlign w:val="bottom"/>
          </w:tcPr>
          <w:p>
            <w:pPr>
              <w:spacing w:after="0"/>
              <w:rPr>
                <w:sz w:val="24"/>
                <w:szCs w:val="24"/>
                <w:color w:val="auto"/>
              </w:rPr>
            </w:pPr>
          </w:p>
        </w:tc>
        <w:tc>
          <w:tcPr>
            <w:tcW w:w="2740" w:type="dxa"/>
            <w:vAlign w:val="bottom"/>
            <w:vMerge w:val="continue"/>
          </w:tcPr>
          <w:p>
            <w:pPr>
              <w:spacing w:after="0"/>
              <w:rPr>
                <w:sz w:val="24"/>
                <w:szCs w:val="24"/>
                <w:color w:val="auto"/>
              </w:rPr>
            </w:pPr>
          </w:p>
        </w:tc>
        <w:tc>
          <w:tcPr>
            <w:tcW w:w="280" w:type="dxa"/>
            <w:vAlign w:val="bottom"/>
          </w:tcPr>
          <w:p>
            <w:pPr>
              <w:spacing w:after="0"/>
              <w:rPr>
                <w:sz w:val="24"/>
                <w:szCs w:val="24"/>
                <w:color w:val="auto"/>
              </w:rPr>
            </w:pPr>
          </w:p>
        </w:tc>
        <w:tc>
          <w:tcPr>
            <w:tcW w:w="440" w:type="dxa"/>
            <w:vAlign w:val="bottom"/>
          </w:tcPr>
          <w:p>
            <w:pPr>
              <w:spacing w:after="0"/>
              <w:rPr>
                <w:sz w:val="24"/>
                <w:szCs w:val="24"/>
                <w:color w:val="auto"/>
              </w:rPr>
            </w:pPr>
          </w:p>
        </w:tc>
        <w:tc>
          <w:tcPr>
            <w:tcW w:w="240" w:type="dxa"/>
            <w:vAlign w:val="bottom"/>
          </w:tcPr>
          <w:p>
            <w:pPr>
              <w:spacing w:after="0"/>
              <w:rPr>
                <w:sz w:val="24"/>
                <w:szCs w:val="24"/>
                <w:color w:val="auto"/>
              </w:rPr>
            </w:pPr>
          </w:p>
        </w:tc>
        <w:tc>
          <w:tcPr>
            <w:tcW w:w="28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58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0" w:type="dxa"/>
            <w:vAlign w:val="bottom"/>
          </w:tcPr>
          <w:p>
            <w:pPr>
              <w:spacing w:after="0"/>
              <w:rPr>
                <w:sz w:val="1"/>
                <w:szCs w:val="1"/>
                <w:color w:val="auto"/>
              </w:rPr>
            </w:pPr>
          </w:p>
        </w:tc>
      </w:tr>
    </w:tbl>
    <w:p>
      <w:pPr>
        <w:sectPr>
          <w:pgSz w:w="11900" w:h="16838" w:orient="portrait"/>
          <w:cols w:equalWidth="0" w:num="1">
            <w:col w:w="11420"/>
          </w:cols>
          <w:pgMar w:left="240" w:top="459" w:right="239" w:bottom="1440" w:gutter="0" w:footer="0" w:header="0"/>
        </w:sectPr>
      </w:pPr>
    </w:p>
    <w:bookmarkStart w:id="12" w:name="page13"/>
    <w:bookmarkEnd w:id="12"/>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27">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MARVELL TECHNOLOGY GROUP LTD.</w:t>
      </w:r>
    </w:p>
    <w:p>
      <w:pPr>
        <w:spacing w:after="0" w:line="90"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NOTES TO UNAUDITED CONDENSED CONSOLIDATED FINANCIAL STATEMENTS—(Continued)</w:t>
      </w:r>
    </w:p>
    <w:p>
      <w:pPr>
        <w:spacing w:after="0" w:line="164" w:lineRule="exact"/>
        <w:rPr>
          <w:sz w:val="20"/>
          <w:szCs w:val="20"/>
          <w:color w:val="auto"/>
        </w:rPr>
      </w:pPr>
    </w:p>
    <w:p>
      <w:pPr>
        <w:ind w:left="240"/>
        <w:spacing w:after="0"/>
        <w:rPr>
          <w:sz w:val="20"/>
          <w:szCs w:val="20"/>
          <w:color w:val="auto"/>
        </w:rPr>
      </w:pPr>
      <w:r>
        <w:rPr>
          <w:rFonts w:ascii="Arial" w:cs="Arial" w:eastAsia="Arial" w:hAnsi="Arial"/>
          <w:sz w:val="18"/>
          <w:szCs w:val="18"/>
          <w:b w:val="1"/>
          <w:bCs w:val="1"/>
          <w:i w:val="1"/>
          <w:iCs w:val="1"/>
          <w:color w:val="auto"/>
        </w:rPr>
        <w:t>Other non-current assets</w:t>
      </w:r>
    </w:p>
    <w:p>
      <w:pPr>
        <w:spacing w:after="0" w:line="195" w:lineRule="exact"/>
        <w:rPr>
          <w:sz w:val="20"/>
          <w:szCs w:val="20"/>
          <w:color w:val="auto"/>
        </w:rPr>
      </w:pPr>
    </w:p>
    <w:tbl>
      <w:tblPr>
        <w:tblLayout w:type="fixed"/>
        <w:tblInd w:w="240" w:type="dxa"/>
        <w:tblCellMar>
          <w:top w:w="0" w:type="dxa"/>
          <w:left w:w="0" w:type="dxa"/>
          <w:bottom w:w="0" w:type="dxa"/>
          <w:right w:w="0" w:type="dxa"/>
        </w:tblCellMar>
      </w:tblPr>
      <w:tr>
        <w:trPr>
          <w:trHeight w:val="161"/>
        </w:trPr>
        <w:tc>
          <w:tcPr>
            <w:tcW w:w="1140" w:type="dxa"/>
            <w:vAlign w:val="bottom"/>
          </w:tcPr>
          <w:p>
            <w:pPr>
              <w:spacing w:after="0"/>
              <w:rPr>
                <w:sz w:val="14"/>
                <w:szCs w:val="14"/>
                <w:color w:val="auto"/>
              </w:rPr>
            </w:pPr>
          </w:p>
        </w:tc>
        <w:tc>
          <w:tcPr>
            <w:tcW w:w="680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740" w:type="dxa"/>
            <w:vAlign w:val="bottom"/>
            <w:gridSpan w:val="4"/>
          </w:tcPr>
          <w:p>
            <w:pPr>
              <w:ind w:left="60"/>
              <w:spacing w:after="0"/>
              <w:rPr>
                <w:sz w:val="20"/>
                <w:szCs w:val="20"/>
                <w:color w:val="auto"/>
              </w:rPr>
            </w:pPr>
            <w:r>
              <w:rPr>
                <w:rFonts w:ascii="Arial" w:cs="Arial" w:eastAsia="Arial" w:hAnsi="Arial"/>
                <w:sz w:val="14"/>
                <w:szCs w:val="14"/>
                <w:b w:val="1"/>
                <w:bCs w:val="1"/>
                <w:color w:val="auto"/>
                <w:w w:val="85"/>
              </w:rPr>
              <w:t>October 31,</w:t>
            </w:r>
          </w:p>
        </w:tc>
        <w:tc>
          <w:tcPr>
            <w:tcW w:w="1120" w:type="dxa"/>
            <w:vAlign w:val="bottom"/>
            <w:gridSpan w:val="3"/>
          </w:tcPr>
          <w:p>
            <w:pPr>
              <w:ind w:left="420"/>
              <w:spacing w:after="0"/>
              <w:rPr>
                <w:sz w:val="20"/>
                <w:szCs w:val="20"/>
                <w:color w:val="auto"/>
              </w:rPr>
            </w:pPr>
            <w:r>
              <w:rPr>
                <w:rFonts w:ascii="Arial" w:cs="Arial" w:eastAsia="Arial" w:hAnsi="Arial"/>
                <w:sz w:val="14"/>
                <w:szCs w:val="14"/>
                <w:b w:val="1"/>
                <w:bCs w:val="1"/>
                <w:color w:val="auto"/>
                <w:w w:val="88"/>
              </w:rPr>
              <w:t>January 31,</w:t>
            </w:r>
          </w:p>
        </w:tc>
        <w:tc>
          <w:tcPr>
            <w:tcW w:w="0" w:type="dxa"/>
            <w:vAlign w:val="bottom"/>
          </w:tcPr>
          <w:p>
            <w:pPr>
              <w:spacing w:after="0"/>
              <w:rPr>
                <w:sz w:val="1"/>
                <w:szCs w:val="1"/>
                <w:color w:val="auto"/>
              </w:rPr>
            </w:pPr>
          </w:p>
        </w:tc>
      </w:tr>
      <w:tr>
        <w:trPr>
          <w:trHeight w:val="161"/>
        </w:trPr>
        <w:tc>
          <w:tcPr>
            <w:tcW w:w="1140" w:type="dxa"/>
            <w:vAlign w:val="bottom"/>
          </w:tcPr>
          <w:p>
            <w:pPr>
              <w:spacing w:after="0"/>
              <w:rPr>
                <w:sz w:val="14"/>
                <w:szCs w:val="14"/>
                <w:color w:val="auto"/>
              </w:rPr>
            </w:pPr>
          </w:p>
        </w:tc>
        <w:tc>
          <w:tcPr>
            <w:tcW w:w="680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60" w:type="dxa"/>
            <w:vAlign w:val="bottom"/>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500" w:type="dxa"/>
            <w:vAlign w:val="bottom"/>
            <w:tcBorders>
              <w:bottom w:val="single" w:sz="8" w:color="auto"/>
            </w:tcBorders>
          </w:tcPr>
          <w:p>
            <w:pPr>
              <w:jc w:val="right"/>
              <w:ind w:right="55"/>
              <w:spacing w:after="0"/>
              <w:rPr>
                <w:sz w:val="20"/>
                <w:szCs w:val="20"/>
                <w:color w:val="auto"/>
              </w:rPr>
            </w:pPr>
            <w:r>
              <w:rPr>
                <w:rFonts w:ascii="Arial" w:cs="Arial" w:eastAsia="Arial" w:hAnsi="Arial"/>
                <w:sz w:val="14"/>
                <w:szCs w:val="14"/>
                <w:b w:val="1"/>
                <w:bCs w:val="1"/>
                <w:color w:val="auto"/>
              </w:rPr>
              <w:t>2009</w:t>
            </w:r>
          </w:p>
        </w:tc>
        <w:tc>
          <w:tcPr>
            <w:tcW w:w="80" w:type="dxa"/>
            <w:vAlign w:val="bottom"/>
            <w:tcBorders>
              <w:bottom w:val="single" w:sz="8" w:color="auto"/>
            </w:tcBorders>
          </w:tcPr>
          <w:p>
            <w:pPr>
              <w:spacing w:after="0"/>
              <w:rPr>
                <w:sz w:val="14"/>
                <w:szCs w:val="14"/>
                <w:color w:val="auto"/>
              </w:rPr>
            </w:pPr>
          </w:p>
        </w:tc>
        <w:tc>
          <w:tcPr>
            <w:tcW w:w="420" w:type="dxa"/>
            <w:vAlign w:val="bottom"/>
          </w:tcPr>
          <w:p>
            <w:pPr>
              <w:spacing w:after="0"/>
              <w:rPr>
                <w:sz w:val="14"/>
                <w:szCs w:val="14"/>
                <w:color w:val="auto"/>
              </w:rPr>
            </w:pPr>
          </w:p>
        </w:tc>
        <w:tc>
          <w:tcPr>
            <w:tcW w:w="140" w:type="dxa"/>
            <w:vAlign w:val="bottom"/>
            <w:tcBorders>
              <w:bottom w:val="single" w:sz="8" w:color="auto"/>
            </w:tcBorders>
          </w:tcPr>
          <w:p>
            <w:pPr>
              <w:spacing w:after="0"/>
              <w:rPr>
                <w:sz w:val="14"/>
                <w:szCs w:val="14"/>
                <w:color w:val="auto"/>
              </w:rPr>
            </w:pPr>
          </w:p>
        </w:tc>
        <w:tc>
          <w:tcPr>
            <w:tcW w:w="560" w:type="dxa"/>
            <w:vAlign w:val="bottom"/>
            <w:tcBorders>
              <w:bottom w:val="single" w:sz="8" w:color="auto"/>
            </w:tcBorders>
          </w:tcPr>
          <w:p>
            <w:pPr>
              <w:jc w:val="right"/>
              <w:ind w:right="135"/>
              <w:spacing w:after="0"/>
              <w:rPr>
                <w:sz w:val="20"/>
                <w:szCs w:val="20"/>
                <w:color w:val="auto"/>
              </w:rPr>
            </w:pPr>
            <w:r>
              <w:rPr>
                <w:rFonts w:ascii="Arial" w:cs="Arial" w:eastAsia="Arial" w:hAnsi="Arial"/>
                <w:sz w:val="14"/>
                <w:szCs w:val="14"/>
                <w:b w:val="1"/>
                <w:bCs w:val="1"/>
                <w:color w:val="auto"/>
              </w:rPr>
              <w:t>2009</w:t>
            </w:r>
          </w:p>
        </w:tc>
        <w:tc>
          <w:tcPr>
            <w:tcW w:w="0" w:type="dxa"/>
            <w:vAlign w:val="bottom"/>
          </w:tcPr>
          <w:p>
            <w:pPr>
              <w:spacing w:after="0"/>
              <w:rPr>
                <w:sz w:val="1"/>
                <w:szCs w:val="1"/>
                <w:color w:val="auto"/>
              </w:rPr>
            </w:pPr>
          </w:p>
        </w:tc>
      </w:tr>
      <w:tr>
        <w:trPr>
          <w:trHeight w:val="210"/>
        </w:trPr>
        <w:tc>
          <w:tcPr>
            <w:tcW w:w="1140" w:type="dxa"/>
            <w:vAlign w:val="bottom"/>
          </w:tcPr>
          <w:p>
            <w:pPr>
              <w:spacing w:after="0"/>
              <w:rPr>
                <w:sz w:val="18"/>
                <w:szCs w:val="18"/>
                <w:color w:val="auto"/>
              </w:rPr>
            </w:pPr>
          </w:p>
        </w:tc>
        <w:tc>
          <w:tcPr>
            <w:tcW w:w="6800" w:type="dxa"/>
            <w:vAlign w:val="bottom"/>
            <w:shd w:val="clear" w:color="auto" w:fill="CCEEFF"/>
          </w:tcPr>
          <w:p>
            <w:pPr>
              <w:spacing w:after="0"/>
              <w:rPr>
                <w:sz w:val="20"/>
                <w:szCs w:val="20"/>
                <w:color w:val="auto"/>
              </w:rPr>
            </w:pPr>
            <w:r>
              <w:rPr>
                <w:rFonts w:ascii="Arial" w:cs="Arial" w:eastAsia="Arial" w:hAnsi="Arial"/>
                <w:sz w:val="18"/>
                <w:szCs w:val="18"/>
                <w:color w:val="auto"/>
              </w:rPr>
              <w:t>Long term prepayments for foundry capacity</w:t>
            </w:r>
          </w:p>
        </w:tc>
        <w:tc>
          <w:tcPr>
            <w:tcW w:w="180" w:type="dxa"/>
            <w:vAlign w:val="bottom"/>
            <w:gridSpan w:val="3"/>
            <w:shd w:val="clear" w:color="auto" w:fill="CCEEFF"/>
          </w:tcPr>
          <w:p>
            <w:pPr>
              <w:ind w:left="80"/>
              <w:spacing w:after="0"/>
              <w:rPr>
                <w:sz w:val="20"/>
                <w:szCs w:val="20"/>
                <w:color w:val="auto"/>
              </w:rPr>
            </w:pPr>
            <w:r>
              <w:rPr>
                <w:rFonts w:ascii="Arial" w:cs="Arial" w:eastAsia="Arial" w:hAnsi="Arial"/>
                <w:sz w:val="18"/>
                <w:szCs w:val="18"/>
                <w:color w:val="auto"/>
                <w:w w:val="79"/>
              </w:rPr>
              <w:t>$</w:t>
            </w:r>
          </w:p>
        </w:tc>
        <w:tc>
          <w:tcPr>
            <w:tcW w:w="58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color w:val="auto"/>
              </w:rPr>
              <w:t>1,600</w:t>
            </w:r>
          </w:p>
        </w:tc>
        <w:tc>
          <w:tcPr>
            <w:tcW w:w="560" w:type="dxa"/>
            <w:vAlign w:val="bottom"/>
            <w:gridSpan w:val="2"/>
            <w:shd w:val="clear" w:color="auto" w:fill="CCEEFF"/>
          </w:tcPr>
          <w:p>
            <w:pPr>
              <w:ind w:left="420"/>
              <w:spacing w:after="0"/>
              <w:rPr>
                <w:sz w:val="20"/>
                <w:szCs w:val="20"/>
                <w:color w:val="auto"/>
              </w:rPr>
            </w:pPr>
            <w:r>
              <w:rPr>
                <w:rFonts w:ascii="Arial" w:cs="Arial" w:eastAsia="Arial" w:hAnsi="Arial"/>
                <w:sz w:val="18"/>
                <w:szCs w:val="18"/>
                <w:color w:val="auto"/>
              </w:rPr>
              <w:t>$</w:t>
            </w:r>
          </w:p>
        </w:tc>
        <w:tc>
          <w:tcPr>
            <w:tcW w:w="5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8,800</w:t>
            </w:r>
          </w:p>
        </w:tc>
        <w:tc>
          <w:tcPr>
            <w:tcW w:w="0" w:type="dxa"/>
            <w:vAlign w:val="bottom"/>
          </w:tcPr>
          <w:p>
            <w:pPr>
              <w:spacing w:after="0"/>
              <w:rPr>
                <w:sz w:val="1"/>
                <w:szCs w:val="1"/>
                <w:color w:val="auto"/>
              </w:rPr>
            </w:pPr>
          </w:p>
        </w:tc>
      </w:tr>
      <w:tr>
        <w:trPr>
          <w:trHeight w:val="216"/>
        </w:trPr>
        <w:tc>
          <w:tcPr>
            <w:tcW w:w="1140" w:type="dxa"/>
            <w:vAlign w:val="bottom"/>
          </w:tcPr>
          <w:p>
            <w:pPr>
              <w:spacing w:after="0"/>
              <w:rPr>
                <w:sz w:val="18"/>
                <w:szCs w:val="18"/>
                <w:color w:val="auto"/>
              </w:rPr>
            </w:pPr>
          </w:p>
        </w:tc>
        <w:tc>
          <w:tcPr>
            <w:tcW w:w="6800" w:type="dxa"/>
            <w:vAlign w:val="bottom"/>
          </w:tcPr>
          <w:p>
            <w:pPr>
              <w:spacing w:after="0"/>
              <w:rPr>
                <w:sz w:val="20"/>
                <w:szCs w:val="20"/>
                <w:color w:val="auto"/>
              </w:rPr>
            </w:pPr>
            <w:r>
              <w:rPr>
                <w:rFonts w:ascii="Arial" w:cs="Arial" w:eastAsia="Arial" w:hAnsi="Arial"/>
                <w:sz w:val="18"/>
                <w:szCs w:val="18"/>
                <w:color w:val="auto"/>
              </w:rPr>
              <w:t>Equity investments in privately held companies</w:t>
            </w:r>
          </w:p>
        </w:tc>
        <w:tc>
          <w:tcPr>
            <w:tcW w:w="20" w:type="dxa"/>
            <w:vAlign w:val="bottom"/>
          </w:tcPr>
          <w:p>
            <w:pPr>
              <w:spacing w:after="0"/>
              <w:rPr>
                <w:sz w:val="18"/>
                <w:szCs w:val="18"/>
                <w:color w:val="auto"/>
              </w:rPr>
            </w:pPr>
          </w:p>
        </w:tc>
        <w:tc>
          <w:tcPr>
            <w:tcW w:w="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gridSpan w:val="2"/>
          </w:tcPr>
          <w:p>
            <w:pPr>
              <w:jc w:val="right"/>
              <w:ind w:right="20"/>
              <w:spacing w:after="0"/>
              <w:rPr>
                <w:sz w:val="20"/>
                <w:szCs w:val="20"/>
                <w:color w:val="auto"/>
              </w:rPr>
            </w:pPr>
            <w:r>
              <w:rPr>
                <w:rFonts w:ascii="Arial" w:cs="Arial" w:eastAsia="Arial" w:hAnsi="Arial"/>
                <w:sz w:val="18"/>
                <w:szCs w:val="18"/>
                <w:color w:val="auto"/>
              </w:rPr>
              <w:t>7,058</w:t>
            </w:r>
          </w:p>
        </w:tc>
        <w:tc>
          <w:tcPr>
            <w:tcW w:w="42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560" w:type="dxa"/>
            <w:vAlign w:val="bottom"/>
          </w:tcPr>
          <w:p>
            <w:pPr>
              <w:jc w:val="right"/>
              <w:spacing w:after="0"/>
              <w:rPr>
                <w:sz w:val="20"/>
                <w:szCs w:val="20"/>
                <w:color w:val="auto"/>
              </w:rPr>
            </w:pPr>
            <w:r>
              <w:rPr>
                <w:rFonts w:ascii="Arial" w:cs="Arial" w:eastAsia="Arial" w:hAnsi="Arial"/>
                <w:sz w:val="18"/>
                <w:szCs w:val="18"/>
                <w:color w:val="auto"/>
              </w:rPr>
              <w:t>7,058</w:t>
            </w:r>
          </w:p>
        </w:tc>
        <w:tc>
          <w:tcPr>
            <w:tcW w:w="0" w:type="dxa"/>
            <w:vAlign w:val="bottom"/>
          </w:tcPr>
          <w:p>
            <w:pPr>
              <w:spacing w:after="0"/>
              <w:rPr>
                <w:sz w:val="1"/>
                <w:szCs w:val="1"/>
                <w:color w:val="auto"/>
              </w:rPr>
            </w:pPr>
          </w:p>
        </w:tc>
      </w:tr>
      <w:tr>
        <w:trPr>
          <w:trHeight w:val="216"/>
        </w:trPr>
        <w:tc>
          <w:tcPr>
            <w:tcW w:w="1140" w:type="dxa"/>
            <w:vAlign w:val="bottom"/>
          </w:tcPr>
          <w:p>
            <w:pPr>
              <w:spacing w:after="0"/>
              <w:rPr>
                <w:sz w:val="18"/>
                <w:szCs w:val="18"/>
                <w:color w:val="auto"/>
              </w:rPr>
            </w:pPr>
          </w:p>
        </w:tc>
        <w:tc>
          <w:tcPr>
            <w:tcW w:w="6800" w:type="dxa"/>
            <w:vAlign w:val="bottom"/>
            <w:shd w:val="clear" w:color="auto" w:fill="CCEEFF"/>
          </w:tcPr>
          <w:p>
            <w:pPr>
              <w:spacing w:after="0"/>
              <w:rPr>
                <w:sz w:val="20"/>
                <w:szCs w:val="20"/>
                <w:color w:val="auto"/>
              </w:rPr>
            </w:pPr>
            <w:r>
              <w:rPr>
                <w:rFonts w:ascii="Arial" w:cs="Arial" w:eastAsia="Arial" w:hAnsi="Arial"/>
                <w:sz w:val="18"/>
                <w:szCs w:val="18"/>
                <w:color w:val="auto"/>
              </w:rPr>
              <w:t>Severance fund</w:t>
            </w:r>
          </w:p>
        </w:tc>
        <w:tc>
          <w:tcPr>
            <w:tcW w:w="20" w:type="dxa"/>
            <w:vAlign w:val="bottom"/>
            <w:shd w:val="clear" w:color="auto" w:fill="CCEEFF"/>
          </w:tcPr>
          <w:p>
            <w:pPr>
              <w:spacing w:after="0"/>
              <w:rPr>
                <w:sz w:val="18"/>
                <w:szCs w:val="18"/>
                <w:color w:val="auto"/>
              </w:rPr>
            </w:pPr>
          </w:p>
        </w:tc>
        <w:tc>
          <w:tcPr>
            <w:tcW w:w="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color w:val="auto"/>
                <w:w w:val="98"/>
              </w:rPr>
              <w:t>50,462</w:t>
            </w:r>
          </w:p>
        </w:tc>
        <w:tc>
          <w:tcPr>
            <w:tcW w:w="42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560" w:type="dxa"/>
            <w:vAlign w:val="bottom"/>
            <w:shd w:val="clear" w:color="auto" w:fill="CCEEFF"/>
          </w:tcPr>
          <w:p>
            <w:pPr>
              <w:jc w:val="right"/>
              <w:spacing w:after="0"/>
              <w:rPr>
                <w:sz w:val="20"/>
                <w:szCs w:val="20"/>
                <w:color w:val="auto"/>
              </w:rPr>
            </w:pPr>
            <w:r>
              <w:rPr>
                <w:rFonts w:ascii="Arial" w:cs="Arial" w:eastAsia="Arial" w:hAnsi="Arial"/>
                <w:sz w:val="18"/>
                <w:szCs w:val="18"/>
                <w:color w:val="auto"/>
                <w:w w:val="94"/>
              </w:rPr>
              <w:t>43,121</w:t>
            </w:r>
          </w:p>
        </w:tc>
        <w:tc>
          <w:tcPr>
            <w:tcW w:w="0" w:type="dxa"/>
            <w:vAlign w:val="bottom"/>
          </w:tcPr>
          <w:p>
            <w:pPr>
              <w:spacing w:after="0"/>
              <w:rPr>
                <w:sz w:val="1"/>
                <w:szCs w:val="1"/>
                <w:color w:val="auto"/>
              </w:rPr>
            </w:pPr>
          </w:p>
        </w:tc>
      </w:tr>
      <w:tr>
        <w:trPr>
          <w:trHeight w:val="216"/>
        </w:trPr>
        <w:tc>
          <w:tcPr>
            <w:tcW w:w="1140" w:type="dxa"/>
            <w:vAlign w:val="bottom"/>
          </w:tcPr>
          <w:p>
            <w:pPr>
              <w:spacing w:after="0"/>
              <w:rPr>
                <w:sz w:val="18"/>
                <w:szCs w:val="18"/>
                <w:color w:val="auto"/>
              </w:rPr>
            </w:pPr>
          </w:p>
        </w:tc>
        <w:tc>
          <w:tcPr>
            <w:tcW w:w="6800" w:type="dxa"/>
            <w:vAlign w:val="bottom"/>
          </w:tcPr>
          <w:p>
            <w:pPr>
              <w:spacing w:after="0"/>
              <w:rPr>
                <w:sz w:val="20"/>
                <w:szCs w:val="20"/>
                <w:color w:val="auto"/>
              </w:rPr>
            </w:pPr>
            <w:r>
              <w:rPr>
                <w:rFonts w:ascii="Arial" w:cs="Arial" w:eastAsia="Arial" w:hAnsi="Arial"/>
                <w:sz w:val="18"/>
                <w:szCs w:val="18"/>
                <w:color w:val="auto"/>
              </w:rPr>
              <w:t>Technology licenses</w:t>
            </w:r>
          </w:p>
        </w:tc>
        <w:tc>
          <w:tcPr>
            <w:tcW w:w="20" w:type="dxa"/>
            <w:vAlign w:val="bottom"/>
          </w:tcPr>
          <w:p>
            <w:pPr>
              <w:spacing w:after="0"/>
              <w:rPr>
                <w:sz w:val="18"/>
                <w:szCs w:val="18"/>
                <w:color w:val="auto"/>
              </w:rPr>
            </w:pPr>
          </w:p>
        </w:tc>
        <w:tc>
          <w:tcPr>
            <w:tcW w:w="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gridSpan w:val="2"/>
          </w:tcPr>
          <w:p>
            <w:pPr>
              <w:jc w:val="right"/>
              <w:ind w:right="20"/>
              <w:spacing w:after="0"/>
              <w:rPr>
                <w:sz w:val="20"/>
                <w:szCs w:val="20"/>
                <w:color w:val="auto"/>
              </w:rPr>
            </w:pPr>
            <w:r>
              <w:rPr>
                <w:rFonts w:ascii="Arial" w:cs="Arial" w:eastAsia="Arial" w:hAnsi="Arial"/>
                <w:sz w:val="18"/>
                <w:szCs w:val="18"/>
                <w:color w:val="auto"/>
                <w:w w:val="98"/>
              </w:rPr>
              <w:t>21,830</w:t>
            </w:r>
          </w:p>
        </w:tc>
        <w:tc>
          <w:tcPr>
            <w:tcW w:w="42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560" w:type="dxa"/>
            <w:vAlign w:val="bottom"/>
          </w:tcPr>
          <w:p>
            <w:pPr>
              <w:jc w:val="right"/>
              <w:spacing w:after="0"/>
              <w:rPr>
                <w:sz w:val="20"/>
                <w:szCs w:val="20"/>
                <w:color w:val="auto"/>
              </w:rPr>
            </w:pPr>
            <w:r>
              <w:rPr>
                <w:rFonts w:ascii="Arial" w:cs="Arial" w:eastAsia="Arial" w:hAnsi="Arial"/>
                <w:sz w:val="18"/>
                <w:szCs w:val="18"/>
                <w:color w:val="auto"/>
                <w:w w:val="94"/>
              </w:rPr>
              <w:t>24,108</w:t>
            </w:r>
          </w:p>
        </w:tc>
        <w:tc>
          <w:tcPr>
            <w:tcW w:w="0" w:type="dxa"/>
            <w:vAlign w:val="bottom"/>
          </w:tcPr>
          <w:p>
            <w:pPr>
              <w:spacing w:after="0"/>
              <w:rPr>
                <w:sz w:val="1"/>
                <w:szCs w:val="1"/>
                <w:color w:val="auto"/>
              </w:rPr>
            </w:pPr>
          </w:p>
        </w:tc>
      </w:tr>
      <w:tr>
        <w:trPr>
          <w:trHeight w:val="216"/>
        </w:trPr>
        <w:tc>
          <w:tcPr>
            <w:tcW w:w="1140" w:type="dxa"/>
            <w:vAlign w:val="bottom"/>
          </w:tcPr>
          <w:p>
            <w:pPr>
              <w:spacing w:after="0"/>
              <w:rPr>
                <w:sz w:val="18"/>
                <w:szCs w:val="18"/>
                <w:color w:val="auto"/>
              </w:rPr>
            </w:pPr>
          </w:p>
        </w:tc>
        <w:tc>
          <w:tcPr>
            <w:tcW w:w="6800" w:type="dxa"/>
            <w:vAlign w:val="bottom"/>
            <w:shd w:val="clear" w:color="auto" w:fill="CCEEFF"/>
          </w:tcPr>
          <w:p>
            <w:pPr>
              <w:spacing w:after="0"/>
              <w:rPr>
                <w:sz w:val="20"/>
                <w:szCs w:val="20"/>
                <w:color w:val="auto"/>
              </w:rPr>
            </w:pPr>
            <w:r>
              <w:rPr>
                <w:rFonts w:ascii="Arial" w:cs="Arial" w:eastAsia="Arial" w:hAnsi="Arial"/>
                <w:sz w:val="18"/>
                <w:szCs w:val="18"/>
                <w:color w:val="auto"/>
              </w:rPr>
              <w:t>Deferred tax assets, non-current</w:t>
            </w:r>
          </w:p>
        </w:tc>
        <w:tc>
          <w:tcPr>
            <w:tcW w:w="20" w:type="dxa"/>
            <w:vAlign w:val="bottom"/>
            <w:shd w:val="clear" w:color="auto" w:fill="CCEEFF"/>
          </w:tcPr>
          <w:p>
            <w:pPr>
              <w:spacing w:after="0"/>
              <w:rPr>
                <w:sz w:val="18"/>
                <w:szCs w:val="18"/>
                <w:color w:val="auto"/>
              </w:rPr>
            </w:pPr>
          </w:p>
        </w:tc>
        <w:tc>
          <w:tcPr>
            <w:tcW w:w="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color w:val="auto"/>
                <w:w w:val="98"/>
              </w:rPr>
              <w:t>35,444</w:t>
            </w:r>
          </w:p>
        </w:tc>
        <w:tc>
          <w:tcPr>
            <w:tcW w:w="42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560" w:type="dxa"/>
            <w:vAlign w:val="bottom"/>
            <w:shd w:val="clear" w:color="auto" w:fill="CCEEFF"/>
          </w:tcPr>
          <w:p>
            <w:pPr>
              <w:jc w:val="right"/>
              <w:spacing w:after="0"/>
              <w:rPr>
                <w:sz w:val="20"/>
                <w:szCs w:val="20"/>
                <w:color w:val="auto"/>
              </w:rPr>
            </w:pPr>
            <w:r>
              <w:rPr>
                <w:rFonts w:ascii="Arial" w:cs="Arial" w:eastAsia="Arial" w:hAnsi="Arial"/>
                <w:sz w:val="18"/>
                <w:szCs w:val="18"/>
                <w:color w:val="auto"/>
                <w:w w:val="94"/>
              </w:rPr>
              <w:t>41,575</w:t>
            </w:r>
          </w:p>
        </w:tc>
        <w:tc>
          <w:tcPr>
            <w:tcW w:w="0" w:type="dxa"/>
            <w:vAlign w:val="bottom"/>
          </w:tcPr>
          <w:p>
            <w:pPr>
              <w:spacing w:after="0"/>
              <w:rPr>
                <w:sz w:val="1"/>
                <w:szCs w:val="1"/>
                <w:color w:val="auto"/>
              </w:rPr>
            </w:pPr>
          </w:p>
        </w:tc>
      </w:tr>
      <w:tr>
        <w:trPr>
          <w:trHeight w:val="223"/>
        </w:trPr>
        <w:tc>
          <w:tcPr>
            <w:tcW w:w="1140" w:type="dxa"/>
            <w:vAlign w:val="bottom"/>
          </w:tcPr>
          <w:p>
            <w:pPr>
              <w:spacing w:after="0"/>
              <w:rPr>
                <w:sz w:val="19"/>
                <w:szCs w:val="19"/>
                <w:color w:val="auto"/>
              </w:rPr>
            </w:pPr>
          </w:p>
        </w:tc>
        <w:tc>
          <w:tcPr>
            <w:tcW w:w="6800" w:type="dxa"/>
            <w:vAlign w:val="bottom"/>
          </w:tcPr>
          <w:p>
            <w:pPr>
              <w:spacing w:after="0"/>
              <w:rPr>
                <w:sz w:val="20"/>
                <w:szCs w:val="20"/>
                <w:color w:val="auto"/>
              </w:rPr>
            </w:pPr>
            <w:r>
              <w:rPr>
                <w:rFonts w:ascii="Arial" w:cs="Arial" w:eastAsia="Arial" w:hAnsi="Arial"/>
                <w:sz w:val="18"/>
                <w:szCs w:val="18"/>
                <w:color w:val="auto"/>
              </w:rPr>
              <w:t>Other</w:t>
            </w:r>
          </w:p>
        </w:tc>
        <w:tc>
          <w:tcPr>
            <w:tcW w:w="20" w:type="dxa"/>
            <w:vAlign w:val="bottom"/>
          </w:tcPr>
          <w:p>
            <w:pPr>
              <w:spacing w:after="0"/>
              <w:rPr>
                <w:sz w:val="19"/>
                <w:szCs w:val="19"/>
                <w:color w:val="auto"/>
              </w:rPr>
            </w:pPr>
          </w:p>
        </w:tc>
        <w:tc>
          <w:tcPr>
            <w:tcW w:w="60" w:type="dxa"/>
            <w:vAlign w:val="bottom"/>
          </w:tcPr>
          <w:p>
            <w:pPr>
              <w:spacing w:after="0"/>
              <w:rPr>
                <w:sz w:val="19"/>
                <w:szCs w:val="19"/>
                <w:color w:val="auto"/>
              </w:rPr>
            </w:pPr>
          </w:p>
        </w:tc>
        <w:tc>
          <w:tcPr>
            <w:tcW w:w="100" w:type="dxa"/>
            <w:vAlign w:val="bottom"/>
            <w:tcBorders>
              <w:bottom w:val="single" w:sz="8" w:color="auto"/>
            </w:tcBorders>
          </w:tcPr>
          <w:p>
            <w:pPr>
              <w:spacing w:after="0"/>
              <w:rPr>
                <w:sz w:val="19"/>
                <w:szCs w:val="19"/>
                <w:color w:val="auto"/>
              </w:rPr>
            </w:pPr>
          </w:p>
        </w:tc>
        <w:tc>
          <w:tcPr>
            <w:tcW w:w="580" w:type="dxa"/>
            <w:vAlign w:val="bottom"/>
            <w:tcBorders>
              <w:bottom w:val="single" w:sz="8" w:color="auto"/>
            </w:tcBorders>
            <w:gridSpan w:val="2"/>
          </w:tcPr>
          <w:p>
            <w:pPr>
              <w:jc w:val="right"/>
              <w:ind w:right="20"/>
              <w:spacing w:after="0"/>
              <w:rPr>
                <w:sz w:val="20"/>
                <w:szCs w:val="20"/>
                <w:color w:val="auto"/>
              </w:rPr>
            </w:pPr>
            <w:r>
              <w:rPr>
                <w:rFonts w:ascii="Arial" w:cs="Arial" w:eastAsia="Arial" w:hAnsi="Arial"/>
                <w:sz w:val="18"/>
                <w:szCs w:val="18"/>
                <w:color w:val="auto"/>
                <w:w w:val="98"/>
              </w:rPr>
              <w:t>11,249</w:t>
            </w:r>
          </w:p>
        </w:tc>
        <w:tc>
          <w:tcPr>
            <w:tcW w:w="420" w:type="dxa"/>
            <w:vAlign w:val="bottom"/>
          </w:tcPr>
          <w:p>
            <w:pPr>
              <w:spacing w:after="0"/>
              <w:rPr>
                <w:sz w:val="19"/>
                <w:szCs w:val="19"/>
                <w:color w:val="auto"/>
              </w:rPr>
            </w:pPr>
          </w:p>
        </w:tc>
        <w:tc>
          <w:tcPr>
            <w:tcW w:w="140" w:type="dxa"/>
            <w:vAlign w:val="bottom"/>
            <w:tcBorders>
              <w:bottom w:val="single" w:sz="8" w:color="auto"/>
            </w:tcBorders>
          </w:tcPr>
          <w:p>
            <w:pPr>
              <w:spacing w:after="0"/>
              <w:rPr>
                <w:sz w:val="19"/>
                <w:szCs w:val="19"/>
                <w:color w:val="auto"/>
              </w:rPr>
            </w:pPr>
          </w:p>
        </w:tc>
        <w:tc>
          <w:tcPr>
            <w:tcW w:w="56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w w:val="94"/>
              </w:rPr>
              <w:t>13,665</w:t>
            </w:r>
          </w:p>
        </w:tc>
        <w:tc>
          <w:tcPr>
            <w:tcW w:w="0" w:type="dxa"/>
            <w:vAlign w:val="bottom"/>
          </w:tcPr>
          <w:p>
            <w:pPr>
              <w:spacing w:after="0"/>
              <w:rPr>
                <w:sz w:val="1"/>
                <w:szCs w:val="1"/>
                <w:color w:val="auto"/>
              </w:rPr>
            </w:pPr>
          </w:p>
        </w:tc>
      </w:tr>
      <w:tr>
        <w:trPr>
          <w:trHeight w:val="216"/>
        </w:trPr>
        <w:tc>
          <w:tcPr>
            <w:tcW w:w="1140" w:type="dxa"/>
            <w:vAlign w:val="bottom"/>
          </w:tcPr>
          <w:p>
            <w:pPr>
              <w:spacing w:after="0"/>
              <w:rPr>
                <w:sz w:val="18"/>
                <w:szCs w:val="18"/>
                <w:color w:val="auto"/>
              </w:rPr>
            </w:pPr>
          </w:p>
        </w:tc>
        <w:tc>
          <w:tcPr>
            <w:tcW w:w="6800" w:type="dxa"/>
            <w:vAlign w:val="bottom"/>
            <w:shd w:val="clear" w:color="auto" w:fill="CCEEFF"/>
          </w:tcPr>
          <w:p>
            <w:pPr>
              <w:spacing w:after="0"/>
              <w:rPr>
                <w:sz w:val="18"/>
                <w:szCs w:val="18"/>
                <w:color w:val="auto"/>
              </w:rPr>
            </w:pPr>
          </w:p>
        </w:tc>
        <w:tc>
          <w:tcPr>
            <w:tcW w:w="760" w:type="dxa"/>
            <w:vAlign w:val="bottom"/>
            <w:gridSpan w:val="5"/>
            <w:shd w:val="clear" w:color="auto" w:fill="CCEEFF"/>
          </w:tcPr>
          <w:p>
            <w:pPr>
              <w:jc w:val="right"/>
              <w:ind w:right="20"/>
              <w:spacing w:after="0"/>
              <w:rPr>
                <w:sz w:val="20"/>
                <w:szCs w:val="20"/>
                <w:color w:val="auto"/>
              </w:rPr>
            </w:pPr>
            <w:r>
              <w:rPr>
                <w:rFonts w:ascii="Arial" w:cs="Arial" w:eastAsia="Arial" w:hAnsi="Arial"/>
                <w:sz w:val="18"/>
                <w:szCs w:val="18"/>
                <w:u w:val="single" w:color="auto"/>
                <w:color w:val="auto"/>
                <w:w w:val="95"/>
              </w:rPr>
              <w:t>$</w:t>
            </w:r>
            <w:r>
              <w:rPr>
                <w:rFonts w:ascii="Arial" w:cs="Arial" w:eastAsia="Arial" w:hAnsi="Arial"/>
                <w:sz w:val="18"/>
                <w:szCs w:val="18"/>
                <w:color w:val="auto"/>
                <w:w w:val="95"/>
              </w:rPr>
              <w:t>127,643</w:t>
            </w:r>
          </w:p>
        </w:tc>
        <w:tc>
          <w:tcPr>
            <w:tcW w:w="1120" w:type="dxa"/>
            <w:vAlign w:val="bottom"/>
            <w:gridSpan w:val="3"/>
            <w:shd w:val="clear" w:color="auto" w:fill="CCEEFF"/>
          </w:tcPr>
          <w:p>
            <w:pPr>
              <w:jc w:val="right"/>
              <w:spacing w:after="0"/>
              <w:rPr>
                <w:sz w:val="20"/>
                <w:szCs w:val="20"/>
                <w:color w:val="auto"/>
              </w:rPr>
            </w:pPr>
            <w:r>
              <w:rPr>
                <w:rFonts w:ascii="Arial" w:cs="Arial" w:eastAsia="Arial" w:hAnsi="Arial"/>
                <w:sz w:val="18"/>
                <w:szCs w:val="18"/>
                <w:color w:val="auto"/>
              </w:rPr>
              <w:t>$ 138,327</w:t>
            </w:r>
          </w:p>
        </w:tc>
        <w:tc>
          <w:tcPr>
            <w:tcW w:w="0" w:type="dxa"/>
            <w:vAlign w:val="bottom"/>
          </w:tcPr>
          <w:p>
            <w:pPr>
              <w:spacing w:after="0"/>
              <w:rPr>
                <w:sz w:val="1"/>
                <w:szCs w:val="1"/>
                <w:color w:val="auto"/>
              </w:rPr>
            </w:pPr>
          </w:p>
        </w:tc>
      </w:tr>
      <w:tr>
        <w:trPr>
          <w:trHeight w:val="20"/>
        </w:trPr>
        <w:tc>
          <w:tcPr>
            <w:tcW w:w="7940" w:type="dxa"/>
            <w:vAlign w:val="bottom"/>
            <w:gridSpan w:val="2"/>
            <w:vMerge w:val="restart"/>
          </w:tcPr>
          <w:p>
            <w:pPr>
              <w:spacing w:after="0"/>
              <w:rPr>
                <w:sz w:val="20"/>
                <w:szCs w:val="20"/>
                <w:color w:val="auto"/>
              </w:rPr>
            </w:pPr>
            <w:r>
              <w:rPr>
                <w:rFonts w:ascii="Arial" w:cs="Arial" w:eastAsia="Arial" w:hAnsi="Arial"/>
                <w:sz w:val="18"/>
                <w:szCs w:val="18"/>
                <w:b w:val="1"/>
                <w:bCs w:val="1"/>
                <w:i w:val="1"/>
                <w:iCs w:val="1"/>
                <w:color w:val="auto"/>
              </w:rPr>
              <w:t>Accrued liabilities</w:t>
            </w:r>
          </w:p>
        </w:tc>
        <w:tc>
          <w:tcPr>
            <w:tcW w:w="2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00" w:type="dxa"/>
            <w:vAlign w:val="bottom"/>
            <w:tcBorders>
              <w:top w:val="single" w:sz="8" w:color="auto"/>
              <w:bottom w:val="single" w:sz="8" w:color="auto"/>
            </w:tcBorders>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420" w:type="dxa"/>
            <w:vAlign w:val="bottom"/>
          </w:tcPr>
          <w:p>
            <w:pPr>
              <w:spacing w:after="0" w:line="20" w:lineRule="exact"/>
              <w:rPr>
                <w:sz w:val="1"/>
                <w:szCs w:val="1"/>
                <w:color w:val="auto"/>
              </w:rPr>
            </w:pPr>
          </w:p>
        </w:tc>
        <w:tc>
          <w:tcPr>
            <w:tcW w:w="140" w:type="dxa"/>
            <w:vAlign w:val="bottom"/>
            <w:tcBorders>
              <w:top w:val="single" w:sz="8" w:color="auto"/>
              <w:bottom w:val="single" w:sz="8" w:color="auto"/>
            </w:tcBorders>
          </w:tcPr>
          <w:p>
            <w:pPr>
              <w:spacing w:after="0" w:line="20" w:lineRule="exact"/>
              <w:rPr>
                <w:sz w:val="1"/>
                <w:szCs w:val="1"/>
                <w:color w:val="auto"/>
              </w:rPr>
            </w:pPr>
          </w:p>
        </w:tc>
        <w:tc>
          <w:tcPr>
            <w:tcW w:w="560" w:type="dxa"/>
            <w:vAlign w:val="bottom"/>
            <w:tcBorders>
              <w:top w:val="single" w:sz="8" w:color="auto"/>
              <w:bottom w:val="single" w:sz="8" w:color="auto"/>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451"/>
        </w:trPr>
        <w:tc>
          <w:tcPr>
            <w:tcW w:w="7940" w:type="dxa"/>
            <w:vAlign w:val="bottom"/>
            <w:gridSpan w:val="2"/>
            <w:vMerge w:val="continue"/>
          </w:tcPr>
          <w:p>
            <w:pPr>
              <w:spacing w:after="0"/>
              <w:rPr>
                <w:sz w:val="24"/>
                <w:szCs w:val="24"/>
                <w:color w:val="auto"/>
              </w:rPr>
            </w:pPr>
          </w:p>
        </w:tc>
        <w:tc>
          <w:tcPr>
            <w:tcW w:w="2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50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42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56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340"/>
        </w:trPr>
        <w:tc>
          <w:tcPr>
            <w:tcW w:w="1140" w:type="dxa"/>
            <w:vAlign w:val="bottom"/>
          </w:tcPr>
          <w:p>
            <w:pPr>
              <w:spacing w:after="0"/>
              <w:rPr>
                <w:sz w:val="24"/>
                <w:szCs w:val="24"/>
                <w:color w:val="auto"/>
              </w:rPr>
            </w:pPr>
          </w:p>
        </w:tc>
        <w:tc>
          <w:tcPr>
            <w:tcW w:w="6800" w:type="dxa"/>
            <w:vAlign w:val="bottom"/>
          </w:tcPr>
          <w:p>
            <w:pPr>
              <w:spacing w:after="0"/>
              <w:rPr>
                <w:sz w:val="24"/>
                <w:szCs w:val="24"/>
                <w:color w:val="auto"/>
              </w:rPr>
            </w:pPr>
          </w:p>
        </w:tc>
        <w:tc>
          <w:tcPr>
            <w:tcW w:w="760" w:type="dxa"/>
            <w:vAlign w:val="bottom"/>
            <w:gridSpan w:val="5"/>
          </w:tcPr>
          <w:p>
            <w:pPr>
              <w:spacing w:after="0"/>
              <w:rPr>
                <w:sz w:val="20"/>
                <w:szCs w:val="20"/>
                <w:color w:val="auto"/>
              </w:rPr>
            </w:pPr>
            <w:r>
              <w:rPr>
                <w:rFonts w:ascii="Arial" w:cs="Arial" w:eastAsia="Arial" w:hAnsi="Arial"/>
                <w:sz w:val="14"/>
                <w:szCs w:val="14"/>
                <w:b w:val="1"/>
                <w:bCs w:val="1"/>
                <w:color w:val="auto"/>
                <w:w w:val="96"/>
              </w:rPr>
              <w:t>October 31,</w:t>
            </w:r>
          </w:p>
        </w:tc>
        <w:tc>
          <w:tcPr>
            <w:tcW w:w="1120" w:type="dxa"/>
            <w:vAlign w:val="bottom"/>
            <w:gridSpan w:val="3"/>
          </w:tcPr>
          <w:p>
            <w:pPr>
              <w:ind w:left="420"/>
              <w:spacing w:after="0"/>
              <w:rPr>
                <w:sz w:val="20"/>
                <w:szCs w:val="20"/>
                <w:color w:val="auto"/>
              </w:rPr>
            </w:pPr>
            <w:r>
              <w:rPr>
                <w:rFonts w:ascii="Arial" w:cs="Arial" w:eastAsia="Arial" w:hAnsi="Arial"/>
                <w:sz w:val="14"/>
                <w:szCs w:val="14"/>
                <w:b w:val="1"/>
                <w:bCs w:val="1"/>
                <w:color w:val="auto"/>
                <w:w w:val="88"/>
              </w:rPr>
              <w:t>January 31,</w:t>
            </w:r>
          </w:p>
        </w:tc>
        <w:tc>
          <w:tcPr>
            <w:tcW w:w="0" w:type="dxa"/>
            <w:vAlign w:val="bottom"/>
          </w:tcPr>
          <w:p>
            <w:pPr>
              <w:spacing w:after="0"/>
              <w:rPr>
                <w:sz w:val="1"/>
                <w:szCs w:val="1"/>
                <w:color w:val="auto"/>
              </w:rPr>
            </w:pPr>
          </w:p>
        </w:tc>
      </w:tr>
      <w:tr>
        <w:trPr>
          <w:trHeight w:val="161"/>
        </w:trPr>
        <w:tc>
          <w:tcPr>
            <w:tcW w:w="1140" w:type="dxa"/>
            <w:vAlign w:val="bottom"/>
          </w:tcPr>
          <w:p>
            <w:pPr>
              <w:spacing w:after="0"/>
              <w:rPr>
                <w:sz w:val="14"/>
                <w:szCs w:val="14"/>
                <w:color w:val="auto"/>
              </w:rPr>
            </w:pPr>
          </w:p>
        </w:tc>
        <w:tc>
          <w:tcPr>
            <w:tcW w:w="680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60" w:type="dxa"/>
            <w:vAlign w:val="bottom"/>
            <w:tcBorders>
              <w:bottom w:val="single" w:sz="8" w:color="auto"/>
            </w:tcBorders>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500" w:type="dxa"/>
            <w:vAlign w:val="bottom"/>
            <w:tcBorders>
              <w:bottom w:val="single" w:sz="8" w:color="auto"/>
            </w:tcBorders>
          </w:tcPr>
          <w:p>
            <w:pPr>
              <w:jc w:val="right"/>
              <w:ind w:right="115"/>
              <w:spacing w:after="0"/>
              <w:rPr>
                <w:sz w:val="20"/>
                <w:szCs w:val="20"/>
                <w:color w:val="auto"/>
              </w:rPr>
            </w:pPr>
            <w:r>
              <w:rPr>
                <w:rFonts w:ascii="Arial" w:cs="Arial" w:eastAsia="Arial" w:hAnsi="Arial"/>
                <w:sz w:val="14"/>
                <w:szCs w:val="14"/>
                <w:b w:val="1"/>
                <w:bCs w:val="1"/>
                <w:color w:val="auto"/>
                <w:w w:val="89"/>
              </w:rPr>
              <w:t>2009</w:t>
            </w:r>
          </w:p>
        </w:tc>
        <w:tc>
          <w:tcPr>
            <w:tcW w:w="80" w:type="dxa"/>
            <w:vAlign w:val="bottom"/>
          </w:tcPr>
          <w:p>
            <w:pPr>
              <w:spacing w:after="0"/>
              <w:rPr>
                <w:sz w:val="14"/>
                <w:szCs w:val="14"/>
                <w:color w:val="auto"/>
              </w:rPr>
            </w:pPr>
          </w:p>
        </w:tc>
        <w:tc>
          <w:tcPr>
            <w:tcW w:w="420" w:type="dxa"/>
            <w:vAlign w:val="bottom"/>
          </w:tcPr>
          <w:p>
            <w:pPr>
              <w:spacing w:after="0"/>
              <w:rPr>
                <w:sz w:val="14"/>
                <w:szCs w:val="14"/>
                <w:color w:val="auto"/>
              </w:rPr>
            </w:pPr>
          </w:p>
        </w:tc>
        <w:tc>
          <w:tcPr>
            <w:tcW w:w="140" w:type="dxa"/>
            <w:vAlign w:val="bottom"/>
            <w:tcBorders>
              <w:bottom w:val="single" w:sz="8" w:color="auto"/>
            </w:tcBorders>
          </w:tcPr>
          <w:p>
            <w:pPr>
              <w:spacing w:after="0"/>
              <w:rPr>
                <w:sz w:val="14"/>
                <w:szCs w:val="14"/>
                <w:color w:val="auto"/>
              </w:rPr>
            </w:pPr>
          </w:p>
        </w:tc>
        <w:tc>
          <w:tcPr>
            <w:tcW w:w="560" w:type="dxa"/>
            <w:vAlign w:val="bottom"/>
            <w:tcBorders>
              <w:bottom w:val="single" w:sz="8" w:color="auto"/>
            </w:tcBorders>
          </w:tcPr>
          <w:p>
            <w:pPr>
              <w:jc w:val="right"/>
              <w:ind w:right="135"/>
              <w:spacing w:after="0"/>
              <w:rPr>
                <w:sz w:val="20"/>
                <w:szCs w:val="20"/>
                <w:color w:val="auto"/>
              </w:rPr>
            </w:pPr>
            <w:r>
              <w:rPr>
                <w:rFonts w:ascii="Arial" w:cs="Arial" w:eastAsia="Arial" w:hAnsi="Arial"/>
                <w:sz w:val="14"/>
                <w:szCs w:val="14"/>
                <w:b w:val="1"/>
                <w:bCs w:val="1"/>
                <w:color w:val="auto"/>
              </w:rPr>
              <w:t>2009</w:t>
            </w:r>
          </w:p>
        </w:tc>
        <w:tc>
          <w:tcPr>
            <w:tcW w:w="0" w:type="dxa"/>
            <w:vAlign w:val="bottom"/>
          </w:tcPr>
          <w:p>
            <w:pPr>
              <w:spacing w:after="0"/>
              <w:rPr>
                <w:sz w:val="1"/>
                <w:szCs w:val="1"/>
                <w:color w:val="auto"/>
              </w:rPr>
            </w:pPr>
          </w:p>
        </w:tc>
      </w:tr>
      <w:tr>
        <w:trPr>
          <w:trHeight w:val="210"/>
        </w:trPr>
        <w:tc>
          <w:tcPr>
            <w:tcW w:w="1140" w:type="dxa"/>
            <w:vAlign w:val="bottom"/>
          </w:tcPr>
          <w:p>
            <w:pPr>
              <w:spacing w:after="0"/>
              <w:rPr>
                <w:sz w:val="18"/>
                <w:szCs w:val="18"/>
                <w:color w:val="auto"/>
              </w:rPr>
            </w:pPr>
          </w:p>
        </w:tc>
        <w:tc>
          <w:tcPr>
            <w:tcW w:w="6800" w:type="dxa"/>
            <w:vAlign w:val="bottom"/>
            <w:shd w:val="clear" w:color="auto" w:fill="CCEEFF"/>
          </w:tcPr>
          <w:p>
            <w:pPr>
              <w:spacing w:after="0"/>
              <w:rPr>
                <w:sz w:val="20"/>
                <w:szCs w:val="20"/>
                <w:color w:val="auto"/>
              </w:rPr>
            </w:pPr>
            <w:r>
              <w:rPr>
                <w:rFonts w:ascii="Arial" w:cs="Arial" w:eastAsia="Arial" w:hAnsi="Arial"/>
                <w:sz w:val="18"/>
                <w:szCs w:val="18"/>
                <w:color w:val="auto"/>
              </w:rPr>
              <w:t>Accrued royalties</w:t>
            </w:r>
          </w:p>
        </w:tc>
        <w:tc>
          <w:tcPr>
            <w:tcW w:w="20" w:type="dxa"/>
            <w:vAlign w:val="bottom"/>
            <w:shd w:val="clear" w:color="auto" w:fill="CCEEFF"/>
          </w:tcPr>
          <w:p>
            <w:pPr>
              <w:spacing w:after="0"/>
              <w:rPr>
                <w:sz w:val="18"/>
                <w:szCs w:val="18"/>
                <w:color w:val="auto"/>
              </w:rPr>
            </w:pPr>
          </w:p>
        </w:tc>
        <w:tc>
          <w:tcPr>
            <w:tcW w:w="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7"/>
              </w:rPr>
              <w:t>13,270</w:t>
            </w:r>
          </w:p>
        </w:tc>
        <w:tc>
          <w:tcPr>
            <w:tcW w:w="80" w:type="dxa"/>
            <w:vAlign w:val="bottom"/>
            <w:shd w:val="clear" w:color="auto" w:fill="CCEEFF"/>
          </w:tcPr>
          <w:p>
            <w:pPr>
              <w:spacing w:after="0"/>
              <w:rPr>
                <w:sz w:val="18"/>
                <w:szCs w:val="18"/>
                <w:color w:val="auto"/>
              </w:rPr>
            </w:pPr>
          </w:p>
        </w:tc>
        <w:tc>
          <w:tcPr>
            <w:tcW w:w="42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5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5,660</w:t>
            </w:r>
          </w:p>
        </w:tc>
        <w:tc>
          <w:tcPr>
            <w:tcW w:w="0" w:type="dxa"/>
            <w:vAlign w:val="bottom"/>
          </w:tcPr>
          <w:p>
            <w:pPr>
              <w:spacing w:after="0"/>
              <w:rPr>
                <w:sz w:val="1"/>
                <w:szCs w:val="1"/>
                <w:color w:val="auto"/>
              </w:rPr>
            </w:pPr>
          </w:p>
        </w:tc>
      </w:tr>
      <w:tr>
        <w:trPr>
          <w:trHeight w:val="216"/>
        </w:trPr>
        <w:tc>
          <w:tcPr>
            <w:tcW w:w="1140" w:type="dxa"/>
            <w:vAlign w:val="bottom"/>
          </w:tcPr>
          <w:p>
            <w:pPr>
              <w:spacing w:after="0"/>
              <w:rPr>
                <w:sz w:val="18"/>
                <w:szCs w:val="18"/>
                <w:color w:val="auto"/>
              </w:rPr>
            </w:pPr>
          </w:p>
        </w:tc>
        <w:tc>
          <w:tcPr>
            <w:tcW w:w="6800" w:type="dxa"/>
            <w:vAlign w:val="bottom"/>
          </w:tcPr>
          <w:p>
            <w:pPr>
              <w:spacing w:after="0"/>
              <w:rPr>
                <w:sz w:val="20"/>
                <w:szCs w:val="20"/>
                <w:color w:val="auto"/>
              </w:rPr>
            </w:pPr>
            <w:r>
              <w:rPr>
                <w:rFonts w:ascii="Arial" w:cs="Arial" w:eastAsia="Arial" w:hAnsi="Arial"/>
                <w:sz w:val="18"/>
                <w:szCs w:val="18"/>
                <w:color w:val="auto"/>
              </w:rPr>
              <w:t>Accrued rebates</w:t>
            </w:r>
          </w:p>
        </w:tc>
        <w:tc>
          <w:tcPr>
            <w:tcW w:w="20" w:type="dxa"/>
            <w:vAlign w:val="bottom"/>
          </w:tcPr>
          <w:p>
            <w:pPr>
              <w:spacing w:after="0"/>
              <w:rPr>
                <w:sz w:val="18"/>
                <w:szCs w:val="18"/>
                <w:color w:val="auto"/>
              </w:rPr>
            </w:pPr>
          </w:p>
        </w:tc>
        <w:tc>
          <w:tcPr>
            <w:tcW w:w="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00" w:type="dxa"/>
            <w:vAlign w:val="bottom"/>
          </w:tcPr>
          <w:p>
            <w:pPr>
              <w:jc w:val="right"/>
              <w:spacing w:after="0"/>
              <w:rPr>
                <w:sz w:val="20"/>
                <w:szCs w:val="20"/>
                <w:color w:val="auto"/>
              </w:rPr>
            </w:pPr>
            <w:r>
              <w:rPr>
                <w:rFonts w:ascii="Arial" w:cs="Arial" w:eastAsia="Arial" w:hAnsi="Arial"/>
                <w:sz w:val="18"/>
                <w:szCs w:val="18"/>
                <w:color w:val="auto"/>
                <w:w w:val="87"/>
              </w:rPr>
              <w:t>16,407</w:t>
            </w:r>
          </w:p>
        </w:tc>
        <w:tc>
          <w:tcPr>
            <w:tcW w:w="80" w:type="dxa"/>
            <w:vAlign w:val="bottom"/>
          </w:tcPr>
          <w:p>
            <w:pPr>
              <w:spacing w:after="0"/>
              <w:rPr>
                <w:sz w:val="18"/>
                <w:szCs w:val="18"/>
                <w:color w:val="auto"/>
              </w:rPr>
            </w:pPr>
          </w:p>
        </w:tc>
        <w:tc>
          <w:tcPr>
            <w:tcW w:w="42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560" w:type="dxa"/>
            <w:vAlign w:val="bottom"/>
          </w:tcPr>
          <w:p>
            <w:pPr>
              <w:jc w:val="right"/>
              <w:spacing w:after="0"/>
              <w:rPr>
                <w:sz w:val="20"/>
                <w:szCs w:val="20"/>
                <w:color w:val="auto"/>
              </w:rPr>
            </w:pPr>
            <w:r>
              <w:rPr>
                <w:rFonts w:ascii="Arial" w:cs="Arial" w:eastAsia="Arial" w:hAnsi="Arial"/>
                <w:sz w:val="18"/>
                <w:szCs w:val="18"/>
                <w:color w:val="auto"/>
                <w:w w:val="94"/>
              </w:rPr>
              <w:t>28,925</w:t>
            </w:r>
          </w:p>
        </w:tc>
        <w:tc>
          <w:tcPr>
            <w:tcW w:w="0" w:type="dxa"/>
            <w:vAlign w:val="bottom"/>
          </w:tcPr>
          <w:p>
            <w:pPr>
              <w:spacing w:after="0"/>
              <w:rPr>
                <w:sz w:val="1"/>
                <w:szCs w:val="1"/>
                <w:color w:val="auto"/>
              </w:rPr>
            </w:pPr>
          </w:p>
        </w:tc>
      </w:tr>
      <w:tr>
        <w:trPr>
          <w:trHeight w:val="216"/>
        </w:trPr>
        <w:tc>
          <w:tcPr>
            <w:tcW w:w="1140" w:type="dxa"/>
            <w:vAlign w:val="bottom"/>
          </w:tcPr>
          <w:p>
            <w:pPr>
              <w:spacing w:after="0"/>
              <w:rPr>
                <w:sz w:val="18"/>
                <w:szCs w:val="18"/>
                <w:color w:val="auto"/>
              </w:rPr>
            </w:pPr>
          </w:p>
        </w:tc>
        <w:tc>
          <w:tcPr>
            <w:tcW w:w="6800" w:type="dxa"/>
            <w:vAlign w:val="bottom"/>
            <w:shd w:val="clear" w:color="auto" w:fill="CCEEFF"/>
          </w:tcPr>
          <w:p>
            <w:pPr>
              <w:spacing w:after="0"/>
              <w:rPr>
                <w:sz w:val="20"/>
                <w:szCs w:val="20"/>
                <w:color w:val="auto"/>
              </w:rPr>
            </w:pPr>
            <w:r>
              <w:rPr>
                <w:rFonts w:ascii="Arial" w:cs="Arial" w:eastAsia="Arial" w:hAnsi="Arial"/>
                <w:sz w:val="18"/>
                <w:szCs w:val="18"/>
                <w:color w:val="auto"/>
              </w:rPr>
              <w:t>Accrued legal and professional services</w:t>
            </w:r>
          </w:p>
        </w:tc>
        <w:tc>
          <w:tcPr>
            <w:tcW w:w="20" w:type="dxa"/>
            <w:vAlign w:val="bottom"/>
            <w:shd w:val="clear" w:color="auto" w:fill="CCEEFF"/>
          </w:tcPr>
          <w:p>
            <w:pPr>
              <w:spacing w:after="0"/>
              <w:rPr>
                <w:sz w:val="18"/>
                <w:szCs w:val="18"/>
                <w:color w:val="auto"/>
              </w:rPr>
            </w:pPr>
          </w:p>
        </w:tc>
        <w:tc>
          <w:tcPr>
            <w:tcW w:w="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7"/>
              </w:rPr>
              <w:t>13,808</w:t>
            </w:r>
          </w:p>
        </w:tc>
        <w:tc>
          <w:tcPr>
            <w:tcW w:w="80" w:type="dxa"/>
            <w:vAlign w:val="bottom"/>
            <w:shd w:val="clear" w:color="auto" w:fill="CCEEFF"/>
          </w:tcPr>
          <w:p>
            <w:pPr>
              <w:spacing w:after="0"/>
              <w:rPr>
                <w:sz w:val="18"/>
                <w:szCs w:val="18"/>
                <w:color w:val="auto"/>
              </w:rPr>
            </w:pPr>
          </w:p>
        </w:tc>
        <w:tc>
          <w:tcPr>
            <w:tcW w:w="42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5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9,719</w:t>
            </w:r>
          </w:p>
        </w:tc>
        <w:tc>
          <w:tcPr>
            <w:tcW w:w="0" w:type="dxa"/>
            <w:vAlign w:val="bottom"/>
          </w:tcPr>
          <w:p>
            <w:pPr>
              <w:spacing w:after="0"/>
              <w:rPr>
                <w:sz w:val="1"/>
                <w:szCs w:val="1"/>
                <w:color w:val="auto"/>
              </w:rPr>
            </w:pPr>
          </w:p>
        </w:tc>
      </w:tr>
      <w:tr>
        <w:trPr>
          <w:trHeight w:val="216"/>
        </w:trPr>
        <w:tc>
          <w:tcPr>
            <w:tcW w:w="1140" w:type="dxa"/>
            <w:vAlign w:val="bottom"/>
          </w:tcPr>
          <w:p>
            <w:pPr>
              <w:spacing w:after="0"/>
              <w:rPr>
                <w:sz w:val="18"/>
                <w:szCs w:val="18"/>
                <w:color w:val="auto"/>
              </w:rPr>
            </w:pPr>
          </w:p>
        </w:tc>
        <w:tc>
          <w:tcPr>
            <w:tcW w:w="6800" w:type="dxa"/>
            <w:vAlign w:val="bottom"/>
          </w:tcPr>
          <w:p>
            <w:pPr>
              <w:spacing w:after="0"/>
              <w:rPr>
                <w:sz w:val="20"/>
                <w:szCs w:val="20"/>
                <w:color w:val="auto"/>
              </w:rPr>
            </w:pPr>
            <w:r>
              <w:rPr>
                <w:rFonts w:ascii="Arial" w:cs="Arial" w:eastAsia="Arial" w:hAnsi="Arial"/>
                <w:sz w:val="18"/>
                <w:szCs w:val="18"/>
                <w:color w:val="auto"/>
              </w:rPr>
              <w:t>Accrued legal settlement</w:t>
            </w:r>
          </w:p>
        </w:tc>
        <w:tc>
          <w:tcPr>
            <w:tcW w:w="20" w:type="dxa"/>
            <w:vAlign w:val="bottom"/>
          </w:tcPr>
          <w:p>
            <w:pPr>
              <w:spacing w:after="0"/>
              <w:rPr>
                <w:sz w:val="18"/>
                <w:szCs w:val="18"/>
                <w:color w:val="auto"/>
              </w:rPr>
            </w:pPr>
          </w:p>
        </w:tc>
        <w:tc>
          <w:tcPr>
            <w:tcW w:w="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gridSpan w:val="2"/>
          </w:tcPr>
          <w:p>
            <w:pPr>
              <w:jc w:val="right"/>
              <w:ind w:right="160"/>
              <w:spacing w:after="0"/>
              <w:rPr>
                <w:sz w:val="20"/>
                <w:szCs w:val="20"/>
                <w:color w:val="auto"/>
              </w:rPr>
            </w:pPr>
            <w:r>
              <w:rPr>
                <w:rFonts w:ascii="Arial" w:cs="Arial" w:eastAsia="Arial" w:hAnsi="Arial"/>
                <w:sz w:val="18"/>
                <w:szCs w:val="18"/>
                <w:color w:val="auto"/>
              </w:rPr>
              <w:t>—</w:t>
            </w:r>
          </w:p>
        </w:tc>
        <w:tc>
          <w:tcPr>
            <w:tcW w:w="42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560" w:type="dxa"/>
            <w:vAlign w:val="bottom"/>
          </w:tcPr>
          <w:p>
            <w:pPr>
              <w:jc w:val="right"/>
              <w:spacing w:after="0"/>
              <w:rPr>
                <w:sz w:val="20"/>
                <w:szCs w:val="20"/>
                <w:color w:val="auto"/>
              </w:rPr>
            </w:pPr>
            <w:r>
              <w:rPr>
                <w:rFonts w:ascii="Arial" w:cs="Arial" w:eastAsia="Arial" w:hAnsi="Arial"/>
                <w:sz w:val="18"/>
                <w:szCs w:val="18"/>
                <w:color w:val="auto"/>
                <w:w w:val="94"/>
              </w:rPr>
              <w:t>16,000</w:t>
            </w:r>
          </w:p>
        </w:tc>
        <w:tc>
          <w:tcPr>
            <w:tcW w:w="0" w:type="dxa"/>
            <w:vAlign w:val="bottom"/>
          </w:tcPr>
          <w:p>
            <w:pPr>
              <w:spacing w:after="0"/>
              <w:rPr>
                <w:sz w:val="1"/>
                <w:szCs w:val="1"/>
                <w:color w:val="auto"/>
              </w:rPr>
            </w:pPr>
          </w:p>
        </w:tc>
      </w:tr>
      <w:tr>
        <w:trPr>
          <w:trHeight w:val="216"/>
        </w:trPr>
        <w:tc>
          <w:tcPr>
            <w:tcW w:w="1140" w:type="dxa"/>
            <w:vAlign w:val="bottom"/>
          </w:tcPr>
          <w:p>
            <w:pPr>
              <w:spacing w:after="0"/>
              <w:rPr>
                <w:sz w:val="18"/>
                <w:szCs w:val="18"/>
                <w:color w:val="auto"/>
              </w:rPr>
            </w:pPr>
          </w:p>
        </w:tc>
        <w:tc>
          <w:tcPr>
            <w:tcW w:w="6800" w:type="dxa"/>
            <w:vAlign w:val="bottom"/>
            <w:shd w:val="clear" w:color="auto" w:fill="CCEEFF"/>
          </w:tcPr>
          <w:p>
            <w:pPr>
              <w:spacing w:after="0"/>
              <w:rPr>
                <w:sz w:val="20"/>
                <w:szCs w:val="20"/>
                <w:color w:val="auto"/>
              </w:rPr>
            </w:pPr>
            <w:r>
              <w:rPr>
                <w:rFonts w:ascii="Arial" w:cs="Arial" w:eastAsia="Arial" w:hAnsi="Arial"/>
                <w:sz w:val="18"/>
                <w:szCs w:val="18"/>
                <w:color w:val="auto"/>
              </w:rPr>
              <w:t>Other</w:t>
            </w:r>
          </w:p>
        </w:tc>
        <w:tc>
          <w:tcPr>
            <w:tcW w:w="20" w:type="dxa"/>
            <w:vAlign w:val="bottom"/>
            <w:shd w:val="clear" w:color="auto" w:fill="CCEEFF"/>
          </w:tcPr>
          <w:p>
            <w:pPr>
              <w:spacing w:after="0"/>
              <w:rPr>
                <w:sz w:val="18"/>
                <w:szCs w:val="18"/>
                <w:color w:val="auto"/>
              </w:rPr>
            </w:pPr>
          </w:p>
        </w:tc>
        <w:tc>
          <w:tcPr>
            <w:tcW w:w="60" w:type="dxa"/>
            <w:vAlign w:val="bottom"/>
            <w:tcBorders>
              <w:bottom w:val="single" w:sz="8" w:color="auto"/>
            </w:tcBorders>
            <w:shd w:val="clear" w:color="auto" w:fill="CCEEFF"/>
          </w:tcPr>
          <w:p>
            <w:pPr>
              <w:spacing w:after="0"/>
              <w:rPr>
                <w:sz w:val="18"/>
                <w:szCs w:val="18"/>
                <w:color w:val="auto"/>
              </w:rPr>
            </w:pPr>
          </w:p>
        </w:tc>
        <w:tc>
          <w:tcPr>
            <w:tcW w:w="100" w:type="dxa"/>
            <w:vAlign w:val="bottom"/>
            <w:tcBorders>
              <w:bottom w:val="single" w:sz="8" w:color="auto"/>
            </w:tcBorders>
            <w:shd w:val="clear" w:color="auto" w:fill="CCEEFF"/>
          </w:tcPr>
          <w:p>
            <w:pPr>
              <w:spacing w:after="0"/>
              <w:rPr>
                <w:sz w:val="18"/>
                <w:szCs w:val="18"/>
                <w:color w:val="auto"/>
              </w:rPr>
            </w:pPr>
          </w:p>
        </w:tc>
        <w:tc>
          <w:tcPr>
            <w:tcW w:w="5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87"/>
              </w:rPr>
              <w:t>30,377</w:t>
            </w:r>
          </w:p>
        </w:tc>
        <w:tc>
          <w:tcPr>
            <w:tcW w:w="80" w:type="dxa"/>
            <w:vAlign w:val="bottom"/>
            <w:shd w:val="clear" w:color="auto" w:fill="CCEEFF"/>
          </w:tcPr>
          <w:p>
            <w:pPr>
              <w:spacing w:after="0"/>
              <w:rPr>
                <w:sz w:val="18"/>
                <w:szCs w:val="18"/>
                <w:color w:val="auto"/>
              </w:rPr>
            </w:pPr>
          </w:p>
        </w:tc>
        <w:tc>
          <w:tcPr>
            <w:tcW w:w="420" w:type="dxa"/>
            <w:vAlign w:val="bottom"/>
            <w:shd w:val="clear" w:color="auto" w:fill="CCEEFF"/>
          </w:tcPr>
          <w:p>
            <w:pPr>
              <w:spacing w:after="0"/>
              <w:rPr>
                <w:sz w:val="18"/>
                <w:szCs w:val="18"/>
                <w:color w:val="auto"/>
              </w:rPr>
            </w:pPr>
          </w:p>
        </w:tc>
        <w:tc>
          <w:tcPr>
            <w:tcW w:w="140" w:type="dxa"/>
            <w:vAlign w:val="bottom"/>
            <w:tcBorders>
              <w:bottom w:val="single" w:sz="8" w:color="auto"/>
            </w:tcBorders>
            <w:shd w:val="clear" w:color="auto" w:fill="CCEEFF"/>
          </w:tcPr>
          <w:p>
            <w:pPr>
              <w:spacing w:after="0"/>
              <w:rPr>
                <w:sz w:val="18"/>
                <w:szCs w:val="18"/>
                <w:color w:val="auto"/>
              </w:rPr>
            </w:pPr>
          </w:p>
        </w:tc>
        <w:tc>
          <w:tcPr>
            <w:tcW w:w="56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94"/>
              </w:rPr>
              <w:t>22,809</w:t>
            </w:r>
          </w:p>
        </w:tc>
        <w:tc>
          <w:tcPr>
            <w:tcW w:w="0" w:type="dxa"/>
            <w:vAlign w:val="bottom"/>
          </w:tcPr>
          <w:p>
            <w:pPr>
              <w:spacing w:after="0"/>
              <w:rPr>
                <w:sz w:val="1"/>
                <w:szCs w:val="1"/>
                <w:color w:val="auto"/>
              </w:rPr>
            </w:pPr>
          </w:p>
        </w:tc>
      </w:tr>
      <w:tr>
        <w:trPr>
          <w:trHeight w:val="221"/>
        </w:trPr>
        <w:tc>
          <w:tcPr>
            <w:tcW w:w="1140" w:type="dxa"/>
            <w:vAlign w:val="bottom"/>
          </w:tcPr>
          <w:p>
            <w:pPr>
              <w:spacing w:after="0"/>
              <w:rPr>
                <w:sz w:val="19"/>
                <w:szCs w:val="19"/>
                <w:color w:val="auto"/>
              </w:rPr>
            </w:pPr>
          </w:p>
        </w:tc>
        <w:tc>
          <w:tcPr>
            <w:tcW w:w="6800" w:type="dxa"/>
            <w:vAlign w:val="bottom"/>
          </w:tcPr>
          <w:p>
            <w:pPr>
              <w:spacing w:after="0"/>
              <w:rPr>
                <w:sz w:val="19"/>
                <w:szCs w:val="19"/>
                <w:color w:val="auto"/>
              </w:rPr>
            </w:pPr>
          </w:p>
        </w:tc>
        <w:tc>
          <w:tcPr>
            <w:tcW w:w="180" w:type="dxa"/>
            <w:vAlign w:val="bottom"/>
            <w:gridSpan w:val="3"/>
          </w:tcPr>
          <w:p>
            <w:pPr>
              <w:spacing w:after="0"/>
              <w:rPr>
                <w:sz w:val="20"/>
                <w:szCs w:val="20"/>
                <w:color w:val="auto"/>
              </w:rPr>
            </w:pPr>
            <w:r>
              <w:rPr>
                <w:rFonts w:ascii="Arial" w:cs="Arial" w:eastAsia="Arial" w:hAnsi="Arial"/>
                <w:sz w:val="18"/>
                <w:szCs w:val="18"/>
                <w:color w:val="auto"/>
              </w:rPr>
              <w:t>$</w:t>
            </w:r>
          </w:p>
        </w:tc>
        <w:tc>
          <w:tcPr>
            <w:tcW w:w="500" w:type="dxa"/>
            <w:vAlign w:val="bottom"/>
          </w:tcPr>
          <w:p>
            <w:pPr>
              <w:jc w:val="right"/>
              <w:spacing w:after="0"/>
              <w:rPr>
                <w:sz w:val="20"/>
                <w:szCs w:val="20"/>
                <w:color w:val="auto"/>
              </w:rPr>
            </w:pPr>
            <w:r>
              <w:rPr>
                <w:rFonts w:ascii="Arial" w:cs="Arial" w:eastAsia="Arial" w:hAnsi="Arial"/>
                <w:sz w:val="18"/>
                <w:szCs w:val="18"/>
                <w:color w:val="auto"/>
                <w:w w:val="87"/>
              </w:rPr>
              <w:t>73,862</w:t>
            </w:r>
          </w:p>
        </w:tc>
        <w:tc>
          <w:tcPr>
            <w:tcW w:w="80" w:type="dxa"/>
            <w:vAlign w:val="bottom"/>
          </w:tcPr>
          <w:p>
            <w:pPr>
              <w:spacing w:after="0"/>
              <w:rPr>
                <w:sz w:val="19"/>
                <w:szCs w:val="19"/>
                <w:color w:val="auto"/>
              </w:rPr>
            </w:pPr>
          </w:p>
        </w:tc>
        <w:tc>
          <w:tcPr>
            <w:tcW w:w="560" w:type="dxa"/>
            <w:vAlign w:val="bottom"/>
            <w:gridSpan w:val="2"/>
          </w:tcPr>
          <w:p>
            <w:pPr>
              <w:ind w:left="420"/>
              <w:spacing w:after="0"/>
              <w:rPr>
                <w:sz w:val="20"/>
                <w:szCs w:val="20"/>
                <w:color w:val="auto"/>
              </w:rPr>
            </w:pPr>
            <w:r>
              <w:rPr>
                <w:rFonts w:ascii="Arial" w:cs="Arial" w:eastAsia="Arial" w:hAnsi="Arial"/>
                <w:sz w:val="18"/>
                <w:szCs w:val="18"/>
                <w:color w:val="auto"/>
              </w:rPr>
              <w:t>$</w:t>
            </w:r>
          </w:p>
        </w:tc>
        <w:tc>
          <w:tcPr>
            <w:tcW w:w="560" w:type="dxa"/>
            <w:vAlign w:val="bottom"/>
          </w:tcPr>
          <w:p>
            <w:pPr>
              <w:jc w:val="right"/>
              <w:spacing w:after="0"/>
              <w:rPr>
                <w:sz w:val="20"/>
                <w:szCs w:val="20"/>
                <w:color w:val="auto"/>
              </w:rPr>
            </w:pPr>
            <w:r>
              <w:rPr>
                <w:rFonts w:ascii="Arial" w:cs="Arial" w:eastAsia="Arial" w:hAnsi="Arial"/>
                <w:sz w:val="18"/>
                <w:szCs w:val="18"/>
                <w:color w:val="auto"/>
                <w:w w:val="94"/>
              </w:rPr>
              <w:t>83,113</w:t>
            </w:r>
          </w:p>
        </w:tc>
        <w:tc>
          <w:tcPr>
            <w:tcW w:w="0" w:type="dxa"/>
            <w:vAlign w:val="bottom"/>
          </w:tcPr>
          <w:p>
            <w:pPr>
              <w:spacing w:after="0"/>
              <w:rPr>
                <w:sz w:val="1"/>
                <w:szCs w:val="1"/>
                <w:color w:val="auto"/>
              </w:rPr>
            </w:pPr>
          </w:p>
        </w:tc>
      </w:tr>
      <w:tr>
        <w:trPr>
          <w:trHeight w:val="20"/>
        </w:trPr>
        <w:tc>
          <w:tcPr>
            <w:tcW w:w="7940" w:type="dxa"/>
            <w:vAlign w:val="bottom"/>
            <w:gridSpan w:val="2"/>
            <w:vMerge w:val="restart"/>
          </w:tcPr>
          <w:p>
            <w:pPr>
              <w:spacing w:after="0"/>
              <w:rPr>
                <w:sz w:val="20"/>
                <w:szCs w:val="20"/>
                <w:color w:val="auto"/>
              </w:rPr>
            </w:pPr>
            <w:r>
              <w:rPr>
                <w:rFonts w:ascii="Arial" w:cs="Arial" w:eastAsia="Arial" w:hAnsi="Arial"/>
                <w:sz w:val="18"/>
                <w:szCs w:val="18"/>
                <w:b w:val="1"/>
                <w:bCs w:val="1"/>
                <w:i w:val="1"/>
                <w:iCs w:val="1"/>
                <w:color w:val="auto"/>
              </w:rPr>
              <w:t>Other long-term liabilities</w:t>
            </w:r>
          </w:p>
        </w:tc>
        <w:tc>
          <w:tcPr>
            <w:tcW w:w="20" w:type="dxa"/>
            <w:vAlign w:val="bottom"/>
          </w:tcPr>
          <w:p>
            <w:pPr>
              <w:spacing w:after="0" w:line="20" w:lineRule="exact"/>
              <w:rPr>
                <w:sz w:val="1"/>
                <w:szCs w:val="1"/>
                <w:color w:val="auto"/>
              </w:rPr>
            </w:pPr>
          </w:p>
        </w:tc>
        <w:tc>
          <w:tcPr>
            <w:tcW w:w="6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00" w:type="dxa"/>
            <w:vAlign w:val="bottom"/>
            <w:tcBorders>
              <w:top w:val="single" w:sz="8" w:color="auto"/>
              <w:bottom w:val="single" w:sz="8" w:color="auto"/>
            </w:tcBorders>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420" w:type="dxa"/>
            <w:vAlign w:val="bottom"/>
          </w:tcPr>
          <w:p>
            <w:pPr>
              <w:spacing w:after="0" w:line="20" w:lineRule="exact"/>
              <w:rPr>
                <w:sz w:val="1"/>
                <w:szCs w:val="1"/>
                <w:color w:val="auto"/>
              </w:rPr>
            </w:pPr>
          </w:p>
        </w:tc>
        <w:tc>
          <w:tcPr>
            <w:tcW w:w="140" w:type="dxa"/>
            <w:vAlign w:val="bottom"/>
            <w:tcBorders>
              <w:top w:val="single" w:sz="8" w:color="auto"/>
              <w:bottom w:val="single" w:sz="8" w:color="auto"/>
            </w:tcBorders>
          </w:tcPr>
          <w:p>
            <w:pPr>
              <w:spacing w:after="0" w:line="20" w:lineRule="exact"/>
              <w:rPr>
                <w:sz w:val="1"/>
                <w:szCs w:val="1"/>
                <w:color w:val="auto"/>
              </w:rPr>
            </w:pPr>
          </w:p>
        </w:tc>
        <w:tc>
          <w:tcPr>
            <w:tcW w:w="560" w:type="dxa"/>
            <w:vAlign w:val="bottom"/>
            <w:tcBorders>
              <w:top w:val="single" w:sz="8" w:color="auto"/>
              <w:bottom w:val="single" w:sz="8" w:color="auto"/>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453"/>
        </w:trPr>
        <w:tc>
          <w:tcPr>
            <w:tcW w:w="7940" w:type="dxa"/>
            <w:vAlign w:val="bottom"/>
            <w:gridSpan w:val="2"/>
            <w:vMerge w:val="continue"/>
          </w:tcPr>
          <w:p>
            <w:pPr>
              <w:spacing w:after="0"/>
              <w:rPr>
                <w:sz w:val="24"/>
                <w:szCs w:val="24"/>
                <w:color w:val="auto"/>
              </w:rPr>
            </w:pPr>
          </w:p>
        </w:tc>
        <w:tc>
          <w:tcPr>
            <w:tcW w:w="2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50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42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56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340"/>
        </w:trPr>
        <w:tc>
          <w:tcPr>
            <w:tcW w:w="1140" w:type="dxa"/>
            <w:vAlign w:val="bottom"/>
          </w:tcPr>
          <w:p>
            <w:pPr>
              <w:spacing w:after="0"/>
              <w:rPr>
                <w:sz w:val="24"/>
                <w:szCs w:val="24"/>
                <w:color w:val="auto"/>
              </w:rPr>
            </w:pPr>
          </w:p>
        </w:tc>
        <w:tc>
          <w:tcPr>
            <w:tcW w:w="6800" w:type="dxa"/>
            <w:vAlign w:val="bottom"/>
          </w:tcPr>
          <w:p>
            <w:pPr>
              <w:spacing w:after="0"/>
              <w:rPr>
                <w:sz w:val="24"/>
                <w:szCs w:val="24"/>
                <w:color w:val="auto"/>
              </w:rPr>
            </w:pPr>
          </w:p>
        </w:tc>
        <w:tc>
          <w:tcPr>
            <w:tcW w:w="760" w:type="dxa"/>
            <w:vAlign w:val="bottom"/>
            <w:gridSpan w:val="5"/>
          </w:tcPr>
          <w:p>
            <w:pPr>
              <w:spacing w:after="0"/>
              <w:rPr>
                <w:sz w:val="20"/>
                <w:szCs w:val="20"/>
                <w:color w:val="auto"/>
              </w:rPr>
            </w:pPr>
            <w:r>
              <w:rPr>
                <w:rFonts w:ascii="Arial" w:cs="Arial" w:eastAsia="Arial" w:hAnsi="Arial"/>
                <w:sz w:val="14"/>
                <w:szCs w:val="14"/>
                <w:b w:val="1"/>
                <w:bCs w:val="1"/>
                <w:color w:val="auto"/>
                <w:w w:val="96"/>
              </w:rPr>
              <w:t>October 31,</w:t>
            </w:r>
          </w:p>
        </w:tc>
        <w:tc>
          <w:tcPr>
            <w:tcW w:w="1120" w:type="dxa"/>
            <w:vAlign w:val="bottom"/>
            <w:gridSpan w:val="3"/>
          </w:tcPr>
          <w:p>
            <w:pPr>
              <w:ind w:left="420"/>
              <w:spacing w:after="0"/>
              <w:rPr>
                <w:sz w:val="20"/>
                <w:szCs w:val="20"/>
                <w:color w:val="auto"/>
              </w:rPr>
            </w:pPr>
            <w:r>
              <w:rPr>
                <w:rFonts w:ascii="Arial" w:cs="Arial" w:eastAsia="Arial" w:hAnsi="Arial"/>
                <w:sz w:val="14"/>
                <w:szCs w:val="14"/>
                <w:b w:val="1"/>
                <w:bCs w:val="1"/>
                <w:color w:val="auto"/>
                <w:w w:val="88"/>
              </w:rPr>
              <w:t>January 31,</w:t>
            </w:r>
          </w:p>
        </w:tc>
        <w:tc>
          <w:tcPr>
            <w:tcW w:w="0" w:type="dxa"/>
            <w:vAlign w:val="bottom"/>
          </w:tcPr>
          <w:p>
            <w:pPr>
              <w:spacing w:after="0"/>
              <w:rPr>
                <w:sz w:val="1"/>
                <w:szCs w:val="1"/>
                <w:color w:val="auto"/>
              </w:rPr>
            </w:pPr>
          </w:p>
        </w:tc>
      </w:tr>
      <w:tr>
        <w:trPr>
          <w:trHeight w:val="161"/>
        </w:trPr>
        <w:tc>
          <w:tcPr>
            <w:tcW w:w="1140" w:type="dxa"/>
            <w:vAlign w:val="bottom"/>
          </w:tcPr>
          <w:p>
            <w:pPr>
              <w:spacing w:after="0"/>
              <w:rPr>
                <w:sz w:val="14"/>
                <w:szCs w:val="14"/>
                <w:color w:val="auto"/>
              </w:rPr>
            </w:pPr>
          </w:p>
        </w:tc>
        <w:tc>
          <w:tcPr>
            <w:tcW w:w="680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60" w:type="dxa"/>
            <w:vAlign w:val="bottom"/>
            <w:tcBorders>
              <w:bottom w:val="single" w:sz="8" w:color="auto"/>
            </w:tcBorders>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500" w:type="dxa"/>
            <w:vAlign w:val="bottom"/>
            <w:tcBorders>
              <w:bottom w:val="single" w:sz="8" w:color="auto"/>
            </w:tcBorders>
          </w:tcPr>
          <w:p>
            <w:pPr>
              <w:jc w:val="right"/>
              <w:ind w:right="115"/>
              <w:spacing w:after="0"/>
              <w:rPr>
                <w:sz w:val="20"/>
                <w:szCs w:val="20"/>
                <w:color w:val="auto"/>
              </w:rPr>
            </w:pPr>
            <w:r>
              <w:rPr>
                <w:rFonts w:ascii="Arial" w:cs="Arial" w:eastAsia="Arial" w:hAnsi="Arial"/>
                <w:sz w:val="14"/>
                <w:szCs w:val="14"/>
                <w:b w:val="1"/>
                <w:bCs w:val="1"/>
                <w:color w:val="auto"/>
                <w:w w:val="89"/>
              </w:rPr>
              <w:t>2009</w:t>
            </w:r>
          </w:p>
        </w:tc>
        <w:tc>
          <w:tcPr>
            <w:tcW w:w="80" w:type="dxa"/>
            <w:vAlign w:val="bottom"/>
          </w:tcPr>
          <w:p>
            <w:pPr>
              <w:spacing w:after="0"/>
              <w:rPr>
                <w:sz w:val="14"/>
                <w:szCs w:val="14"/>
                <w:color w:val="auto"/>
              </w:rPr>
            </w:pPr>
          </w:p>
        </w:tc>
        <w:tc>
          <w:tcPr>
            <w:tcW w:w="420" w:type="dxa"/>
            <w:vAlign w:val="bottom"/>
          </w:tcPr>
          <w:p>
            <w:pPr>
              <w:spacing w:after="0"/>
              <w:rPr>
                <w:sz w:val="14"/>
                <w:szCs w:val="14"/>
                <w:color w:val="auto"/>
              </w:rPr>
            </w:pPr>
          </w:p>
        </w:tc>
        <w:tc>
          <w:tcPr>
            <w:tcW w:w="140" w:type="dxa"/>
            <w:vAlign w:val="bottom"/>
            <w:tcBorders>
              <w:bottom w:val="single" w:sz="8" w:color="auto"/>
            </w:tcBorders>
          </w:tcPr>
          <w:p>
            <w:pPr>
              <w:spacing w:after="0"/>
              <w:rPr>
                <w:sz w:val="14"/>
                <w:szCs w:val="14"/>
                <w:color w:val="auto"/>
              </w:rPr>
            </w:pPr>
          </w:p>
        </w:tc>
        <w:tc>
          <w:tcPr>
            <w:tcW w:w="560" w:type="dxa"/>
            <w:vAlign w:val="bottom"/>
            <w:tcBorders>
              <w:bottom w:val="single" w:sz="8" w:color="auto"/>
            </w:tcBorders>
          </w:tcPr>
          <w:p>
            <w:pPr>
              <w:jc w:val="right"/>
              <w:ind w:right="135"/>
              <w:spacing w:after="0"/>
              <w:rPr>
                <w:sz w:val="20"/>
                <w:szCs w:val="20"/>
                <w:color w:val="auto"/>
              </w:rPr>
            </w:pPr>
            <w:r>
              <w:rPr>
                <w:rFonts w:ascii="Arial" w:cs="Arial" w:eastAsia="Arial" w:hAnsi="Arial"/>
                <w:sz w:val="14"/>
                <w:szCs w:val="14"/>
                <w:b w:val="1"/>
                <w:bCs w:val="1"/>
                <w:color w:val="auto"/>
              </w:rPr>
              <w:t>2009</w:t>
            </w:r>
          </w:p>
        </w:tc>
        <w:tc>
          <w:tcPr>
            <w:tcW w:w="0" w:type="dxa"/>
            <w:vAlign w:val="bottom"/>
          </w:tcPr>
          <w:p>
            <w:pPr>
              <w:spacing w:after="0"/>
              <w:rPr>
                <w:sz w:val="1"/>
                <w:szCs w:val="1"/>
                <w:color w:val="auto"/>
              </w:rPr>
            </w:pPr>
          </w:p>
        </w:tc>
      </w:tr>
      <w:tr>
        <w:trPr>
          <w:trHeight w:val="210"/>
        </w:trPr>
        <w:tc>
          <w:tcPr>
            <w:tcW w:w="1140" w:type="dxa"/>
            <w:vAlign w:val="bottom"/>
          </w:tcPr>
          <w:p>
            <w:pPr>
              <w:spacing w:after="0"/>
              <w:rPr>
                <w:sz w:val="18"/>
                <w:szCs w:val="18"/>
                <w:color w:val="auto"/>
              </w:rPr>
            </w:pPr>
          </w:p>
        </w:tc>
        <w:tc>
          <w:tcPr>
            <w:tcW w:w="6800" w:type="dxa"/>
            <w:vAlign w:val="bottom"/>
            <w:shd w:val="clear" w:color="auto" w:fill="CCEEFF"/>
          </w:tcPr>
          <w:p>
            <w:pPr>
              <w:spacing w:after="0"/>
              <w:rPr>
                <w:sz w:val="20"/>
                <w:szCs w:val="20"/>
                <w:color w:val="auto"/>
              </w:rPr>
            </w:pPr>
            <w:r>
              <w:rPr>
                <w:rFonts w:ascii="Arial" w:cs="Arial" w:eastAsia="Arial" w:hAnsi="Arial"/>
                <w:sz w:val="18"/>
                <w:szCs w:val="18"/>
                <w:color w:val="auto"/>
              </w:rPr>
              <w:t>Accrued severance obligations</w:t>
            </w:r>
          </w:p>
        </w:tc>
        <w:tc>
          <w:tcPr>
            <w:tcW w:w="180" w:type="dxa"/>
            <w:vAlign w:val="bottom"/>
            <w:gridSpan w:val="3"/>
            <w:shd w:val="clear" w:color="auto" w:fill="CCEEFF"/>
          </w:tcPr>
          <w:p>
            <w:pPr>
              <w:spacing w:after="0"/>
              <w:rPr>
                <w:sz w:val="20"/>
                <w:szCs w:val="20"/>
                <w:color w:val="auto"/>
              </w:rPr>
            </w:pPr>
            <w:r>
              <w:rPr>
                <w:rFonts w:ascii="Arial" w:cs="Arial" w:eastAsia="Arial" w:hAnsi="Arial"/>
                <w:sz w:val="18"/>
                <w:szCs w:val="18"/>
                <w:color w:val="auto"/>
              </w:rPr>
              <w:t>$</w:t>
            </w:r>
          </w:p>
        </w:tc>
        <w:tc>
          <w:tcPr>
            <w:tcW w:w="5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7"/>
              </w:rPr>
              <w:t>51,994</w:t>
            </w:r>
          </w:p>
        </w:tc>
        <w:tc>
          <w:tcPr>
            <w:tcW w:w="80" w:type="dxa"/>
            <w:vAlign w:val="bottom"/>
            <w:shd w:val="clear" w:color="auto" w:fill="CCEEFF"/>
          </w:tcPr>
          <w:p>
            <w:pPr>
              <w:spacing w:after="0"/>
              <w:rPr>
                <w:sz w:val="18"/>
                <w:szCs w:val="18"/>
                <w:color w:val="auto"/>
              </w:rPr>
            </w:pPr>
          </w:p>
        </w:tc>
        <w:tc>
          <w:tcPr>
            <w:tcW w:w="560" w:type="dxa"/>
            <w:vAlign w:val="bottom"/>
            <w:gridSpan w:val="2"/>
            <w:shd w:val="clear" w:color="auto" w:fill="CCEEFF"/>
          </w:tcPr>
          <w:p>
            <w:pPr>
              <w:ind w:left="420"/>
              <w:spacing w:after="0"/>
              <w:rPr>
                <w:sz w:val="20"/>
                <w:szCs w:val="20"/>
                <w:color w:val="auto"/>
              </w:rPr>
            </w:pPr>
            <w:r>
              <w:rPr>
                <w:rFonts w:ascii="Arial" w:cs="Arial" w:eastAsia="Arial" w:hAnsi="Arial"/>
                <w:sz w:val="18"/>
                <w:szCs w:val="18"/>
                <w:color w:val="auto"/>
              </w:rPr>
              <w:t>$</w:t>
            </w:r>
          </w:p>
        </w:tc>
        <w:tc>
          <w:tcPr>
            <w:tcW w:w="560" w:type="dxa"/>
            <w:vAlign w:val="bottom"/>
            <w:shd w:val="clear" w:color="auto" w:fill="CCEEFF"/>
          </w:tcPr>
          <w:p>
            <w:pPr>
              <w:jc w:val="right"/>
              <w:spacing w:after="0"/>
              <w:rPr>
                <w:sz w:val="20"/>
                <w:szCs w:val="20"/>
                <w:color w:val="auto"/>
              </w:rPr>
            </w:pPr>
            <w:r>
              <w:rPr>
                <w:rFonts w:ascii="Arial" w:cs="Arial" w:eastAsia="Arial" w:hAnsi="Arial"/>
                <w:sz w:val="18"/>
                <w:szCs w:val="18"/>
                <w:color w:val="auto"/>
                <w:w w:val="94"/>
              </w:rPr>
              <w:t>46,716</w:t>
            </w:r>
          </w:p>
        </w:tc>
        <w:tc>
          <w:tcPr>
            <w:tcW w:w="0" w:type="dxa"/>
            <w:vAlign w:val="bottom"/>
          </w:tcPr>
          <w:p>
            <w:pPr>
              <w:spacing w:after="0"/>
              <w:rPr>
                <w:sz w:val="1"/>
                <w:szCs w:val="1"/>
                <w:color w:val="auto"/>
              </w:rPr>
            </w:pPr>
          </w:p>
        </w:tc>
      </w:tr>
      <w:tr>
        <w:trPr>
          <w:trHeight w:val="216"/>
        </w:trPr>
        <w:tc>
          <w:tcPr>
            <w:tcW w:w="1140" w:type="dxa"/>
            <w:vAlign w:val="bottom"/>
          </w:tcPr>
          <w:p>
            <w:pPr>
              <w:spacing w:after="0"/>
              <w:rPr>
                <w:sz w:val="18"/>
                <w:szCs w:val="18"/>
                <w:color w:val="auto"/>
              </w:rPr>
            </w:pPr>
          </w:p>
        </w:tc>
        <w:tc>
          <w:tcPr>
            <w:tcW w:w="6800" w:type="dxa"/>
            <w:vAlign w:val="bottom"/>
          </w:tcPr>
          <w:p>
            <w:pPr>
              <w:spacing w:after="0"/>
              <w:rPr>
                <w:sz w:val="20"/>
                <w:szCs w:val="20"/>
                <w:color w:val="auto"/>
              </w:rPr>
            </w:pPr>
            <w:r>
              <w:rPr>
                <w:rFonts w:ascii="Arial" w:cs="Arial" w:eastAsia="Arial" w:hAnsi="Arial"/>
                <w:sz w:val="18"/>
                <w:szCs w:val="18"/>
                <w:color w:val="auto"/>
              </w:rPr>
              <w:t>Long-term facilities consolidation charge</w:t>
            </w:r>
          </w:p>
        </w:tc>
        <w:tc>
          <w:tcPr>
            <w:tcW w:w="20" w:type="dxa"/>
            <w:vAlign w:val="bottom"/>
          </w:tcPr>
          <w:p>
            <w:pPr>
              <w:spacing w:after="0"/>
              <w:rPr>
                <w:sz w:val="18"/>
                <w:szCs w:val="18"/>
                <w:color w:val="auto"/>
              </w:rPr>
            </w:pPr>
          </w:p>
        </w:tc>
        <w:tc>
          <w:tcPr>
            <w:tcW w:w="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00" w:type="dxa"/>
            <w:vAlign w:val="bottom"/>
          </w:tcPr>
          <w:p>
            <w:pPr>
              <w:jc w:val="right"/>
              <w:spacing w:after="0"/>
              <w:rPr>
                <w:sz w:val="20"/>
                <w:szCs w:val="20"/>
                <w:color w:val="auto"/>
              </w:rPr>
            </w:pPr>
            <w:r>
              <w:rPr>
                <w:rFonts w:ascii="Arial" w:cs="Arial" w:eastAsia="Arial" w:hAnsi="Arial"/>
                <w:sz w:val="18"/>
                <w:szCs w:val="18"/>
                <w:color w:val="auto"/>
              </w:rPr>
              <w:t>2,626</w:t>
            </w:r>
          </w:p>
        </w:tc>
        <w:tc>
          <w:tcPr>
            <w:tcW w:w="80" w:type="dxa"/>
            <w:vAlign w:val="bottom"/>
          </w:tcPr>
          <w:p>
            <w:pPr>
              <w:spacing w:after="0"/>
              <w:rPr>
                <w:sz w:val="18"/>
                <w:szCs w:val="18"/>
                <w:color w:val="auto"/>
              </w:rPr>
            </w:pPr>
          </w:p>
        </w:tc>
        <w:tc>
          <w:tcPr>
            <w:tcW w:w="42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560" w:type="dxa"/>
            <w:vAlign w:val="bottom"/>
          </w:tcPr>
          <w:p>
            <w:pPr>
              <w:jc w:val="right"/>
              <w:spacing w:after="0"/>
              <w:rPr>
                <w:sz w:val="20"/>
                <w:szCs w:val="20"/>
                <w:color w:val="auto"/>
              </w:rPr>
            </w:pPr>
            <w:r>
              <w:rPr>
                <w:rFonts w:ascii="Arial" w:cs="Arial" w:eastAsia="Arial" w:hAnsi="Arial"/>
                <w:sz w:val="18"/>
                <w:szCs w:val="18"/>
                <w:color w:val="auto"/>
              </w:rPr>
              <w:t>2,246</w:t>
            </w:r>
          </w:p>
        </w:tc>
        <w:tc>
          <w:tcPr>
            <w:tcW w:w="0" w:type="dxa"/>
            <w:vAlign w:val="bottom"/>
          </w:tcPr>
          <w:p>
            <w:pPr>
              <w:spacing w:after="0"/>
              <w:rPr>
                <w:sz w:val="1"/>
                <w:szCs w:val="1"/>
                <w:color w:val="auto"/>
              </w:rPr>
            </w:pPr>
          </w:p>
        </w:tc>
      </w:tr>
      <w:tr>
        <w:trPr>
          <w:trHeight w:val="216"/>
        </w:trPr>
        <w:tc>
          <w:tcPr>
            <w:tcW w:w="1140" w:type="dxa"/>
            <w:vAlign w:val="bottom"/>
          </w:tcPr>
          <w:p>
            <w:pPr>
              <w:spacing w:after="0"/>
              <w:rPr>
                <w:sz w:val="18"/>
                <w:szCs w:val="18"/>
                <w:color w:val="auto"/>
              </w:rPr>
            </w:pPr>
          </w:p>
        </w:tc>
        <w:tc>
          <w:tcPr>
            <w:tcW w:w="6800" w:type="dxa"/>
            <w:vAlign w:val="bottom"/>
            <w:shd w:val="clear" w:color="auto" w:fill="CCEEFF"/>
          </w:tcPr>
          <w:p>
            <w:pPr>
              <w:spacing w:after="0"/>
              <w:rPr>
                <w:sz w:val="20"/>
                <w:szCs w:val="20"/>
                <w:color w:val="auto"/>
              </w:rPr>
            </w:pPr>
            <w:r>
              <w:rPr>
                <w:rFonts w:ascii="Arial" w:cs="Arial" w:eastAsia="Arial" w:hAnsi="Arial"/>
                <w:sz w:val="18"/>
                <w:szCs w:val="18"/>
                <w:color w:val="auto"/>
              </w:rPr>
              <w:t>Other</w:t>
            </w:r>
          </w:p>
        </w:tc>
        <w:tc>
          <w:tcPr>
            <w:tcW w:w="20" w:type="dxa"/>
            <w:vAlign w:val="bottom"/>
            <w:shd w:val="clear" w:color="auto" w:fill="CCEEFF"/>
          </w:tcPr>
          <w:p>
            <w:pPr>
              <w:spacing w:after="0"/>
              <w:rPr>
                <w:sz w:val="18"/>
                <w:szCs w:val="18"/>
                <w:color w:val="auto"/>
              </w:rPr>
            </w:pPr>
          </w:p>
        </w:tc>
        <w:tc>
          <w:tcPr>
            <w:tcW w:w="60" w:type="dxa"/>
            <w:vAlign w:val="bottom"/>
            <w:tcBorders>
              <w:bottom w:val="single" w:sz="8" w:color="auto"/>
            </w:tcBorders>
            <w:shd w:val="clear" w:color="auto" w:fill="CCEEFF"/>
          </w:tcPr>
          <w:p>
            <w:pPr>
              <w:spacing w:after="0"/>
              <w:rPr>
                <w:sz w:val="18"/>
                <w:szCs w:val="18"/>
                <w:color w:val="auto"/>
              </w:rPr>
            </w:pPr>
          </w:p>
        </w:tc>
        <w:tc>
          <w:tcPr>
            <w:tcW w:w="100" w:type="dxa"/>
            <w:vAlign w:val="bottom"/>
            <w:tcBorders>
              <w:bottom w:val="single" w:sz="8" w:color="auto"/>
            </w:tcBorders>
            <w:shd w:val="clear" w:color="auto" w:fill="CCEEFF"/>
          </w:tcPr>
          <w:p>
            <w:pPr>
              <w:spacing w:after="0"/>
              <w:rPr>
                <w:sz w:val="18"/>
                <w:szCs w:val="18"/>
                <w:color w:val="auto"/>
              </w:rPr>
            </w:pPr>
          </w:p>
        </w:tc>
        <w:tc>
          <w:tcPr>
            <w:tcW w:w="5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4,227</w:t>
            </w:r>
          </w:p>
        </w:tc>
        <w:tc>
          <w:tcPr>
            <w:tcW w:w="80" w:type="dxa"/>
            <w:vAlign w:val="bottom"/>
            <w:shd w:val="clear" w:color="auto" w:fill="CCEEFF"/>
          </w:tcPr>
          <w:p>
            <w:pPr>
              <w:spacing w:after="0"/>
              <w:rPr>
                <w:sz w:val="18"/>
                <w:szCs w:val="18"/>
                <w:color w:val="auto"/>
              </w:rPr>
            </w:pPr>
          </w:p>
        </w:tc>
        <w:tc>
          <w:tcPr>
            <w:tcW w:w="420" w:type="dxa"/>
            <w:vAlign w:val="bottom"/>
            <w:shd w:val="clear" w:color="auto" w:fill="CCEEFF"/>
          </w:tcPr>
          <w:p>
            <w:pPr>
              <w:spacing w:after="0"/>
              <w:rPr>
                <w:sz w:val="18"/>
                <w:szCs w:val="18"/>
                <w:color w:val="auto"/>
              </w:rPr>
            </w:pPr>
          </w:p>
        </w:tc>
        <w:tc>
          <w:tcPr>
            <w:tcW w:w="140" w:type="dxa"/>
            <w:vAlign w:val="bottom"/>
            <w:tcBorders>
              <w:bottom w:val="single" w:sz="8" w:color="auto"/>
            </w:tcBorders>
            <w:shd w:val="clear" w:color="auto" w:fill="CCEEFF"/>
          </w:tcPr>
          <w:p>
            <w:pPr>
              <w:spacing w:after="0"/>
              <w:rPr>
                <w:sz w:val="18"/>
                <w:szCs w:val="18"/>
                <w:color w:val="auto"/>
              </w:rPr>
            </w:pPr>
          </w:p>
        </w:tc>
        <w:tc>
          <w:tcPr>
            <w:tcW w:w="56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693</w:t>
            </w:r>
          </w:p>
        </w:tc>
        <w:tc>
          <w:tcPr>
            <w:tcW w:w="0" w:type="dxa"/>
            <w:vAlign w:val="bottom"/>
          </w:tcPr>
          <w:p>
            <w:pPr>
              <w:spacing w:after="0"/>
              <w:rPr>
                <w:sz w:val="1"/>
                <w:szCs w:val="1"/>
                <w:color w:val="auto"/>
              </w:rPr>
            </w:pPr>
          </w:p>
        </w:tc>
      </w:tr>
      <w:tr>
        <w:trPr>
          <w:trHeight w:val="222"/>
        </w:trPr>
        <w:tc>
          <w:tcPr>
            <w:tcW w:w="1140" w:type="dxa"/>
            <w:vAlign w:val="bottom"/>
          </w:tcPr>
          <w:p>
            <w:pPr>
              <w:spacing w:after="0"/>
              <w:rPr>
                <w:sz w:val="19"/>
                <w:szCs w:val="19"/>
                <w:color w:val="auto"/>
              </w:rPr>
            </w:pPr>
          </w:p>
        </w:tc>
        <w:tc>
          <w:tcPr>
            <w:tcW w:w="6800" w:type="dxa"/>
            <w:vAlign w:val="bottom"/>
          </w:tcPr>
          <w:p>
            <w:pPr>
              <w:spacing w:after="0"/>
              <w:rPr>
                <w:sz w:val="19"/>
                <w:szCs w:val="19"/>
                <w:color w:val="auto"/>
              </w:rPr>
            </w:pPr>
          </w:p>
        </w:tc>
        <w:tc>
          <w:tcPr>
            <w:tcW w:w="180" w:type="dxa"/>
            <w:vAlign w:val="bottom"/>
            <w:gridSpan w:val="3"/>
          </w:tcPr>
          <w:p>
            <w:pPr>
              <w:spacing w:after="0"/>
              <w:rPr>
                <w:sz w:val="20"/>
                <w:szCs w:val="20"/>
                <w:color w:val="auto"/>
              </w:rPr>
            </w:pPr>
            <w:r>
              <w:rPr>
                <w:rFonts w:ascii="Arial" w:cs="Arial" w:eastAsia="Arial" w:hAnsi="Arial"/>
                <w:sz w:val="18"/>
                <w:szCs w:val="18"/>
                <w:color w:val="auto"/>
              </w:rPr>
              <w:t>$</w:t>
            </w:r>
          </w:p>
        </w:tc>
        <w:tc>
          <w:tcPr>
            <w:tcW w:w="500" w:type="dxa"/>
            <w:vAlign w:val="bottom"/>
          </w:tcPr>
          <w:p>
            <w:pPr>
              <w:jc w:val="right"/>
              <w:spacing w:after="0"/>
              <w:rPr>
                <w:sz w:val="20"/>
                <w:szCs w:val="20"/>
                <w:color w:val="auto"/>
              </w:rPr>
            </w:pPr>
            <w:r>
              <w:rPr>
                <w:rFonts w:ascii="Arial" w:cs="Arial" w:eastAsia="Arial" w:hAnsi="Arial"/>
                <w:sz w:val="18"/>
                <w:szCs w:val="18"/>
                <w:color w:val="auto"/>
                <w:w w:val="87"/>
              </w:rPr>
              <w:t>58,847</w:t>
            </w:r>
          </w:p>
        </w:tc>
        <w:tc>
          <w:tcPr>
            <w:tcW w:w="80" w:type="dxa"/>
            <w:vAlign w:val="bottom"/>
          </w:tcPr>
          <w:p>
            <w:pPr>
              <w:spacing w:after="0"/>
              <w:rPr>
                <w:sz w:val="19"/>
                <w:szCs w:val="19"/>
                <w:color w:val="auto"/>
              </w:rPr>
            </w:pPr>
          </w:p>
        </w:tc>
        <w:tc>
          <w:tcPr>
            <w:tcW w:w="560" w:type="dxa"/>
            <w:vAlign w:val="bottom"/>
            <w:gridSpan w:val="2"/>
          </w:tcPr>
          <w:p>
            <w:pPr>
              <w:ind w:left="420"/>
              <w:spacing w:after="0"/>
              <w:rPr>
                <w:sz w:val="20"/>
                <w:szCs w:val="20"/>
                <w:color w:val="auto"/>
              </w:rPr>
            </w:pPr>
            <w:r>
              <w:rPr>
                <w:rFonts w:ascii="Arial" w:cs="Arial" w:eastAsia="Arial" w:hAnsi="Arial"/>
                <w:sz w:val="18"/>
                <w:szCs w:val="18"/>
                <w:color w:val="auto"/>
              </w:rPr>
              <w:t>$</w:t>
            </w:r>
          </w:p>
        </w:tc>
        <w:tc>
          <w:tcPr>
            <w:tcW w:w="560" w:type="dxa"/>
            <w:vAlign w:val="bottom"/>
          </w:tcPr>
          <w:p>
            <w:pPr>
              <w:jc w:val="right"/>
              <w:spacing w:after="0"/>
              <w:rPr>
                <w:sz w:val="20"/>
                <w:szCs w:val="20"/>
                <w:color w:val="auto"/>
              </w:rPr>
            </w:pPr>
            <w:r>
              <w:rPr>
                <w:rFonts w:ascii="Arial" w:cs="Arial" w:eastAsia="Arial" w:hAnsi="Arial"/>
                <w:sz w:val="18"/>
                <w:szCs w:val="18"/>
                <w:color w:val="auto"/>
                <w:w w:val="94"/>
              </w:rPr>
              <w:t>49,655</w:t>
            </w:r>
          </w:p>
        </w:tc>
        <w:tc>
          <w:tcPr>
            <w:tcW w:w="0" w:type="dxa"/>
            <w:vAlign w:val="bottom"/>
          </w:tcPr>
          <w:p>
            <w:pPr>
              <w:spacing w:after="0"/>
              <w:rPr>
                <w:sz w:val="1"/>
                <w:szCs w:val="1"/>
                <w:color w:val="auto"/>
              </w:rPr>
            </w:pPr>
          </w:p>
        </w:tc>
      </w:tr>
      <w:tr>
        <w:trPr>
          <w:trHeight w:val="20"/>
        </w:trPr>
        <w:tc>
          <w:tcPr>
            <w:tcW w:w="1140" w:type="dxa"/>
            <w:vAlign w:val="bottom"/>
          </w:tcPr>
          <w:p>
            <w:pPr>
              <w:spacing w:after="0" w:line="20" w:lineRule="exact"/>
              <w:rPr>
                <w:sz w:val="1"/>
                <w:szCs w:val="1"/>
                <w:color w:val="auto"/>
              </w:rPr>
            </w:pPr>
          </w:p>
        </w:tc>
        <w:tc>
          <w:tcPr>
            <w:tcW w:w="6800" w:type="dxa"/>
            <w:vAlign w:val="bottom"/>
          </w:tcPr>
          <w:p>
            <w:pPr>
              <w:spacing w:after="0" w:line="20" w:lineRule="exact"/>
              <w:rPr>
                <w:sz w:val="1"/>
                <w:szCs w:val="1"/>
                <w:color w:val="auto"/>
              </w:rPr>
            </w:pPr>
          </w:p>
        </w:tc>
        <w:tc>
          <w:tcPr>
            <w:tcW w:w="20" w:type="dxa"/>
            <w:vAlign w:val="bottom"/>
            <w:tcBorders>
              <w:top w:val="single" w:sz="8" w:color="auto"/>
            </w:tcBorders>
          </w:tcPr>
          <w:p>
            <w:pPr>
              <w:spacing w:after="0" w:line="20" w:lineRule="exact"/>
              <w:rPr>
                <w:sz w:val="1"/>
                <w:szCs w:val="1"/>
                <w:color w:val="auto"/>
              </w:rPr>
            </w:pPr>
          </w:p>
        </w:tc>
        <w:tc>
          <w:tcPr>
            <w:tcW w:w="6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00" w:type="dxa"/>
            <w:vAlign w:val="bottom"/>
            <w:tcBorders>
              <w:top w:val="single" w:sz="8" w:color="auto"/>
              <w:bottom w:val="single" w:sz="8" w:color="auto"/>
            </w:tcBorders>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420" w:type="dxa"/>
            <w:vAlign w:val="bottom"/>
          </w:tcPr>
          <w:p>
            <w:pPr>
              <w:spacing w:after="0" w:line="20" w:lineRule="exact"/>
              <w:rPr>
                <w:sz w:val="1"/>
                <w:szCs w:val="1"/>
                <w:color w:val="auto"/>
              </w:rPr>
            </w:pPr>
          </w:p>
        </w:tc>
        <w:tc>
          <w:tcPr>
            <w:tcW w:w="140" w:type="dxa"/>
            <w:vAlign w:val="bottom"/>
            <w:tcBorders>
              <w:top w:val="single" w:sz="8" w:color="auto"/>
              <w:bottom w:val="single" w:sz="8" w:color="auto"/>
            </w:tcBorders>
          </w:tcPr>
          <w:p>
            <w:pPr>
              <w:spacing w:after="0" w:line="20" w:lineRule="exact"/>
              <w:rPr>
                <w:sz w:val="1"/>
                <w:szCs w:val="1"/>
                <w:color w:val="auto"/>
              </w:rPr>
            </w:pPr>
          </w:p>
        </w:tc>
        <w:tc>
          <w:tcPr>
            <w:tcW w:w="560" w:type="dxa"/>
            <w:vAlign w:val="bottom"/>
            <w:tcBorders>
              <w:top w:val="single" w:sz="8" w:color="auto"/>
              <w:bottom w:val="single" w:sz="8" w:color="auto"/>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248" w:lineRule="exact"/>
        <w:rPr>
          <w:sz w:val="20"/>
          <w:szCs w:val="20"/>
          <w:color w:val="auto"/>
        </w:rPr>
      </w:pPr>
    </w:p>
    <w:p>
      <w:pPr>
        <w:ind w:left="240"/>
        <w:spacing w:after="0"/>
        <w:rPr>
          <w:sz w:val="20"/>
          <w:szCs w:val="20"/>
          <w:color w:val="auto"/>
        </w:rPr>
      </w:pPr>
      <w:r>
        <w:rPr>
          <w:rFonts w:ascii="Arial" w:cs="Arial" w:eastAsia="Arial" w:hAnsi="Arial"/>
          <w:sz w:val="18"/>
          <w:szCs w:val="18"/>
          <w:b w:val="1"/>
          <w:bCs w:val="1"/>
          <w:i w:val="1"/>
          <w:iCs w:val="1"/>
          <w:color w:val="auto"/>
        </w:rPr>
        <w:t>Net income per share</w:t>
      </w:r>
    </w:p>
    <w:p>
      <w:pPr>
        <w:spacing w:after="0" w:line="90" w:lineRule="exact"/>
        <w:rPr>
          <w:sz w:val="20"/>
          <w:szCs w:val="20"/>
          <w:color w:val="auto"/>
        </w:rPr>
      </w:pPr>
    </w:p>
    <w:p>
      <w:pPr>
        <w:ind w:right="60" w:firstLine="456"/>
        <w:spacing w:after="0" w:line="256" w:lineRule="auto"/>
        <w:rPr>
          <w:sz w:val="20"/>
          <w:szCs w:val="20"/>
          <w:color w:val="auto"/>
        </w:rPr>
      </w:pPr>
      <w:r>
        <w:rPr>
          <w:rFonts w:ascii="Arial" w:cs="Arial" w:eastAsia="Arial" w:hAnsi="Arial"/>
          <w:sz w:val="18"/>
          <w:szCs w:val="18"/>
          <w:color w:val="auto"/>
        </w:rPr>
        <w:t>The Company reports both basic net income per share, which is based upon the weighted average number of common shares outstanding excluding contingently issuable or returnable shares, and diluted net income per share, which is based on the weighted average number of common shares outstanding and dilutive potential common shares. The computations of basic and diluted net income per share are presented in the following table (in thousands, except per share amounts):</w:t>
      </w:r>
    </w:p>
    <w:p>
      <w:pPr>
        <w:spacing w:after="0" w:line="179"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4780" w:type="dxa"/>
            <w:vAlign w:val="bottom"/>
          </w:tcPr>
          <w:p>
            <w:pPr>
              <w:spacing w:after="0"/>
              <w:rPr>
                <w:sz w:val="14"/>
                <w:szCs w:val="14"/>
                <w:color w:val="auto"/>
              </w:rPr>
            </w:pPr>
          </w:p>
        </w:tc>
        <w:tc>
          <w:tcPr>
            <w:tcW w:w="280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1660" w:type="dxa"/>
            <w:vAlign w:val="bottom"/>
            <w:gridSpan w:val="4"/>
          </w:tcPr>
          <w:p>
            <w:pPr>
              <w:jc w:val="right"/>
              <w:ind w:right="175"/>
              <w:spacing w:after="0"/>
              <w:rPr>
                <w:sz w:val="20"/>
                <w:szCs w:val="20"/>
                <w:color w:val="auto"/>
              </w:rPr>
            </w:pPr>
            <w:r>
              <w:rPr>
                <w:rFonts w:ascii="Arial" w:cs="Arial" w:eastAsia="Arial" w:hAnsi="Arial"/>
                <w:sz w:val="14"/>
                <w:szCs w:val="14"/>
                <w:b w:val="1"/>
                <w:bCs w:val="1"/>
                <w:color w:val="auto"/>
                <w:w w:val="99"/>
              </w:rPr>
              <w:t>Three Months Ended</w:t>
            </w:r>
          </w:p>
        </w:tc>
        <w:tc>
          <w:tcPr>
            <w:tcW w:w="34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1680" w:type="dxa"/>
            <w:vAlign w:val="bottom"/>
            <w:gridSpan w:val="5"/>
          </w:tcPr>
          <w:p>
            <w:pPr>
              <w:ind w:left="200"/>
              <w:spacing w:after="0"/>
              <w:rPr>
                <w:sz w:val="20"/>
                <w:szCs w:val="20"/>
                <w:color w:val="auto"/>
              </w:rPr>
            </w:pPr>
            <w:r>
              <w:rPr>
                <w:rFonts w:ascii="Arial" w:cs="Arial" w:eastAsia="Arial" w:hAnsi="Arial"/>
                <w:sz w:val="14"/>
                <w:szCs w:val="14"/>
                <w:b w:val="1"/>
                <w:bCs w:val="1"/>
                <w:color w:val="auto"/>
              </w:rPr>
              <w:t>Nine Months Ended</w:t>
            </w:r>
          </w:p>
        </w:tc>
        <w:tc>
          <w:tcPr>
            <w:tcW w:w="0" w:type="dxa"/>
            <w:vAlign w:val="bottom"/>
          </w:tcPr>
          <w:p>
            <w:pPr>
              <w:spacing w:after="0"/>
              <w:rPr>
                <w:sz w:val="1"/>
                <w:szCs w:val="1"/>
                <w:color w:val="auto"/>
              </w:rPr>
            </w:pPr>
          </w:p>
        </w:tc>
      </w:tr>
      <w:tr>
        <w:trPr>
          <w:trHeight w:val="129"/>
        </w:trPr>
        <w:tc>
          <w:tcPr>
            <w:tcW w:w="4780" w:type="dxa"/>
            <w:vAlign w:val="bottom"/>
          </w:tcPr>
          <w:p>
            <w:pPr>
              <w:spacing w:after="0"/>
              <w:rPr>
                <w:sz w:val="11"/>
                <w:szCs w:val="11"/>
                <w:color w:val="auto"/>
              </w:rPr>
            </w:pPr>
          </w:p>
        </w:tc>
        <w:tc>
          <w:tcPr>
            <w:tcW w:w="2800" w:type="dxa"/>
            <w:vAlign w:val="bottom"/>
          </w:tcPr>
          <w:p>
            <w:pPr>
              <w:spacing w:after="0"/>
              <w:rPr>
                <w:sz w:val="11"/>
                <w:szCs w:val="11"/>
                <w:color w:val="auto"/>
              </w:rPr>
            </w:pPr>
          </w:p>
        </w:tc>
        <w:tc>
          <w:tcPr>
            <w:tcW w:w="660" w:type="dxa"/>
            <w:vAlign w:val="bottom"/>
            <w:tcBorders>
              <w:top w:val="single" w:sz="8" w:color="auto"/>
            </w:tcBorders>
            <w:gridSpan w:val="2"/>
          </w:tcPr>
          <w:p>
            <w:pPr>
              <w:spacing w:after="0" w:line="129" w:lineRule="exact"/>
              <w:rPr>
                <w:sz w:val="20"/>
                <w:szCs w:val="20"/>
                <w:color w:val="auto"/>
              </w:rPr>
            </w:pPr>
            <w:r>
              <w:rPr>
                <w:rFonts w:ascii="Arial" w:cs="Arial" w:eastAsia="Arial" w:hAnsi="Arial"/>
                <w:sz w:val="14"/>
                <w:szCs w:val="14"/>
                <w:b w:val="1"/>
                <w:bCs w:val="1"/>
                <w:color w:val="auto"/>
                <w:w w:val="83"/>
              </w:rPr>
              <w:t>October 31,</w:t>
            </w:r>
          </w:p>
        </w:tc>
        <w:tc>
          <w:tcPr>
            <w:tcW w:w="340" w:type="dxa"/>
            <w:vAlign w:val="bottom"/>
            <w:tcBorders>
              <w:top w:val="single" w:sz="8" w:color="auto"/>
            </w:tcBorders>
          </w:tcPr>
          <w:p>
            <w:pPr>
              <w:spacing w:after="0"/>
              <w:rPr>
                <w:sz w:val="11"/>
                <w:szCs w:val="11"/>
                <w:color w:val="auto"/>
              </w:rPr>
            </w:pPr>
          </w:p>
        </w:tc>
        <w:tc>
          <w:tcPr>
            <w:tcW w:w="740" w:type="dxa"/>
            <w:vAlign w:val="bottom"/>
            <w:tcBorders>
              <w:top w:val="single" w:sz="8" w:color="auto"/>
            </w:tcBorders>
            <w:gridSpan w:val="2"/>
          </w:tcPr>
          <w:p>
            <w:pPr>
              <w:spacing w:after="0" w:line="129" w:lineRule="exact"/>
              <w:rPr>
                <w:sz w:val="20"/>
                <w:szCs w:val="20"/>
                <w:color w:val="auto"/>
              </w:rPr>
            </w:pPr>
            <w:r>
              <w:rPr>
                <w:rFonts w:ascii="Arial" w:cs="Arial" w:eastAsia="Arial" w:hAnsi="Arial"/>
                <w:sz w:val="14"/>
                <w:szCs w:val="14"/>
                <w:b w:val="1"/>
                <w:bCs w:val="1"/>
                <w:color w:val="auto"/>
                <w:w w:val="85"/>
              </w:rPr>
              <w:t>November 1,</w:t>
            </w:r>
          </w:p>
        </w:tc>
        <w:tc>
          <w:tcPr>
            <w:tcW w:w="340" w:type="dxa"/>
            <w:vAlign w:val="bottom"/>
          </w:tcPr>
          <w:p>
            <w:pPr>
              <w:spacing w:after="0"/>
              <w:rPr>
                <w:sz w:val="11"/>
                <w:szCs w:val="11"/>
                <w:color w:val="auto"/>
              </w:rPr>
            </w:pPr>
          </w:p>
        </w:tc>
        <w:tc>
          <w:tcPr>
            <w:tcW w:w="1020" w:type="dxa"/>
            <w:vAlign w:val="bottom"/>
            <w:tcBorders>
              <w:top w:val="single" w:sz="8" w:color="auto"/>
            </w:tcBorders>
            <w:gridSpan w:val="3"/>
          </w:tcPr>
          <w:p>
            <w:pPr>
              <w:spacing w:after="0" w:line="129" w:lineRule="exact"/>
              <w:rPr>
                <w:sz w:val="20"/>
                <w:szCs w:val="20"/>
                <w:color w:val="auto"/>
              </w:rPr>
            </w:pPr>
            <w:r>
              <w:rPr>
                <w:rFonts w:ascii="Arial" w:cs="Arial" w:eastAsia="Arial" w:hAnsi="Arial"/>
                <w:sz w:val="14"/>
                <w:szCs w:val="14"/>
                <w:b w:val="1"/>
                <w:bCs w:val="1"/>
                <w:color w:val="auto"/>
              </w:rPr>
              <w:t>October 31,</w:t>
            </w:r>
          </w:p>
        </w:tc>
        <w:tc>
          <w:tcPr>
            <w:tcW w:w="740" w:type="dxa"/>
            <w:vAlign w:val="bottom"/>
            <w:tcBorders>
              <w:top w:val="single" w:sz="8" w:color="auto"/>
            </w:tcBorders>
            <w:gridSpan w:val="2"/>
          </w:tcPr>
          <w:p>
            <w:pPr>
              <w:spacing w:after="0" w:line="129" w:lineRule="exact"/>
              <w:rPr>
                <w:sz w:val="20"/>
                <w:szCs w:val="20"/>
                <w:color w:val="auto"/>
              </w:rPr>
            </w:pPr>
            <w:r>
              <w:rPr>
                <w:rFonts w:ascii="Arial" w:cs="Arial" w:eastAsia="Arial" w:hAnsi="Arial"/>
                <w:sz w:val="14"/>
                <w:szCs w:val="14"/>
                <w:b w:val="1"/>
                <w:bCs w:val="1"/>
                <w:color w:val="auto"/>
                <w:w w:val="85"/>
              </w:rPr>
              <w:t>November 1,</w:t>
            </w: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1"/>
        </w:trPr>
        <w:tc>
          <w:tcPr>
            <w:tcW w:w="4780" w:type="dxa"/>
            <w:vAlign w:val="bottom"/>
          </w:tcPr>
          <w:p>
            <w:pPr>
              <w:spacing w:after="0"/>
              <w:rPr>
                <w:sz w:val="14"/>
                <w:szCs w:val="14"/>
                <w:color w:val="auto"/>
              </w:rPr>
            </w:pPr>
          </w:p>
        </w:tc>
        <w:tc>
          <w:tcPr>
            <w:tcW w:w="2800" w:type="dxa"/>
            <w:vAlign w:val="bottom"/>
          </w:tcPr>
          <w:p>
            <w:pPr>
              <w:spacing w:after="0"/>
              <w:rPr>
                <w:sz w:val="14"/>
                <w:szCs w:val="14"/>
                <w:color w:val="auto"/>
              </w:rPr>
            </w:pPr>
          </w:p>
        </w:tc>
        <w:tc>
          <w:tcPr>
            <w:tcW w:w="80" w:type="dxa"/>
            <w:vAlign w:val="bottom"/>
            <w:tcBorders>
              <w:bottom w:val="single" w:sz="8" w:color="auto"/>
            </w:tcBorders>
          </w:tcPr>
          <w:p>
            <w:pPr>
              <w:spacing w:after="0"/>
              <w:rPr>
                <w:sz w:val="14"/>
                <w:szCs w:val="14"/>
                <w:color w:val="auto"/>
              </w:rPr>
            </w:pPr>
          </w:p>
        </w:tc>
        <w:tc>
          <w:tcPr>
            <w:tcW w:w="580" w:type="dxa"/>
            <w:vAlign w:val="bottom"/>
            <w:tcBorders>
              <w:bottom w:val="single" w:sz="8" w:color="auto"/>
            </w:tcBorders>
          </w:tcPr>
          <w:p>
            <w:pPr>
              <w:jc w:val="right"/>
              <w:ind w:right="117"/>
              <w:spacing w:after="0"/>
              <w:rPr>
                <w:sz w:val="20"/>
                <w:szCs w:val="20"/>
                <w:color w:val="auto"/>
              </w:rPr>
            </w:pPr>
            <w:r>
              <w:rPr>
                <w:rFonts w:ascii="Arial" w:cs="Arial" w:eastAsia="Arial" w:hAnsi="Arial"/>
                <w:sz w:val="14"/>
                <w:szCs w:val="14"/>
                <w:b w:val="1"/>
                <w:bCs w:val="1"/>
                <w:color w:val="auto"/>
              </w:rPr>
              <w:t>2009</w:t>
            </w:r>
          </w:p>
        </w:tc>
        <w:tc>
          <w:tcPr>
            <w:tcW w:w="340" w:type="dxa"/>
            <w:vAlign w:val="bottom"/>
          </w:tcPr>
          <w:p>
            <w:pPr>
              <w:spacing w:after="0"/>
              <w:rPr>
                <w:sz w:val="14"/>
                <w:szCs w:val="14"/>
                <w:color w:val="auto"/>
              </w:rPr>
            </w:pPr>
          </w:p>
        </w:tc>
        <w:tc>
          <w:tcPr>
            <w:tcW w:w="140" w:type="dxa"/>
            <w:vAlign w:val="bottom"/>
            <w:tcBorders>
              <w:bottom w:val="single" w:sz="8" w:color="auto"/>
            </w:tcBorders>
          </w:tcPr>
          <w:p>
            <w:pPr>
              <w:spacing w:after="0"/>
              <w:rPr>
                <w:sz w:val="14"/>
                <w:szCs w:val="14"/>
                <w:color w:val="auto"/>
              </w:rPr>
            </w:pPr>
          </w:p>
        </w:tc>
        <w:tc>
          <w:tcPr>
            <w:tcW w:w="600" w:type="dxa"/>
            <w:vAlign w:val="bottom"/>
            <w:tcBorders>
              <w:bottom w:val="single" w:sz="8" w:color="auto"/>
            </w:tcBorders>
          </w:tcPr>
          <w:p>
            <w:pPr>
              <w:jc w:val="right"/>
              <w:ind w:right="135"/>
              <w:spacing w:after="0"/>
              <w:rPr>
                <w:sz w:val="20"/>
                <w:szCs w:val="20"/>
                <w:color w:val="auto"/>
              </w:rPr>
            </w:pPr>
            <w:r>
              <w:rPr>
                <w:rFonts w:ascii="Arial" w:cs="Arial" w:eastAsia="Arial" w:hAnsi="Arial"/>
                <w:sz w:val="14"/>
                <w:szCs w:val="14"/>
                <w:b w:val="1"/>
                <w:bCs w:val="1"/>
                <w:color w:val="auto"/>
              </w:rPr>
              <w:t>2008</w:t>
            </w:r>
          </w:p>
        </w:tc>
        <w:tc>
          <w:tcPr>
            <w:tcW w:w="340" w:type="dxa"/>
            <w:vAlign w:val="bottom"/>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580" w:type="dxa"/>
            <w:vAlign w:val="bottom"/>
            <w:tcBorders>
              <w:bottom w:val="single" w:sz="8" w:color="auto"/>
            </w:tcBorders>
          </w:tcPr>
          <w:p>
            <w:pPr>
              <w:jc w:val="right"/>
              <w:ind w:right="117"/>
              <w:spacing w:after="0"/>
              <w:rPr>
                <w:sz w:val="20"/>
                <w:szCs w:val="20"/>
                <w:color w:val="auto"/>
              </w:rPr>
            </w:pPr>
            <w:r>
              <w:rPr>
                <w:rFonts w:ascii="Arial" w:cs="Arial" w:eastAsia="Arial" w:hAnsi="Arial"/>
                <w:sz w:val="14"/>
                <w:szCs w:val="14"/>
                <w:b w:val="1"/>
                <w:bCs w:val="1"/>
                <w:color w:val="auto"/>
              </w:rPr>
              <w:t>2009</w:t>
            </w:r>
          </w:p>
        </w:tc>
        <w:tc>
          <w:tcPr>
            <w:tcW w:w="340" w:type="dxa"/>
            <w:vAlign w:val="bottom"/>
          </w:tcPr>
          <w:p>
            <w:pPr>
              <w:spacing w:after="0"/>
              <w:rPr>
                <w:sz w:val="14"/>
                <w:szCs w:val="14"/>
                <w:color w:val="auto"/>
              </w:rPr>
            </w:pPr>
          </w:p>
        </w:tc>
        <w:tc>
          <w:tcPr>
            <w:tcW w:w="120" w:type="dxa"/>
            <w:vAlign w:val="bottom"/>
            <w:tcBorders>
              <w:bottom w:val="single" w:sz="8" w:color="auto"/>
            </w:tcBorders>
          </w:tcPr>
          <w:p>
            <w:pPr>
              <w:spacing w:after="0"/>
              <w:rPr>
                <w:sz w:val="14"/>
                <w:szCs w:val="14"/>
                <w:color w:val="auto"/>
              </w:rPr>
            </w:pPr>
          </w:p>
        </w:tc>
        <w:tc>
          <w:tcPr>
            <w:tcW w:w="620" w:type="dxa"/>
            <w:vAlign w:val="bottom"/>
            <w:tcBorders>
              <w:bottom w:val="single" w:sz="8" w:color="auto"/>
            </w:tcBorders>
          </w:tcPr>
          <w:p>
            <w:pPr>
              <w:jc w:val="right"/>
              <w:ind w:right="155"/>
              <w:spacing w:after="0"/>
              <w:rPr>
                <w:sz w:val="20"/>
                <w:szCs w:val="20"/>
                <w:color w:val="auto"/>
              </w:rPr>
            </w:pPr>
            <w:r>
              <w:rPr>
                <w:rFonts w:ascii="Arial" w:cs="Arial" w:eastAsia="Arial" w:hAnsi="Arial"/>
                <w:sz w:val="14"/>
                <w:szCs w:val="14"/>
                <w:b w:val="1"/>
                <w:bCs w:val="1"/>
                <w:color w:val="auto"/>
              </w:rPr>
              <w:t>2008</w:t>
            </w:r>
          </w:p>
        </w:tc>
        <w:tc>
          <w:tcPr>
            <w:tcW w:w="2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210"/>
        </w:trPr>
        <w:tc>
          <w:tcPr>
            <w:tcW w:w="4780" w:type="dxa"/>
            <w:vAlign w:val="bottom"/>
            <w:shd w:val="clear" w:color="auto" w:fill="CCEEFF"/>
          </w:tcPr>
          <w:p>
            <w:pPr>
              <w:spacing w:after="0"/>
              <w:rPr>
                <w:sz w:val="20"/>
                <w:szCs w:val="20"/>
                <w:color w:val="auto"/>
              </w:rPr>
            </w:pPr>
            <w:r>
              <w:rPr>
                <w:rFonts w:ascii="Arial" w:cs="Arial" w:eastAsia="Arial" w:hAnsi="Arial"/>
                <w:sz w:val="18"/>
                <w:szCs w:val="18"/>
                <w:color w:val="auto"/>
              </w:rPr>
              <w:t>Numerator:</w:t>
            </w:r>
          </w:p>
        </w:tc>
        <w:tc>
          <w:tcPr>
            <w:tcW w:w="280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580" w:type="dxa"/>
            <w:vAlign w:val="bottom"/>
            <w:shd w:val="clear" w:color="auto" w:fill="CCEEFF"/>
          </w:tcPr>
          <w:p>
            <w:pPr>
              <w:spacing w:after="0"/>
              <w:rPr>
                <w:sz w:val="18"/>
                <w:szCs w:val="18"/>
                <w:color w:val="auto"/>
              </w:rPr>
            </w:pPr>
          </w:p>
        </w:tc>
        <w:tc>
          <w:tcPr>
            <w:tcW w:w="34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600" w:type="dxa"/>
            <w:vAlign w:val="bottom"/>
            <w:shd w:val="clear" w:color="auto" w:fill="CCEEFF"/>
          </w:tcPr>
          <w:p>
            <w:pPr>
              <w:spacing w:after="0"/>
              <w:rPr>
                <w:sz w:val="18"/>
                <w:szCs w:val="18"/>
                <w:color w:val="auto"/>
              </w:rPr>
            </w:pPr>
          </w:p>
        </w:tc>
        <w:tc>
          <w:tcPr>
            <w:tcW w:w="3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spacing w:after="0"/>
              <w:rPr>
                <w:sz w:val="18"/>
                <w:szCs w:val="18"/>
                <w:color w:val="auto"/>
              </w:rPr>
            </w:pPr>
          </w:p>
        </w:tc>
        <w:tc>
          <w:tcPr>
            <w:tcW w:w="34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620" w:type="dxa"/>
            <w:vAlign w:val="bottom"/>
            <w:shd w:val="clear" w:color="auto" w:fill="CCEEFF"/>
          </w:tcPr>
          <w:p>
            <w:pPr>
              <w:spacing w:after="0"/>
              <w:rPr>
                <w:sz w:val="18"/>
                <w:szCs w:val="18"/>
                <w:color w:val="auto"/>
              </w:rPr>
            </w:pP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780" w:type="dxa"/>
            <w:vAlign w:val="bottom"/>
          </w:tcPr>
          <w:p>
            <w:pPr>
              <w:spacing w:after="0"/>
              <w:rPr>
                <w:sz w:val="20"/>
                <w:szCs w:val="20"/>
                <w:color w:val="auto"/>
              </w:rPr>
            </w:pPr>
            <w:r>
              <w:rPr>
                <w:rFonts w:ascii="Arial" w:cs="Arial" w:eastAsia="Arial" w:hAnsi="Arial"/>
                <w:sz w:val="18"/>
                <w:szCs w:val="18"/>
                <w:color w:val="auto"/>
              </w:rPr>
              <w:t>Net income</w:t>
            </w:r>
          </w:p>
        </w:tc>
        <w:tc>
          <w:tcPr>
            <w:tcW w:w="2880" w:type="dxa"/>
            <w:vAlign w:val="bottom"/>
            <w:gridSpan w:val="2"/>
          </w:tcPr>
          <w:p>
            <w:pPr>
              <w:ind w:left="2800"/>
              <w:spacing w:after="0"/>
              <w:rPr>
                <w:sz w:val="20"/>
                <w:szCs w:val="20"/>
                <w:color w:val="auto"/>
              </w:rPr>
            </w:pPr>
            <w:r>
              <w:rPr>
                <w:rFonts w:ascii="Arial" w:cs="Arial" w:eastAsia="Arial" w:hAnsi="Arial"/>
                <w:sz w:val="15"/>
                <w:szCs w:val="15"/>
                <w:u w:val="single" w:color="auto"/>
                <w:color w:val="auto"/>
                <w:w w:val="71"/>
              </w:rPr>
              <w:t>$</w:t>
            </w:r>
          </w:p>
        </w:tc>
        <w:tc>
          <w:tcPr>
            <w:tcW w:w="580" w:type="dxa"/>
            <w:vAlign w:val="bottom"/>
          </w:tcPr>
          <w:p>
            <w:pPr>
              <w:jc w:val="right"/>
              <w:spacing w:after="0"/>
              <w:rPr>
                <w:sz w:val="20"/>
                <w:szCs w:val="20"/>
                <w:color w:val="auto"/>
              </w:rPr>
            </w:pPr>
            <w:r>
              <w:rPr>
                <w:rFonts w:ascii="Arial" w:cs="Arial" w:eastAsia="Arial" w:hAnsi="Arial"/>
                <w:sz w:val="18"/>
                <w:szCs w:val="18"/>
                <w:color w:val="auto"/>
                <w:w w:val="86"/>
              </w:rPr>
              <w:t>201,599</w:t>
            </w:r>
          </w:p>
        </w:tc>
        <w:tc>
          <w:tcPr>
            <w:tcW w:w="480" w:type="dxa"/>
            <w:vAlign w:val="bottom"/>
            <w:gridSpan w:val="2"/>
          </w:tcPr>
          <w:p>
            <w:pPr>
              <w:ind w:left="340"/>
              <w:spacing w:after="0"/>
              <w:rPr>
                <w:sz w:val="20"/>
                <w:szCs w:val="20"/>
                <w:color w:val="auto"/>
              </w:rPr>
            </w:pPr>
            <w:r>
              <w:rPr>
                <w:rFonts w:ascii="Arial" w:cs="Arial" w:eastAsia="Arial" w:hAnsi="Arial"/>
                <w:sz w:val="18"/>
                <w:szCs w:val="18"/>
                <w:color w:val="auto"/>
              </w:rPr>
              <w:t>$</w:t>
            </w:r>
          </w:p>
        </w:tc>
        <w:tc>
          <w:tcPr>
            <w:tcW w:w="600" w:type="dxa"/>
            <w:vAlign w:val="bottom"/>
          </w:tcPr>
          <w:p>
            <w:pPr>
              <w:jc w:val="right"/>
              <w:spacing w:after="0"/>
              <w:rPr>
                <w:sz w:val="20"/>
                <w:szCs w:val="20"/>
                <w:color w:val="auto"/>
              </w:rPr>
            </w:pPr>
            <w:r>
              <w:rPr>
                <w:rFonts w:ascii="Arial" w:cs="Arial" w:eastAsia="Arial" w:hAnsi="Arial"/>
                <w:sz w:val="18"/>
                <w:szCs w:val="18"/>
                <w:color w:val="auto"/>
              </w:rPr>
              <w:t>70,946</w:t>
            </w:r>
          </w:p>
        </w:tc>
        <w:tc>
          <w:tcPr>
            <w:tcW w:w="440" w:type="dxa"/>
            <w:vAlign w:val="bottom"/>
            <w:gridSpan w:val="2"/>
          </w:tcPr>
          <w:p>
            <w:pPr>
              <w:ind w:left="340"/>
              <w:spacing w:after="0"/>
              <w:rPr>
                <w:sz w:val="20"/>
                <w:szCs w:val="20"/>
                <w:color w:val="auto"/>
              </w:rPr>
            </w:pPr>
            <w:r>
              <w:rPr>
                <w:rFonts w:ascii="Arial" w:cs="Arial" w:eastAsia="Arial" w:hAnsi="Arial"/>
                <w:sz w:val="18"/>
                <w:szCs w:val="18"/>
                <w:u w:val="single" w:color="auto"/>
                <w:color w:val="auto"/>
                <w:w w:val="79"/>
              </w:rPr>
              <w:t>$</w:t>
            </w:r>
          </w:p>
        </w:tc>
        <w:tc>
          <w:tcPr>
            <w:tcW w:w="920" w:type="dxa"/>
            <w:vAlign w:val="bottom"/>
            <w:gridSpan w:val="2"/>
          </w:tcPr>
          <w:p>
            <w:pPr>
              <w:jc w:val="right"/>
              <w:ind w:right="340"/>
              <w:spacing w:after="0"/>
              <w:rPr>
                <w:sz w:val="20"/>
                <w:szCs w:val="20"/>
                <w:color w:val="auto"/>
              </w:rPr>
            </w:pPr>
            <w:r>
              <w:rPr>
                <w:rFonts w:ascii="Arial" w:cs="Arial" w:eastAsia="Arial" w:hAnsi="Arial"/>
                <w:sz w:val="18"/>
                <w:szCs w:val="18"/>
                <w:color w:val="auto"/>
                <w:w w:val="86"/>
              </w:rPr>
              <w:t>148,635</w:t>
            </w:r>
          </w:p>
        </w:tc>
        <w:tc>
          <w:tcPr>
            <w:tcW w:w="120" w:type="dxa"/>
            <w:vAlign w:val="bottom"/>
          </w:tcPr>
          <w:p>
            <w:pPr>
              <w:spacing w:after="0"/>
              <w:rPr>
                <w:sz w:val="20"/>
                <w:szCs w:val="20"/>
                <w:color w:val="auto"/>
              </w:rPr>
            </w:pPr>
            <w:r>
              <w:rPr>
                <w:rFonts w:ascii="Arial" w:cs="Arial" w:eastAsia="Arial" w:hAnsi="Arial"/>
                <w:sz w:val="18"/>
                <w:szCs w:val="18"/>
                <w:color w:val="auto"/>
                <w:w w:val="99"/>
              </w:rPr>
              <w:t>$</w:t>
            </w:r>
          </w:p>
        </w:tc>
        <w:tc>
          <w:tcPr>
            <w:tcW w:w="620" w:type="dxa"/>
            <w:vAlign w:val="bottom"/>
          </w:tcPr>
          <w:p>
            <w:pPr>
              <w:jc w:val="right"/>
              <w:spacing w:after="0"/>
              <w:rPr>
                <w:sz w:val="20"/>
                <w:szCs w:val="20"/>
                <w:color w:val="auto"/>
              </w:rPr>
            </w:pPr>
            <w:r>
              <w:rPr>
                <w:rFonts w:ascii="Arial" w:cs="Arial" w:eastAsia="Arial" w:hAnsi="Arial"/>
                <w:sz w:val="18"/>
                <w:szCs w:val="18"/>
                <w:color w:val="auto"/>
                <w:w w:val="92"/>
              </w:rPr>
              <w:t>212,252</w:t>
            </w: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4780" w:type="dxa"/>
            <w:vAlign w:val="bottom"/>
          </w:tcPr>
          <w:p>
            <w:pPr>
              <w:spacing w:after="0" w:line="20" w:lineRule="exact"/>
              <w:rPr>
                <w:sz w:val="1"/>
                <w:szCs w:val="1"/>
                <w:color w:val="auto"/>
              </w:rPr>
            </w:pPr>
          </w:p>
        </w:tc>
        <w:tc>
          <w:tcPr>
            <w:tcW w:w="280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340" w:type="dxa"/>
            <w:vAlign w:val="bottom"/>
          </w:tcPr>
          <w:p>
            <w:pPr>
              <w:spacing w:after="0" w:line="20" w:lineRule="exact"/>
              <w:rPr>
                <w:sz w:val="1"/>
                <w:szCs w:val="1"/>
                <w:color w:val="auto"/>
              </w:rPr>
            </w:pPr>
          </w:p>
        </w:tc>
        <w:tc>
          <w:tcPr>
            <w:tcW w:w="140" w:type="dxa"/>
            <w:vAlign w:val="bottom"/>
            <w:tcBorders>
              <w:top w:val="single" w:sz="8" w:color="auto"/>
              <w:bottom w:val="single" w:sz="8" w:color="auto"/>
            </w:tcBorders>
          </w:tcPr>
          <w:p>
            <w:pPr>
              <w:spacing w:after="0" w:line="20" w:lineRule="exact"/>
              <w:rPr>
                <w:sz w:val="1"/>
                <w:szCs w:val="1"/>
                <w:color w:val="auto"/>
              </w:rPr>
            </w:pPr>
          </w:p>
        </w:tc>
        <w:tc>
          <w:tcPr>
            <w:tcW w:w="600" w:type="dxa"/>
            <w:vAlign w:val="bottom"/>
            <w:tcBorders>
              <w:top w:val="single" w:sz="8" w:color="auto"/>
              <w:bottom w:val="single" w:sz="8" w:color="auto"/>
            </w:tcBorders>
          </w:tcPr>
          <w:p>
            <w:pPr>
              <w:spacing w:after="0" w:line="20" w:lineRule="exact"/>
              <w:rPr>
                <w:sz w:val="1"/>
                <w:szCs w:val="1"/>
                <w:color w:val="auto"/>
              </w:rPr>
            </w:pPr>
          </w:p>
        </w:tc>
        <w:tc>
          <w:tcPr>
            <w:tcW w:w="34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340" w:type="dxa"/>
            <w:vAlign w:val="bottom"/>
          </w:tcPr>
          <w:p>
            <w:pPr>
              <w:spacing w:after="0" w:line="20" w:lineRule="exact"/>
              <w:rPr>
                <w:sz w:val="1"/>
                <w:szCs w:val="1"/>
                <w:color w:val="auto"/>
              </w:rPr>
            </w:pPr>
          </w:p>
        </w:tc>
        <w:tc>
          <w:tcPr>
            <w:tcW w:w="120" w:type="dxa"/>
            <w:vAlign w:val="bottom"/>
            <w:tcBorders>
              <w:top w:val="single" w:sz="8" w:color="auto"/>
              <w:bottom w:val="single" w:sz="8" w:color="auto"/>
            </w:tcBorders>
          </w:tcPr>
          <w:p>
            <w:pPr>
              <w:spacing w:after="0" w:line="20" w:lineRule="exact"/>
              <w:rPr>
                <w:sz w:val="1"/>
                <w:szCs w:val="1"/>
                <w:color w:val="auto"/>
              </w:rPr>
            </w:pPr>
          </w:p>
        </w:tc>
        <w:tc>
          <w:tcPr>
            <w:tcW w:w="620" w:type="dxa"/>
            <w:vAlign w:val="bottom"/>
            <w:tcBorders>
              <w:top w:val="single" w:sz="8" w:color="auto"/>
              <w:bottom w:val="single" w:sz="8" w:color="auto"/>
            </w:tcBorders>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10"/>
        </w:trPr>
        <w:tc>
          <w:tcPr>
            <w:tcW w:w="4780" w:type="dxa"/>
            <w:vAlign w:val="bottom"/>
            <w:shd w:val="clear" w:color="auto" w:fill="CCEEFF"/>
          </w:tcPr>
          <w:p>
            <w:pPr>
              <w:spacing w:after="0"/>
              <w:rPr>
                <w:sz w:val="20"/>
                <w:szCs w:val="20"/>
                <w:color w:val="auto"/>
              </w:rPr>
            </w:pPr>
            <w:r>
              <w:rPr>
                <w:rFonts w:ascii="Arial" w:cs="Arial" w:eastAsia="Arial" w:hAnsi="Arial"/>
                <w:sz w:val="18"/>
                <w:szCs w:val="18"/>
                <w:color w:val="auto"/>
              </w:rPr>
              <w:t>Denominator:</w:t>
            </w:r>
          </w:p>
        </w:tc>
        <w:tc>
          <w:tcPr>
            <w:tcW w:w="280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580" w:type="dxa"/>
            <w:vAlign w:val="bottom"/>
            <w:shd w:val="clear" w:color="auto" w:fill="CCEEFF"/>
          </w:tcPr>
          <w:p>
            <w:pPr>
              <w:spacing w:after="0"/>
              <w:rPr>
                <w:sz w:val="18"/>
                <w:szCs w:val="18"/>
                <w:color w:val="auto"/>
              </w:rPr>
            </w:pPr>
          </w:p>
        </w:tc>
        <w:tc>
          <w:tcPr>
            <w:tcW w:w="34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600" w:type="dxa"/>
            <w:vAlign w:val="bottom"/>
            <w:shd w:val="clear" w:color="auto" w:fill="CCEEFF"/>
          </w:tcPr>
          <w:p>
            <w:pPr>
              <w:spacing w:after="0"/>
              <w:rPr>
                <w:sz w:val="18"/>
                <w:szCs w:val="18"/>
                <w:color w:val="auto"/>
              </w:rPr>
            </w:pPr>
          </w:p>
        </w:tc>
        <w:tc>
          <w:tcPr>
            <w:tcW w:w="3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spacing w:after="0"/>
              <w:rPr>
                <w:sz w:val="18"/>
                <w:szCs w:val="18"/>
                <w:color w:val="auto"/>
              </w:rPr>
            </w:pPr>
          </w:p>
        </w:tc>
        <w:tc>
          <w:tcPr>
            <w:tcW w:w="34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620" w:type="dxa"/>
            <w:vAlign w:val="bottom"/>
            <w:shd w:val="clear" w:color="auto" w:fill="CCEEFF"/>
          </w:tcPr>
          <w:p>
            <w:pPr>
              <w:spacing w:after="0"/>
              <w:rPr>
                <w:sz w:val="18"/>
                <w:szCs w:val="18"/>
                <w:color w:val="auto"/>
              </w:rPr>
            </w:pP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780" w:type="dxa"/>
            <w:vAlign w:val="bottom"/>
          </w:tcPr>
          <w:p>
            <w:pPr>
              <w:spacing w:after="0"/>
              <w:rPr>
                <w:sz w:val="20"/>
                <w:szCs w:val="20"/>
                <w:color w:val="auto"/>
              </w:rPr>
            </w:pPr>
            <w:r>
              <w:rPr>
                <w:rFonts w:ascii="Arial" w:cs="Arial" w:eastAsia="Arial" w:hAnsi="Arial"/>
                <w:sz w:val="18"/>
                <w:szCs w:val="18"/>
                <w:color w:val="auto"/>
              </w:rPr>
              <w:t>Weighted average shares of common shares outstanding</w:t>
            </w:r>
          </w:p>
        </w:tc>
        <w:tc>
          <w:tcPr>
            <w:tcW w:w="280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60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62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780" w:type="dxa"/>
            <w:vAlign w:val="bottom"/>
            <w:shd w:val="clear" w:color="auto" w:fill="CCEEFF"/>
          </w:tcPr>
          <w:p>
            <w:pPr>
              <w:ind w:left="440"/>
              <w:spacing w:after="0"/>
              <w:rPr>
                <w:sz w:val="20"/>
                <w:szCs w:val="20"/>
                <w:color w:val="auto"/>
              </w:rPr>
            </w:pPr>
            <w:r>
              <w:rPr>
                <w:rFonts w:ascii="Arial" w:cs="Arial" w:eastAsia="Arial" w:hAnsi="Arial"/>
                <w:sz w:val="18"/>
                <w:szCs w:val="18"/>
                <w:color w:val="auto"/>
              </w:rPr>
              <w:t>Weighted average shares — basic</w:t>
            </w:r>
          </w:p>
        </w:tc>
        <w:tc>
          <w:tcPr>
            <w:tcW w:w="280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6"/>
              </w:rPr>
              <w:t>623,613</w:t>
            </w:r>
          </w:p>
        </w:tc>
        <w:tc>
          <w:tcPr>
            <w:tcW w:w="34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6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9"/>
              </w:rPr>
              <w:t>611,945</w:t>
            </w:r>
          </w:p>
        </w:tc>
        <w:tc>
          <w:tcPr>
            <w:tcW w:w="3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920" w:type="dxa"/>
            <w:vAlign w:val="bottom"/>
            <w:gridSpan w:val="2"/>
            <w:shd w:val="clear" w:color="auto" w:fill="CCEEFF"/>
          </w:tcPr>
          <w:p>
            <w:pPr>
              <w:jc w:val="right"/>
              <w:ind w:right="340"/>
              <w:spacing w:after="0"/>
              <w:rPr>
                <w:sz w:val="20"/>
                <w:szCs w:val="20"/>
                <w:color w:val="auto"/>
              </w:rPr>
            </w:pPr>
            <w:r>
              <w:rPr>
                <w:rFonts w:ascii="Arial" w:cs="Arial" w:eastAsia="Arial" w:hAnsi="Arial"/>
                <w:sz w:val="18"/>
                <w:szCs w:val="18"/>
                <w:color w:val="auto"/>
                <w:w w:val="86"/>
              </w:rPr>
              <w:t>621,057</w:t>
            </w:r>
          </w:p>
        </w:tc>
        <w:tc>
          <w:tcPr>
            <w:tcW w:w="120" w:type="dxa"/>
            <w:vAlign w:val="bottom"/>
            <w:shd w:val="clear" w:color="auto" w:fill="CCEEFF"/>
          </w:tcPr>
          <w:p>
            <w:pPr>
              <w:spacing w:after="0"/>
              <w:rPr>
                <w:sz w:val="18"/>
                <w:szCs w:val="18"/>
                <w:color w:val="auto"/>
              </w:rPr>
            </w:pPr>
          </w:p>
        </w:tc>
        <w:tc>
          <w:tcPr>
            <w:tcW w:w="620" w:type="dxa"/>
            <w:vAlign w:val="bottom"/>
            <w:shd w:val="clear" w:color="auto" w:fill="CCEEFF"/>
          </w:tcPr>
          <w:p>
            <w:pPr>
              <w:jc w:val="right"/>
              <w:spacing w:after="0"/>
              <w:rPr>
                <w:sz w:val="20"/>
                <w:szCs w:val="20"/>
                <w:color w:val="auto"/>
              </w:rPr>
            </w:pPr>
            <w:r>
              <w:rPr>
                <w:rFonts w:ascii="Arial" w:cs="Arial" w:eastAsia="Arial" w:hAnsi="Arial"/>
                <w:sz w:val="18"/>
                <w:szCs w:val="18"/>
                <w:color w:val="auto"/>
                <w:w w:val="92"/>
              </w:rPr>
              <w:t>606,676</w:t>
            </w: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780" w:type="dxa"/>
            <w:vAlign w:val="bottom"/>
          </w:tcPr>
          <w:p>
            <w:pPr>
              <w:spacing w:after="0"/>
              <w:rPr>
                <w:sz w:val="20"/>
                <w:szCs w:val="20"/>
                <w:color w:val="auto"/>
              </w:rPr>
            </w:pPr>
            <w:r>
              <w:rPr>
                <w:rFonts w:ascii="Arial" w:cs="Arial" w:eastAsia="Arial" w:hAnsi="Arial"/>
                <w:sz w:val="18"/>
                <w:szCs w:val="18"/>
                <w:color w:val="auto"/>
              </w:rPr>
              <w:t>Effect of dilutive securities:</w:t>
            </w:r>
          </w:p>
        </w:tc>
        <w:tc>
          <w:tcPr>
            <w:tcW w:w="280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60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62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780" w:type="dxa"/>
            <w:vAlign w:val="bottom"/>
            <w:shd w:val="clear" w:color="auto" w:fill="CCEEFF"/>
          </w:tcPr>
          <w:p>
            <w:pPr>
              <w:spacing w:after="0"/>
              <w:rPr>
                <w:sz w:val="20"/>
                <w:szCs w:val="20"/>
                <w:color w:val="auto"/>
              </w:rPr>
            </w:pPr>
            <w:r>
              <w:rPr>
                <w:rFonts w:ascii="Arial" w:cs="Arial" w:eastAsia="Arial" w:hAnsi="Arial"/>
                <w:sz w:val="18"/>
                <w:szCs w:val="18"/>
                <w:color w:val="auto"/>
              </w:rPr>
              <w:t>Warrants</w:t>
            </w:r>
          </w:p>
        </w:tc>
        <w:tc>
          <w:tcPr>
            <w:tcW w:w="280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34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6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3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920" w:type="dxa"/>
            <w:vAlign w:val="bottom"/>
            <w:gridSpan w:val="2"/>
            <w:shd w:val="clear" w:color="auto" w:fill="CCEEFF"/>
          </w:tcPr>
          <w:p>
            <w:pPr>
              <w:ind w:left="320"/>
              <w:spacing w:after="0"/>
              <w:rPr>
                <w:sz w:val="20"/>
                <w:szCs w:val="20"/>
                <w:color w:val="auto"/>
              </w:rPr>
            </w:pPr>
            <w:r>
              <w:rPr>
                <w:rFonts w:ascii="Arial" w:cs="Arial" w:eastAsia="Arial" w:hAnsi="Arial"/>
                <w:sz w:val="18"/>
                <w:szCs w:val="18"/>
                <w:color w:val="auto"/>
              </w:rPr>
              <w:t>—</w:t>
            </w:r>
          </w:p>
        </w:tc>
        <w:tc>
          <w:tcPr>
            <w:tcW w:w="120" w:type="dxa"/>
            <w:vAlign w:val="bottom"/>
            <w:shd w:val="clear" w:color="auto" w:fill="CCEEFF"/>
          </w:tcPr>
          <w:p>
            <w:pPr>
              <w:spacing w:after="0"/>
              <w:rPr>
                <w:sz w:val="18"/>
                <w:szCs w:val="18"/>
                <w:color w:val="auto"/>
              </w:rPr>
            </w:pPr>
          </w:p>
        </w:tc>
        <w:tc>
          <w:tcPr>
            <w:tcW w:w="6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420</w:t>
            </w: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23"/>
        </w:trPr>
        <w:tc>
          <w:tcPr>
            <w:tcW w:w="4780" w:type="dxa"/>
            <w:vAlign w:val="bottom"/>
          </w:tcPr>
          <w:p>
            <w:pPr>
              <w:spacing w:after="0"/>
              <w:rPr>
                <w:sz w:val="20"/>
                <w:szCs w:val="20"/>
                <w:color w:val="auto"/>
              </w:rPr>
            </w:pPr>
            <w:r>
              <w:rPr>
                <w:rFonts w:ascii="Arial" w:cs="Arial" w:eastAsia="Arial" w:hAnsi="Arial"/>
                <w:sz w:val="18"/>
                <w:szCs w:val="18"/>
                <w:color w:val="auto"/>
              </w:rPr>
              <w:t>Common share options and other</w:t>
            </w:r>
          </w:p>
        </w:tc>
        <w:tc>
          <w:tcPr>
            <w:tcW w:w="2800" w:type="dxa"/>
            <w:vAlign w:val="bottom"/>
          </w:tcPr>
          <w:p>
            <w:pPr>
              <w:spacing w:after="0"/>
              <w:rPr>
                <w:sz w:val="19"/>
                <w:szCs w:val="19"/>
                <w:color w:val="auto"/>
              </w:rPr>
            </w:pPr>
          </w:p>
        </w:tc>
        <w:tc>
          <w:tcPr>
            <w:tcW w:w="80" w:type="dxa"/>
            <w:vAlign w:val="bottom"/>
            <w:tcBorders>
              <w:bottom w:val="single" w:sz="8" w:color="auto"/>
            </w:tcBorders>
          </w:tcPr>
          <w:p>
            <w:pPr>
              <w:spacing w:after="0"/>
              <w:rPr>
                <w:sz w:val="19"/>
                <w:szCs w:val="19"/>
                <w:color w:val="auto"/>
              </w:rPr>
            </w:pPr>
          </w:p>
        </w:tc>
        <w:tc>
          <w:tcPr>
            <w:tcW w:w="58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36,126</w:t>
            </w:r>
          </w:p>
        </w:tc>
        <w:tc>
          <w:tcPr>
            <w:tcW w:w="340" w:type="dxa"/>
            <w:vAlign w:val="bottom"/>
          </w:tcPr>
          <w:p>
            <w:pPr>
              <w:spacing w:after="0"/>
              <w:rPr>
                <w:sz w:val="19"/>
                <w:szCs w:val="19"/>
                <w:color w:val="auto"/>
              </w:rPr>
            </w:pPr>
          </w:p>
        </w:tc>
        <w:tc>
          <w:tcPr>
            <w:tcW w:w="140" w:type="dxa"/>
            <w:vAlign w:val="bottom"/>
            <w:tcBorders>
              <w:bottom w:val="single" w:sz="8" w:color="auto"/>
            </w:tcBorders>
          </w:tcPr>
          <w:p>
            <w:pPr>
              <w:spacing w:after="0"/>
              <w:rPr>
                <w:sz w:val="19"/>
                <w:szCs w:val="19"/>
                <w:color w:val="auto"/>
              </w:rPr>
            </w:pPr>
          </w:p>
        </w:tc>
        <w:tc>
          <w:tcPr>
            <w:tcW w:w="6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18,865</w:t>
            </w:r>
          </w:p>
        </w:tc>
        <w:tc>
          <w:tcPr>
            <w:tcW w:w="340" w:type="dxa"/>
            <w:vAlign w:val="bottom"/>
          </w:tcPr>
          <w:p>
            <w:pPr>
              <w:spacing w:after="0"/>
              <w:rPr>
                <w:sz w:val="19"/>
                <w:szCs w:val="19"/>
                <w:color w:val="auto"/>
              </w:rPr>
            </w:pPr>
          </w:p>
        </w:tc>
        <w:tc>
          <w:tcPr>
            <w:tcW w:w="100" w:type="dxa"/>
            <w:vAlign w:val="bottom"/>
            <w:tcBorders>
              <w:bottom w:val="single" w:sz="8" w:color="auto"/>
            </w:tcBorders>
          </w:tcPr>
          <w:p>
            <w:pPr>
              <w:spacing w:after="0"/>
              <w:rPr>
                <w:sz w:val="19"/>
                <w:szCs w:val="19"/>
                <w:color w:val="auto"/>
              </w:rPr>
            </w:pPr>
          </w:p>
        </w:tc>
        <w:tc>
          <w:tcPr>
            <w:tcW w:w="58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26,806</w:t>
            </w:r>
          </w:p>
        </w:tc>
        <w:tc>
          <w:tcPr>
            <w:tcW w:w="340" w:type="dxa"/>
            <w:vAlign w:val="bottom"/>
          </w:tcPr>
          <w:p>
            <w:pPr>
              <w:spacing w:after="0"/>
              <w:rPr>
                <w:sz w:val="19"/>
                <w:szCs w:val="19"/>
                <w:color w:val="auto"/>
              </w:rPr>
            </w:pPr>
          </w:p>
        </w:tc>
        <w:tc>
          <w:tcPr>
            <w:tcW w:w="120" w:type="dxa"/>
            <w:vAlign w:val="bottom"/>
            <w:tcBorders>
              <w:bottom w:val="single" w:sz="8" w:color="auto"/>
            </w:tcBorders>
          </w:tcPr>
          <w:p>
            <w:pPr>
              <w:spacing w:after="0"/>
              <w:rPr>
                <w:sz w:val="19"/>
                <w:szCs w:val="19"/>
                <w:color w:val="auto"/>
              </w:rPr>
            </w:pPr>
          </w:p>
        </w:tc>
        <w:tc>
          <w:tcPr>
            <w:tcW w:w="62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23,901</w:t>
            </w:r>
          </w:p>
        </w:tc>
        <w:tc>
          <w:tcPr>
            <w:tcW w:w="2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16"/>
        </w:trPr>
        <w:tc>
          <w:tcPr>
            <w:tcW w:w="4780" w:type="dxa"/>
            <w:vAlign w:val="bottom"/>
            <w:shd w:val="clear" w:color="auto" w:fill="CCEEFF"/>
          </w:tcPr>
          <w:p>
            <w:pPr>
              <w:ind w:left="440"/>
              <w:spacing w:after="0"/>
              <w:rPr>
                <w:sz w:val="20"/>
                <w:szCs w:val="20"/>
                <w:color w:val="auto"/>
              </w:rPr>
            </w:pPr>
            <w:r>
              <w:rPr>
                <w:rFonts w:ascii="Arial" w:cs="Arial" w:eastAsia="Arial" w:hAnsi="Arial"/>
                <w:sz w:val="18"/>
                <w:szCs w:val="18"/>
                <w:color w:val="auto"/>
              </w:rPr>
              <w:t>Weighted average shares — diluted</w:t>
            </w:r>
          </w:p>
        </w:tc>
        <w:tc>
          <w:tcPr>
            <w:tcW w:w="280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6"/>
              </w:rPr>
              <w:t>659,739</w:t>
            </w:r>
          </w:p>
        </w:tc>
        <w:tc>
          <w:tcPr>
            <w:tcW w:w="34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6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9"/>
              </w:rPr>
              <w:t>630,810</w:t>
            </w:r>
          </w:p>
        </w:tc>
        <w:tc>
          <w:tcPr>
            <w:tcW w:w="3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920" w:type="dxa"/>
            <w:vAlign w:val="bottom"/>
            <w:gridSpan w:val="2"/>
            <w:shd w:val="clear" w:color="auto" w:fill="CCEEFF"/>
          </w:tcPr>
          <w:p>
            <w:pPr>
              <w:jc w:val="right"/>
              <w:ind w:right="340"/>
              <w:spacing w:after="0"/>
              <w:rPr>
                <w:sz w:val="20"/>
                <w:szCs w:val="20"/>
                <w:color w:val="auto"/>
              </w:rPr>
            </w:pPr>
            <w:r>
              <w:rPr>
                <w:rFonts w:ascii="Arial" w:cs="Arial" w:eastAsia="Arial" w:hAnsi="Arial"/>
                <w:sz w:val="18"/>
                <w:szCs w:val="18"/>
                <w:color w:val="auto"/>
                <w:w w:val="86"/>
              </w:rPr>
              <w:t>647,863</w:t>
            </w:r>
          </w:p>
        </w:tc>
        <w:tc>
          <w:tcPr>
            <w:tcW w:w="120" w:type="dxa"/>
            <w:vAlign w:val="bottom"/>
            <w:shd w:val="clear" w:color="auto" w:fill="CCEEFF"/>
          </w:tcPr>
          <w:p>
            <w:pPr>
              <w:spacing w:after="0"/>
              <w:rPr>
                <w:sz w:val="18"/>
                <w:szCs w:val="18"/>
                <w:color w:val="auto"/>
              </w:rPr>
            </w:pPr>
          </w:p>
        </w:tc>
        <w:tc>
          <w:tcPr>
            <w:tcW w:w="620" w:type="dxa"/>
            <w:vAlign w:val="bottom"/>
            <w:shd w:val="clear" w:color="auto" w:fill="CCEEFF"/>
          </w:tcPr>
          <w:p>
            <w:pPr>
              <w:jc w:val="right"/>
              <w:spacing w:after="0"/>
              <w:rPr>
                <w:sz w:val="20"/>
                <w:szCs w:val="20"/>
                <w:color w:val="auto"/>
              </w:rPr>
            </w:pPr>
            <w:r>
              <w:rPr>
                <w:rFonts w:ascii="Arial" w:cs="Arial" w:eastAsia="Arial" w:hAnsi="Arial"/>
                <w:sz w:val="18"/>
                <w:szCs w:val="18"/>
                <w:color w:val="auto"/>
                <w:w w:val="92"/>
              </w:rPr>
              <w:t>630,997</w:t>
            </w: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4780" w:type="dxa"/>
            <w:vAlign w:val="bottom"/>
            <w:vMerge w:val="restart"/>
          </w:tcPr>
          <w:p>
            <w:pPr>
              <w:spacing w:after="0"/>
              <w:rPr>
                <w:sz w:val="20"/>
                <w:szCs w:val="20"/>
                <w:color w:val="auto"/>
              </w:rPr>
            </w:pPr>
            <w:r>
              <w:rPr>
                <w:rFonts w:ascii="Arial" w:cs="Arial" w:eastAsia="Arial" w:hAnsi="Arial"/>
                <w:sz w:val="18"/>
                <w:szCs w:val="18"/>
                <w:color w:val="auto"/>
              </w:rPr>
              <w:t>Net income per share</w:t>
            </w:r>
          </w:p>
        </w:tc>
        <w:tc>
          <w:tcPr>
            <w:tcW w:w="280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340" w:type="dxa"/>
            <w:vAlign w:val="bottom"/>
          </w:tcPr>
          <w:p>
            <w:pPr>
              <w:spacing w:after="0" w:line="20" w:lineRule="exact"/>
              <w:rPr>
                <w:sz w:val="1"/>
                <w:szCs w:val="1"/>
                <w:color w:val="auto"/>
              </w:rPr>
            </w:pPr>
          </w:p>
        </w:tc>
        <w:tc>
          <w:tcPr>
            <w:tcW w:w="140" w:type="dxa"/>
            <w:vAlign w:val="bottom"/>
            <w:tcBorders>
              <w:top w:val="single" w:sz="8" w:color="auto"/>
              <w:bottom w:val="single" w:sz="8" w:color="auto"/>
            </w:tcBorders>
          </w:tcPr>
          <w:p>
            <w:pPr>
              <w:spacing w:after="0" w:line="20" w:lineRule="exact"/>
              <w:rPr>
                <w:sz w:val="1"/>
                <w:szCs w:val="1"/>
                <w:color w:val="auto"/>
              </w:rPr>
            </w:pPr>
          </w:p>
        </w:tc>
        <w:tc>
          <w:tcPr>
            <w:tcW w:w="600" w:type="dxa"/>
            <w:vAlign w:val="bottom"/>
            <w:tcBorders>
              <w:top w:val="single" w:sz="8" w:color="auto"/>
              <w:bottom w:val="single" w:sz="8" w:color="auto"/>
            </w:tcBorders>
          </w:tcPr>
          <w:p>
            <w:pPr>
              <w:spacing w:after="0" w:line="20" w:lineRule="exact"/>
              <w:rPr>
                <w:sz w:val="1"/>
                <w:szCs w:val="1"/>
                <w:color w:val="auto"/>
              </w:rPr>
            </w:pPr>
          </w:p>
        </w:tc>
        <w:tc>
          <w:tcPr>
            <w:tcW w:w="34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340" w:type="dxa"/>
            <w:vAlign w:val="bottom"/>
          </w:tcPr>
          <w:p>
            <w:pPr>
              <w:spacing w:after="0" w:line="20" w:lineRule="exact"/>
              <w:rPr>
                <w:sz w:val="1"/>
                <w:szCs w:val="1"/>
                <w:color w:val="auto"/>
              </w:rPr>
            </w:pPr>
          </w:p>
        </w:tc>
        <w:tc>
          <w:tcPr>
            <w:tcW w:w="120" w:type="dxa"/>
            <w:vAlign w:val="bottom"/>
            <w:tcBorders>
              <w:top w:val="single" w:sz="8" w:color="auto"/>
              <w:bottom w:val="single" w:sz="8" w:color="auto"/>
            </w:tcBorders>
          </w:tcPr>
          <w:p>
            <w:pPr>
              <w:spacing w:after="0" w:line="20" w:lineRule="exact"/>
              <w:rPr>
                <w:sz w:val="1"/>
                <w:szCs w:val="1"/>
                <w:color w:val="auto"/>
              </w:rPr>
            </w:pPr>
          </w:p>
        </w:tc>
        <w:tc>
          <w:tcPr>
            <w:tcW w:w="620" w:type="dxa"/>
            <w:vAlign w:val="bottom"/>
            <w:tcBorders>
              <w:top w:val="single" w:sz="8" w:color="auto"/>
              <w:bottom w:val="single" w:sz="8" w:color="auto"/>
            </w:tcBorders>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08"/>
        </w:trPr>
        <w:tc>
          <w:tcPr>
            <w:tcW w:w="4780" w:type="dxa"/>
            <w:vAlign w:val="bottom"/>
            <w:vMerge w:val="continue"/>
          </w:tcPr>
          <w:p>
            <w:pPr>
              <w:spacing w:after="0"/>
              <w:rPr>
                <w:sz w:val="18"/>
                <w:szCs w:val="18"/>
                <w:color w:val="auto"/>
              </w:rPr>
            </w:pPr>
          </w:p>
        </w:tc>
        <w:tc>
          <w:tcPr>
            <w:tcW w:w="280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60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62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8"/>
        </w:trPr>
        <w:tc>
          <w:tcPr>
            <w:tcW w:w="4780" w:type="dxa"/>
            <w:vAlign w:val="bottom"/>
            <w:shd w:val="clear" w:color="auto" w:fill="CCEEFF"/>
          </w:tcPr>
          <w:p>
            <w:pPr>
              <w:ind w:left="440"/>
              <w:spacing w:after="0"/>
              <w:rPr>
                <w:sz w:val="20"/>
                <w:szCs w:val="20"/>
                <w:color w:val="auto"/>
              </w:rPr>
            </w:pPr>
            <w:r>
              <w:rPr>
                <w:rFonts w:ascii="Arial" w:cs="Arial" w:eastAsia="Arial" w:hAnsi="Arial"/>
                <w:sz w:val="18"/>
                <w:szCs w:val="18"/>
                <w:color w:val="auto"/>
              </w:rPr>
              <w:t>Basic</w:t>
            </w:r>
          </w:p>
        </w:tc>
        <w:tc>
          <w:tcPr>
            <w:tcW w:w="2880" w:type="dxa"/>
            <w:vAlign w:val="bottom"/>
            <w:gridSpan w:val="2"/>
            <w:shd w:val="clear" w:color="auto" w:fill="CCEEFF"/>
          </w:tcPr>
          <w:p>
            <w:pPr>
              <w:ind w:left="2800"/>
              <w:spacing w:after="0"/>
              <w:rPr>
                <w:sz w:val="20"/>
                <w:szCs w:val="20"/>
                <w:color w:val="auto"/>
              </w:rPr>
            </w:pPr>
            <w:r>
              <w:rPr>
                <w:rFonts w:ascii="Arial" w:cs="Arial" w:eastAsia="Arial" w:hAnsi="Arial"/>
                <w:sz w:val="15"/>
                <w:szCs w:val="15"/>
                <w:color w:val="auto"/>
                <w:w w:val="71"/>
              </w:rPr>
              <w:t>$</w:t>
            </w: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0.32</w:t>
            </w:r>
          </w:p>
        </w:tc>
        <w:tc>
          <w:tcPr>
            <w:tcW w:w="480" w:type="dxa"/>
            <w:vAlign w:val="bottom"/>
            <w:gridSpan w:val="2"/>
            <w:shd w:val="clear" w:color="auto" w:fill="CCEEFF"/>
          </w:tcPr>
          <w:p>
            <w:pPr>
              <w:ind w:left="340"/>
              <w:spacing w:after="0"/>
              <w:rPr>
                <w:sz w:val="20"/>
                <w:szCs w:val="20"/>
                <w:color w:val="auto"/>
              </w:rPr>
            </w:pPr>
            <w:r>
              <w:rPr>
                <w:rFonts w:ascii="Arial" w:cs="Arial" w:eastAsia="Arial" w:hAnsi="Arial"/>
                <w:sz w:val="18"/>
                <w:szCs w:val="18"/>
                <w:color w:val="auto"/>
              </w:rPr>
              <w:t>$</w:t>
            </w:r>
          </w:p>
        </w:tc>
        <w:tc>
          <w:tcPr>
            <w:tcW w:w="6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0.12</w:t>
            </w:r>
          </w:p>
        </w:tc>
        <w:tc>
          <w:tcPr>
            <w:tcW w:w="440" w:type="dxa"/>
            <w:vAlign w:val="bottom"/>
            <w:gridSpan w:val="2"/>
            <w:shd w:val="clear" w:color="auto" w:fill="CCEEFF"/>
          </w:tcPr>
          <w:p>
            <w:pPr>
              <w:ind w:left="340"/>
              <w:spacing w:after="0"/>
              <w:rPr>
                <w:sz w:val="20"/>
                <w:szCs w:val="20"/>
                <w:color w:val="auto"/>
              </w:rPr>
            </w:pPr>
            <w:r>
              <w:rPr>
                <w:rFonts w:ascii="Arial" w:cs="Arial" w:eastAsia="Arial" w:hAnsi="Arial"/>
                <w:sz w:val="18"/>
                <w:szCs w:val="18"/>
                <w:color w:val="auto"/>
                <w:w w:val="79"/>
              </w:rPr>
              <w:t>$</w:t>
            </w:r>
          </w:p>
        </w:tc>
        <w:tc>
          <w:tcPr>
            <w:tcW w:w="920" w:type="dxa"/>
            <w:vAlign w:val="bottom"/>
            <w:gridSpan w:val="2"/>
            <w:shd w:val="clear" w:color="auto" w:fill="CCEEFF"/>
          </w:tcPr>
          <w:p>
            <w:pPr>
              <w:jc w:val="right"/>
              <w:ind w:right="340"/>
              <w:spacing w:after="0"/>
              <w:rPr>
                <w:sz w:val="20"/>
                <w:szCs w:val="20"/>
                <w:color w:val="auto"/>
              </w:rPr>
            </w:pPr>
            <w:r>
              <w:rPr>
                <w:rFonts w:ascii="Arial" w:cs="Arial" w:eastAsia="Arial" w:hAnsi="Arial"/>
                <w:sz w:val="18"/>
                <w:szCs w:val="18"/>
                <w:color w:val="auto"/>
              </w:rPr>
              <w:t>0.24</w:t>
            </w:r>
          </w:p>
        </w:tc>
        <w:tc>
          <w:tcPr>
            <w:tcW w:w="120" w:type="dxa"/>
            <w:vAlign w:val="bottom"/>
            <w:shd w:val="clear" w:color="auto" w:fill="CCEEFF"/>
          </w:tcPr>
          <w:p>
            <w:pPr>
              <w:spacing w:after="0"/>
              <w:rPr>
                <w:sz w:val="20"/>
                <w:szCs w:val="20"/>
                <w:color w:val="auto"/>
              </w:rPr>
            </w:pPr>
            <w:r>
              <w:rPr>
                <w:rFonts w:ascii="Arial" w:cs="Arial" w:eastAsia="Arial" w:hAnsi="Arial"/>
                <w:sz w:val="18"/>
                <w:szCs w:val="18"/>
                <w:color w:val="auto"/>
                <w:w w:val="99"/>
              </w:rPr>
              <w:t>$</w:t>
            </w:r>
          </w:p>
        </w:tc>
        <w:tc>
          <w:tcPr>
            <w:tcW w:w="6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0.35</w:t>
            </w: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22"/>
        </w:trPr>
        <w:tc>
          <w:tcPr>
            <w:tcW w:w="4780" w:type="dxa"/>
            <w:vAlign w:val="bottom"/>
          </w:tcPr>
          <w:p>
            <w:pPr>
              <w:ind w:left="440"/>
              <w:spacing w:after="0"/>
              <w:rPr>
                <w:sz w:val="20"/>
                <w:szCs w:val="20"/>
                <w:color w:val="auto"/>
              </w:rPr>
            </w:pPr>
            <w:r>
              <w:rPr>
                <w:rFonts w:ascii="Arial" w:cs="Arial" w:eastAsia="Arial" w:hAnsi="Arial"/>
                <w:sz w:val="18"/>
                <w:szCs w:val="18"/>
                <w:color w:val="auto"/>
              </w:rPr>
              <w:t>Diluted</w:t>
            </w:r>
          </w:p>
        </w:tc>
        <w:tc>
          <w:tcPr>
            <w:tcW w:w="2880" w:type="dxa"/>
            <w:vAlign w:val="bottom"/>
            <w:gridSpan w:val="2"/>
          </w:tcPr>
          <w:p>
            <w:pPr>
              <w:ind w:left="2800"/>
              <w:spacing w:after="0"/>
              <w:rPr>
                <w:sz w:val="20"/>
                <w:szCs w:val="20"/>
                <w:color w:val="auto"/>
              </w:rPr>
            </w:pPr>
            <w:r>
              <w:rPr>
                <w:rFonts w:ascii="Arial" w:cs="Arial" w:eastAsia="Arial" w:hAnsi="Arial"/>
                <w:sz w:val="15"/>
                <w:szCs w:val="15"/>
                <w:color w:val="auto"/>
                <w:w w:val="71"/>
              </w:rPr>
              <w:t>$</w:t>
            </w:r>
          </w:p>
        </w:tc>
        <w:tc>
          <w:tcPr>
            <w:tcW w:w="580" w:type="dxa"/>
            <w:vAlign w:val="bottom"/>
          </w:tcPr>
          <w:p>
            <w:pPr>
              <w:jc w:val="right"/>
              <w:spacing w:after="0"/>
              <w:rPr>
                <w:sz w:val="20"/>
                <w:szCs w:val="20"/>
                <w:color w:val="auto"/>
              </w:rPr>
            </w:pPr>
            <w:r>
              <w:rPr>
                <w:rFonts w:ascii="Arial" w:cs="Arial" w:eastAsia="Arial" w:hAnsi="Arial"/>
                <w:sz w:val="18"/>
                <w:szCs w:val="18"/>
                <w:color w:val="auto"/>
              </w:rPr>
              <w:t>0.31</w:t>
            </w:r>
          </w:p>
        </w:tc>
        <w:tc>
          <w:tcPr>
            <w:tcW w:w="480" w:type="dxa"/>
            <w:vAlign w:val="bottom"/>
            <w:gridSpan w:val="2"/>
          </w:tcPr>
          <w:p>
            <w:pPr>
              <w:ind w:left="340"/>
              <w:spacing w:after="0"/>
              <w:rPr>
                <w:sz w:val="20"/>
                <w:szCs w:val="20"/>
                <w:color w:val="auto"/>
              </w:rPr>
            </w:pPr>
            <w:r>
              <w:rPr>
                <w:rFonts w:ascii="Arial" w:cs="Arial" w:eastAsia="Arial" w:hAnsi="Arial"/>
                <w:sz w:val="18"/>
                <w:szCs w:val="18"/>
                <w:color w:val="auto"/>
              </w:rPr>
              <w:t>$</w:t>
            </w:r>
          </w:p>
        </w:tc>
        <w:tc>
          <w:tcPr>
            <w:tcW w:w="600" w:type="dxa"/>
            <w:vAlign w:val="bottom"/>
          </w:tcPr>
          <w:p>
            <w:pPr>
              <w:jc w:val="right"/>
              <w:spacing w:after="0"/>
              <w:rPr>
                <w:sz w:val="20"/>
                <w:szCs w:val="20"/>
                <w:color w:val="auto"/>
              </w:rPr>
            </w:pPr>
            <w:r>
              <w:rPr>
                <w:rFonts w:ascii="Arial" w:cs="Arial" w:eastAsia="Arial" w:hAnsi="Arial"/>
                <w:sz w:val="18"/>
                <w:szCs w:val="18"/>
                <w:color w:val="auto"/>
              </w:rPr>
              <w:t>0.11</w:t>
            </w:r>
          </w:p>
        </w:tc>
        <w:tc>
          <w:tcPr>
            <w:tcW w:w="440" w:type="dxa"/>
            <w:vAlign w:val="bottom"/>
            <w:gridSpan w:val="2"/>
          </w:tcPr>
          <w:p>
            <w:pPr>
              <w:ind w:left="340"/>
              <w:spacing w:after="0"/>
              <w:rPr>
                <w:sz w:val="20"/>
                <w:szCs w:val="20"/>
                <w:color w:val="auto"/>
              </w:rPr>
            </w:pPr>
            <w:r>
              <w:rPr>
                <w:rFonts w:ascii="Arial" w:cs="Arial" w:eastAsia="Arial" w:hAnsi="Arial"/>
                <w:sz w:val="18"/>
                <w:szCs w:val="18"/>
                <w:color w:val="auto"/>
                <w:w w:val="79"/>
              </w:rPr>
              <w:t>$</w:t>
            </w:r>
          </w:p>
        </w:tc>
        <w:tc>
          <w:tcPr>
            <w:tcW w:w="920" w:type="dxa"/>
            <w:vAlign w:val="bottom"/>
            <w:gridSpan w:val="2"/>
          </w:tcPr>
          <w:p>
            <w:pPr>
              <w:jc w:val="right"/>
              <w:ind w:right="340"/>
              <w:spacing w:after="0"/>
              <w:rPr>
                <w:sz w:val="20"/>
                <w:szCs w:val="20"/>
                <w:color w:val="auto"/>
              </w:rPr>
            </w:pPr>
            <w:r>
              <w:rPr>
                <w:rFonts w:ascii="Arial" w:cs="Arial" w:eastAsia="Arial" w:hAnsi="Arial"/>
                <w:sz w:val="18"/>
                <w:szCs w:val="18"/>
                <w:color w:val="auto"/>
              </w:rPr>
              <w:t>0.23</w:t>
            </w:r>
          </w:p>
        </w:tc>
        <w:tc>
          <w:tcPr>
            <w:tcW w:w="120" w:type="dxa"/>
            <w:vAlign w:val="bottom"/>
          </w:tcPr>
          <w:p>
            <w:pPr>
              <w:spacing w:after="0"/>
              <w:rPr>
                <w:sz w:val="20"/>
                <w:szCs w:val="20"/>
                <w:color w:val="auto"/>
              </w:rPr>
            </w:pPr>
            <w:r>
              <w:rPr>
                <w:rFonts w:ascii="Arial" w:cs="Arial" w:eastAsia="Arial" w:hAnsi="Arial"/>
                <w:sz w:val="18"/>
                <w:szCs w:val="18"/>
                <w:color w:val="auto"/>
                <w:w w:val="99"/>
              </w:rPr>
              <w:t>$</w:t>
            </w:r>
          </w:p>
        </w:tc>
        <w:tc>
          <w:tcPr>
            <w:tcW w:w="620" w:type="dxa"/>
            <w:vAlign w:val="bottom"/>
          </w:tcPr>
          <w:p>
            <w:pPr>
              <w:jc w:val="right"/>
              <w:spacing w:after="0"/>
              <w:rPr>
                <w:sz w:val="20"/>
                <w:szCs w:val="20"/>
                <w:color w:val="auto"/>
              </w:rPr>
            </w:pPr>
            <w:r>
              <w:rPr>
                <w:rFonts w:ascii="Arial" w:cs="Arial" w:eastAsia="Arial" w:hAnsi="Arial"/>
                <w:sz w:val="18"/>
                <w:szCs w:val="18"/>
                <w:color w:val="auto"/>
              </w:rPr>
              <w:t>0.34</w:t>
            </w:r>
          </w:p>
        </w:tc>
        <w:tc>
          <w:tcPr>
            <w:tcW w:w="2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356"/>
        </w:trPr>
        <w:tc>
          <w:tcPr>
            <w:tcW w:w="4780" w:type="dxa"/>
            <w:vAlign w:val="bottom"/>
          </w:tcPr>
          <w:p>
            <w:pPr>
              <w:spacing w:after="0"/>
              <w:rPr>
                <w:sz w:val="24"/>
                <w:szCs w:val="24"/>
                <w:color w:val="auto"/>
              </w:rPr>
            </w:pPr>
          </w:p>
        </w:tc>
        <w:tc>
          <w:tcPr>
            <w:tcW w:w="2800" w:type="dxa"/>
            <w:vAlign w:val="bottom"/>
          </w:tcPr>
          <w:p>
            <w:pPr>
              <w:jc w:val="right"/>
              <w:ind w:right="1700"/>
              <w:spacing w:after="0"/>
              <w:rPr>
                <w:sz w:val="20"/>
                <w:szCs w:val="20"/>
                <w:color w:val="auto"/>
              </w:rPr>
            </w:pPr>
            <w:r>
              <w:rPr>
                <w:rFonts w:ascii="Arial" w:cs="Arial" w:eastAsia="Arial" w:hAnsi="Arial"/>
                <w:sz w:val="18"/>
                <w:szCs w:val="18"/>
                <w:color w:val="auto"/>
              </w:rPr>
              <w:t>13</w:t>
            </w:r>
          </w:p>
        </w:tc>
        <w:tc>
          <w:tcPr>
            <w:tcW w:w="80" w:type="dxa"/>
            <w:vAlign w:val="bottom"/>
          </w:tcPr>
          <w:p>
            <w:pPr>
              <w:spacing w:after="0"/>
              <w:rPr>
                <w:sz w:val="24"/>
                <w:szCs w:val="24"/>
                <w:color w:val="auto"/>
              </w:rPr>
            </w:pPr>
          </w:p>
        </w:tc>
        <w:tc>
          <w:tcPr>
            <w:tcW w:w="580" w:type="dxa"/>
            <w:vAlign w:val="bottom"/>
          </w:tcPr>
          <w:p>
            <w:pPr>
              <w:spacing w:after="0"/>
              <w:rPr>
                <w:sz w:val="24"/>
                <w:szCs w:val="24"/>
                <w:color w:val="auto"/>
              </w:rPr>
            </w:pPr>
          </w:p>
        </w:tc>
        <w:tc>
          <w:tcPr>
            <w:tcW w:w="34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600" w:type="dxa"/>
            <w:vAlign w:val="bottom"/>
          </w:tcPr>
          <w:p>
            <w:pPr>
              <w:spacing w:after="0"/>
              <w:rPr>
                <w:sz w:val="24"/>
                <w:szCs w:val="24"/>
                <w:color w:val="auto"/>
              </w:rPr>
            </w:pPr>
          </w:p>
        </w:tc>
        <w:tc>
          <w:tcPr>
            <w:tcW w:w="34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580" w:type="dxa"/>
            <w:vAlign w:val="bottom"/>
          </w:tcPr>
          <w:p>
            <w:pPr>
              <w:spacing w:after="0"/>
              <w:rPr>
                <w:sz w:val="24"/>
                <w:szCs w:val="24"/>
                <w:color w:val="auto"/>
              </w:rPr>
            </w:pPr>
          </w:p>
        </w:tc>
        <w:tc>
          <w:tcPr>
            <w:tcW w:w="34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62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0" w:type="dxa"/>
            <w:vAlign w:val="bottom"/>
          </w:tcPr>
          <w:p>
            <w:pPr>
              <w:spacing w:after="0"/>
              <w:rPr>
                <w:sz w:val="1"/>
                <w:szCs w:val="1"/>
                <w:color w:val="auto"/>
              </w:rPr>
            </w:pPr>
          </w:p>
        </w:tc>
      </w:tr>
    </w:tbl>
    <w:p>
      <w:pPr>
        <w:sectPr>
          <w:pgSz w:w="11900" w:h="16838" w:orient="portrait"/>
          <w:cols w:equalWidth="0" w:num="1">
            <w:col w:w="11420"/>
          </w:cols>
          <w:pgMar w:left="240" w:top="459" w:right="239" w:bottom="1440" w:gutter="0" w:footer="0" w:header="0"/>
        </w:sectPr>
      </w:pPr>
    </w:p>
    <w:bookmarkStart w:id="13" w:name="page14"/>
    <w:bookmarkEnd w:id="13"/>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28">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ind w:right="-59"/>
        <w:spacing w:after="0"/>
        <w:rPr>
          <w:sz w:val="20"/>
          <w:szCs w:val="20"/>
          <w:color w:val="auto"/>
        </w:rPr>
      </w:pPr>
      <w:r>
        <w:rPr>
          <w:rFonts w:ascii="Arial" w:cs="Arial" w:eastAsia="Arial" w:hAnsi="Arial"/>
          <w:sz w:val="18"/>
          <w:szCs w:val="18"/>
          <w:b w:val="1"/>
          <w:bCs w:val="1"/>
          <w:color w:val="auto"/>
        </w:rPr>
        <w:t>MARVELL TECHNOLOGY GROUP LTD.</w:t>
      </w:r>
    </w:p>
    <w:p>
      <w:pPr>
        <w:spacing w:after="0" w:line="90" w:lineRule="exact"/>
        <w:rPr>
          <w:sz w:val="20"/>
          <w:szCs w:val="20"/>
          <w:color w:val="auto"/>
        </w:rPr>
      </w:pPr>
    </w:p>
    <w:p>
      <w:pPr>
        <w:jc w:val="center"/>
        <w:ind w:right="-59"/>
        <w:spacing w:after="0"/>
        <w:rPr>
          <w:sz w:val="20"/>
          <w:szCs w:val="20"/>
          <w:color w:val="auto"/>
        </w:rPr>
      </w:pPr>
      <w:r>
        <w:rPr>
          <w:rFonts w:ascii="Arial" w:cs="Arial" w:eastAsia="Arial" w:hAnsi="Arial"/>
          <w:sz w:val="18"/>
          <w:szCs w:val="18"/>
          <w:b w:val="1"/>
          <w:bCs w:val="1"/>
          <w:color w:val="auto"/>
        </w:rPr>
        <w:t>NOTES TO UNAUDITED CONDENSED CONSOLIDATED FINANCIAL STATEMENTS—(Continued)</w:t>
      </w:r>
    </w:p>
    <w:p>
      <w:pPr>
        <w:spacing w:after="0" w:line="164" w:lineRule="exact"/>
        <w:rPr>
          <w:sz w:val="20"/>
          <w:szCs w:val="20"/>
          <w:color w:val="auto"/>
        </w:rPr>
      </w:pPr>
    </w:p>
    <w:p>
      <w:pPr>
        <w:ind w:firstLine="456"/>
        <w:spacing w:after="0" w:line="294" w:lineRule="auto"/>
        <w:rPr>
          <w:sz w:val="20"/>
          <w:szCs w:val="20"/>
          <w:color w:val="auto"/>
        </w:rPr>
      </w:pPr>
      <w:r>
        <w:rPr>
          <w:rFonts w:ascii="Arial" w:cs="Arial" w:eastAsia="Arial" w:hAnsi="Arial"/>
          <w:sz w:val="16"/>
          <w:szCs w:val="16"/>
          <w:color w:val="auto"/>
        </w:rPr>
        <w:t>Options to purchase 1.0 million common shares at a weighted average exercise price of $13.47 have been excluded from the computation of diluted net income per share for the three months ended October 31, 2009 because their exercise price was greater than the share price of the Company’s common shares and therefore, the effect would have been anti-dilutive. Options to purchase 66.1 million common shares at a weighted average exercise price of $19.34 have been excluded from the computation of diluted net income per share for the three months ended November 1, 2008 because their exercise price was greater than the share price of the Company’s common shares and therefore, the effect would have been anti-dilutive.</w:t>
      </w:r>
    </w:p>
    <w:p>
      <w:pPr>
        <w:spacing w:after="0" w:line="116" w:lineRule="exact"/>
        <w:rPr>
          <w:sz w:val="20"/>
          <w:szCs w:val="20"/>
          <w:color w:val="auto"/>
        </w:rPr>
      </w:pPr>
    </w:p>
    <w:p>
      <w:pPr>
        <w:ind w:right="60" w:firstLine="456"/>
        <w:spacing w:after="0" w:line="294" w:lineRule="auto"/>
        <w:rPr>
          <w:sz w:val="20"/>
          <w:szCs w:val="20"/>
          <w:color w:val="auto"/>
        </w:rPr>
      </w:pPr>
      <w:r>
        <w:rPr>
          <w:rFonts w:ascii="Arial" w:cs="Arial" w:eastAsia="Arial" w:hAnsi="Arial"/>
          <w:sz w:val="16"/>
          <w:szCs w:val="16"/>
          <w:color w:val="auto"/>
        </w:rPr>
        <w:t>Options to purchase 27.4 million common shares at a weighted average exercise price of $17.09 have been excluded from the computation of diluted net income per share for the nine months ended October 31, 2009 because their exercise price was greater than the share price of the Company’s common shares and therefore, the effect would have been anti-dilutive. Options to purchase 60.5 million common shares at a weighted average exercise price of $20.25 have been excluded from the computation of diluted net income per share for the nine months ended November 1, 2008 because their exercise price was greater than the share price of the Company’s common shares and therefore, the effect would have been anti-dilutive.</w:t>
      </w:r>
    </w:p>
    <w:p>
      <w:pPr>
        <w:spacing w:after="0" w:line="197" w:lineRule="exact"/>
        <w:rPr>
          <w:sz w:val="20"/>
          <w:szCs w:val="20"/>
          <w:color w:val="auto"/>
        </w:rPr>
      </w:pPr>
    </w:p>
    <w:p>
      <w:pPr>
        <w:ind w:left="240"/>
        <w:spacing w:after="0"/>
        <w:rPr>
          <w:sz w:val="20"/>
          <w:szCs w:val="20"/>
          <w:color w:val="auto"/>
        </w:rPr>
      </w:pPr>
      <w:r>
        <w:rPr>
          <w:rFonts w:ascii="Arial" w:cs="Arial" w:eastAsia="Arial" w:hAnsi="Arial"/>
          <w:sz w:val="18"/>
          <w:szCs w:val="18"/>
          <w:b w:val="1"/>
          <w:bCs w:val="1"/>
          <w:i w:val="1"/>
          <w:iCs w:val="1"/>
          <w:color w:val="auto"/>
        </w:rPr>
        <w:t>Comprehensive income (in thousands)</w:t>
      </w:r>
    </w:p>
    <w:p>
      <w:pPr>
        <w:spacing w:after="0" w:line="90" w:lineRule="exact"/>
        <w:rPr>
          <w:sz w:val="20"/>
          <w:szCs w:val="20"/>
          <w:color w:val="auto"/>
        </w:rPr>
      </w:pPr>
    </w:p>
    <w:p>
      <w:pPr>
        <w:ind w:left="460"/>
        <w:spacing w:after="0"/>
        <w:rPr>
          <w:sz w:val="20"/>
          <w:szCs w:val="20"/>
          <w:color w:val="auto"/>
        </w:rPr>
      </w:pPr>
      <w:r>
        <w:rPr>
          <w:rFonts w:ascii="Arial" w:cs="Arial" w:eastAsia="Arial" w:hAnsi="Arial"/>
          <w:sz w:val="18"/>
          <w:szCs w:val="18"/>
          <w:color w:val="auto"/>
        </w:rPr>
        <w:t>The changes in the components of other comprehensive income were as follows (in thousands):</w:t>
      </w:r>
    </w:p>
    <w:p>
      <w:pPr>
        <w:spacing w:after="0" w:line="207" w:lineRule="exact"/>
        <w:rPr>
          <w:sz w:val="20"/>
          <w:szCs w:val="20"/>
          <w:color w:val="auto"/>
        </w:rPr>
      </w:pPr>
    </w:p>
    <w:tbl>
      <w:tblPr>
        <w:tblLayout w:type="fixed"/>
        <w:tblInd w:w="460" w:type="dxa"/>
        <w:tblCellMar>
          <w:top w:w="0" w:type="dxa"/>
          <w:left w:w="0" w:type="dxa"/>
          <w:bottom w:w="0" w:type="dxa"/>
          <w:right w:w="0" w:type="dxa"/>
        </w:tblCellMar>
      </w:tblPr>
      <w:tr>
        <w:trPr>
          <w:trHeight w:val="161"/>
        </w:trPr>
        <w:tc>
          <w:tcPr>
            <w:tcW w:w="920" w:type="dxa"/>
            <w:vAlign w:val="bottom"/>
          </w:tcPr>
          <w:p>
            <w:pPr>
              <w:spacing w:after="0"/>
              <w:rPr>
                <w:sz w:val="14"/>
                <w:szCs w:val="14"/>
                <w:color w:val="auto"/>
              </w:rPr>
            </w:pPr>
          </w:p>
        </w:tc>
        <w:tc>
          <w:tcPr>
            <w:tcW w:w="528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2260" w:type="dxa"/>
            <w:vAlign w:val="bottom"/>
            <w:gridSpan w:val="10"/>
          </w:tcPr>
          <w:p>
            <w:pPr>
              <w:ind w:left="320"/>
              <w:spacing w:after="0"/>
              <w:rPr>
                <w:sz w:val="20"/>
                <w:szCs w:val="20"/>
                <w:color w:val="auto"/>
              </w:rPr>
            </w:pPr>
            <w:r>
              <w:rPr>
                <w:rFonts w:ascii="Arial" w:cs="Arial" w:eastAsia="Arial" w:hAnsi="Arial"/>
                <w:sz w:val="14"/>
                <w:szCs w:val="14"/>
                <w:b w:val="1"/>
                <w:bCs w:val="1"/>
                <w:color w:val="auto"/>
              </w:rPr>
              <w:t>Three Months Ended</w:t>
            </w:r>
          </w:p>
        </w:tc>
        <w:tc>
          <w:tcPr>
            <w:tcW w:w="320" w:type="dxa"/>
            <w:vAlign w:val="bottom"/>
          </w:tcPr>
          <w:p>
            <w:pPr>
              <w:spacing w:after="0"/>
              <w:rPr>
                <w:sz w:val="14"/>
                <w:szCs w:val="14"/>
                <w:color w:val="auto"/>
              </w:rPr>
            </w:pPr>
          </w:p>
        </w:tc>
        <w:tc>
          <w:tcPr>
            <w:tcW w:w="1700" w:type="dxa"/>
            <w:vAlign w:val="bottom"/>
            <w:gridSpan w:val="8"/>
          </w:tcPr>
          <w:p>
            <w:pPr>
              <w:jc w:val="right"/>
              <w:ind w:right="480"/>
              <w:spacing w:after="0"/>
              <w:rPr>
                <w:sz w:val="20"/>
                <w:szCs w:val="20"/>
                <w:color w:val="auto"/>
              </w:rPr>
            </w:pPr>
            <w:r>
              <w:rPr>
                <w:rFonts w:ascii="Arial" w:cs="Arial" w:eastAsia="Arial" w:hAnsi="Arial"/>
                <w:sz w:val="14"/>
                <w:szCs w:val="14"/>
                <w:b w:val="1"/>
                <w:bCs w:val="1"/>
                <w:color w:val="auto"/>
                <w:w w:val="91"/>
              </w:rPr>
              <w:t>Nine Months Ended</w:t>
            </w:r>
          </w:p>
        </w:tc>
        <w:tc>
          <w:tcPr>
            <w:tcW w:w="0" w:type="dxa"/>
            <w:vAlign w:val="bottom"/>
          </w:tcPr>
          <w:p>
            <w:pPr>
              <w:spacing w:after="0"/>
              <w:rPr>
                <w:sz w:val="1"/>
                <w:szCs w:val="1"/>
                <w:color w:val="auto"/>
              </w:rPr>
            </w:pPr>
          </w:p>
        </w:tc>
      </w:tr>
      <w:tr>
        <w:trPr>
          <w:trHeight w:val="129"/>
        </w:trPr>
        <w:tc>
          <w:tcPr>
            <w:tcW w:w="920" w:type="dxa"/>
            <w:vAlign w:val="bottom"/>
          </w:tcPr>
          <w:p>
            <w:pPr>
              <w:spacing w:after="0"/>
              <w:rPr>
                <w:sz w:val="11"/>
                <w:szCs w:val="11"/>
                <w:color w:val="auto"/>
              </w:rPr>
            </w:pPr>
          </w:p>
        </w:tc>
        <w:tc>
          <w:tcPr>
            <w:tcW w:w="52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920" w:type="dxa"/>
            <w:vAlign w:val="bottom"/>
            <w:tcBorders>
              <w:top w:val="single" w:sz="8" w:color="auto"/>
            </w:tcBorders>
            <w:gridSpan w:val="2"/>
          </w:tcPr>
          <w:p>
            <w:pPr>
              <w:spacing w:after="0" w:line="129" w:lineRule="exact"/>
              <w:rPr>
                <w:sz w:val="20"/>
                <w:szCs w:val="20"/>
                <w:color w:val="auto"/>
              </w:rPr>
            </w:pPr>
            <w:r>
              <w:rPr>
                <w:rFonts w:ascii="Arial" w:cs="Arial" w:eastAsia="Arial" w:hAnsi="Arial"/>
                <w:sz w:val="14"/>
                <w:szCs w:val="14"/>
                <w:b w:val="1"/>
                <w:bCs w:val="1"/>
                <w:color w:val="auto"/>
              </w:rPr>
              <w:t>October 31,</w:t>
            </w:r>
          </w:p>
        </w:tc>
        <w:tc>
          <w:tcPr>
            <w:tcW w:w="220" w:type="dxa"/>
            <w:vAlign w:val="bottom"/>
            <w:tcBorders>
              <w:top w:val="single" w:sz="8" w:color="auto"/>
            </w:tcBorders>
          </w:tcPr>
          <w:p>
            <w:pPr>
              <w:spacing w:after="0"/>
              <w:rPr>
                <w:sz w:val="11"/>
                <w:szCs w:val="11"/>
                <w:color w:val="auto"/>
              </w:rPr>
            </w:pPr>
          </w:p>
        </w:tc>
        <w:tc>
          <w:tcPr>
            <w:tcW w:w="740" w:type="dxa"/>
            <w:vAlign w:val="bottom"/>
            <w:tcBorders>
              <w:top w:val="single" w:sz="8" w:color="auto"/>
            </w:tcBorders>
            <w:gridSpan w:val="4"/>
          </w:tcPr>
          <w:p>
            <w:pPr>
              <w:spacing w:after="0" w:line="129" w:lineRule="exact"/>
              <w:rPr>
                <w:sz w:val="20"/>
                <w:szCs w:val="20"/>
                <w:color w:val="auto"/>
              </w:rPr>
            </w:pPr>
            <w:r>
              <w:rPr>
                <w:rFonts w:ascii="Arial" w:cs="Arial" w:eastAsia="Arial" w:hAnsi="Arial"/>
                <w:sz w:val="14"/>
                <w:szCs w:val="14"/>
                <w:b w:val="1"/>
                <w:bCs w:val="1"/>
                <w:color w:val="auto"/>
                <w:w w:val="85"/>
              </w:rPr>
              <w:t>November 1,</w:t>
            </w:r>
          </w:p>
        </w:tc>
        <w:tc>
          <w:tcPr>
            <w:tcW w:w="4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320" w:type="dxa"/>
            <w:vAlign w:val="bottom"/>
          </w:tcPr>
          <w:p>
            <w:pPr>
              <w:spacing w:after="0"/>
              <w:rPr>
                <w:sz w:val="11"/>
                <w:szCs w:val="11"/>
                <w:color w:val="auto"/>
              </w:rPr>
            </w:pPr>
          </w:p>
        </w:tc>
        <w:tc>
          <w:tcPr>
            <w:tcW w:w="1160" w:type="dxa"/>
            <w:vAlign w:val="bottom"/>
            <w:tcBorders>
              <w:top w:val="single" w:sz="8" w:color="auto"/>
            </w:tcBorders>
            <w:gridSpan w:val="6"/>
          </w:tcPr>
          <w:p>
            <w:pPr>
              <w:jc w:val="center"/>
              <w:ind w:right="480"/>
              <w:spacing w:after="0" w:line="129" w:lineRule="exact"/>
              <w:rPr>
                <w:sz w:val="20"/>
                <w:szCs w:val="20"/>
                <w:color w:val="auto"/>
              </w:rPr>
            </w:pPr>
            <w:r>
              <w:rPr>
                <w:rFonts w:ascii="Arial" w:cs="Arial" w:eastAsia="Arial" w:hAnsi="Arial"/>
                <w:sz w:val="14"/>
                <w:szCs w:val="14"/>
                <w:b w:val="1"/>
                <w:bCs w:val="1"/>
                <w:color w:val="auto"/>
                <w:w w:val="88"/>
              </w:rPr>
              <w:t>October 31,</w:t>
            </w:r>
          </w:p>
        </w:tc>
        <w:tc>
          <w:tcPr>
            <w:tcW w:w="760" w:type="dxa"/>
            <w:vAlign w:val="bottom"/>
            <w:tcBorders>
              <w:top w:val="single" w:sz="8" w:color="auto"/>
            </w:tcBorders>
            <w:gridSpan w:val="2"/>
          </w:tcPr>
          <w:p>
            <w:pPr>
              <w:ind w:left="20"/>
              <w:spacing w:after="0" w:line="129" w:lineRule="exact"/>
              <w:rPr>
                <w:sz w:val="20"/>
                <w:szCs w:val="20"/>
                <w:color w:val="auto"/>
              </w:rPr>
            </w:pPr>
            <w:r>
              <w:rPr>
                <w:rFonts w:ascii="Arial" w:cs="Arial" w:eastAsia="Arial" w:hAnsi="Arial"/>
                <w:sz w:val="14"/>
                <w:szCs w:val="14"/>
                <w:b w:val="1"/>
                <w:bCs w:val="1"/>
                <w:color w:val="auto"/>
                <w:w w:val="85"/>
              </w:rPr>
              <w:t>November 1,</w:t>
            </w: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1"/>
        </w:trPr>
        <w:tc>
          <w:tcPr>
            <w:tcW w:w="920" w:type="dxa"/>
            <w:vAlign w:val="bottom"/>
          </w:tcPr>
          <w:p>
            <w:pPr>
              <w:spacing w:after="0"/>
              <w:rPr>
                <w:sz w:val="14"/>
                <w:szCs w:val="14"/>
                <w:color w:val="auto"/>
              </w:rPr>
            </w:pPr>
          </w:p>
        </w:tc>
        <w:tc>
          <w:tcPr>
            <w:tcW w:w="528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640" w:type="dxa"/>
            <w:vAlign w:val="bottom"/>
            <w:tcBorders>
              <w:bottom w:val="single" w:sz="8" w:color="auto"/>
            </w:tcBorders>
          </w:tcPr>
          <w:p>
            <w:pPr>
              <w:jc w:val="right"/>
              <w:ind w:right="127"/>
              <w:spacing w:after="0"/>
              <w:rPr>
                <w:sz w:val="20"/>
                <w:szCs w:val="20"/>
                <w:color w:val="auto"/>
              </w:rPr>
            </w:pPr>
            <w:r>
              <w:rPr>
                <w:rFonts w:ascii="Arial" w:cs="Arial" w:eastAsia="Arial" w:hAnsi="Arial"/>
                <w:sz w:val="14"/>
                <w:szCs w:val="14"/>
                <w:b w:val="1"/>
                <w:bCs w:val="1"/>
                <w:color w:val="auto"/>
              </w:rPr>
              <w:t>2009</w:t>
            </w:r>
          </w:p>
        </w:tc>
        <w:tc>
          <w:tcPr>
            <w:tcW w:w="28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20" w:type="dxa"/>
            <w:vAlign w:val="bottom"/>
            <w:tcBorders>
              <w:bottom w:val="single" w:sz="8" w:color="auto"/>
            </w:tcBorders>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520" w:type="dxa"/>
            <w:vAlign w:val="bottom"/>
            <w:tcBorders>
              <w:bottom w:val="single" w:sz="8" w:color="auto"/>
            </w:tcBorders>
          </w:tcPr>
          <w:p>
            <w:pPr>
              <w:jc w:val="right"/>
              <w:ind w:right="156"/>
              <w:spacing w:after="0"/>
              <w:rPr>
                <w:sz w:val="20"/>
                <w:szCs w:val="20"/>
                <w:color w:val="auto"/>
              </w:rPr>
            </w:pPr>
            <w:r>
              <w:rPr>
                <w:rFonts w:ascii="Arial" w:cs="Arial" w:eastAsia="Arial" w:hAnsi="Arial"/>
                <w:sz w:val="14"/>
                <w:szCs w:val="14"/>
                <w:b w:val="1"/>
                <w:bCs w:val="1"/>
                <w:color w:val="auto"/>
                <w:w w:val="83"/>
              </w:rPr>
              <w:t>2008</w:t>
            </w:r>
          </w:p>
        </w:tc>
        <w:tc>
          <w:tcPr>
            <w:tcW w:w="4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320" w:type="dxa"/>
            <w:vAlign w:val="bottom"/>
          </w:tcPr>
          <w:p>
            <w:pPr>
              <w:spacing w:after="0"/>
              <w:rPr>
                <w:sz w:val="14"/>
                <w:szCs w:val="14"/>
                <w:color w:val="auto"/>
              </w:rPr>
            </w:pPr>
          </w:p>
        </w:tc>
        <w:tc>
          <w:tcPr>
            <w:tcW w:w="500" w:type="dxa"/>
            <w:vAlign w:val="bottom"/>
            <w:tcBorders>
              <w:bottom w:val="single" w:sz="8" w:color="auto"/>
            </w:tcBorders>
            <w:gridSpan w:val="2"/>
          </w:tcPr>
          <w:p>
            <w:pPr>
              <w:jc w:val="center"/>
              <w:ind w:left="118"/>
              <w:spacing w:after="0"/>
              <w:rPr>
                <w:sz w:val="20"/>
                <w:szCs w:val="20"/>
                <w:color w:val="auto"/>
              </w:rPr>
            </w:pPr>
            <w:r>
              <w:rPr>
                <w:rFonts w:ascii="Arial" w:cs="Arial" w:eastAsia="Arial" w:hAnsi="Arial"/>
                <w:sz w:val="14"/>
                <w:szCs w:val="14"/>
                <w:b w:val="1"/>
                <w:bCs w:val="1"/>
                <w:color w:val="auto"/>
                <w:w w:val="83"/>
              </w:rPr>
              <w:t>2009</w:t>
            </w:r>
          </w:p>
        </w:tc>
        <w:tc>
          <w:tcPr>
            <w:tcW w:w="180" w:type="dxa"/>
            <w:vAlign w:val="bottom"/>
            <w:tcBorders>
              <w:bottom w:val="single" w:sz="8" w:color="auto"/>
            </w:tcBorders>
          </w:tcPr>
          <w:p>
            <w:pPr>
              <w:spacing w:after="0"/>
              <w:rPr>
                <w:sz w:val="14"/>
                <w:szCs w:val="14"/>
                <w:color w:val="auto"/>
              </w:rPr>
            </w:pPr>
          </w:p>
        </w:tc>
        <w:tc>
          <w:tcPr>
            <w:tcW w:w="32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40" w:type="dxa"/>
            <w:vAlign w:val="bottom"/>
          </w:tcPr>
          <w:p>
            <w:pPr>
              <w:spacing w:after="0"/>
              <w:rPr>
                <w:sz w:val="14"/>
                <w:szCs w:val="14"/>
                <w:color w:val="auto"/>
              </w:rPr>
            </w:pPr>
          </w:p>
        </w:tc>
        <w:tc>
          <w:tcPr>
            <w:tcW w:w="140" w:type="dxa"/>
            <w:vAlign w:val="bottom"/>
            <w:tcBorders>
              <w:bottom w:val="single" w:sz="8" w:color="auto"/>
            </w:tcBorders>
          </w:tcPr>
          <w:p>
            <w:pPr>
              <w:spacing w:after="0"/>
              <w:rPr>
                <w:sz w:val="14"/>
                <w:szCs w:val="14"/>
                <w:color w:val="auto"/>
              </w:rPr>
            </w:pPr>
          </w:p>
        </w:tc>
        <w:tc>
          <w:tcPr>
            <w:tcW w:w="620" w:type="dxa"/>
            <w:vAlign w:val="bottom"/>
            <w:tcBorders>
              <w:bottom w:val="single" w:sz="8" w:color="auto"/>
            </w:tcBorders>
          </w:tcPr>
          <w:p>
            <w:pPr>
              <w:jc w:val="right"/>
              <w:ind w:right="156"/>
              <w:spacing w:after="0"/>
              <w:rPr>
                <w:sz w:val="20"/>
                <w:szCs w:val="20"/>
                <w:color w:val="auto"/>
              </w:rPr>
            </w:pPr>
            <w:r>
              <w:rPr>
                <w:rFonts w:ascii="Arial" w:cs="Arial" w:eastAsia="Arial" w:hAnsi="Arial"/>
                <w:sz w:val="14"/>
                <w:szCs w:val="14"/>
                <w:b w:val="1"/>
                <w:bCs w:val="1"/>
                <w:color w:val="auto"/>
              </w:rPr>
              <w:t>2008</w:t>
            </w:r>
          </w:p>
        </w:tc>
        <w:tc>
          <w:tcPr>
            <w:tcW w:w="1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210"/>
        </w:trPr>
        <w:tc>
          <w:tcPr>
            <w:tcW w:w="620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Net income</w:t>
            </w:r>
          </w:p>
        </w:tc>
        <w:tc>
          <w:tcPr>
            <w:tcW w:w="66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w w:val="85"/>
              </w:rPr>
              <w:t>$201,599</w:t>
            </w:r>
          </w:p>
        </w:tc>
        <w:tc>
          <w:tcPr>
            <w:tcW w:w="280" w:type="dxa"/>
            <w:vAlign w:val="bottom"/>
            <w:shd w:val="clear" w:color="auto" w:fill="CCEEFF"/>
          </w:tcPr>
          <w:p>
            <w:pPr>
              <w:spacing w:after="0"/>
              <w:rPr>
                <w:sz w:val="18"/>
                <w:szCs w:val="18"/>
                <w:color w:val="auto"/>
              </w:rPr>
            </w:pPr>
          </w:p>
        </w:tc>
        <w:tc>
          <w:tcPr>
            <w:tcW w:w="320" w:type="dxa"/>
            <w:vAlign w:val="bottom"/>
            <w:gridSpan w:val="2"/>
            <w:shd w:val="clear" w:color="auto" w:fill="CCEEFF"/>
          </w:tcPr>
          <w:p>
            <w:pPr>
              <w:ind w:left="220"/>
              <w:spacing w:after="0"/>
              <w:rPr>
                <w:sz w:val="20"/>
                <w:szCs w:val="20"/>
                <w:color w:val="auto"/>
              </w:rPr>
            </w:pPr>
            <w:r>
              <w:rPr>
                <w:rFonts w:ascii="Arial" w:cs="Arial" w:eastAsia="Arial" w:hAnsi="Arial"/>
                <w:sz w:val="18"/>
                <w:szCs w:val="18"/>
                <w:color w:val="auto"/>
                <w:w w:val="79"/>
              </w:rPr>
              <w:t>$</w:t>
            </w:r>
          </w:p>
        </w:tc>
        <w:tc>
          <w:tcPr>
            <w:tcW w:w="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20" w:type="dxa"/>
            <w:vAlign w:val="bottom"/>
            <w:shd w:val="clear" w:color="auto" w:fill="CCEEFF"/>
          </w:tcPr>
          <w:p>
            <w:pPr>
              <w:jc w:val="right"/>
              <w:spacing w:after="0"/>
              <w:rPr>
                <w:sz w:val="20"/>
                <w:szCs w:val="20"/>
                <w:color w:val="auto"/>
              </w:rPr>
            </w:pPr>
            <w:r>
              <w:rPr>
                <w:rFonts w:ascii="Arial" w:cs="Arial" w:eastAsia="Arial" w:hAnsi="Arial"/>
                <w:sz w:val="18"/>
                <w:szCs w:val="18"/>
                <w:color w:val="auto"/>
                <w:w w:val="90"/>
              </w:rPr>
              <w:t>70,946</w:t>
            </w:r>
          </w:p>
        </w:tc>
        <w:tc>
          <w:tcPr>
            <w:tcW w:w="40" w:type="dxa"/>
            <w:vAlign w:val="bottom"/>
            <w:shd w:val="clear" w:color="auto" w:fill="CCEEFF"/>
          </w:tcPr>
          <w:p>
            <w:pPr>
              <w:spacing w:after="0"/>
              <w:rPr>
                <w:sz w:val="18"/>
                <w:szCs w:val="18"/>
                <w:color w:val="auto"/>
              </w:rPr>
            </w:pPr>
          </w:p>
        </w:tc>
        <w:tc>
          <w:tcPr>
            <w:tcW w:w="20" w:type="dxa"/>
            <w:vAlign w:val="bottom"/>
            <w:shd w:val="clear" w:color="auto" w:fill="CCEEFF"/>
          </w:tcPr>
          <w:p>
            <w:pPr>
              <w:spacing w:after="0"/>
              <w:rPr>
                <w:sz w:val="18"/>
                <w:szCs w:val="18"/>
                <w:color w:val="auto"/>
              </w:rPr>
            </w:pPr>
          </w:p>
        </w:tc>
        <w:tc>
          <w:tcPr>
            <w:tcW w:w="320" w:type="dxa"/>
            <w:vAlign w:val="bottom"/>
            <w:shd w:val="clear" w:color="auto" w:fill="CCEEFF"/>
          </w:tcPr>
          <w:p>
            <w:pPr>
              <w:spacing w:after="0"/>
              <w:rPr>
                <w:sz w:val="18"/>
                <w:szCs w:val="18"/>
                <w:color w:val="auto"/>
              </w:rPr>
            </w:pPr>
          </w:p>
        </w:tc>
        <w:tc>
          <w:tcPr>
            <w:tcW w:w="1000" w:type="dxa"/>
            <w:vAlign w:val="bottom"/>
            <w:gridSpan w:val="4"/>
            <w:shd w:val="clear" w:color="auto" w:fill="CCEEFF"/>
          </w:tcPr>
          <w:p>
            <w:pPr>
              <w:jc w:val="right"/>
              <w:ind w:right="232"/>
              <w:spacing w:after="0"/>
              <w:rPr>
                <w:sz w:val="20"/>
                <w:szCs w:val="20"/>
                <w:color w:val="auto"/>
              </w:rPr>
            </w:pPr>
            <w:r>
              <w:rPr>
                <w:rFonts w:ascii="Arial" w:cs="Arial" w:eastAsia="Arial" w:hAnsi="Arial"/>
                <w:sz w:val="18"/>
                <w:szCs w:val="18"/>
                <w:color w:val="auto"/>
                <w:w w:val="87"/>
              </w:rPr>
              <w:t>$148,635</w:t>
            </w:r>
          </w:p>
        </w:tc>
        <w:tc>
          <w:tcPr>
            <w:tcW w:w="120" w:type="dxa"/>
            <w:vAlign w:val="bottom"/>
            <w:shd w:val="clear" w:color="auto" w:fill="CCEEFF"/>
          </w:tcPr>
          <w:p>
            <w:pPr>
              <w:spacing w:after="0"/>
              <w:rPr>
                <w:sz w:val="18"/>
                <w:szCs w:val="18"/>
                <w:color w:val="auto"/>
              </w:rPr>
            </w:pPr>
          </w:p>
        </w:tc>
        <w:tc>
          <w:tcPr>
            <w:tcW w:w="40" w:type="dxa"/>
            <w:vAlign w:val="bottom"/>
            <w:shd w:val="clear" w:color="auto" w:fill="CCEEFF"/>
          </w:tcPr>
          <w:p>
            <w:pPr>
              <w:spacing w:after="0"/>
              <w:rPr>
                <w:sz w:val="18"/>
                <w:szCs w:val="18"/>
                <w:color w:val="auto"/>
              </w:rPr>
            </w:pPr>
          </w:p>
        </w:tc>
        <w:tc>
          <w:tcPr>
            <w:tcW w:w="140" w:type="dxa"/>
            <w:vAlign w:val="bottom"/>
            <w:shd w:val="clear" w:color="auto" w:fill="CCEEFF"/>
          </w:tcPr>
          <w:p>
            <w:pPr>
              <w:ind w:left="20"/>
              <w:spacing w:after="0"/>
              <w:rPr>
                <w:sz w:val="20"/>
                <w:szCs w:val="20"/>
                <w:color w:val="auto"/>
              </w:rPr>
            </w:pPr>
            <w:r>
              <w:rPr>
                <w:rFonts w:ascii="Arial" w:cs="Arial" w:eastAsia="Arial" w:hAnsi="Arial"/>
                <w:sz w:val="18"/>
                <w:szCs w:val="18"/>
                <w:color w:val="auto"/>
                <w:w w:val="99"/>
              </w:rPr>
              <w:t>$</w:t>
            </w:r>
          </w:p>
        </w:tc>
        <w:tc>
          <w:tcPr>
            <w:tcW w:w="72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w w:val="92"/>
              </w:rPr>
              <w:t>212,252</w:t>
            </w:r>
          </w:p>
        </w:tc>
        <w:tc>
          <w:tcPr>
            <w:tcW w:w="0" w:type="dxa"/>
            <w:vAlign w:val="bottom"/>
          </w:tcPr>
          <w:p>
            <w:pPr>
              <w:spacing w:after="0"/>
              <w:rPr>
                <w:sz w:val="1"/>
                <w:szCs w:val="1"/>
                <w:color w:val="auto"/>
              </w:rPr>
            </w:pPr>
          </w:p>
        </w:tc>
      </w:tr>
      <w:tr>
        <w:trPr>
          <w:trHeight w:val="216"/>
        </w:trPr>
        <w:tc>
          <w:tcPr>
            <w:tcW w:w="6200" w:type="dxa"/>
            <w:vAlign w:val="bottom"/>
            <w:gridSpan w:val="2"/>
          </w:tcPr>
          <w:p>
            <w:pPr>
              <w:spacing w:after="0"/>
              <w:rPr>
                <w:sz w:val="20"/>
                <w:szCs w:val="20"/>
                <w:color w:val="auto"/>
              </w:rPr>
            </w:pPr>
            <w:r>
              <w:rPr>
                <w:rFonts w:ascii="Arial" w:cs="Arial" w:eastAsia="Arial" w:hAnsi="Arial"/>
                <w:sz w:val="18"/>
                <w:szCs w:val="18"/>
                <w:color w:val="auto"/>
              </w:rPr>
              <w:t>Other comprehensive income:</w:t>
            </w:r>
          </w:p>
        </w:tc>
        <w:tc>
          <w:tcPr>
            <w:tcW w:w="20" w:type="dxa"/>
            <w:vAlign w:val="bottom"/>
          </w:tcPr>
          <w:p>
            <w:pPr>
              <w:spacing w:after="0"/>
              <w:rPr>
                <w:sz w:val="18"/>
                <w:szCs w:val="18"/>
                <w:color w:val="auto"/>
              </w:rPr>
            </w:pPr>
          </w:p>
        </w:tc>
        <w:tc>
          <w:tcPr>
            <w:tcW w:w="64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2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6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620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Change in unrealized gain (loss) on marketable securities</w:t>
            </w:r>
          </w:p>
        </w:tc>
        <w:tc>
          <w:tcPr>
            <w:tcW w:w="66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3</w:t>
            </w:r>
          </w:p>
        </w:tc>
        <w:tc>
          <w:tcPr>
            <w:tcW w:w="28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316</w:t>
            </w:r>
          </w:p>
        </w:tc>
        <w:tc>
          <w:tcPr>
            <w:tcW w:w="40" w:type="dxa"/>
            <w:vAlign w:val="bottom"/>
            <w:shd w:val="clear" w:color="auto" w:fill="CCEEFF"/>
          </w:tcPr>
          <w:p>
            <w:pPr>
              <w:spacing w:after="0"/>
              <w:rPr>
                <w:sz w:val="18"/>
                <w:szCs w:val="18"/>
                <w:color w:val="auto"/>
              </w:rPr>
            </w:pPr>
          </w:p>
        </w:tc>
        <w:tc>
          <w:tcPr>
            <w:tcW w:w="20" w:type="dxa"/>
            <w:vAlign w:val="bottom"/>
            <w:shd w:val="clear" w:color="auto" w:fill="CCEEFF"/>
          </w:tcPr>
          <w:p>
            <w:pPr>
              <w:spacing w:after="0"/>
              <w:rPr>
                <w:sz w:val="18"/>
                <w:szCs w:val="18"/>
                <w:color w:val="auto"/>
              </w:rPr>
            </w:pPr>
          </w:p>
        </w:tc>
        <w:tc>
          <w:tcPr>
            <w:tcW w:w="320" w:type="dxa"/>
            <w:vAlign w:val="bottom"/>
            <w:shd w:val="clear" w:color="auto" w:fill="CCEEFF"/>
          </w:tcPr>
          <w:p>
            <w:pPr>
              <w:spacing w:after="0"/>
              <w:rPr>
                <w:sz w:val="18"/>
                <w:szCs w:val="18"/>
                <w:color w:val="auto"/>
              </w:rPr>
            </w:pPr>
          </w:p>
        </w:tc>
        <w:tc>
          <w:tcPr>
            <w:tcW w:w="1000" w:type="dxa"/>
            <w:vAlign w:val="bottom"/>
            <w:gridSpan w:val="4"/>
            <w:shd w:val="clear" w:color="auto" w:fill="CCEEFF"/>
          </w:tcPr>
          <w:p>
            <w:pPr>
              <w:jc w:val="right"/>
              <w:ind w:right="172"/>
              <w:spacing w:after="0"/>
              <w:rPr>
                <w:sz w:val="20"/>
                <w:szCs w:val="20"/>
                <w:color w:val="auto"/>
              </w:rPr>
            </w:pPr>
            <w:r>
              <w:rPr>
                <w:rFonts w:ascii="Arial" w:cs="Arial" w:eastAsia="Arial" w:hAnsi="Arial"/>
                <w:sz w:val="18"/>
                <w:szCs w:val="18"/>
                <w:color w:val="auto"/>
              </w:rPr>
              <w:t>(1,157)</w:t>
            </w:r>
          </w:p>
        </w:tc>
        <w:tc>
          <w:tcPr>
            <w:tcW w:w="120" w:type="dxa"/>
            <w:vAlign w:val="bottom"/>
            <w:shd w:val="clear" w:color="auto" w:fill="CCEEFF"/>
          </w:tcPr>
          <w:p>
            <w:pPr>
              <w:spacing w:after="0"/>
              <w:rPr>
                <w:sz w:val="18"/>
                <w:szCs w:val="18"/>
                <w:color w:val="auto"/>
              </w:rPr>
            </w:pPr>
          </w:p>
        </w:tc>
        <w:tc>
          <w:tcPr>
            <w:tcW w:w="4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72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(1,563)</w:t>
            </w:r>
          </w:p>
        </w:tc>
        <w:tc>
          <w:tcPr>
            <w:tcW w:w="0" w:type="dxa"/>
            <w:vAlign w:val="bottom"/>
          </w:tcPr>
          <w:p>
            <w:pPr>
              <w:spacing w:after="0"/>
              <w:rPr>
                <w:sz w:val="1"/>
                <w:szCs w:val="1"/>
                <w:color w:val="auto"/>
              </w:rPr>
            </w:pPr>
          </w:p>
        </w:tc>
      </w:tr>
      <w:tr>
        <w:trPr>
          <w:trHeight w:val="216"/>
        </w:trPr>
        <w:tc>
          <w:tcPr>
            <w:tcW w:w="6200" w:type="dxa"/>
            <w:vAlign w:val="bottom"/>
            <w:gridSpan w:val="2"/>
          </w:tcPr>
          <w:p>
            <w:pPr>
              <w:spacing w:after="0"/>
              <w:rPr>
                <w:sz w:val="20"/>
                <w:szCs w:val="20"/>
                <w:color w:val="auto"/>
              </w:rPr>
            </w:pPr>
            <w:r>
              <w:rPr>
                <w:rFonts w:ascii="Arial" w:cs="Arial" w:eastAsia="Arial" w:hAnsi="Arial"/>
                <w:sz w:val="18"/>
                <w:szCs w:val="18"/>
                <w:color w:val="auto"/>
              </w:rPr>
              <w:t>Change in unrealized gain (loss) on cash flow hedges</w:t>
            </w:r>
          </w:p>
        </w:tc>
        <w:tc>
          <w:tcPr>
            <w:tcW w:w="940" w:type="dxa"/>
            <w:vAlign w:val="bottom"/>
            <w:gridSpan w:val="3"/>
          </w:tcPr>
          <w:p>
            <w:pPr>
              <w:ind w:left="340"/>
              <w:spacing w:after="0"/>
              <w:rPr>
                <w:sz w:val="20"/>
                <w:szCs w:val="20"/>
                <w:color w:val="auto"/>
              </w:rPr>
            </w:pPr>
            <w:r>
              <w:rPr>
                <w:rFonts w:ascii="Arial" w:cs="Arial" w:eastAsia="Arial" w:hAnsi="Arial"/>
                <w:sz w:val="18"/>
                <w:szCs w:val="18"/>
                <w:color w:val="auto"/>
              </w:rPr>
              <w:t>(459)</w:t>
            </w:r>
          </w:p>
        </w:tc>
        <w:tc>
          <w:tcPr>
            <w:tcW w:w="2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900" w:type="dxa"/>
            <w:vAlign w:val="bottom"/>
            <w:gridSpan w:val="4"/>
          </w:tcPr>
          <w:p>
            <w:pPr>
              <w:jc w:val="right"/>
              <w:ind w:right="480"/>
              <w:spacing w:after="0"/>
              <w:rPr>
                <w:sz w:val="20"/>
                <w:szCs w:val="20"/>
                <w:color w:val="auto"/>
              </w:rPr>
            </w:pPr>
            <w:r>
              <w:rPr>
                <w:rFonts w:ascii="Arial" w:cs="Arial" w:eastAsia="Arial" w:hAnsi="Arial"/>
                <w:sz w:val="18"/>
                <w:szCs w:val="18"/>
                <w:color w:val="auto"/>
              </w:rPr>
              <w:t>—</w:t>
            </w:r>
          </w:p>
        </w:tc>
        <w:tc>
          <w:tcPr>
            <w:tcW w:w="1000" w:type="dxa"/>
            <w:vAlign w:val="bottom"/>
            <w:gridSpan w:val="4"/>
          </w:tcPr>
          <w:p>
            <w:pPr>
              <w:jc w:val="right"/>
              <w:ind w:right="232"/>
              <w:spacing w:after="0"/>
              <w:rPr>
                <w:sz w:val="20"/>
                <w:szCs w:val="20"/>
                <w:color w:val="auto"/>
              </w:rPr>
            </w:pPr>
            <w:r>
              <w:rPr>
                <w:rFonts w:ascii="Arial" w:cs="Arial" w:eastAsia="Arial" w:hAnsi="Arial"/>
                <w:sz w:val="18"/>
                <w:szCs w:val="18"/>
                <w:color w:val="auto"/>
              </w:rPr>
              <w:t>1,330</w:t>
            </w:r>
          </w:p>
        </w:tc>
        <w:tc>
          <w:tcPr>
            <w:tcW w:w="12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720" w:type="dxa"/>
            <w:vAlign w:val="bottom"/>
            <w:gridSpan w:val="2"/>
          </w:tcPr>
          <w:p>
            <w:pPr>
              <w:jc w:val="right"/>
              <w:ind w:right="20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16"/>
        </w:trPr>
        <w:tc>
          <w:tcPr>
            <w:tcW w:w="620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Change in other</w:t>
            </w:r>
          </w:p>
        </w:tc>
        <w:tc>
          <w:tcPr>
            <w:tcW w:w="20" w:type="dxa"/>
            <w:vAlign w:val="bottom"/>
            <w:shd w:val="clear" w:color="auto" w:fill="CCEEFF"/>
          </w:tcPr>
          <w:p>
            <w:pPr>
              <w:spacing w:after="0"/>
              <w:rPr>
                <w:sz w:val="18"/>
                <w:szCs w:val="18"/>
                <w:color w:val="auto"/>
              </w:rPr>
            </w:pPr>
          </w:p>
        </w:tc>
        <w:tc>
          <w:tcPr>
            <w:tcW w:w="640" w:type="dxa"/>
            <w:vAlign w:val="bottom"/>
            <w:shd w:val="clear" w:color="auto" w:fill="CCEEFF"/>
          </w:tcPr>
          <w:p>
            <w:pPr>
              <w:jc w:val="right"/>
              <w:ind w:right="7"/>
              <w:spacing w:after="0"/>
              <w:rPr>
                <w:sz w:val="20"/>
                <w:szCs w:val="20"/>
                <w:color w:val="auto"/>
              </w:rPr>
            </w:pPr>
            <w:r>
              <w:rPr>
                <w:rFonts w:ascii="Arial" w:cs="Arial" w:eastAsia="Arial" w:hAnsi="Arial"/>
                <w:sz w:val="18"/>
                <w:szCs w:val="18"/>
                <w:color w:val="auto"/>
              </w:rPr>
              <w:t>—</w:t>
            </w:r>
          </w:p>
        </w:tc>
        <w:tc>
          <w:tcPr>
            <w:tcW w:w="28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20" w:type="dxa"/>
            <w:vAlign w:val="bottom"/>
            <w:shd w:val="clear" w:color="auto" w:fill="CCEEFF"/>
          </w:tcPr>
          <w:p>
            <w:pPr>
              <w:jc w:val="right"/>
              <w:ind w:right="16"/>
              <w:spacing w:after="0"/>
              <w:rPr>
                <w:sz w:val="20"/>
                <w:szCs w:val="20"/>
                <w:color w:val="auto"/>
              </w:rPr>
            </w:pPr>
            <w:r>
              <w:rPr>
                <w:rFonts w:ascii="Arial" w:cs="Arial" w:eastAsia="Arial" w:hAnsi="Arial"/>
                <w:sz w:val="18"/>
                <w:szCs w:val="18"/>
                <w:color w:val="auto"/>
              </w:rPr>
              <w:t>—</w:t>
            </w:r>
          </w:p>
        </w:tc>
        <w:tc>
          <w:tcPr>
            <w:tcW w:w="380" w:type="dxa"/>
            <w:vAlign w:val="bottom"/>
            <w:gridSpan w:val="3"/>
            <w:shd w:val="clear" w:color="auto" w:fill="CCEEFF"/>
          </w:tcPr>
          <w:p>
            <w:pPr>
              <w:spacing w:after="0"/>
              <w:rPr>
                <w:sz w:val="18"/>
                <w:szCs w:val="18"/>
                <w:color w:val="auto"/>
              </w:rPr>
            </w:pPr>
          </w:p>
        </w:tc>
        <w:tc>
          <w:tcPr>
            <w:tcW w:w="1000" w:type="dxa"/>
            <w:vAlign w:val="bottom"/>
            <w:gridSpan w:val="4"/>
            <w:shd w:val="clear" w:color="auto" w:fill="CCEEFF"/>
          </w:tcPr>
          <w:p>
            <w:pPr>
              <w:jc w:val="right"/>
              <w:ind w:right="172"/>
              <w:spacing w:after="0"/>
              <w:rPr>
                <w:sz w:val="20"/>
                <w:szCs w:val="20"/>
                <w:color w:val="auto"/>
              </w:rPr>
            </w:pPr>
            <w:r>
              <w:rPr>
                <w:rFonts w:ascii="Arial" w:cs="Arial" w:eastAsia="Arial" w:hAnsi="Arial"/>
                <w:sz w:val="18"/>
                <w:szCs w:val="18"/>
                <w:color w:val="auto"/>
              </w:rPr>
              <w:t>(584)</w:t>
            </w:r>
          </w:p>
        </w:tc>
        <w:tc>
          <w:tcPr>
            <w:tcW w:w="120" w:type="dxa"/>
            <w:vAlign w:val="bottom"/>
            <w:shd w:val="clear" w:color="auto" w:fill="CCEEFF"/>
          </w:tcPr>
          <w:p>
            <w:pPr>
              <w:spacing w:after="0"/>
              <w:rPr>
                <w:sz w:val="18"/>
                <w:szCs w:val="18"/>
                <w:color w:val="auto"/>
              </w:rPr>
            </w:pPr>
          </w:p>
        </w:tc>
        <w:tc>
          <w:tcPr>
            <w:tcW w:w="4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72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0"/>
        </w:trPr>
        <w:tc>
          <w:tcPr>
            <w:tcW w:w="6200" w:type="dxa"/>
            <w:vAlign w:val="bottom"/>
            <w:gridSpan w:val="2"/>
            <w:vMerge w:val="restart"/>
          </w:tcPr>
          <w:p>
            <w:pPr>
              <w:spacing w:after="0"/>
              <w:rPr>
                <w:sz w:val="20"/>
                <w:szCs w:val="20"/>
                <w:color w:val="auto"/>
              </w:rPr>
            </w:pPr>
            <w:r>
              <w:rPr>
                <w:rFonts w:ascii="Arial" w:cs="Arial" w:eastAsia="Arial" w:hAnsi="Arial"/>
                <w:sz w:val="18"/>
                <w:szCs w:val="18"/>
                <w:color w:val="auto"/>
              </w:rPr>
              <w:t>Total comprehensive income</w:t>
            </w:r>
          </w:p>
        </w:tc>
        <w:tc>
          <w:tcPr>
            <w:tcW w:w="20" w:type="dxa"/>
            <w:vAlign w:val="bottom"/>
          </w:tcPr>
          <w:p>
            <w:pPr>
              <w:spacing w:after="0" w:line="20" w:lineRule="exact"/>
              <w:rPr>
                <w:sz w:val="1"/>
                <w:szCs w:val="1"/>
                <w:color w:val="auto"/>
              </w:rPr>
            </w:pPr>
          </w:p>
        </w:tc>
        <w:tc>
          <w:tcPr>
            <w:tcW w:w="640" w:type="dxa"/>
            <w:vAlign w:val="bottom"/>
            <w:shd w:val="clear" w:color="auto" w:fill="000000"/>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100" w:type="dxa"/>
            <w:vAlign w:val="bottom"/>
            <w:shd w:val="clear" w:color="auto" w:fill="000000"/>
          </w:tcPr>
          <w:p>
            <w:pPr>
              <w:spacing w:after="0" w:line="20" w:lineRule="exact"/>
              <w:rPr>
                <w:sz w:val="1"/>
                <w:szCs w:val="1"/>
                <w:color w:val="auto"/>
              </w:rPr>
            </w:pPr>
          </w:p>
        </w:tc>
        <w:tc>
          <w:tcPr>
            <w:tcW w:w="20" w:type="dxa"/>
            <w:vAlign w:val="bottom"/>
            <w:shd w:val="clear" w:color="auto" w:fill="000000"/>
          </w:tcPr>
          <w:p>
            <w:pPr>
              <w:spacing w:after="0" w:line="20" w:lineRule="exact"/>
              <w:rPr>
                <w:sz w:val="1"/>
                <w:szCs w:val="1"/>
                <w:color w:val="auto"/>
              </w:rPr>
            </w:pPr>
          </w:p>
        </w:tc>
        <w:tc>
          <w:tcPr>
            <w:tcW w:w="100" w:type="dxa"/>
            <w:vAlign w:val="bottom"/>
            <w:shd w:val="clear" w:color="auto" w:fill="000000"/>
          </w:tcPr>
          <w:p>
            <w:pPr>
              <w:spacing w:after="0" w:line="20" w:lineRule="exact"/>
              <w:rPr>
                <w:sz w:val="1"/>
                <w:szCs w:val="1"/>
                <w:color w:val="auto"/>
              </w:rPr>
            </w:pPr>
          </w:p>
        </w:tc>
        <w:tc>
          <w:tcPr>
            <w:tcW w:w="520" w:type="dxa"/>
            <w:vAlign w:val="bottom"/>
            <w:shd w:val="clear" w:color="auto" w:fill="000000"/>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320" w:type="dxa"/>
            <w:vAlign w:val="bottom"/>
            <w:shd w:val="clear" w:color="auto" w:fill="000000"/>
          </w:tcPr>
          <w:p>
            <w:pPr>
              <w:spacing w:after="0" w:line="20" w:lineRule="exact"/>
              <w:rPr>
                <w:sz w:val="1"/>
                <w:szCs w:val="1"/>
                <w:color w:val="auto"/>
              </w:rPr>
            </w:pPr>
          </w:p>
        </w:tc>
        <w:tc>
          <w:tcPr>
            <w:tcW w:w="360" w:type="dxa"/>
            <w:vAlign w:val="bottom"/>
            <w:gridSpan w:val="2"/>
            <w:shd w:val="clear" w:color="auto" w:fill="000000"/>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140" w:type="dxa"/>
            <w:vAlign w:val="bottom"/>
            <w:shd w:val="clear" w:color="auto" w:fill="000000"/>
          </w:tcPr>
          <w:p>
            <w:pPr>
              <w:spacing w:after="0" w:line="20" w:lineRule="exact"/>
              <w:rPr>
                <w:sz w:val="1"/>
                <w:szCs w:val="1"/>
                <w:color w:val="auto"/>
              </w:rPr>
            </w:pPr>
          </w:p>
        </w:tc>
        <w:tc>
          <w:tcPr>
            <w:tcW w:w="620" w:type="dxa"/>
            <w:vAlign w:val="bottom"/>
            <w:shd w:val="clear" w:color="auto" w:fill="000000"/>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22"/>
        </w:trPr>
        <w:tc>
          <w:tcPr>
            <w:tcW w:w="6200" w:type="dxa"/>
            <w:vAlign w:val="bottom"/>
            <w:gridSpan w:val="2"/>
            <w:vMerge w:val="continue"/>
          </w:tcPr>
          <w:p>
            <w:pPr>
              <w:spacing w:after="0"/>
              <w:rPr>
                <w:sz w:val="19"/>
                <w:szCs w:val="19"/>
                <w:color w:val="auto"/>
              </w:rPr>
            </w:pPr>
          </w:p>
        </w:tc>
        <w:tc>
          <w:tcPr>
            <w:tcW w:w="660" w:type="dxa"/>
            <w:vAlign w:val="bottom"/>
            <w:gridSpan w:val="2"/>
          </w:tcPr>
          <w:p>
            <w:pPr>
              <w:jc w:val="right"/>
              <w:spacing w:after="0"/>
              <w:rPr>
                <w:sz w:val="20"/>
                <w:szCs w:val="20"/>
                <w:color w:val="auto"/>
              </w:rPr>
            </w:pPr>
            <w:r>
              <w:rPr>
                <w:rFonts w:ascii="Arial" w:cs="Arial" w:eastAsia="Arial" w:hAnsi="Arial"/>
                <w:sz w:val="18"/>
                <w:szCs w:val="18"/>
                <w:u w:val="single" w:color="auto"/>
                <w:color w:val="auto"/>
                <w:w w:val="85"/>
              </w:rPr>
              <w:t>$</w:t>
            </w:r>
            <w:r>
              <w:rPr>
                <w:rFonts w:ascii="Arial" w:cs="Arial" w:eastAsia="Arial" w:hAnsi="Arial"/>
                <w:sz w:val="18"/>
                <w:szCs w:val="18"/>
                <w:color w:val="auto"/>
                <w:w w:val="85"/>
              </w:rPr>
              <w:t>201,143</w:t>
            </w:r>
          </w:p>
        </w:tc>
        <w:tc>
          <w:tcPr>
            <w:tcW w:w="280" w:type="dxa"/>
            <w:vAlign w:val="bottom"/>
          </w:tcPr>
          <w:p>
            <w:pPr>
              <w:spacing w:after="0"/>
              <w:rPr>
                <w:sz w:val="19"/>
                <w:szCs w:val="19"/>
                <w:color w:val="auto"/>
              </w:rPr>
            </w:pPr>
          </w:p>
        </w:tc>
        <w:tc>
          <w:tcPr>
            <w:tcW w:w="320" w:type="dxa"/>
            <w:vAlign w:val="bottom"/>
            <w:gridSpan w:val="2"/>
          </w:tcPr>
          <w:p>
            <w:pPr>
              <w:ind w:left="220"/>
              <w:spacing w:after="0"/>
              <w:rPr>
                <w:sz w:val="20"/>
                <w:szCs w:val="20"/>
                <w:color w:val="auto"/>
              </w:rPr>
            </w:pPr>
            <w:r>
              <w:rPr>
                <w:rFonts w:ascii="Arial" w:cs="Arial" w:eastAsia="Arial" w:hAnsi="Arial"/>
                <w:sz w:val="18"/>
                <w:szCs w:val="18"/>
                <w:color w:val="auto"/>
                <w:w w:val="79"/>
              </w:rPr>
              <w:t>$</w:t>
            </w:r>
          </w:p>
        </w:tc>
        <w:tc>
          <w:tcPr>
            <w:tcW w:w="2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520" w:type="dxa"/>
            <w:vAlign w:val="bottom"/>
          </w:tcPr>
          <w:p>
            <w:pPr>
              <w:jc w:val="right"/>
              <w:spacing w:after="0"/>
              <w:rPr>
                <w:sz w:val="20"/>
                <w:szCs w:val="20"/>
                <w:color w:val="auto"/>
              </w:rPr>
            </w:pPr>
            <w:r>
              <w:rPr>
                <w:rFonts w:ascii="Arial" w:cs="Arial" w:eastAsia="Arial" w:hAnsi="Arial"/>
                <w:sz w:val="18"/>
                <w:szCs w:val="18"/>
                <w:color w:val="auto"/>
                <w:w w:val="90"/>
              </w:rPr>
              <w:t>71,262</w:t>
            </w:r>
          </w:p>
        </w:tc>
        <w:tc>
          <w:tcPr>
            <w:tcW w:w="40" w:type="dxa"/>
            <w:vAlign w:val="bottom"/>
          </w:tcPr>
          <w:p>
            <w:pPr>
              <w:spacing w:after="0"/>
              <w:rPr>
                <w:sz w:val="19"/>
                <w:szCs w:val="19"/>
                <w:color w:val="auto"/>
              </w:rPr>
            </w:pPr>
          </w:p>
        </w:tc>
        <w:tc>
          <w:tcPr>
            <w:tcW w:w="20" w:type="dxa"/>
            <w:vAlign w:val="bottom"/>
          </w:tcPr>
          <w:p>
            <w:pPr>
              <w:spacing w:after="0"/>
              <w:rPr>
                <w:sz w:val="19"/>
                <w:szCs w:val="19"/>
                <w:color w:val="auto"/>
              </w:rPr>
            </w:pPr>
          </w:p>
        </w:tc>
        <w:tc>
          <w:tcPr>
            <w:tcW w:w="320" w:type="dxa"/>
            <w:vAlign w:val="bottom"/>
          </w:tcPr>
          <w:p>
            <w:pPr>
              <w:spacing w:after="0"/>
              <w:rPr>
                <w:sz w:val="19"/>
                <w:szCs w:val="19"/>
                <w:color w:val="auto"/>
              </w:rPr>
            </w:pPr>
          </w:p>
        </w:tc>
        <w:tc>
          <w:tcPr>
            <w:tcW w:w="1000" w:type="dxa"/>
            <w:vAlign w:val="bottom"/>
            <w:gridSpan w:val="4"/>
          </w:tcPr>
          <w:p>
            <w:pPr>
              <w:jc w:val="right"/>
              <w:ind w:right="232"/>
              <w:spacing w:after="0"/>
              <w:rPr>
                <w:sz w:val="20"/>
                <w:szCs w:val="20"/>
                <w:color w:val="auto"/>
              </w:rPr>
            </w:pPr>
            <w:r>
              <w:rPr>
                <w:rFonts w:ascii="Arial" w:cs="Arial" w:eastAsia="Arial" w:hAnsi="Arial"/>
                <w:sz w:val="18"/>
                <w:szCs w:val="18"/>
                <w:u w:val="single" w:color="auto"/>
                <w:color w:val="auto"/>
                <w:w w:val="87"/>
              </w:rPr>
              <w:t>$</w:t>
            </w:r>
            <w:r>
              <w:rPr>
                <w:rFonts w:ascii="Arial" w:cs="Arial" w:eastAsia="Arial" w:hAnsi="Arial"/>
                <w:sz w:val="18"/>
                <w:szCs w:val="18"/>
                <w:color w:val="auto"/>
                <w:w w:val="87"/>
              </w:rPr>
              <w:t>148,224</w:t>
            </w:r>
          </w:p>
        </w:tc>
        <w:tc>
          <w:tcPr>
            <w:tcW w:w="120" w:type="dxa"/>
            <w:vAlign w:val="bottom"/>
          </w:tcPr>
          <w:p>
            <w:pPr>
              <w:spacing w:after="0"/>
              <w:rPr>
                <w:sz w:val="19"/>
                <w:szCs w:val="19"/>
                <w:color w:val="auto"/>
              </w:rPr>
            </w:pPr>
          </w:p>
        </w:tc>
        <w:tc>
          <w:tcPr>
            <w:tcW w:w="40" w:type="dxa"/>
            <w:vAlign w:val="bottom"/>
          </w:tcPr>
          <w:p>
            <w:pPr>
              <w:spacing w:after="0"/>
              <w:rPr>
                <w:sz w:val="19"/>
                <w:szCs w:val="19"/>
                <w:color w:val="auto"/>
              </w:rPr>
            </w:pPr>
          </w:p>
        </w:tc>
        <w:tc>
          <w:tcPr>
            <w:tcW w:w="140" w:type="dxa"/>
            <w:vAlign w:val="bottom"/>
          </w:tcPr>
          <w:p>
            <w:pPr>
              <w:ind w:left="20"/>
              <w:spacing w:after="0"/>
              <w:rPr>
                <w:sz w:val="20"/>
                <w:szCs w:val="20"/>
                <w:color w:val="auto"/>
              </w:rPr>
            </w:pPr>
            <w:r>
              <w:rPr>
                <w:rFonts w:ascii="Arial" w:cs="Arial" w:eastAsia="Arial" w:hAnsi="Arial"/>
                <w:sz w:val="18"/>
                <w:szCs w:val="18"/>
                <w:color w:val="auto"/>
                <w:w w:val="99"/>
              </w:rPr>
              <w:t>$</w:t>
            </w:r>
          </w:p>
        </w:tc>
        <w:tc>
          <w:tcPr>
            <w:tcW w:w="720" w:type="dxa"/>
            <w:vAlign w:val="bottom"/>
            <w:gridSpan w:val="2"/>
          </w:tcPr>
          <w:p>
            <w:pPr>
              <w:jc w:val="right"/>
              <w:ind w:right="100"/>
              <w:spacing w:after="0"/>
              <w:rPr>
                <w:sz w:val="20"/>
                <w:szCs w:val="20"/>
                <w:color w:val="auto"/>
              </w:rPr>
            </w:pPr>
            <w:r>
              <w:rPr>
                <w:rFonts w:ascii="Arial" w:cs="Arial" w:eastAsia="Arial" w:hAnsi="Arial"/>
                <w:sz w:val="18"/>
                <w:szCs w:val="18"/>
                <w:color w:val="auto"/>
                <w:w w:val="92"/>
              </w:rPr>
              <w:t>210,689</w:t>
            </w:r>
          </w:p>
        </w:tc>
        <w:tc>
          <w:tcPr>
            <w:tcW w:w="0" w:type="dxa"/>
            <w:vAlign w:val="bottom"/>
          </w:tcPr>
          <w:p>
            <w:pPr>
              <w:spacing w:after="0"/>
              <w:rPr>
                <w:sz w:val="1"/>
                <w:szCs w:val="1"/>
                <w:color w:val="auto"/>
              </w:rPr>
            </w:pPr>
          </w:p>
        </w:tc>
      </w:tr>
      <w:tr>
        <w:trPr>
          <w:trHeight w:val="20"/>
        </w:trPr>
        <w:tc>
          <w:tcPr>
            <w:tcW w:w="920" w:type="dxa"/>
            <w:vAlign w:val="bottom"/>
          </w:tcPr>
          <w:p>
            <w:pPr>
              <w:spacing w:after="0" w:line="20" w:lineRule="exact"/>
              <w:rPr>
                <w:sz w:val="1"/>
                <w:szCs w:val="1"/>
                <w:color w:val="auto"/>
              </w:rPr>
            </w:pPr>
          </w:p>
        </w:tc>
        <w:tc>
          <w:tcPr>
            <w:tcW w:w="5280" w:type="dxa"/>
            <w:vAlign w:val="bottom"/>
          </w:tcPr>
          <w:p>
            <w:pPr>
              <w:spacing w:after="0" w:line="20" w:lineRule="exact"/>
              <w:rPr>
                <w:sz w:val="1"/>
                <w:szCs w:val="1"/>
                <w:color w:val="auto"/>
              </w:rPr>
            </w:pPr>
          </w:p>
        </w:tc>
        <w:tc>
          <w:tcPr>
            <w:tcW w:w="20" w:type="dxa"/>
            <w:vAlign w:val="bottom"/>
            <w:tcBorders>
              <w:top w:val="single" w:sz="8" w:color="auto"/>
            </w:tcBorders>
          </w:tcPr>
          <w:p>
            <w:pPr>
              <w:spacing w:after="0" w:line="20" w:lineRule="exact"/>
              <w:rPr>
                <w:sz w:val="1"/>
                <w:szCs w:val="1"/>
                <w:color w:val="auto"/>
              </w:rPr>
            </w:pPr>
          </w:p>
        </w:tc>
        <w:tc>
          <w:tcPr>
            <w:tcW w:w="640" w:type="dxa"/>
            <w:vAlign w:val="bottom"/>
            <w:tcBorders>
              <w:top w:val="single" w:sz="8" w:color="auto"/>
              <w:bottom w:val="single" w:sz="8" w:color="auto"/>
            </w:tcBorders>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2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20" w:type="dxa"/>
            <w:vAlign w:val="bottom"/>
            <w:tcBorders>
              <w:top w:val="single" w:sz="8" w:color="auto"/>
              <w:bottom w:val="single" w:sz="8" w:color="auto"/>
            </w:tcBorders>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320" w:type="dxa"/>
            <w:vAlign w:val="bottom"/>
            <w:tcBorders>
              <w:top w:val="single" w:sz="8" w:color="auto"/>
              <w:bottom w:val="single" w:sz="8" w:color="auto"/>
            </w:tcBorders>
          </w:tcPr>
          <w:p>
            <w:pPr>
              <w:spacing w:after="0" w:line="20" w:lineRule="exact"/>
              <w:rPr>
                <w:sz w:val="1"/>
                <w:szCs w:val="1"/>
                <w:color w:val="auto"/>
              </w:rPr>
            </w:pPr>
          </w:p>
        </w:tc>
        <w:tc>
          <w:tcPr>
            <w:tcW w:w="180" w:type="dxa"/>
            <w:vAlign w:val="bottom"/>
            <w:tcBorders>
              <w:top w:val="single" w:sz="8" w:color="auto"/>
              <w:bottom w:val="single" w:sz="8" w:color="auto"/>
            </w:tcBorders>
          </w:tcPr>
          <w:p>
            <w:pPr>
              <w:spacing w:after="0" w:line="20" w:lineRule="exact"/>
              <w:rPr>
                <w:sz w:val="1"/>
                <w:szCs w:val="1"/>
                <w:color w:val="auto"/>
              </w:rPr>
            </w:pPr>
          </w:p>
        </w:tc>
        <w:tc>
          <w:tcPr>
            <w:tcW w:w="180" w:type="dxa"/>
            <w:vAlign w:val="bottom"/>
            <w:tcBorders>
              <w:top w:val="single" w:sz="8" w:color="auto"/>
              <w:bottom w:val="single" w:sz="8" w:color="auto"/>
            </w:tcBorders>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140" w:type="dxa"/>
            <w:vAlign w:val="bottom"/>
            <w:tcBorders>
              <w:top w:val="single" w:sz="8" w:color="auto"/>
              <w:bottom w:val="single" w:sz="8" w:color="auto"/>
            </w:tcBorders>
          </w:tcPr>
          <w:p>
            <w:pPr>
              <w:spacing w:after="0" w:line="20" w:lineRule="exact"/>
              <w:rPr>
                <w:sz w:val="1"/>
                <w:szCs w:val="1"/>
                <w:color w:val="auto"/>
              </w:rPr>
            </w:pPr>
          </w:p>
        </w:tc>
        <w:tc>
          <w:tcPr>
            <w:tcW w:w="62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452"/>
        </w:trPr>
        <w:tc>
          <w:tcPr>
            <w:tcW w:w="7140" w:type="dxa"/>
            <w:vAlign w:val="bottom"/>
            <w:gridSpan w:val="5"/>
          </w:tcPr>
          <w:p>
            <w:pPr>
              <w:spacing w:after="0"/>
              <w:rPr>
                <w:sz w:val="20"/>
                <w:szCs w:val="20"/>
                <w:color w:val="auto"/>
              </w:rPr>
            </w:pPr>
            <w:r>
              <w:rPr>
                <w:rFonts w:ascii="Arial" w:cs="Arial" w:eastAsia="Arial" w:hAnsi="Arial"/>
                <w:sz w:val="18"/>
                <w:szCs w:val="18"/>
                <w:color w:val="auto"/>
                <w:w w:val="98"/>
              </w:rPr>
              <w:t>The components of accumulated other comprehensive loss were as follows (in thousands):</w:t>
            </w:r>
          </w:p>
        </w:tc>
        <w:tc>
          <w:tcPr>
            <w:tcW w:w="2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52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320" w:type="dxa"/>
            <w:vAlign w:val="bottom"/>
          </w:tcPr>
          <w:p>
            <w:pPr>
              <w:spacing w:after="0"/>
              <w:rPr>
                <w:sz w:val="24"/>
                <w:szCs w:val="24"/>
                <w:color w:val="auto"/>
              </w:rPr>
            </w:pPr>
          </w:p>
        </w:tc>
        <w:tc>
          <w:tcPr>
            <w:tcW w:w="320" w:type="dxa"/>
            <w:vAlign w:val="bottom"/>
          </w:tcPr>
          <w:p>
            <w:pPr>
              <w:spacing w:after="0"/>
              <w:rPr>
                <w:sz w:val="24"/>
                <w:szCs w:val="24"/>
                <w:color w:val="auto"/>
              </w:rPr>
            </w:pPr>
          </w:p>
        </w:tc>
        <w:tc>
          <w:tcPr>
            <w:tcW w:w="180" w:type="dxa"/>
            <w:vAlign w:val="bottom"/>
          </w:tcPr>
          <w:p>
            <w:pPr>
              <w:spacing w:after="0"/>
              <w:rPr>
                <w:sz w:val="24"/>
                <w:szCs w:val="24"/>
                <w:color w:val="auto"/>
              </w:rPr>
            </w:pPr>
          </w:p>
        </w:tc>
        <w:tc>
          <w:tcPr>
            <w:tcW w:w="180" w:type="dxa"/>
            <w:vAlign w:val="bottom"/>
          </w:tcPr>
          <w:p>
            <w:pPr>
              <w:spacing w:after="0"/>
              <w:rPr>
                <w:sz w:val="24"/>
                <w:szCs w:val="24"/>
                <w:color w:val="auto"/>
              </w:rPr>
            </w:pPr>
          </w:p>
        </w:tc>
        <w:tc>
          <w:tcPr>
            <w:tcW w:w="32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6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340"/>
        </w:trPr>
        <w:tc>
          <w:tcPr>
            <w:tcW w:w="920" w:type="dxa"/>
            <w:vAlign w:val="bottom"/>
          </w:tcPr>
          <w:p>
            <w:pPr>
              <w:spacing w:after="0"/>
              <w:rPr>
                <w:sz w:val="24"/>
                <w:szCs w:val="24"/>
                <w:color w:val="auto"/>
              </w:rPr>
            </w:pPr>
          </w:p>
        </w:tc>
        <w:tc>
          <w:tcPr>
            <w:tcW w:w="528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640" w:type="dxa"/>
            <w:vAlign w:val="bottom"/>
          </w:tcPr>
          <w:p>
            <w:pPr>
              <w:spacing w:after="0"/>
              <w:rPr>
                <w:sz w:val="24"/>
                <w:szCs w:val="24"/>
                <w:color w:val="auto"/>
              </w:rPr>
            </w:pPr>
          </w:p>
        </w:tc>
        <w:tc>
          <w:tcPr>
            <w:tcW w:w="28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1020" w:type="dxa"/>
            <w:vAlign w:val="bottom"/>
            <w:gridSpan w:val="6"/>
          </w:tcPr>
          <w:p>
            <w:pPr>
              <w:ind w:left="20"/>
              <w:spacing w:after="0"/>
              <w:rPr>
                <w:sz w:val="20"/>
                <w:szCs w:val="20"/>
                <w:color w:val="auto"/>
              </w:rPr>
            </w:pPr>
            <w:r>
              <w:rPr>
                <w:rFonts w:ascii="Arial" w:cs="Arial" w:eastAsia="Arial" w:hAnsi="Arial"/>
                <w:sz w:val="14"/>
                <w:szCs w:val="14"/>
                <w:b w:val="1"/>
                <w:bCs w:val="1"/>
                <w:color w:val="auto"/>
              </w:rPr>
              <w:t>October 31,</w:t>
            </w:r>
          </w:p>
        </w:tc>
        <w:tc>
          <w:tcPr>
            <w:tcW w:w="1160" w:type="dxa"/>
            <w:vAlign w:val="bottom"/>
            <w:gridSpan w:val="6"/>
          </w:tcPr>
          <w:p>
            <w:pPr>
              <w:ind w:left="320"/>
              <w:spacing w:after="0"/>
              <w:rPr>
                <w:sz w:val="20"/>
                <w:szCs w:val="20"/>
                <w:color w:val="auto"/>
              </w:rPr>
            </w:pPr>
            <w:r>
              <w:rPr>
                <w:rFonts w:ascii="Arial" w:cs="Arial" w:eastAsia="Arial" w:hAnsi="Arial"/>
                <w:sz w:val="14"/>
                <w:szCs w:val="14"/>
                <w:b w:val="1"/>
                <w:bCs w:val="1"/>
                <w:color w:val="auto"/>
              </w:rPr>
              <w:t>January 31,</w:t>
            </w:r>
          </w:p>
        </w:tc>
        <w:tc>
          <w:tcPr>
            <w:tcW w:w="140" w:type="dxa"/>
            <w:vAlign w:val="bottom"/>
          </w:tcPr>
          <w:p>
            <w:pPr>
              <w:spacing w:after="0"/>
              <w:rPr>
                <w:sz w:val="24"/>
                <w:szCs w:val="24"/>
                <w:color w:val="auto"/>
              </w:rPr>
            </w:pPr>
          </w:p>
        </w:tc>
        <w:tc>
          <w:tcPr>
            <w:tcW w:w="6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161"/>
        </w:trPr>
        <w:tc>
          <w:tcPr>
            <w:tcW w:w="920" w:type="dxa"/>
            <w:vAlign w:val="bottom"/>
          </w:tcPr>
          <w:p>
            <w:pPr>
              <w:spacing w:after="0"/>
              <w:rPr>
                <w:sz w:val="14"/>
                <w:szCs w:val="14"/>
                <w:color w:val="auto"/>
              </w:rPr>
            </w:pPr>
          </w:p>
        </w:tc>
        <w:tc>
          <w:tcPr>
            <w:tcW w:w="528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640" w:type="dxa"/>
            <w:vAlign w:val="bottom"/>
          </w:tcPr>
          <w:p>
            <w:pPr>
              <w:spacing w:after="0"/>
              <w:rPr>
                <w:sz w:val="14"/>
                <w:szCs w:val="14"/>
                <w:color w:val="auto"/>
              </w:rPr>
            </w:pPr>
          </w:p>
        </w:tc>
        <w:tc>
          <w:tcPr>
            <w:tcW w:w="28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520" w:type="dxa"/>
            <w:vAlign w:val="bottom"/>
            <w:tcBorders>
              <w:bottom w:val="single" w:sz="8" w:color="auto"/>
            </w:tcBorders>
          </w:tcPr>
          <w:p>
            <w:pPr>
              <w:jc w:val="right"/>
              <w:ind w:right="76"/>
              <w:spacing w:after="0"/>
              <w:rPr>
                <w:sz w:val="20"/>
                <w:szCs w:val="20"/>
                <w:color w:val="auto"/>
              </w:rPr>
            </w:pPr>
            <w:r>
              <w:rPr>
                <w:rFonts w:ascii="Arial" w:cs="Arial" w:eastAsia="Arial" w:hAnsi="Arial"/>
                <w:sz w:val="14"/>
                <w:szCs w:val="14"/>
                <w:b w:val="1"/>
                <w:bCs w:val="1"/>
                <w:color w:val="auto"/>
              </w:rPr>
              <w:t>2009</w:t>
            </w:r>
          </w:p>
        </w:tc>
        <w:tc>
          <w:tcPr>
            <w:tcW w:w="40" w:type="dxa"/>
            <w:vAlign w:val="bottom"/>
            <w:tcBorders>
              <w:bottom w:val="single" w:sz="8" w:color="auto"/>
            </w:tcBorders>
          </w:tcPr>
          <w:p>
            <w:pPr>
              <w:spacing w:after="0"/>
              <w:rPr>
                <w:sz w:val="14"/>
                <w:szCs w:val="14"/>
                <w:color w:val="auto"/>
              </w:rPr>
            </w:pPr>
          </w:p>
        </w:tc>
        <w:tc>
          <w:tcPr>
            <w:tcW w:w="20" w:type="dxa"/>
            <w:vAlign w:val="bottom"/>
            <w:tcBorders>
              <w:bottom w:val="single" w:sz="8" w:color="auto"/>
            </w:tcBorders>
          </w:tcPr>
          <w:p>
            <w:pPr>
              <w:spacing w:after="0"/>
              <w:rPr>
                <w:sz w:val="14"/>
                <w:szCs w:val="14"/>
                <w:color w:val="auto"/>
              </w:rPr>
            </w:pPr>
          </w:p>
        </w:tc>
        <w:tc>
          <w:tcPr>
            <w:tcW w:w="320" w:type="dxa"/>
            <w:vAlign w:val="bottom"/>
          </w:tcPr>
          <w:p>
            <w:pPr>
              <w:spacing w:after="0"/>
              <w:rPr>
                <w:sz w:val="14"/>
                <w:szCs w:val="14"/>
                <w:color w:val="auto"/>
              </w:rPr>
            </w:pPr>
          </w:p>
        </w:tc>
        <w:tc>
          <w:tcPr>
            <w:tcW w:w="320" w:type="dxa"/>
            <w:vAlign w:val="bottom"/>
          </w:tcPr>
          <w:p>
            <w:pPr>
              <w:spacing w:after="0"/>
              <w:rPr>
                <w:sz w:val="14"/>
                <w:szCs w:val="14"/>
                <w:color w:val="auto"/>
              </w:rPr>
            </w:pPr>
          </w:p>
        </w:tc>
        <w:tc>
          <w:tcPr>
            <w:tcW w:w="180" w:type="dxa"/>
            <w:vAlign w:val="bottom"/>
            <w:tcBorders>
              <w:bottom w:val="single" w:sz="8" w:color="auto"/>
            </w:tcBorders>
          </w:tcPr>
          <w:p>
            <w:pPr>
              <w:spacing w:after="0"/>
              <w:rPr>
                <w:sz w:val="14"/>
                <w:szCs w:val="14"/>
                <w:color w:val="auto"/>
              </w:rPr>
            </w:pPr>
          </w:p>
        </w:tc>
        <w:tc>
          <w:tcPr>
            <w:tcW w:w="500" w:type="dxa"/>
            <w:vAlign w:val="bottom"/>
            <w:tcBorders>
              <w:bottom w:val="single" w:sz="8" w:color="auto"/>
            </w:tcBorders>
            <w:gridSpan w:val="2"/>
          </w:tcPr>
          <w:p>
            <w:pPr>
              <w:jc w:val="right"/>
              <w:ind w:right="112"/>
              <w:spacing w:after="0"/>
              <w:rPr>
                <w:sz w:val="20"/>
                <w:szCs w:val="20"/>
                <w:color w:val="auto"/>
              </w:rPr>
            </w:pPr>
            <w:r>
              <w:rPr>
                <w:rFonts w:ascii="Arial" w:cs="Arial" w:eastAsia="Arial" w:hAnsi="Arial"/>
                <w:sz w:val="14"/>
                <w:szCs w:val="14"/>
                <w:b w:val="1"/>
                <w:bCs w:val="1"/>
                <w:color w:val="auto"/>
                <w:w w:val="89"/>
              </w:rPr>
              <w:t>2009</w:t>
            </w:r>
          </w:p>
        </w:tc>
        <w:tc>
          <w:tcPr>
            <w:tcW w:w="120" w:type="dxa"/>
            <w:vAlign w:val="bottom"/>
          </w:tcPr>
          <w:p>
            <w:pPr>
              <w:spacing w:after="0"/>
              <w:rPr>
                <w:sz w:val="14"/>
                <w:szCs w:val="14"/>
                <w:color w:val="auto"/>
              </w:rPr>
            </w:pPr>
          </w:p>
        </w:tc>
        <w:tc>
          <w:tcPr>
            <w:tcW w:w="4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62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210"/>
        </w:trPr>
        <w:tc>
          <w:tcPr>
            <w:tcW w:w="920" w:type="dxa"/>
            <w:vAlign w:val="bottom"/>
          </w:tcPr>
          <w:p>
            <w:pPr>
              <w:spacing w:after="0"/>
              <w:rPr>
                <w:sz w:val="18"/>
                <w:szCs w:val="18"/>
                <w:color w:val="auto"/>
              </w:rPr>
            </w:pPr>
          </w:p>
        </w:tc>
        <w:tc>
          <w:tcPr>
            <w:tcW w:w="5280" w:type="dxa"/>
            <w:vAlign w:val="bottom"/>
            <w:shd w:val="clear" w:color="auto" w:fill="CCEEFF"/>
          </w:tcPr>
          <w:p>
            <w:pPr>
              <w:spacing w:after="0"/>
              <w:rPr>
                <w:sz w:val="20"/>
                <w:szCs w:val="20"/>
                <w:color w:val="auto"/>
              </w:rPr>
            </w:pPr>
            <w:r>
              <w:rPr>
                <w:rFonts w:ascii="Arial" w:cs="Arial" w:eastAsia="Arial" w:hAnsi="Arial"/>
                <w:sz w:val="18"/>
                <w:szCs w:val="18"/>
                <w:color w:val="auto"/>
              </w:rPr>
              <w:t>Unrealized loss on marketable securities</w:t>
            </w:r>
          </w:p>
        </w:tc>
        <w:tc>
          <w:tcPr>
            <w:tcW w:w="20" w:type="dxa"/>
            <w:vAlign w:val="bottom"/>
            <w:shd w:val="clear" w:color="auto" w:fill="CCEEFF"/>
          </w:tcPr>
          <w:p>
            <w:pPr>
              <w:spacing w:after="0"/>
              <w:rPr>
                <w:sz w:val="18"/>
                <w:szCs w:val="18"/>
                <w:color w:val="auto"/>
              </w:rPr>
            </w:pPr>
          </w:p>
        </w:tc>
        <w:tc>
          <w:tcPr>
            <w:tcW w:w="640" w:type="dxa"/>
            <w:vAlign w:val="bottom"/>
            <w:shd w:val="clear" w:color="auto" w:fill="CCEEFF"/>
          </w:tcPr>
          <w:p>
            <w:pPr>
              <w:spacing w:after="0"/>
              <w:rPr>
                <w:sz w:val="18"/>
                <w:szCs w:val="18"/>
                <w:color w:val="auto"/>
              </w:rPr>
            </w:pPr>
          </w:p>
        </w:tc>
        <w:tc>
          <w:tcPr>
            <w:tcW w:w="280" w:type="dxa"/>
            <w:vAlign w:val="bottom"/>
            <w:shd w:val="clear" w:color="auto" w:fill="CCEEFF"/>
          </w:tcPr>
          <w:p>
            <w:pPr>
              <w:spacing w:after="0"/>
              <w:rPr>
                <w:sz w:val="18"/>
                <w:szCs w:val="18"/>
                <w:color w:val="auto"/>
              </w:rPr>
            </w:pPr>
          </w:p>
        </w:tc>
        <w:tc>
          <w:tcPr>
            <w:tcW w:w="440" w:type="dxa"/>
            <w:vAlign w:val="bottom"/>
            <w:gridSpan w:val="4"/>
            <w:shd w:val="clear" w:color="auto" w:fill="CCEEFF"/>
          </w:tcPr>
          <w:p>
            <w:pPr>
              <w:ind w:left="320"/>
              <w:spacing w:after="0"/>
              <w:rPr>
                <w:sz w:val="20"/>
                <w:szCs w:val="20"/>
                <w:color w:val="auto"/>
              </w:rPr>
            </w:pPr>
            <w:r>
              <w:rPr>
                <w:rFonts w:ascii="Arial" w:cs="Arial" w:eastAsia="Arial" w:hAnsi="Arial"/>
                <w:sz w:val="18"/>
                <w:szCs w:val="18"/>
                <w:color w:val="auto"/>
                <w:w w:val="99"/>
              </w:rPr>
              <w:t>$</w:t>
            </w:r>
          </w:p>
        </w:tc>
        <w:tc>
          <w:tcPr>
            <w:tcW w:w="900" w:type="dxa"/>
            <w:vAlign w:val="bottom"/>
            <w:gridSpan w:val="4"/>
            <w:shd w:val="clear" w:color="auto" w:fill="CCEEFF"/>
          </w:tcPr>
          <w:p>
            <w:pPr>
              <w:jc w:val="right"/>
              <w:ind w:right="280"/>
              <w:spacing w:after="0"/>
              <w:rPr>
                <w:sz w:val="20"/>
                <w:szCs w:val="20"/>
                <w:color w:val="auto"/>
              </w:rPr>
            </w:pPr>
            <w:r>
              <w:rPr>
                <w:rFonts w:ascii="Arial" w:cs="Arial" w:eastAsia="Arial" w:hAnsi="Arial"/>
                <w:sz w:val="18"/>
                <w:szCs w:val="18"/>
                <w:color w:val="auto"/>
              </w:rPr>
              <w:t>(2,466)</w:t>
            </w:r>
          </w:p>
        </w:tc>
        <w:tc>
          <w:tcPr>
            <w:tcW w:w="500" w:type="dxa"/>
            <w:vAlign w:val="bottom"/>
            <w:gridSpan w:val="2"/>
            <w:shd w:val="clear" w:color="auto" w:fill="CCEEFF"/>
          </w:tcPr>
          <w:p>
            <w:pPr>
              <w:jc w:val="center"/>
              <w:ind w:left="138"/>
              <w:spacing w:after="0"/>
              <w:rPr>
                <w:sz w:val="20"/>
                <w:szCs w:val="20"/>
                <w:color w:val="auto"/>
              </w:rPr>
            </w:pPr>
            <w:r>
              <w:rPr>
                <w:rFonts w:ascii="Arial" w:cs="Arial" w:eastAsia="Arial" w:hAnsi="Arial"/>
                <w:sz w:val="18"/>
                <w:szCs w:val="18"/>
                <w:color w:val="auto"/>
                <w:w w:val="79"/>
              </w:rPr>
              <w:t>$</w:t>
            </w:r>
          </w:p>
        </w:tc>
        <w:tc>
          <w:tcPr>
            <w:tcW w:w="620" w:type="dxa"/>
            <w:vAlign w:val="bottom"/>
            <w:gridSpan w:val="3"/>
            <w:shd w:val="clear" w:color="auto" w:fill="CCEEFF"/>
          </w:tcPr>
          <w:p>
            <w:pPr>
              <w:jc w:val="right"/>
              <w:ind w:right="60"/>
              <w:spacing w:after="0"/>
              <w:rPr>
                <w:sz w:val="20"/>
                <w:szCs w:val="20"/>
                <w:color w:val="auto"/>
              </w:rPr>
            </w:pPr>
            <w:r>
              <w:rPr>
                <w:rFonts w:ascii="Arial" w:cs="Arial" w:eastAsia="Arial" w:hAnsi="Arial"/>
                <w:sz w:val="18"/>
                <w:szCs w:val="18"/>
                <w:color w:val="auto"/>
                <w:w w:val="94"/>
              </w:rPr>
              <w:t>(1,309)</w:t>
            </w:r>
          </w:p>
        </w:tc>
        <w:tc>
          <w:tcPr>
            <w:tcW w:w="4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6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920" w:type="dxa"/>
            <w:vAlign w:val="bottom"/>
          </w:tcPr>
          <w:p>
            <w:pPr>
              <w:spacing w:after="0"/>
              <w:rPr>
                <w:sz w:val="18"/>
                <w:szCs w:val="18"/>
                <w:color w:val="auto"/>
              </w:rPr>
            </w:pPr>
          </w:p>
        </w:tc>
        <w:tc>
          <w:tcPr>
            <w:tcW w:w="5280" w:type="dxa"/>
            <w:vAlign w:val="bottom"/>
          </w:tcPr>
          <w:p>
            <w:pPr>
              <w:spacing w:after="0"/>
              <w:rPr>
                <w:sz w:val="20"/>
                <w:szCs w:val="20"/>
                <w:color w:val="auto"/>
              </w:rPr>
            </w:pPr>
            <w:r>
              <w:rPr>
                <w:rFonts w:ascii="Arial" w:cs="Arial" w:eastAsia="Arial" w:hAnsi="Arial"/>
                <w:sz w:val="18"/>
                <w:szCs w:val="18"/>
                <w:color w:val="auto"/>
              </w:rPr>
              <w:t>Unrealized gain on cash flow hedges</w:t>
            </w:r>
          </w:p>
        </w:tc>
        <w:tc>
          <w:tcPr>
            <w:tcW w:w="20" w:type="dxa"/>
            <w:vAlign w:val="bottom"/>
          </w:tcPr>
          <w:p>
            <w:pPr>
              <w:spacing w:after="0"/>
              <w:rPr>
                <w:sz w:val="18"/>
                <w:szCs w:val="18"/>
                <w:color w:val="auto"/>
              </w:rPr>
            </w:pPr>
          </w:p>
        </w:tc>
        <w:tc>
          <w:tcPr>
            <w:tcW w:w="64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gridSpan w:val="3"/>
          </w:tcPr>
          <w:p>
            <w:pPr>
              <w:jc w:val="right"/>
              <w:ind w:right="20"/>
              <w:spacing w:after="0"/>
              <w:rPr>
                <w:sz w:val="20"/>
                <w:szCs w:val="20"/>
                <w:color w:val="auto"/>
              </w:rPr>
            </w:pPr>
            <w:r>
              <w:rPr>
                <w:rFonts w:ascii="Arial" w:cs="Arial" w:eastAsia="Arial" w:hAnsi="Arial"/>
                <w:sz w:val="18"/>
                <w:szCs w:val="18"/>
                <w:color w:val="auto"/>
              </w:rPr>
              <w:t>1,330</w:t>
            </w:r>
          </w:p>
        </w:tc>
        <w:tc>
          <w:tcPr>
            <w:tcW w:w="32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440" w:type="dxa"/>
            <w:vAlign w:val="bottom"/>
            <w:gridSpan w:val="2"/>
          </w:tcPr>
          <w:p>
            <w:pPr>
              <w:jc w:val="right"/>
              <w:ind w:right="200"/>
              <w:spacing w:after="0"/>
              <w:rPr>
                <w:sz w:val="20"/>
                <w:szCs w:val="20"/>
                <w:color w:val="auto"/>
              </w:rPr>
            </w:pPr>
            <w:r>
              <w:rPr>
                <w:rFonts w:ascii="Arial" w:cs="Arial" w:eastAsia="Arial" w:hAnsi="Arial"/>
                <w:sz w:val="18"/>
                <w:szCs w:val="18"/>
                <w:color w:val="auto"/>
              </w:rPr>
              <w:t>—</w:t>
            </w:r>
          </w:p>
        </w:tc>
        <w:tc>
          <w:tcPr>
            <w:tcW w:w="4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6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920" w:type="dxa"/>
            <w:vAlign w:val="bottom"/>
          </w:tcPr>
          <w:p>
            <w:pPr>
              <w:spacing w:after="0"/>
              <w:rPr>
                <w:sz w:val="18"/>
                <w:szCs w:val="18"/>
                <w:color w:val="auto"/>
              </w:rPr>
            </w:pPr>
          </w:p>
        </w:tc>
        <w:tc>
          <w:tcPr>
            <w:tcW w:w="5280" w:type="dxa"/>
            <w:vAlign w:val="bottom"/>
            <w:shd w:val="clear" w:color="auto" w:fill="CCEEFF"/>
          </w:tcPr>
          <w:p>
            <w:pPr>
              <w:spacing w:after="0"/>
              <w:rPr>
                <w:sz w:val="20"/>
                <w:szCs w:val="20"/>
                <w:color w:val="auto"/>
              </w:rPr>
            </w:pPr>
            <w:r>
              <w:rPr>
                <w:rFonts w:ascii="Arial" w:cs="Arial" w:eastAsia="Arial" w:hAnsi="Arial"/>
                <w:sz w:val="18"/>
                <w:szCs w:val="18"/>
                <w:color w:val="auto"/>
              </w:rPr>
              <w:t>Other</w:t>
            </w:r>
          </w:p>
        </w:tc>
        <w:tc>
          <w:tcPr>
            <w:tcW w:w="20" w:type="dxa"/>
            <w:vAlign w:val="bottom"/>
            <w:shd w:val="clear" w:color="auto" w:fill="CCEEFF"/>
          </w:tcPr>
          <w:p>
            <w:pPr>
              <w:spacing w:after="0"/>
              <w:rPr>
                <w:sz w:val="18"/>
                <w:szCs w:val="18"/>
                <w:color w:val="auto"/>
              </w:rPr>
            </w:pPr>
          </w:p>
        </w:tc>
        <w:tc>
          <w:tcPr>
            <w:tcW w:w="640" w:type="dxa"/>
            <w:vAlign w:val="bottom"/>
            <w:shd w:val="clear" w:color="auto" w:fill="CCEEFF"/>
          </w:tcPr>
          <w:p>
            <w:pPr>
              <w:spacing w:after="0"/>
              <w:rPr>
                <w:sz w:val="18"/>
                <w:szCs w:val="18"/>
                <w:color w:val="auto"/>
              </w:rPr>
            </w:pPr>
          </w:p>
        </w:tc>
        <w:tc>
          <w:tcPr>
            <w:tcW w:w="28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20" w:type="dxa"/>
            <w:vAlign w:val="bottom"/>
            <w:shd w:val="clear" w:color="auto" w:fill="CCEEFF"/>
          </w:tcPr>
          <w:p>
            <w:pPr>
              <w:spacing w:after="0"/>
              <w:rPr>
                <w:sz w:val="18"/>
                <w:szCs w:val="18"/>
                <w:color w:val="auto"/>
              </w:rPr>
            </w:pPr>
          </w:p>
        </w:tc>
        <w:tc>
          <w:tcPr>
            <w:tcW w:w="100" w:type="dxa"/>
            <w:vAlign w:val="bottom"/>
            <w:tcBorders>
              <w:bottom w:val="single" w:sz="8" w:color="auto"/>
            </w:tcBorders>
            <w:shd w:val="clear" w:color="auto" w:fill="CCEEFF"/>
          </w:tcPr>
          <w:p>
            <w:pPr>
              <w:spacing w:after="0"/>
              <w:rPr>
                <w:sz w:val="18"/>
                <w:szCs w:val="18"/>
                <w:color w:val="auto"/>
              </w:rPr>
            </w:pPr>
          </w:p>
        </w:tc>
        <w:tc>
          <w:tcPr>
            <w:tcW w:w="580" w:type="dxa"/>
            <w:vAlign w:val="bottom"/>
            <w:tcBorders>
              <w:bottom w:val="single" w:sz="8" w:color="auto"/>
            </w:tcBorders>
            <w:gridSpan w:val="3"/>
            <w:shd w:val="clear" w:color="auto" w:fill="CCEEFF"/>
          </w:tcPr>
          <w:p>
            <w:pPr>
              <w:jc w:val="right"/>
              <w:ind w:right="20"/>
              <w:spacing w:after="0"/>
              <w:rPr>
                <w:sz w:val="20"/>
                <w:szCs w:val="20"/>
                <w:color w:val="auto"/>
              </w:rPr>
            </w:pPr>
            <w:r>
              <w:rPr>
                <w:rFonts w:ascii="Arial" w:cs="Arial" w:eastAsia="Arial" w:hAnsi="Arial"/>
                <w:sz w:val="18"/>
                <w:szCs w:val="18"/>
                <w:color w:val="auto"/>
              </w:rPr>
              <w:t>7</w:t>
            </w:r>
          </w:p>
        </w:tc>
        <w:tc>
          <w:tcPr>
            <w:tcW w:w="320" w:type="dxa"/>
            <w:vAlign w:val="bottom"/>
            <w:shd w:val="clear" w:color="auto" w:fill="CCEEFF"/>
          </w:tcPr>
          <w:p>
            <w:pPr>
              <w:spacing w:after="0"/>
              <w:rPr>
                <w:sz w:val="18"/>
                <w:szCs w:val="18"/>
                <w:color w:val="auto"/>
              </w:rPr>
            </w:pPr>
          </w:p>
        </w:tc>
        <w:tc>
          <w:tcPr>
            <w:tcW w:w="320" w:type="dxa"/>
            <w:vAlign w:val="bottom"/>
            <w:shd w:val="clear" w:color="auto" w:fill="CCEEFF"/>
          </w:tcPr>
          <w:p>
            <w:pPr>
              <w:spacing w:after="0"/>
              <w:rPr>
                <w:sz w:val="18"/>
                <w:szCs w:val="18"/>
                <w:color w:val="auto"/>
              </w:rPr>
            </w:pPr>
          </w:p>
        </w:tc>
        <w:tc>
          <w:tcPr>
            <w:tcW w:w="180" w:type="dxa"/>
            <w:vAlign w:val="bottom"/>
            <w:tcBorders>
              <w:bottom w:val="single" w:sz="8" w:color="auto"/>
            </w:tcBorders>
            <w:shd w:val="clear" w:color="auto" w:fill="CCEEFF"/>
          </w:tcPr>
          <w:p>
            <w:pPr>
              <w:spacing w:after="0"/>
              <w:rPr>
                <w:sz w:val="18"/>
                <w:szCs w:val="18"/>
                <w:color w:val="auto"/>
              </w:rPr>
            </w:pPr>
          </w:p>
        </w:tc>
        <w:tc>
          <w:tcPr>
            <w:tcW w:w="500" w:type="dxa"/>
            <w:vAlign w:val="bottom"/>
            <w:tcBorders>
              <w:bottom w:val="single" w:sz="8" w:color="auto"/>
            </w:tcBorders>
            <w:gridSpan w:val="2"/>
            <w:shd w:val="clear" w:color="auto" w:fill="CCEEFF"/>
          </w:tcPr>
          <w:p>
            <w:pPr>
              <w:jc w:val="right"/>
              <w:spacing w:after="0"/>
              <w:rPr>
                <w:sz w:val="20"/>
                <w:szCs w:val="20"/>
                <w:color w:val="auto"/>
              </w:rPr>
            </w:pPr>
            <w:r>
              <w:rPr>
                <w:rFonts w:ascii="Arial" w:cs="Arial" w:eastAsia="Arial" w:hAnsi="Arial"/>
                <w:sz w:val="18"/>
                <w:szCs w:val="18"/>
                <w:color w:val="auto"/>
              </w:rPr>
              <w:t>591</w:t>
            </w:r>
          </w:p>
        </w:tc>
        <w:tc>
          <w:tcPr>
            <w:tcW w:w="120" w:type="dxa"/>
            <w:vAlign w:val="bottom"/>
            <w:shd w:val="clear" w:color="auto" w:fill="CCEEFF"/>
          </w:tcPr>
          <w:p>
            <w:pPr>
              <w:spacing w:after="0"/>
              <w:rPr>
                <w:sz w:val="18"/>
                <w:szCs w:val="18"/>
                <w:color w:val="auto"/>
              </w:rPr>
            </w:pPr>
          </w:p>
        </w:tc>
        <w:tc>
          <w:tcPr>
            <w:tcW w:w="4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6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22"/>
        </w:trPr>
        <w:tc>
          <w:tcPr>
            <w:tcW w:w="6200" w:type="dxa"/>
            <w:vAlign w:val="bottom"/>
            <w:gridSpan w:val="2"/>
          </w:tcPr>
          <w:p>
            <w:pPr>
              <w:ind w:left="920"/>
              <w:spacing w:after="0"/>
              <w:rPr>
                <w:sz w:val="20"/>
                <w:szCs w:val="20"/>
                <w:color w:val="auto"/>
              </w:rPr>
            </w:pPr>
            <w:r>
              <w:rPr>
                <w:rFonts w:ascii="Arial" w:cs="Arial" w:eastAsia="Arial" w:hAnsi="Arial"/>
                <w:sz w:val="18"/>
                <w:szCs w:val="18"/>
                <w:color w:val="auto"/>
              </w:rPr>
              <w:t>Accumulated other comprehensive loss</w:t>
            </w:r>
          </w:p>
        </w:tc>
        <w:tc>
          <w:tcPr>
            <w:tcW w:w="20" w:type="dxa"/>
            <w:vAlign w:val="bottom"/>
          </w:tcPr>
          <w:p>
            <w:pPr>
              <w:spacing w:after="0"/>
              <w:rPr>
                <w:sz w:val="19"/>
                <w:szCs w:val="19"/>
                <w:color w:val="auto"/>
              </w:rPr>
            </w:pPr>
          </w:p>
        </w:tc>
        <w:tc>
          <w:tcPr>
            <w:tcW w:w="640" w:type="dxa"/>
            <w:vAlign w:val="bottom"/>
          </w:tcPr>
          <w:p>
            <w:pPr>
              <w:spacing w:after="0"/>
              <w:rPr>
                <w:sz w:val="19"/>
                <w:szCs w:val="19"/>
                <w:color w:val="auto"/>
              </w:rPr>
            </w:pPr>
          </w:p>
        </w:tc>
        <w:tc>
          <w:tcPr>
            <w:tcW w:w="280" w:type="dxa"/>
            <w:vAlign w:val="bottom"/>
          </w:tcPr>
          <w:p>
            <w:pPr>
              <w:spacing w:after="0"/>
              <w:rPr>
                <w:sz w:val="19"/>
                <w:szCs w:val="19"/>
                <w:color w:val="auto"/>
              </w:rPr>
            </w:pPr>
          </w:p>
        </w:tc>
        <w:tc>
          <w:tcPr>
            <w:tcW w:w="440" w:type="dxa"/>
            <w:vAlign w:val="bottom"/>
            <w:gridSpan w:val="4"/>
          </w:tcPr>
          <w:p>
            <w:pPr>
              <w:ind w:left="320"/>
              <w:spacing w:after="0"/>
              <w:rPr>
                <w:sz w:val="20"/>
                <w:szCs w:val="20"/>
                <w:color w:val="auto"/>
              </w:rPr>
            </w:pPr>
            <w:r>
              <w:rPr>
                <w:rFonts w:ascii="Arial" w:cs="Arial" w:eastAsia="Arial" w:hAnsi="Arial"/>
                <w:sz w:val="18"/>
                <w:szCs w:val="18"/>
                <w:color w:val="auto"/>
                <w:w w:val="99"/>
              </w:rPr>
              <w:t>$</w:t>
            </w:r>
          </w:p>
        </w:tc>
        <w:tc>
          <w:tcPr>
            <w:tcW w:w="900" w:type="dxa"/>
            <w:vAlign w:val="bottom"/>
            <w:gridSpan w:val="4"/>
          </w:tcPr>
          <w:p>
            <w:pPr>
              <w:jc w:val="right"/>
              <w:ind w:right="280"/>
              <w:spacing w:after="0"/>
              <w:rPr>
                <w:sz w:val="20"/>
                <w:szCs w:val="20"/>
                <w:color w:val="auto"/>
              </w:rPr>
            </w:pPr>
            <w:r>
              <w:rPr>
                <w:rFonts w:ascii="Arial" w:cs="Arial" w:eastAsia="Arial" w:hAnsi="Arial"/>
                <w:sz w:val="18"/>
                <w:szCs w:val="18"/>
                <w:color w:val="auto"/>
              </w:rPr>
              <w:t>(1,129)</w:t>
            </w:r>
          </w:p>
        </w:tc>
        <w:tc>
          <w:tcPr>
            <w:tcW w:w="500" w:type="dxa"/>
            <w:vAlign w:val="bottom"/>
            <w:gridSpan w:val="2"/>
          </w:tcPr>
          <w:p>
            <w:pPr>
              <w:jc w:val="center"/>
              <w:ind w:left="138"/>
              <w:spacing w:after="0"/>
              <w:rPr>
                <w:sz w:val="20"/>
                <w:szCs w:val="20"/>
                <w:color w:val="auto"/>
              </w:rPr>
            </w:pPr>
            <w:r>
              <w:rPr>
                <w:rFonts w:ascii="Arial" w:cs="Arial" w:eastAsia="Arial" w:hAnsi="Arial"/>
                <w:sz w:val="18"/>
                <w:szCs w:val="18"/>
                <w:color w:val="auto"/>
                <w:w w:val="79"/>
              </w:rPr>
              <w:t>$</w:t>
            </w:r>
          </w:p>
        </w:tc>
        <w:tc>
          <w:tcPr>
            <w:tcW w:w="620" w:type="dxa"/>
            <w:vAlign w:val="bottom"/>
            <w:gridSpan w:val="3"/>
          </w:tcPr>
          <w:p>
            <w:pPr>
              <w:jc w:val="right"/>
              <w:ind w:right="60"/>
              <w:spacing w:after="0"/>
              <w:rPr>
                <w:sz w:val="20"/>
                <w:szCs w:val="20"/>
                <w:color w:val="auto"/>
              </w:rPr>
            </w:pPr>
            <w:r>
              <w:rPr>
                <w:rFonts w:ascii="Arial" w:cs="Arial" w:eastAsia="Arial" w:hAnsi="Arial"/>
                <w:sz w:val="18"/>
                <w:szCs w:val="18"/>
                <w:color w:val="auto"/>
              </w:rPr>
              <w:t>(718)</w:t>
            </w:r>
          </w:p>
        </w:tc>
        <w:tc>
          <w:tcPr>
            <w:tcW w:w="40" w:type="dxa"/>
            <w:vAlign w:val="bottom"/>
          </w:tcPr>
          <w:p>
            <w:pPr>
              <w:spacing w:after="0"/>
              <w:rPr>
                <w:sz w:val="19"/>
                <w:szCs w:val="19"/>
                <w:color w:val="auto"/>
              </w:rPr>
            </w:pPr>
          </w:p>
        </w:tc>
        <w:tc>
          <w:tcPr>
            <w:tcW w:w="140" w:type="dxa"/>
            <w:vAlign w:val="bottom"/>
          </w:tcPr>
          <w:p>
            <w:pPr>
              <w:spacing w:after="0"/>
              <w:rPr>
                <w:sz w:val="19"/>
                <w:szCs w:val="19"/>
                <w:color w:val="auto"/>
              </w:rPr>
            </w:pPr>
          </w:p>
        </w:tc>
        <w:tc>
          <w:tcPr>
            <w:tcW w:w="62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0"/>
        </w:trPr>
        <w:tc>
          <w:tcPr>
            <w:tcW w:w="920" w:type="dxa"/>
            <w:vAlign w:val="bottom"/>
          </w:tcPr>
          <w:p>
            <w:pPr>
              <w:spacing w:after="0" w:line="20" w:lineRule="exact"/>
              <w:rPr>
                <w:sz w:val="1"/>
                <w:szCs w:val="1"/>
                <w:color w:val="auto"/>
              </w:rPr>
            </w:pPr>
          </w:p>
        </w:tc>
        <w:tc>
          <w:tcPr>
            <w:tcW w:w="528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640" w:type="dxa"/>
            <w:vAlign w:val="bottom"/>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20" w:type="dxa"/>
            <w:vAlign w:val="bottom"/>
            <w:tcBorders>
              <w:top w:val="single" w:sz="8" w:color="auto"/>
            </w:tcBorders>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20" w:type="dxa"/>
            <w:vAlign w:val="bottom"/>
            <w:tcBorders>
              <w:top w:val="single" w:sz="8" w:color="auto"/>
              <w:bottom w:val="single" w:sz="8" w:color="auto"/>
            </w:tcBorders>
          </w:tcPr>
          <w:p>
            <w:pPr>
              <w:spacing w:after="0" w:line="20" w:lineRule="exact"/>
              <w:rPr>
                <w:sz w:val="1"/>
                <w:szCs w:val="1"/>
                <w:color w:val="auto"/>
              </w:rPr>
            </w:pPr>
          </w:p>
        </w:tc>
        <w:tc>
          <w:tcPr>
            <w:tcW w:w="40" w:type="dxa"/>
            <w:vAlign w:val="bottom"/>
            <w:tcBorders>
              <w:top w:val="single" w:sz="8" w:color="auto"/>
              <w:bottom w:val="single" w:sz="8" w:color="auto"/>
            </w:tcBorders>
          </w:tcPr>
          <w:p>
            <w:pPr>
              <w:spacing w:after="0" w:line="20" w:lineRule="exact"/>
              <w:rPr>
                <w:sz w:val="1"/>
                <w:szCs w:val="1"/>
                <w:color w:val="auto"/>
              </w:rPr>
            </w:pPr>
          </w:p>
        </w:tc>
        <w:tc>
          <w:tcPr>
            <w:tcW w:w="20" w:type="dxa"/>
            <w:vAlign w:val="bottom"/>
            <w:tcBorders>
              <w:bottom w:val="single" w:sz="8" w:color="auto"/>
            </w:tcBorders>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180" w:type="dxa"/>
            <w:vAlign w:val="bottom"/>
            <w:tcBorders>
              <w:top w:val="single" w:sz="8" w:color="auto"/>
              <w:bottom w:val="single" w:sz="8" w:color="auto"/>
            </w:tcBorders>
          </w:tcPr>
          <w:p>
            <w:pPr>
              <w:spacing w:after="0" w:line="20" w:lineRule="exact"/>
              <w:rPr>
                <w:sz w:val="1"/>
                <w:szCs w:val="1"/>
                <w:color w:val="auto"/>
              </w:rPr>
            </w:pPr>
          </w:p>
        </w:tc>
        <w:tc>
          <w:tcPr>
            <w:tcW w:w="180" w:type="dxa"/>
            <w:vAlign w:val="bottom"/>
            <w:tcBorders>
              <w:top w:val="single" w:sz="8" w:color="auto"/>
              <w:bottom w:val="single" w:sz="8" w:color="auto"/>
            </w:tcBorders>
          </w:tcPr>
          <w:p>
            <w:pPr>
              <w:spacing w:after="0" w:line="20" w:lineRule="exact"/>
              <w:rPr>
                <w:sz w:val="1"/>
                <w:szCs w:val="1"/>
                <w:color w:val="auto"/>
              </w:rPr>
            </w:pPr>
          </w:p>
        </w:tc>
        <w:tc>
          <w:tcPr>
            <w:tcW w:w="320" w:type="dxa"/>
            <w:vAlign w:val="bottom"/>
            <w:tcBorders>
              <w:top w:val="single" w:sz="8" w:color="auto"/>
              <w:bottom w:val="single" w:sz="8" w:color="auto"/>
            </w:tcBorders>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62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242"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Note 5. Derivative Financial Instruments</w:t>
      </w:r>
    </w:p>
    <w:p>
      <w:pPr>
        <w:spacing w:after="0" w:line="96" w:lineRule="exact"/>
        <w:rPr>
          <w:sz w:val="20"/>
          <w:szCs w:val="20"/>
          <w:color w:val="auto"/>
        </w:rPr>
      </w:pPr>
    </w:p>
    <w:p>
      <w:pPr>
        <w:ind w:right="100" w:firstLine="456"/>
        <w:spacing w:after="0" w:line="255" w:lineRule="auto"/>
        <w:rPr>
          <w:sz w:val="20"/>
          <w:szCs w:val="20"/>
          <w:color w:val="auto"/>
        </w:rPr>
      </w:pPr>
      <w:r>
        <w:rPr>
          <w:rFonts w:ascii="Arial" w:cs="Arial" w:eastAsia="Arial" w:hAnsi="Arial"/>
          <w:sz w:val="18"/>
          <w:szCs w:val="18"/>
          <w:color w:val="auto"/>
        </w:rPr>
        <w:t>The Company manages some its foreign currency exchange rate risk through the purchase of foreign currency exchange contracts that hedge against the short-term impact of currency fluctuations. The Company’s policy is to enter into foreign currency forward contracts with maturities generally less than 12 months that mitigate the impact of rate fluctuations on certain local currency denominated operating expenses. All derivatives are recorded at fair value in either prepaid and other current assets or accrued liabilities. The Company reports cash flows from derivative instruments in cash flows from operating activities. The Company uses quoted prices to value its derivative instruments.</w:t>
      </w:r>
    </w:p>
    <w:p>
      <w:pPr>
        <w:spacing w:after="0" w:line="143" w:lineRule="exact"/>
        <w:rPr>
          <w:sz w:val="20"/>
          <w:szCs w:val="20"/>
          <w:color w:val="auto"/>
        </w:rPr>
      </w:pPr>
    </w:p>
    <w:p>
      <w:pPr>
        <w:ind w:left="460"/>
        <w:spacing w:after="0"/>
        <w:rPr>
          <w:sz w:val="20"/>
          <w:szCs w:val="20"/>
          <w:color w:val="auto"/>
        </w:rPr>
      </w:pPr>
      <w:r>
        <w:rPr>
          <w:rFonts w:ascii="Arial" w:cs="Arial" w:eastAsia="Arial" w:hAnsi="Arial"/>
          <w:sz w:val="18"/>
          <w:szCs w:val="18"/>
          <w:color w:val="auto"/>
        </w:rPr>
        <w:t>As of October 31, 2009, the notional amounts of outstanding hedge contracts were as follows (in thousands):</w:t>
      </w:r>
    </w:p>
    <w:p>
      <w:pPr>
        <w:spacing w:after="0" w:line="207" w:lineRule="exact"/>
        <w:rPr>
          <w:sz w:val="20"/>
          <w:szCs w:val="20"/>
          <w:color w:val="auto"/>
        </w:rPr>
      </w:pPr>
    </w:p>
    <w:tbl>
      <w:tblPr>
        <w:tblLayout w:type="fixed"/>
        <w:tblInd w:w="1380" w:type="dxa"/>
        <w:tblCellMar>
          <w:top w:w="0" w:type="dxa"/>
          <w:left w:w="0" w:type="dxa"/>
          <w:bottom w:w="0" w:type="dxa"/>
          <w:right w:w="0" w:type="dxa"/>
        </w:tblCellMar>
      </w:tblPr>
      <w:tr>
        <w:trPr>
          <w:trHeight w:val="161"/>
        </w:trPr>
        <w:tc>
          <w:tcPr>
            <w:tcW w:w="2580" w:type="dxa"/>
            <w:vAlign w:val="bottom"/>
          </w:tcPr>
          <w:p>
            <w:pPr>
              <w:spacing w:after="0"/>
              <w:rPr>
                <w:sz w:val="14"/>
                <w:szCs w:val="14"/>
                <w:color w:val="auto"/>
              </w:rPr>
            </w:pPr>
          </w:p>
        </w:tc>
        <w:tc>
          <w:tcPr>
            <w:tcW w:w="4560" w:type="dxa"/>
            <w:vAlign w:val="bottom"/>
            <w:gridSpan w:val="3"/>
          </w:tcPr>
          <w:p>
            <w:pPr>
              <w:ind w:left="3720"/>
              <w:spacing w:after="0"/>
              <w:rPr>
                <w:sz w:val="20"/>
                <w:szCs w:val="20"/>
                <w:color w:val="auto"/>
              </w:rPr>
            </w:pPr>
            <w:r>
              <w:rPr>
                <w:rFonts w:ascii="Arial" w:cs="Arial" w:eastAsia="Arial" w:hAnsi="Arial"/>
                <w:sz w:val="14"/>
                <w:szCs w:val="14"/>
                <w:b w:val="1"/>
                <w:bCs w:val="1"/>
                <w:color w:val="auto"/>
                <w:w w:val="85"/>
              </w:rPr>
              <w:t>Buy Contracts</w:t>
            </w:r>
          </w:p>
        </w:tc>
        <w:tc>
          <w:tcPr>
            <w:tcW w:w="1540" w:type="dxa"/>
            <w:vAlign w:val="bottom"/>
            <w:gridSpan w:val="3"/>
          </w:tcPr>
          <w:p>
            <w:pPr>
              <w:ind w:left="720"/>
              <w:spacing w:after="0"/>
              <w:rPr>
                <w:sz w:val="20"/>
                <w:szCs w:val="20"/>
                <w:color w:val="auto"/>
              </w:rPr>
            </w:pPr>
            <w:r>
              <w:rPr>
                <w:rFonts w:ascii="Arial" w:cs="Arial" w:eastAsia="Arial" w:hAnsi="Arial"/>
                <w:sz w:val="14"/>
                <w:szCs w:val="14"/>
                <w:b w:val="1"/>
                <w:bCs w:val="1"/>
                <w:color w:val="auto"/>
                <w:w w:val="84"/>
              </w:rPr>
              <w:t>Sell Contracts</w:t>
            </w:r>
          </w:p>
        </w:tc>
        <w:tc>
          <w:tcPr>
            <w:tcW w:w="0" w:type="dxa"/>
            <w:vAlign w:val="bottom"/>
          </w:tcPr>
          <w:p>
            <w:pPr>
              <w:spacing w:after="0"/>
              <w:rPr>
                <w:sz w:val="1"/>
                <w:szCs w:val="1"/>
                <w:color w:val="auto"/>
              </w:rPr>
            </w:pPr>
          </w:p>
        </w:tc>
      </w:tr>
      <w:tr>
        <w:trPr>
          <w:trHeight w:val="20"/>
        </w:trPr>
        <w:tc>
          <w:tcPr>
            <w:tcW w:w="2580" w:type="dxa"/>
            <w:vAlign w:val="bottom"/>
          </w:tcPr>
          <w:p>
            <w:pPr>
              <w:spacing w:after="0" w:line="20" w:lineRule="exact"/>
              <w:rPr>
                <w:sz w:val="1"/>
                <w:szCs w:val="1"/>
                <w:color w:val="auto"/>
              </w:rPr>
            </w:pPr>
          </w:p>
        </w:tc>
        <w:tc>
          <w:tcPr>
            <w:tcW w:w="3740" w:type="dxa"/>
            <w:vAlign w:val="bottom"/>
          </w:tcPr>
          <w:p>
            <w:pPr>
              <w:spacing w:after="0" w:line="20" w:lineRule="exact"/>
              <w:rPr>
                <w:sz w:val="1"/>
                <w:szCs w:val="1"/>
                <w:color w:val="auto"/>
              </w:rPr>
            </w:pPr>
          </w:p>
        </w:tc>
        <w:tc>
          <w:tcPr>
            <w:tcW w:w="200" w:type="dxa"/>
            <w:vAlign w:val="bottom"/>
            <w:shd w:val="clear" w:color="auto" w:fill="000000"/>
          </w:tcPr>
          <w:p>
            <w:pPr>
              <w:spacing w:after="0" w:line="20" w:lineRule="exact"/>
              <w:rPr>
                <w:sz w:val="1"/>
                <w:szCs w:val="1"/>
                <w:color w:val="auto"/>
              </w:rPr>
            </w:pPr>
          </w:p>
        </w:tc>
        <w:tc>
          <w:tcPr>
            <w:tcW w:w="620" w:type="dxa"/>
            <w:vAlign w:val="bottom"/>
            <w:shd w:val="clear" w:color="auto" w:fill="000000"/>
          </w:tcPr>
          <w:p>
            <w:pPr>
              <w:spacing w:after="0" w:line="20" w:lineRule="exact"/>
              <w:rPr>
                <w:sz w:val="1"/>
                <w:szCs w:val="1"/>
                <w:color w:val="auto"/>
              </w:rPr>
            </w:pPr>
          </w:p>
        </w:tc>
        <w:tc>
          <w:tcPr>
            <w:tcW w:w="720" w:type="dxa"/>
            <w:vAlign w:val="bottom"/>
          </w:tcPr>
          <w:p>
            <w:pPr>
              <w:spacing w:after="0" w:line="20" w:lineRule="exact"/>
              <w:rPr>
                <w:sz w:val="1"/>
                <w:szCs w:val="1"/>
                <w:color w:val="auto"/>
              </w:rPr>
            </w:pPr>
          </w:p>
        </w:tc>
        <w:tc>
          <w:tcPr>
            <w:tcW w:w="240" w:type="dxa"/>
            <w:vAlign w:val="bottom"/>
            <w:shd w:val="clear" w:color="auto" w:fill="000000"/>
          </w:tcPr>
          <w:p>
            <w:pPr>
              <w:spacing w:after="0" w:line="20" w:lineRule="exact"/>
              <w:rPr>
                <w:sz w:val="1"/>
                <w:szCs w:val="1"/>
                <w:color w:val="auto"/>
              </w:rPr>
            </w:pPr>
          </w:p>
        </w:tc>
        <w:tc>
          <w:tcPr>
            <w:tcW w:w="580" w:type="dxa"/>
            <w:vAlign w:val="bottom"/>
            <w:shd w:val="clear" w:color="auto" w:fill="000000"/>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10"/>
        </w:trPr>
        <w:tc>
          <w:tcPr>
            <w:tcW w:w="2580" w:type="dxa"/>
            <w:vAlign w:val="bottom"/>
            <w:shd w:val="clear" w:color="auto" w:fill="CCEEFF"/>
          </w:tcPr>
          <w:p>
            <w:pPr>
              <w:spacing w:after="0"/>
              <w:rPr>
                <w:sz w:val="20"/>
                <w:szCs w:val="20"/>
                <w:color w:val="auto"/>
              </w:rPr>
            </w:pPr>
            <w:r>
              <w:rPr>
                <w:rFonts w:ascii="Arial" w:cs="Arial" w:eastAsia="Arial" w:hAnsi="Arial"/>
                <w:sz w:val="18"/>
                <w:szCs w:val="18"/>
                <w:color w:val="auto"/>
              </w:rPr>
              <w:t>Israeli shekel</w:t>
            </w:r>
          </w:p>
        </w:tc>
        <w:tc>
          <w:tcPr>
            <w:tcW w:w="3940" w:type="dxa"/>
            <w:vAlign w:val="bottom"/>
            <w:gridSpan w:val="2"/>
            <w:shd w:val="clear" w:color="auto" w:fill="CCEEFF"/>
          </w:tcPr>
          <w:p>
            <w:pPr>
              <w:ind w:left="3720"/>
              <w:spacing w:after="0"/>
              <w:rPr>
                <w:sz w:val="20"/>
                <w:szCs w:val="20"/>
                <w:color w:val="auto"/>
              </w:rPr>
            </w:pPr>
            <w:r>
              <w:rPr>
                <w:rFonts w:ascii="Arial" w:cs="Arial" w:eastAsia="Arial" w:hAnsi="Arial"/>
                <w:sz w:val="18"/>
                <w:szCs w:val="18"/>
                <w:color w:val="auto"/>
              </w:rPr>
              <w:t>$</w:t>
            </w:r>
          </w:p>
        </w:tc>
        <w:tc>
          <w:tcPr>
            <w:tcW w:w="6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32,575</w:t>
            </w:r>
          </w:p>
        </w:tc>
        <w:tc>
          <w:tcPr>
            <w:tcW w:w="960" w:type="dxa"/>
            <w:vAlign w:val="bottom"/>
            <w:gridSpan w:val="2"/>
            <w:shd w:val="clear" w:color="auto" w:fill="CCEEFF"/>
          </w:tcPr>
          <w:p>
            <w:pPr>
              <w:ind w:left="700"/>
              <w:spacing w:after="0"/>
              <w:rPr>
                <w:sz w:val="20"/>
                <w:szCs w:val="20"/>
                <w:color w:val="auto"/>
              </w:rPr>
            </w:pPr>
            <w:r>
              <w:rPr>
                <w:rFonts w:ascii="Arial" w:cs="Arial" w:eastAsia="Arial" w:hAnsi="Arial"/>
                <w:sz w:val="18"/>
                <w:szCs w:val="18"/>
                <w:color w:val="auto"/>
              </w:rPr>
              <w:t>$</w:t>
            </w: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6,143</w:t>
            </w:r>
          </w:p>
        </w:tc>
        <w:tc>
          <w:tcPr>
            <w:tcW w:w="0" w:type="dxa"/>
            <w:vAlign w:val="bottom"/>
          </w:tcPr>
          <w:p>
            <w:pPr>
              <w:spacing w:after="0"/>
              <w:rPr>
                <w:sz w:val="1"/>
                <w:szCs w:val="1"/>
                <w:color w:val="auto"/>
              </w:rPr>
            </w:pPr>
          </w:p>
        </w:tc>
      </w:tr>
      <w:tr>
        <w:trPr>
          <w:trHeight w:val="20"/>
        </w:trPr>
        <w:tc>
          <w:tcPr>
            <w:tcW w:w="2580" w:type="dxa"/>
            <w:vAlign w:val="bottom"/>
            <w:vMerge w:val="restart"/>
          </w:tcPr>
          <w:p>
            <w:pPr>
              <w:spacing w:after="0"/>
              <w:rPr>
                <w:sz w:val="20"/>
                <w:szCs w:val="20"/>
                <w:color w:val="auto"/>
              </w:rPr>
            </w:pPr>
            <w:r>
              <w:rPr>
                <w:rFonts w:ascii="Arial" w:cs="Arial" w:eastAsia="Arial" w:hAnsi="Arial"/>
                <w:sz w:val="18"/>
                <w:szCs w:val="18"/>
                <w:color w:val="auto"/>
              </w:rPr>
              <w:t>Total</w:t>
            </w:r>
          </w:p>
        </w:tc>
        <w:tc>
          <w:tcPr>
            <w:tcW w:w="3740" w:type="dxa"/>
            <w:vAlign w:val="bottom"/>
          </w:tcPr>
          <w:p>
            <w:pPr>
              <w:spacing w:after="0" w:line="20" w:lineRule="exact"/>
              <w:rPr>
                <w:sz w:val="1"/>
                <w:szCs w:val="1"/>
                <w:color w:val="auto"/>
              </w:rPr>
            </w:pPr>
          </w:p>
        </w:tc>
        <w:tc>
          <w:tcPr>
            <w:tcW w:w="200" w:type="dxa"/>
            <w:vAlign w:val="bottom"/>
            <w:shd w:val="clear" w:color="auto" w:fill="000000"/>
          </w:tcPr>
          <w:p>
            <w:pPr>
              <w:spacing w:after="0" w:line="20" w:lineRule="exact"/>
              <w:rPr>
                <w:sz w:val="1"/>
                <w:szCs w:val="1"/>
                <w:color w:val="auto"/>
              </w:rPr>
            </w:pPr>
          </w:p>
        </w:tc>
        <w:tc>
          <w:tcPr>
            <w:tcW w:w="620" w:type="dxa"/>
            <w:vAlign w:val="bottom"/>
            <w:shd w:val="clear" w:color="auto" w:fill="000000"/>
          </w:tcPr>
          <w:p>
            <w:pPr>
              <w:spacing w:after="0" w:line="20" w:lineRule="exact"/>
              <w:rPr>
                <w:sz w:val="1"/>
                <w:szCs w:val="1"/>
                <w:color w:val="auto"/>
              </w:rPr>
            </w:pPr>
          </w:p>
        </w:tc>
        <w:tc>
          <w:tcPr>
            <w:tcW w:w="720" w:type="dxa"/>
            <w:vAlign w:val="bottom"/>
          </w:tcPr>
          <w:p>
            <w:pPr>
              <w:spacing w:after="0" w:line="20" w:lineRule="exact"/>
              <w:rPr>
                <w:sz w:val="1"/>
                <w:szCs w:val="1"/>
                <w:color w:val="auto"/>
              </w:rPr>
            </w:pPr>
          </w:p>
        </w:tc>
        <w:tc>
          <w:tcPr>
            <w:tcW w:w="240" w:type="dxa"/>
            <w:vAlign w:val="bottom"/>
            <w:shd w:val="clear" w:color="auto" w:fill="000000"/>
          </w:tcPr>
          <w:p>
            <w:pPr>
              <w:spacing w:after="0" w:line="20" w:lineRule="exact"/>
              <w:rPr>
                <w:sz w:val="1"/>
                <w:szCs w:val="1"/>
                <w:color w:val="auto"/>
              </w:rPr>
            </w:pPr>
          </w:p>
        </w:tc>
        <w:tc>
          <w:tcPr>
            <w:tcW w:w="580" w:type="dxa"/>
            <w:vAlign w:val="bottom"/>
            <w:shd w:val="clear" w:color="auto" w:fill="000000"/>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21"/>
        </w:trPr>
        <w:tc>
          <w:tcPr>
            <w:tcW w:w="2580" w:type="dxa"/>
            <w:vAlign w:val="bottom"/>
            <w:vMerge w:val="continue"/>
          </w:tcPr>
          <w:p>
            <w:pPr>
              <w:spacing w:after="0"/>
              <w:rPr>
                <w:sz w:val="19"/>
                <w:szCs w:val="19"/>
                <w:color w:val="auto"/>
              </w:rPr>
            </w:pPr>
          </w:p>
        </w:tc>
        <w:tc>
          <w:tcPr>
            <w:tcW w:w="3940" w:type="dxa"/>
            <w:vAlign w:val="bottom"/>
            <w:gridSpan w:val="2"/>
          </w:tcPr>
          <w:p>
            <w:pPr>
              <w:ind w:left="3720"/>
              <w:spacing w:after="0"/>
              <w:rPr>
                <w:sz w:val="20"/>
                <w:szCs w:val="20"/>
                <w:color w:val="auto"/>
              </w:rPr>
            </w:pPr>
            <w:r>
              <w:rPr>
                <w:rFonts w:ascii="Arial" w:cs="Arial" w:eastAsia="Arial" w:hAnsi="Arial"/>
                <w:sz w:val="18"/>
                <w:szCs w:val="18"/>
                <w:color w:val="auto"/>
              </w:rPr>
              <w:t>$</w:t>
            </w:r>
          </w:p>
        </w:tc>
        <w:tc>
          <w:tcPr>
            <w:tcW w:w="620" w:type="dxa"/>
            <w:vAlign w:val="bottom"/>
          </w:tcPr>
          <w:p>
            <w:pPr>
              <w:jc w:val="right"/>
              <w:spacing w:after="0"/>
              <w:rPr>
                <w:sz w:val="20"/>
                <w:szCs w:val="20"/>
                <w:color w:val="auto"/>
              </w:rPr>
            </w:pPr>
            <w:r>
              <w:rPr>
                <w:rFonts w:ascii="Arial" w:cs="Arial" w:eastAsia="Arial" w:hAnsi="Arial"/>
                <w:sz w:val="18"/>
                <w:szCs w:val="18"/>
                <w:color w:val="auto"/>
              </w:rPr>
              <w:t>32,575</w:t>
            </w:r>
          </w:p>
        </w:tc>
        <w:tc>
          <w:tcPr>
            <w:tcW w:w="960" w:type="dxa"/>
            <w:vAlign w:val="bottom"/>
            <w:gridSpan w:val="2"/>
          </w:tcPr>
          <w:p>
            <w:pPr>
              <w:ind w:left="700"/>
              <w:spacing w:after="0"/>
              <w:rPr>
                <w:sz w:val="20"/>
                <w:szCs w:val="20"/>
                <w:color w:val="auto"/>
              </w:rPr>
            </w:pPr>
            <w:r>
              <w:rPr>
                <w:rFonts w:ascii="Arial" w:cs="Arial" w:eastAsia="Arial" w:hAnsi="Arial"/>
                <w:sz w:val="18"/>
                <w:szCs w:val="18"/>
                <w:color w:val="auto"/>
              </w:rPr>
              <w:t>$</w:t>
            </w:r>
          </w:p>
        </w:tc>
        <w:tc>
          <w:tcPr>
            <w:tcW w:w="580" w:type="dxa"/>
            <w:vAlign w:val="bottom"/>
          </w:tcPr>
          <w:p>
            <w:pPr>
              <w:jc w:val="right"/>
              <w:spacing w:after="0"/>
              <w:rPr>
                <w:sz w:val="20"/>
                <w:szCs w:val="20"/>
                <w:color w:val="auto"/>
              </w:rPr>
            </w:pPr>
            <w:r>
              <w:rPr>
                <w:rFonts w:ascii="Arial" w:cs="Arial" w:eastAsia="Arial" w:hAnsi="Arial"/>
                <w:sz w:val="18"/>
                <w:szCs w:val="18"/>
                <w:color w:val="auto"/>
              </w:rPr>
              <w:t>6,143</w:t>
            </w:r>
          </w:p>
        </w:tc>
        <w:tc>
          <w:tcPr>
            <w:tcW w:w="0" w:type="dxa"/>
            <w:vAlign w:val="bottom"/>
          </w:tcPr>
          <w:p>
            <w:pPr>
              <w:spacing w:after="0"/>
              <w:rPr>
                <w:sz w:val="1"/>
                <w:szCs w:val="1"/>
                <w:color w:val="auto"/>
              </w:rPr>
            </w:pPr>
          </w:p>
        </w:tc>
      </w:tr>
      <w:tr>
        <w:trPr>
          <w:trHeight w:val="20"/>
        </w:trPr>
        <w:tc>
          <w:tcPr>
            <w:tcW w:w="2580" w:type="dxa"/>
            <w:vAlign w:val="bottom"/>
          </w:tcPr>
          <w:p>
            <w:pPr>
              <w:spacing w:after="0" w:line="20" w:lineRule="exact"/>
              <w:rPr>
                <w:sz w:val="1"/>
                <w:szCs w:val="1"/>
                <w:color w:val="auto"/>
              </w:rPr>
            </w:pPr>
          </w:p>
        </w:tc>
        <w:tc>
          <w:tcPr>
            <w:tcW w:w="3740" w:type="dxa"/>
            <w:vAlign w:val="bottom"/>
            <w:vMerge w:val="restart"/>
          </w:tcPr>
          <w:p>
            <w:pPr>
              <w:jc w:val="right"/>
              <w:ind w:right="1817"/>
              <w:spacing w:after="0"/>
              <w:rPr>
                <w:sz w:val="20"/>
                <w:szCs w:val="20"/>
                <w:color w:val="auto"/>
              </w:rPr>
            </w:pPr>
            <w:r>
              <w:rPr>
                <w:rFonts w:ascii="Arial" w:cs="Arial" w:eastAsia="Arial" w:hAnsi="Arial"/>
                <w:sz w:val="18"/>
                <w:szCs w:val="18"/>
                <w:color w:val="auto"/>
              </w:rPr>
              <w:t>14</w:t>
            </w:r>
          </w:p>
        </w:tc>
        <w:tc>
          <w:tcPr>
            <w:tcW w:w="200" w:type="dxa"/>
            <w:vAlign w:val="bottom"/>
            <w:tcBorders>
              <w:top w:val="single" w:sz="8" w:color="auto"/>
              <w:bottom w:val="single" w:sz="8" w:color="auto"/>
            </w:tcBorders>
          </w:tcPr>
          <w:p>
            <w:pPr>
              <w:spacing w:after="0" w:line="20" w:lineRule="exact"/>
              <w:rPr>
                <w:sz w:val="1"/>
                <w:szCs w:val="1"/>
                <w:color w:val="auto"/>
              </w:rPr>
            </w:pPr>
          </w:p>
        </w:tc>
        <w:tc>
          <w:tcPr>
            <w:tcW w:w="620" w:type="dxa"/>
            <w:vAlign w:val="bottom"/>
            <w:tcBorders>
              <w:top w:val="single" w:sz="8" w:color="auto"/>
              <w:bottom w:val="single" w:sz="8" w:color="auto"/>
            </w:tcBorders>
          </w:tcPr>
          <w:p>
            <w:pPr>
              <w:spacing w:after="0" w:line="20" w:lineRule="exact"/>
              <w:rPr>
                <w:sz w:val="1"/>
                <w:szCs w:val="1"/>
                <w:color w:val="auto"/>
              </w:rPr>
            </w:pPr>
          </w:p>
        </w:tc>
        <w:tc>
          <w:tcPr>
            <w:tcW w:w="720" w:type="dxa"/>
            <w:vAlign w:val="bottom"/>
          </w:tcPr>
          <w:p>
            <w:pPr>
              <w:spacing w:after="0" w:line="20" w:lineRule="exact"/>
              <w:rPr>
                <w:sz w:val="1"/>
                <w:szCs w:val="1"/>
                <w:color w:val="auto"/>
              </w:rPr>
            </w:pPr>
          </w:p>
        </w:tc>
        <w:tc>
          <w:tcPr>
            <w:tcW w:w="24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359"/>
        </w:trPr>
        <w:tc>
          <w:tcPr>
            <w:tcW w:w="2580" w:type="dxa"/>
            <w:vAlign w:val="bottom"/>
          </w:tcPr>
          <w:p>
            <w:pPr>
              <w:spacing w:after="0"/>
              <w:rPr>
                <w:sz w:val="24"/>
                <w:szCs w:val="24"/>
                <w:color w:val="auto"/>
              </w:rPr>
            </w:pPr>
          </w:p>
        </w:tc>
        <w:tc>
          <w:tcPr>
            <w:tcW w:w="3740" w:type="dxa"/>
            <w:vAlign w:val="bottom"/>
            <w:vMerge w:val="continue"/>
          </w:tcPr>
          <w:p>
            <w:pPr>
              <w:spacing w:after="0"/>
              <w:rPr>
                <w:sz w:val="24"/>
                <w:szCs w:val="24"/>
                <w:color w:val="auto"/>
              </w:rPr>
            </w:pPr>
          </w:p>
        </w:tc>
        <w:tc>
          <w:tcPr>
            <w:tcW w:w="200" w:type="dxa"/>
            <w:vAlign w:val="bottom"/>
          </w:tcPr>
          <w:p>
            <w:pPr>
              <w:spacing w:after="0"/>
              <w:rPr>
                <w:sz w:val="24"/>
                <w:szCs w:val="24"/>
                <w:color w:val="auto"/>
              </w:rPr>
            </w:pPr>
          </w:p>
        </w:tc>
        <w:tc>
          <w:tcPr>
            <w:tcW w:w="620" w:type="dxa"/>
            <w:vAlign w:val="bottom"/>
          </w:tcPr>
          <w:p>
            <w:pPr>
              <w:spacing w:after="0"/>
              <w:rPr>
                <w:sz w:val="24"/>
                <w:szCs w:val="24"/>
                <w:color w:val="auto"/>
              </w:rPr>
            </w:pPr>
          </w:p>
        </w:tc>
        <w:tc>
          <w:tcPr>
            <w:tcW w:w="720" w:type="dxa"/>
            <w:vAlign w:val="bottom"/>
          </w:tcPr>
          <w:p>
            <w:pPr>
              <w:spacing w:after="0"/>
              <w:rPr>
                <w:sz w:val="24"/>
                <w:szCs w:val="24"/>
                <w:color w:val="auto"/>
              </w:rPr>
            </w:pPr>
          </w:p>
        </w:tc>
        <w:tc>
          <w:tcPr>
            <w:tcW w:w="240" w:type="dxa"/>
            <w:vAlign w:val="bottom"/>
          </w:tcPr>
          <w:p>
            <w:pPr>
              <w:spacing w:after="0"/>
              <w:rPr>
                <w:sz w:val="24"/>
                <w:szCs w:val="24"/>
                <w:color w:val="auto"/>
              </w:rPr>
            </w:pPr>
          </w:p>
        </w:tc>
        <w:tc>
          <w:tcPr>
            <w:tcW w:w="580" w:type="dxa"/>
            <w:vAlign w:val="bottom"/>
          </w:tcPr>
          <w:p>
            <w:pPr>
              <w:spacing w:after="0"/>
              <w:rPr>
                <w:sz w:val="24"/>
                <w:szCs w:val="24"/>
                <w:color w:val="auto"/>
              </w:rPr>
            </w:pPr>
          </w:p>
        </w:tc>
        <w:tc>
          <w:tcPr>
            <w:tcW w:w="0" w:type="dxa"/>
            <w:vAlign w:val="bottom"/>
          </w:tcPr>
          <w:p>
            <w:pPr>
              <w:spacing w:after="0"/>
              <w:rPr>
                <w:sz w:val="1"/>
                <w:szCs w:val="1"/>
                <w:color w:val="auto"/>
              </w:rPr>
            </w:pPr>
          </w:p>
        </w:tc>
      </w:tr>
    </w:tbl>
    <w:p>
      <w:pPr>
        <w:sectPr>
          <w:pgSz w:w="11900" w:h="16838" w:orient="portrait"/>
          <w:cols w:equalWidth="0" w:num="1">
            <w:col w:w="11380"/>
          </w:cols>
          <w:pgMar w:left="240" w:top="459" w:right="279" w:bottom="1440" w:gutter="0" w:footer="0" w:header="0"/>
        </w:sectPr>
      </w:pPr>
    </w:p>
    <w:bookmarkStart w:id="14" w:name="page15"/>
    <w:bookmarkEnd w:id="14"/>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29">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ind w:right="-39"/>
        <w:spacing w:after="0"/>
        <w:rPr>
          <w:sz w:val="20"/>
          <w:szCs w:val="20"/>
          <w:color w:val="auto"/>
        </w:rPr>
      </w:pPr>
      <w:r>
        <w:rPr>
          <w:rFonts w:ascii="Arial" w:cs="Arial" w:eastAsia="Arial" w:hAnsi="Arial"/>
          <w:sz w:val="18"/>
          <w:szCs w:val="18"/>
          <w:b w:val="1"/>
          <w:bCs w:val="1"/>
          <w:color w:val="auto"/>
        </w:rPr>
        <w:t>MARVELL TECHNOLOGY GROUP LTD.</w:t>
      </w:r>
    </w:p>
    <w:p>
      <w:pPr>
        <w:spacing w:after="0" w:line="90" w:lineRule="exact"/>
        <w:rPr>
          <w:sz w:val="20"/>
          <w:szCs w:val="20"/>
          <w:color w:val="auto"/>
        </w:rPr>
      </w:pPr>
    </w:p>
    <w:p>
      <w:pPr>
        <w:jc w:val="center"/>
        <w:ind w:right="-39"/>
        <w:spacing w:after="0"/>
        <w:rPr>
          <w:sz w:val="20"/>
          <w:szCs w:val="20"/>
          <w:color w:val="auto"/>
        </w:rPr>
      </w:pPr>
      <w:r>
        <w:rPr>
          <w:rFonts w:ascii="Arial" w:cs="Arial" w:eastAsia="Arial" w:hAnsi="Arial"/>
          <w:sz w:val="18"/>
          <w:szCs w:val="18"/>
          <w:b w:val="1"/>
          <w:bCs w:val="1"/>
          <w:color w:val="auto"/>
        </w:rPr>
        <w:t>NOTES TO UNAUDITED CONDENSED CONSOLIDATED FINANCIAL STATEMENTS—(Continued)</w:t>
      </w:r>
    </w:p>
    <w:p>
      <w:pPr>
        <w:spacing w:after="0" w:line="164" w:lineRule="exact"/>
        <w:rPr>
          <w:sz w:val="20"/>
          <w:szCs w:val="20"/>
          <w:color w:val="auto"/>
        </w:rPr>
      </w:pPr>
    </w:p>
    <w:p>
      <w:pPr>
        <w:ind w:firstLine="456"/>
        <w:spacing w:after="0" w:line="256" w:lineRule="auto"/>
        <w:rPr>
          <w:sz w:val="20"/>
          <w:szCs w:val="20"/>
          <w:color w:val="auto"/>
        </w:rPr>
      </w:pPr>
      <w:r>
        <w:rPr>
          <w:rFonts w:ascii="Arial" w:cs="Arial" w:eastAsia="Arial" w:hAnsi="Arial"/>
          <w:sz w:val="18"/>
          <w:szCs w:val="18"/>
          <w:i w:val="1"/>
          <w:iCs w:val="1"/>
          <w:color w:val="auto"/>
        </w:rPr>
        <w:t xml:space="preserve">Cash Flow Hedges. </w:t>
      </w:r>
      <w:r>
        <w:rPr>
          <w:rFonts w:ascii="Arial" w:cs="Arial" w:eastAsia="Arial" w:hAnsi="Arial"/>
          <w:sz w:val="18"/>
          <w:szCs w:val="18"/>
          <w:color w:val="auto"/>
        </w:rPr>
        <w:t>The Company designates and documents its foreign currency forward exchange contracts as cash flow hedges for certain operating</w:t>
      </w:r>
      <w:r>
        <w:rPr>
          <w:rFonts w:ascii="Arial" w:cs="Arial" w:eastAsia="Arial" w:hAnsi="Arial"/>
          <w:sz w:val="18"/>
          <w:szCs w:val="18"/>
          <w:i w:val="1"/>
          <w:iCs w:val="1"/>
          <w:color w:val="auto"/>
        </w:rPr>
        <w:t xml:space="preserve"> </w:t>
      </w:r>
      <w:r>
        <w:rPr>
          <w:rFonts w:ascii="Arial" w:cs="Arial" w:eastAsia="Arial" w:hAnsi="Arial"/>
          <w:sz w:val="18"/>
          <w:szCs w:val="18"/>
          <w:color w:val="auto"/>
        </w:rPr>
        <w:t>expenses denominated in Israeli shekels. The Company evaluates and calculates the effectiveness of each hedge at least quarterly. The effective change is recorded in other comprehensive income (“OCI”) and is subsequently reclassified to operating expense when the hedged expense is recognized. Ineffectiveness is recorded in interest and other income, net.</w:t>
      </w:r>
    </w:p>
    <w:p>
      <w:pPr>
        <w:spacing w:after="0" w:line="143" w:lineRule="exact"/>
        <w:rPr>
          <w:sz w:val="20"/>
          <w:szCs w:val="20"/>
          <w:color w:val="auto"/>
        </w:rPr>
      </w:pPr>
    </w:p>
    <w:p>
      <w:pPr>
        <w:ind w:right="20" w:firstLine="456"/>
        <w:spacing w:after="0" w:line="256" w:lineRule="auto"/>
        <w:rPr>
          <w:sz w:val="20"/>
          <w:szCs w:val="20"/>
          <w:color w:val="auto"/>
        </w:rPr>
      </w:pPr>
      <w:r>
        <w:rPr>
          <w:rFonts w:ascii="Arial" w:cs="Arial" w:eastAsia="Arial" w:hAnsi="Arial"/>
          <w:sz w:val="18"/>
          <w:szCs w:val="18"/>
          <w:i w:val="1"/>
          <w:iCs w:val="1"/>
          <w:color w:val="auto"/>
        </w:rPr>
        <w:t xml:space="preserve">Other Foreign Currency Forward Contracts. </w:t>
      </w:r>
      <w:r>
        <w:rPr>
          <w:rFonts w:ascii="Arial" w:cs="Arial" w:eastAsia="Arial" w:hAnsi="Arial"/>
          <w:sz w:val="18"/>
          <w:szCs w:val="18"/>
          <w:color w:val="auto"/>
        </w:rPr>
        <w:t>The Company enters into foreign currency forward exchange contracts to hedge certain payments</w:t>
      </w:r>
      <w:r>
        <w:rPr>
          <w:rFonts w:ascii="Arial" w:cs="Arial" w:eastAsia="Arial" w:hAnsi="Arial"/>
          <w:sz w:val="18"/>
          <w:szCs w:val="18"/>
          <w:i w:val="1"/>
          <w:iCs w:val="1"/>
          <w:color w:val="auto"/>
        </w:rPr>
        <w:t xml:space="preserve"> </w:t>
      </w:r>
      <w:r>
        <w:rPr>
          <w:rFonts w:ascii="Arial" w:cs="Arial" w:eastAsia="Arial" w:hAnsi="Arial"/>
          <w:sz w:val="18"/>
          <w:szCs w:val="18"/>
          <w:color w:val="auto"/>
        </w:rPr>
        <w:t>denominated in Israeli shekels that it does not designate and document as cash flow or other hedges for accounting purposes. The maturities of these contracts are generally less than 12 months. Gains or losses arising from the remeasurement of these contracts to fair value each period are recorded in interest and other income (expense), net.</w:t>
      </w:r>
    </w:p>
    <w:p>
      <w:pPr>
        <w:spacing w:after="0" w:line="143" w:lineRule="exact"/>
        <w:rPr>
          <w:sz w:val="20"/>
          <w:szCs w:val="20"/>
          <w:color w:val="auto"/>
        </w:rPr>
      </w:pPr>
    </w:p>
    <w:p>
      <w:pPr>
        <w:ind w:left="460"/>
        <w:spacing w:after="0"/>
        <w:rPr>
          <w:sz w:val="20"/>
          <w:szCs w:val="20"/>
          <w:color w:val="auto"/>
        </w:rPr>
      </w:pPr>
      <w:r>
        <w:rPr>
          <w:rFonts w:ascii="Arial" w:cs="Arial" w:eastAsia="Arial" w:hAnsi="Arial"/>
          <w:sz w:val="18"/>
          <w:szCs w:val="18"/>
          <w:color w:val="auto"/>
        </w:rPr>
        <w:t>The fair value and balance sheet classification of foreign exchange contract derivatives are as follows (in thousands):</w:t>
      </w:r>
    </w:p>
    <w:p>
      <w:pPr>
        <w:spacing w:after="0" w:line="195" w:lineRule="exact"/>
        <w:rPr>
          <w:sz w:val="20"/>
          <w:szCs w:val="20"/>
          <w:color w:val="auto"/>
        </w:rPr>
      </w:pPr>
    </w:p>
    <w:tbl>
      <w:tblPr>
        <w:tblLayout w:type="fixed"/>
        <w:tblInd w:w="1380" w:type="dxa"/>
        <w:tblCellMar>
          <w:top w:w="0" w:type="dxa"/>
          <w:left w:w="0" w:type="dxa"/>
          <w:bottom w:w="0" w:type="dxa"/>
          <w:right w:w="0" w:type="dxa"/>
        </w:tblCellMar>
      </w:tblPr>
      <w:tr>
        <w:trPr>
          <w:trHeight w:val="161"/>
        </w:trPr>
        <w:tc>
          <w:tcPr>
            <w:tcW w:w="7880" w:type="dxa"/>
            <w:vAlign w:val="bottom"/>
          </w:tcPr>
          <w:p>
            <w:pPr>
              <w:spacing w:after="0"/>
              <w:rPr>
                <w:sz w:val="14"/>
                <w:szCs w:val="14"/>
                <w:color w:val="auto"/>
              </w:rPr>
            </w:pPr>
          </w:p>
        </w:tc>
        <w:tc>
          <w:tcPr>
            <w:tcW w:w="800" w:type="dxa"/>
            <w:vAlign w:val="bottom"/>
            <w:gridSpan w:val="4"/>
          </w:tcPr>
          <w:p>
            <w:pPr>
              <w:spacing w:after="0"/>
              <w:rPr>
                <w:sz w:val="20"/>
                <w:szCs w:val="20"/>
                <w:color w:val="auto"/>
              </w:rPr>
            </w:pPr>
            <w:r>
              <w:rPr>
                <w:rFonts w:ascii="Arial" w:cs="Arial" w:eastAsia="Arial" w:hAnsi="Arial"/>
                <w:sz w:val="14"/>
                <w:szCs w:val="14"/>
                <w:b w:val="1"/>
                <w:bCs w:val="1"/>
                <w:color w:val="auto"/>
              </w:rPr>
              <w:t>October 31,</w:t>
            </w:r>
          </w:p>
        </w:tc>
        <w:tc>
          <w:tcPr>
            <w:tcW w:w="0" w:type="dxa"/>
            <w:vAlign w:val="bottom"/>
          </w:tcPr>
          <w:p>
            <w:pPr>
              <w:spacing w:after="0"/>
              <w:rPr>
                <w:sz w:val="1"/>
                <w:szCs w:val="1"/>
                <w:color w:val="auto"/>
              </w:rPr>
            </w:pPr>
          </w:p>
        </w:tc>
      </w:tr>
      <w:tr>
        <w:trPr>
          <w:trHeight w:val="161"/>
        </w:trPr>
        <w:tc>
          <w:tcPr>
            <w:tcW w:w="788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140" w:type="dxa"/>
            <w:vAlign w:val="bottom"/>
            <w:tcBorders>
              <w:bottom w:val="single" w:sz="8" w:color="auto"/>
            </w:tcBorders>
          </w:tcPr>
          <w:p>
            <w:pPr>
              <w:spacing w:after="0"/>
              <w:rPr>
                <w:sz w:val="14"/>
                <w:szCs w:val="14"/>
                <w:color w:val="auto"/>
              </w:rPr>
            </w:pPr>
          </w:p>
        </w:tc>
        <w:tc>
          <w:tcPr>
            <w:tcW w:w="520" w:type="dxa"/>
            <w:vAlign w:val="bottom"/>
            <w:tcBorders>
              <w:bottom w:val="single" w:sz="8" w:color="auto"/>
            </w:tcBorders>
          </w:tcPr>
          <w:p>
            <w:pPr>
              <w:jc w:val="right"/>
              <w:ind w:right="117"/>
              <w:spacing w:after="0"/>
              <w:rPr>
                <w:sz w:val="20"/>
                <w:szCs w:val="20"/>
                <w:color w:val="auto"/>
              </w:rPr>
            </w:pPr>
            <w:r>
              <w:rPr>
                <w:rFonts w:ascii="Arial" w:cs="Arial" w:eastAsia="Arial" w:hAnsi="Arial"/>
                <w:sz w:val="14"/>
                <w:szCs w:val="14"/>
                <w:b w:val="1"/>
                <w:bCs w:val="1"/>
                <w:color w:val="auto"/>
                <w:w w:val="96"/>
              </w:rPr>
              <w:t>2009</w:t>
            </w:r>
          </w:p>
        </w:tc>
        <w:tc>
          <w:tcPr>
            <w:tcW w:w="12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210"/>
        </w:trPr>
        <w:tc>
          <w:tcPr>
            <w:tcW w:w="7880" w:type="dxa"/>
            <w:vAlign w:val="bottom"/>
            <w:shd w:val="clear" w:color="auto" w:fill="CCEEFF"/>
          </w:tcPr>
          <w:p>
            <w:pPr>
              <w:spacing w:after="0"/>
              <w:rPr>
                <w:sz w:val="20"/>
                <w:szCs w:val="20"/>
                <w:color w:val="auto"/>
              </w:rPr>
            </w:pPr>
            <w:r>
              <w:rPr>
                <w:rFonts w:ascii="Arial" w:cs="Arial" w:eastAsia="Arial" w:hAnsi="Arial"/>
                <w:sz w:val="18"/>
                <w:szCs w:val="18"/>
                <w:color w:val="auto"/>
              </w:rPr>
              <w:t>Prepaids and other current assets:</w:t>
            </w:r>
          </w:p>
        </w:tc>
        <w:tc>
          <w:tcPr>
            <w:tcW w:w="2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52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7880" w:type="dxa"/>
            <w:vAlign w:val="bottom"/>
          </w:tcPr>
          <w:p>
            <w:pPr>
              <w:spacing w:after="0"/>
              <w:rPr>
                <w:sz w:val="20"/>
                <w:szCs w:val="20"/>
                <w:color w:val="auto"/>
              </w:rPr>
            </w:pPr>
            <w:r>
              <w:rPr>
                <w:rFonts w:ascii="Arial" w:cs="Arial" w:eastAsia="Arial" w:hAnsi="Arial"/>
                <w:sz w:val="18"/>
                <w:szCs w:val="18"/>
                <w:color w:val="auto"/>
              </w:rPr>
              <w:t>Derivative assets designated as hedging instruments:</w:t>
            </w:r>
          </w:p>
        </w:tc>
        <w:tc>
          <w:tcPr>
            <w:tcW w:w="2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52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7880" w:type="dxa"/>
            <w:vAlign w:val="bottom"/>
            <w:shd w:val="clear" w:color="auto" w:fill="CCEEFF"/>
          </w:tcPr>
          <w:p>
            <w:pPr>
              <w:ind w:left="440"/>
              <w:spacing w:after="0"/>
              <w:rPr>
                <w:sz w:val="20"/>
                <w:szCs w:val="20"/>
                <w:color w:val="auto"/>
              </w:rPr>
            </w:pPr>
            <w:r>
              <w:rPr>
                <w:rFonts w:ascii="Arial" w:cs="Arial" w:eastAsia="Arial" w:hAnsi="Arial"/>
                <w:sz w:val="18"/>
                <w:szCs w:val="18"/>
                <w:color w:val="auto"/>
              </w:rPr>
              <w:t>Cash flow hedges</w:t>
            </w:r>
          </w:p>
        </w:tc>
        <w:tc>
          <w:tcPr>
            <w:tcW w:w="16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w:t>
            </w:r>
          </w:p>
        </w:tc>
        <w:tc>
          <w:tcPr>
            <w:tcW w:w="5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1,662</w:t>
            </w:r>
          </w:p>
        </w:tc>
        <w:tc>
          <w:tcPr>
            <w:tcW w:w="12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7880" w:type="dxa"/>
            <w:vAlign w:val="bottom"/>
          </w:tcPr>
          <w:p>
            <w:pPr>
              <w:spacing w:after="0"/>
              <w:rPr>
                <w:sz w:val="20"/>
                <w:szCs w:val="20"/>
                <w:color w:val="auto"/>
              </w:rPr>
            </w:pPr>
            <w:r>
              <w:rPr>
                <w:rFonts w:ascii="Arial" w:cs="Arial" w:eastAsia="Arial" w:hAnsi="Arial"/>
                <w:sz w:val="18"/>
                <w:szCs w:val="18"/>
                <w:color w:val="auto"/>
              </w:rPr>
              <w:t>Derivative assets not designated as hedging instruments:</w:t>
            </w:r>
          </w:p>
        </w:tc>
        <w:tc>
          <w:tcPr>
            <w:tcW w:w="2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52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7880" w:type="dxa"/>
            <w:vAlign w:val="bottom"/>
            <w:shd w:val="clear" w:color="auto" w:fill="CCEEFF"/>
          </w:tcPr>
          <w:p>
            <w:pPr>
              <w:ind w:left="440"/>
              <w:spacing w:after="0"/>
              <w:rPr>
                <w:sz w:val="20"/>
                <w:szCs w:val="20"/>
                <w:color w:val="auto"/>
              </w:rPr>
            </w:pPr>
            <w:r>
              <w:rPr>
                <w:rFonts w:ascii="Arial" w:cs="Arial" w:eastAsia="Arial" w:hAnsi="Arial"/>
                <w:sz w:val="18"/>
                <w:szCs w:val="18"/>
                <w:color w:val="auto"/>
              </w:rPr>
              <w:t>Other forward contracts</w:t>
            </w:r>
          </w:p>
        </w:tc>
        <w:tc>
          <w:tcPr>
            <w:tcW w:w="2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64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(31)</w:t>
            </w:r>
          </w:p>
        </w:tc>
        <w:tc>
          <w:tcPr>
            <w:tcW w:w="0" w:type="dxa"/>
            <w:vAlign w:val="bottom"/>
          </w:tcPr>
          <w:p>
            <w:pPr>
              <w:spacing w:after="0"/>
              <w:rPr>
                <w:sz w:val="1"/>
                <w:szCs w:val="1"/>
                <w:color w:val="auto"/>
              </w:rPr>
            </w:pPr>
          </w:p>
        </w:tc>
      </w:tr>
      <w:tr>
        <w:trPr>
          <w:trHeight w:val="20"/>
        </w:trPr>
        <w:tc>
          <w:tcPr>
            <w:tcW w:w="7880" w:type="dxa"/>
            <w:vAlign w:val="bottom"/>
            <w:vMerge w:val="restart"/>
          </w:tcPr>
          <w:p>
            <w:pPr>
              <w:spacing w:after="0"/>
              <w:rPr>
                <w:sz w:val="20"/>
                <w:szCs w:val="20"/>
                <w:color w:val="auto"/>
              </w:rPr>
            </w:pPr>
            <w:r>
              <w:rPr>
                <w:rFonts w:ascii="Arial" w:cs="Arial" w:eastAsia="Arial" w:hAnsi="Arial"/>
                <w:sz w:val="18"/>
                <w:szCs w:val="18"/>
                <w:color w:val="auto"/>
              </w:rPr>
              <w:t>Total derivative assets</w:t>
            </w:r>
          </w:p>
        </w:tc>
        <w:tc>
          <w:tcPr>
            <w:tcW w:w="20" w:type="dxa"/>
            <w:vAlign w:val="bottom"/>
          </w:tcPr>
          <w:p>
            <w:pPr>
              <w:spacing w:after="0" w:line="20" w:lineRule="exact"/>
              <w:rPr>
                <w:sz w:val="1"/>
                <w:szCs w:val="1"/>
                <w:color w:val="auto"/>
              </w:rPr>
            </w:pPr>
          </w:p>
        </w:tc>
        <w:tc>
          <w:tcPr>
            <w:tcW w:w="140" w:type="dxa"/>
            <w:vAlign w:val="bottom"/>
            <w:shd w:val="clear" w:color="auto" w:fill="000000"/>
          </w:tcPr>
          <w:p>
            <w:pPr>
              <w:spacing w:after="0" w:line="20" w:lineRule="exact"/>
              <w:rPr>
                <w:sz w:val="1"/>
                <w:szCs w:val="1"/>
                <w:color w:val="auto"/>
              </w:rPr>
            </w:pPr>
          </w:p>
        </w:tc>
        <w:tc>
          <w:tcPr>
            <w:tcW w:w="520" w:type="dxa"/>
            <w:vAlign w:val="bottom"/>
            <w:shd w:val="clear" w:color="auto" w:fill="000000"/>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22"/>
        </w:trPr>
        <w:tc>
          <w:tcPr>
            <w:tcW w:w="7880" w:type="dxa"/>
            <w:vAlign w:val="bottom"/>
            <w:vMerge w:val="continue"/>
          </w:tcPr>
          <w:p>
            <w:pPr>
              <w:spacing w:after="0"/>
              <w:rPr>
                <w:sz w:val="19"/>
                <w:szCs w:val="19"/>
                <w:color w:val="auto"/>
              </w:rPr>
            </w:pPr>
          </w:p>
        </w:tc>
        <w:tc>
          <w:tcPr>
            <w:tcW w:w="160" w:type="dxa"/>
            <w:vAlign w:val="bottom"/>
            <w:tcBorders>
              <w:bottom w:val="single" w:sz="8" w:color="auto"/>
            </w:tcBorders>
            <w:gridSpan w:val="2"/>
          </w:tcPr>
          <w:p>
            <w:pPr>
              <w:spacing w:after="0"/>
              <w:rPr>
                <w:sz w:val="20"/>
                <w:szCs w:val="20"/>
                <w:color w:val="auto"/>
              </w:rPr>
            </w:pPr>
            <w:r>
              <w:rPr>
                <w:rFonts w:ascii="Arial" w:cs="Arial" w:eastAsia="Arial" w:hAnsi="Arial"/>
                <w:sz w:val="18"/>
                <w:szCs w:val="18"/>
                <w:color w:val="auto"/>
              </w:rPr>
              <w:t>$</w:t>
            </w:r>
          </w:p>
        </w:tc>
        <w:tc>
          <w:tcPr>
            <w:tcW w:w="52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1,631</w:t>
            </w:r>
          </w:p>
        </w:tc>
        <w:tc>
          <w:tcPr>
            <w:tcW w:w="12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0"/>
        </w:trPr>
        <w:tc>
          <w:tcPr>
            <w:tcW w:w="788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140" w:type="dxa"/>
            <w:vAlign w:val="bottom"/>
            <w:tcBorders>
              <w:bottom w:val="single" w:sz="8" w:color="auto"/>
            </w:tcBorders>
          </w:tcPr>
          <w:p>
            <w:pPr>
              <w:spacing w:after="0" w:line="20" w:lineRule="exact"/>
              <w:rPr>
                <w:sz w:val="1"/>
                <w:szCs w:val="1"/>
                <w:color w:val="auto"/>
              </w:rPr>
            </w:pPr>
          </w:p>
        </w:tc>
        <w:tc>
          <w:tcPr>
            <w:tcW w:w="520" w:type="dxa"/>
            <w:vAlign w:val="bottom"/>
            <w:tcBorders>
              <w:bottom w:val="single" w:sz="8" w:color="auto"/>
            </w:tcBorders>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167" w:lineRule="exact"/>
        <w:rPr>
          <w:sz w:val="20"/>
          <w:szCs w:val="20"/>
          <w:color w:val="auto"/>
        </w:rPr>
      </w:pPr>
    </w:p>
    <w:p>
      <w:pPr>
        <w:ind w:right="140" w:firstLine="456"/>
        <w:spacing w:after="0" w:line="332" w:lineRule="auto"/>
        <w:rPr>
          <w:sz w:val="20"/>
          <w:szCs w:val="20"/>
          <w:color w:val="auto"/>
        </w:rPr>
      </w:pPr>
      <w:r>
        <w:rPr>
          <w:rFonts w:ascii="Arial" w:cs="Arial" w:eastAsia="Arial" w:hAnsi="Arial"/>
          <w:sz w:val="16"/>
          <w:szCs w:val="16"/>
          <w:color w:val="auto"/>
        </w:rPr>
        <w:t>The following tables summarize the pre-tax effect of foreign exchange contract derivatives by (a) cash flow hedges and (b) other foreign currency hedges on OCI and the unaudited condensed consolidated statements of operations for the three and nine months ended October 31, 2009.</w:t>
      </w:r>
    </w:p>
    <w:p>
      <w:pPr>
        <w:spacing w:after="0" w:line="85" w:lineRule="exact"/>
        <w:rPr>
          <w:sz w:val="20"/>
          <w:szCs w:val="20"/>
          <w:color w:val="auto"/>
        </w:rPr>
      </w:pPr>
    </w:p>
    <w:p>
      <w:pPr>
        <w:ind w:left="460"/>
        <w:spacing w:after="0"/>
        <w:rPr>
          <w:sz w:val="20"/>
          <w:szCs w:val="20"/>
          <w:color w:val="auto"/>
        </w:rPr>
      </w:pPr>
      <w:r>
        <w:rPr>
          <w:rFonts w:ascii="Arial" w:cs="Arial" w:eastAsia="Arial" w:hAnsi="Arial"/>
          <w:sz w:val="18"/>
          <w:szCs w:val="18"/>
          <w:color w:val="auto"/>
        </w:rPr>
        <w:t>(a) Cash Flow Hedges (in thousands):</w:t>
      </w:r>
    </w:p>
    <w:p>
      <w:pPr>
        <w:spacing w:after="0" w:line="195" w:lineRule="exact"/>
        <w:rPr>
          <w:sz w:val="20"/>
          <w:szCs w:val="20"/>
          <w:color w:val="auto"/>
        </w:rPr>
      </w:pPr>
    </w:p>
    <w:tbl>
      <w:tblPr>
        <w:tblLayout w:type="fixed"/>
        <w:tblInd w:w="1380" w:type="dxa"/>
        <w:tblCellMar>
          <w:top w:w="0" w:type="dxa"/>
          <w:left w:w="0" w:type="dxa"/>
          <w:bottom w:w="0" w:type="dxa"/>
          <w:right w:w="0" w:type="dxa"/>
        </w:tblCellMar>
      </w:tblPr>
      <w:tr>
        <w:trPr>
          <w:trHeight w:val="161"/>
        </w:trPr>
        <w:tc>
          <w:tcPr>
            <w:tcW w:w="5120" w:type="dxa"/>
            <w:vAlign w:val="bottom"/>
          </w:tcPr>
          <w:p>
            <w:pPr>
              <w:spacing w:after="0"/>
              <w:rPr>
                <w:sz w:val="14"/>
                <w:szCs w:val="14"/>
                <w:color w:val="auto"/>
              </w:rPr>
            </w:pPr>
          </w:p>
        </w:tc>
        <w:tc>
          <w:tcPr>
            <w:tcW w:w="1780" w:type="dxa"/>
            <w:vAlign w:val="bottom"/>
            <w:gridSpan w:val="3"/>
          </w:tcPr>
          <w:p>
            <w:pPr>
              <w:spacing w:after="0"/>
              <w:rPr>
                <w:sz w:val="20"/>
                <w:szCs w:val="20"/>
                <w:color w:val="auto"/>
              </w:rPr>
            </w:pPr>
            <w:r>
              <w:rPr>
                <w:rFonts w:ascii="Arial" w:cs="Arial" w:eastAsia="Arial" w:hAnsi="Arial"/>
                <w:sz w:val="14"/>
                <w:szCs w:val="14"/>
                <w:b w:val="1"/>
                <w:bCs w:val="1"/>
                <w:color w:val="auto"/>
              </w:rPr>
              <w:t>Three Months Ended</w:t>
            </w:r>
          </w:p>
        </w:tc>
        <w:tc>
          <w:tcPr>
            <w:tcW w:w="1780" w:type="dxa"/>
            <w:vAlign w:val="bottom"/>
            <w:gridSpan w:val="4"/>
          </w:tcPr>
          <w:p>
            <w:pPr>
              <w:ind w:left="500"/>
              <w:spacing w:after="0"/>
              <w:rPr>
                <w:sz w:val="20"/>
                <w:szCs w:val="20"/>
                <w:color w:val="auto"/>
              </w:rPr>
            </w:pPr>
            <w:r>
              <w:rPr>
                <w:rFonts w:ascii="Arial" w:cs="Arial" w:eastAsia="Arial" w:hAnsi="Arial"/>
                <w:sz w:val="14"/>
                <w:szCs w:val="14"/>
                <w:b w:val="1"/>
                <w:bCs w:val="1"/>
                <w:color w:val="auto"/>
                <w:w w:val="96"/>
              </w:rPr>
              <w:t>Nine Months Ended</w:t>
            </w:r>
          </w:p>
        </w:tc>
        <w:tc>
          <w:tcPr>
            <w:tcW w:w="0" w:type="dxa"/>
            <w:vAlign w:val="bottom"/>
          </w:tcPr>
          <w:p>
            <w:pPr>
              <w:spacing w:after="0"/>
              <w:rPr>
                <w:sz w:val="1"/>
                <w:szCs w:val="1"/>
                <w:color w:val="auto"/>
              </w:rPr>
            </w:pPr>
          </w:p>
        </w:tc>
      </w:tr>
      <w:tr>
        <w:trPr>
          <w:trHeight w:val="161"/>
        </w:trPr>
        <w:tc>
          <w:tcPr>
            <w:tcW w:w="5120" w:type="dxa"/>
            <w:vAlign w:val="bottom"/>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1140" w:type="dxa"/>
            <w:vAlign w:val="bottom"/>
            <w:tcBorders>
              <w:bottom w:val="single" w:sz="8" w:color="auto"/>
            </w:tcBorders>
          </w:tcPr>
          <w:p>
            <w:pPr>
              <w:jc w:val="right"/>
              <w:ind w:right="56"/>
              <w:spacing w:after="0"/>
              <w:rPr>
                <w:sz w:val="20"/>
                <w:szCs w:val="20"/>
                <w:color w:val="auto"/>
              </w:rPr>
            </w:pPr>
            <w:r>
              <w:rPr>
                <w:rFonts w:ascii="Arial" w:cs="Arial" w:eastAsia="Arial" w:hAnsi="Arial"/>
                <w:sz w:val="14"/>
                <w:szCs w:val="14"/>
                <w:b w:val="1"/>
                <w:bCs w:val="1"/>
                <w:color w:val="auto"/>
                <w:w w:val="87"/>
              </w:rPr>
              <w:t>October 31, 2009</w:t>
            </w:r>
          </w:p>
        </w:tc>
        <w:tc>
          <w:tcPr>
            <w:tcW w:w="540" w:type="dxa"/>
            <w:vAlign w:val="bottom"/>
          </w:tcPr>
          <w:p>
            <w:pPr>
              <w:spacing w:after="0"/>
              <w:rPr>
                <w:sz w:val="14"/>
                <w:szCs w:val="14"/>
                <w:color w:val="auto"/>
              </w:rPr>
            </w:pPr>
          </w:p>
        </w:tc>
        <w:tc>
          <w:tcPr>
            <w:tcW w:w="500" w:type="dxa"/>
            <w:vAlign w:val="bottom"/>
          </w:tcPr>
          <w:p>
            <w:pPr>
              <w:spacing w:after="0"/>
              <w:rPr>
                <w:sz w:val="14"/>
                <w:szCs w:val="14"/>
                <w:color w:val="auto"/>
              </w:rPr>
            </w:pPr>
          </w:p>
        </w:tc>
        <w:tc>
          <w:tcPr>
            <w:tcW w:w="80" w:type="dxa"/>
            <w:vAlign w:val="bottom"/>
            <w:tcBorders>
              <w:bottom w:val="single" w:sz="8" w:color="auto"/>
            </w:tcBorders>
          </w:tcPr>
          <w:p>
            <w:pPr>
              <w:spacing w:after="0"/>
              <w:rPr>
                <w:sz w:val="14"/>
                <w:szCs w:val="14"/>
                <w:color w:val="auto"/>
              </w:rPr>
            </w:pPr>
          </w:p>
        </w:tc>
        <w:tc>
          <w:tcPr>
            <w:tcW w:w="1080" w:type="dxa"/>
            <w:vAlign w:val="bottom"/>
            <w:tcBorders>
              <w:bottom w:val="single" w:sz="8" w:color="auto"/>
            </w:tcBorders>
          </w:tcPr>
          <w:p>
            <w:pPr>
              <w:jc w:val="right"/>
              <w:ind w:right="16"/>
              <w:spacing w:after="0"/>
              <w:rPr>
                <w:sz w:val="20"/>
                <w:szCs w:val="20"/>
                <w:color w:val="auto"/>
              </w:rPr>
            </w:pPr>
            <w:r>
              <w:rPr>
                <w:rFonts w:ascii="Arial" w:cs="Arial" w:eastAsia="Arial" w:hAnsi="Arial"/>
                <w:sz w:val="14"/>
                <w:szCs w:val="14"/>
                <w:b w:val="1"/>
                <w:bCs w:val="1"/>
                <w:color w:val="auto"/>
                <w:w w:val="85"/>
              </w:rPr>
              <w:t>October 31, 2009</w:t>
            </w:r>
          </w:p>
        </w:tc>
        <w:tc>
          <w:tcPr>
            <w:tcW w:w="12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210"/>
        </w:trPr>
        <w:tc>
          <w:tcPr>
            <w:tcW w:w="5120" w:type="dxa"/>
            <w:vAlign w:val="bottom"/>
            <w:shd w:val="clear" w:color="auto" w:fill="CCEEFF"/>
          </w:tcPr>
          <w:p>
            <w:pPr>
              <w:spacing w:after="0"/>
              <w:rPr>
                <w:sz w:val="20"/>
                <w:szCs w:val="20"/>
                <w:color w:val="auto"/>
              </w:rPr>
            </w:pPr>
            <w:r>
              <w:rPr>
                <w:rFonts w:ascii="Arial" w:cs="Arial" w:eastAsia="Arial" w:hAnsi="Arial"/>
                <w:sz w:val="18"/>
                <w:szCs w:val="18"/>
                <w:color w:val="auto"/>
              </w:rPr>
              <w:t>Accumulated gain in OCI, beginning of period</w:t>
            </w:r>
          </w:p>
        </w:tc>
        <w:tc>
          <w:tcPr>
            <w:tcW w:w="100" w:type="dxa"/>
            <w:vAlign w:val="bottom"/>
            <w:shd w:val="clear" w:color="auto" w:fill="CCEEFF"/>
          </w:tcPr>
          <w:p>
            <w:pPr>
              <w:spacing w:after="0"/>
              <w:rPr>
                <w:sz w:val="20"/>
                <w:szCs w:val="20"/>
                <w:color w:val="auto"/>
              </w:rPr>
            </w:pPr>
            <w:r>
              <w:rPr>
                <w:rFonts w:ascii="Arial" w:cs="Arial" w:eastAsia="Arial" w:hAnsi="Arial"/>
                <w:sz w:val="18"/>
                <w:szCs w:val="18"/>
                <w:color w:val="auto"/>
                <w:w w:val="79"/>
              </w:rPr>
              <w:t>$</w:t>
            </w:r>
          </w:p>
        </w:tc>
        <w:tc>
          <w:tcPr>
            <w:tcW w:w="11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1,790</w:t>
            </w:r>
          </w:p>
        </w:tc>
        <w:tc>
          <w:tcPr>
            <w:tcW w:w="540" w:type="dxa"/>
            <w:vAlign w:val="bottom"/>
            <w:shd w:val="clear" w:color="auto" w:fill="CCEEFF"/>
          </w:tcPr>
          <w:p>
            <w:pPr>
              <w:spacing w:after="0"/>
              <w:rPr>
                <w:sz w:val="18"/>
                <w:szCs w:val="18"/>
                <w:color w:val="auto"/>
              </w:rPr>
            </w:pPr>
          </w:p>
        </w:tc>
        <w:tc>
          <w:tcPr>
            <w:tcW w:w="580" w:type="dxa"/>
            <w:vAlign w:val="bottom"/>
            <w:gridSpan w:val="2"/>
            <w:shd w:val="clear" w:color="auto" w:fill="CCEEFF"/>
          </w:tcPr>
          <w:p>
            <w:pPr>
              <w:ind w:left="500"/>
              <w:spacing w:after="0"/>
              <w:rPr>
                <w:sz w:val="20"/>
                <w:szCs w:val="20"/>
                <w:color w:val="auto"/>
              </w:rPr>
            </w:pPr>
            <w:r>
              <w:rPr>
                <w:rFonts w:ascii="Arial" w:cs="Arial" w:eastAsia="Arial" w:hAnsi="Arial"/>
                <w:sz w:val="15"/>
                <w:szCs w:val="15"/>
                <w:color w:val="auto"/>
                <w:w w:val="71"/>
              </w:rPr>
              <w:t>$</w:t>
            </w:r>
          </w:p>
        </w:tc>
        <w:tc>
          <w:tcPr>
            <w:tcW w:w="120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16"/>
        </w:trPr>
        <w:tc>
          <w:tcPr>
            <w:tcW w:w="5120" w:type="dxa"/>
            <w:vAlign w:val="bottom"/>
          </w:tcPr>
          <w:p>
            <w:pPr>
              <w:spacing w:after="0"/>
              <w:rPr>
                <w:sz w:val="20"/>
                <w:szCs w:val="20"/>
                <w:color w:val="auto"/>
              </w:rPr>
            </w:pPr>
            <w:r>
              <w:rPr>
                <w:rFonts w:ascii="Arial" w:cs="Arial" w:eastAsia="Arial" w:hAnsi="Arial"/>
                <w:sz w:val="18"/>
                <w:szCs w:val="18"/>
                <w:color w:val="auto"/>
              </w:rPr>
              <w:t>Gains recorded in OCI (effective portion)</w:t>
            </w:r>
          </w:p>
        </w:tc>
        <w:tc>
          <w:tcPr>
            <w:tcW w:w="100" w:type="dxa"/>
            <w:vAlign w:val="bottom"/>
          </w:tcPr>
          <w:p>
            <w:pPr>
              <w:spacing w:after="0"/>
              <w:rPr>
                <w:sz w:val="18"/>
                <w:szCs w:val="18"/>
                <w:color w:val="auto"/>
              </w:rPr>
            </w:pPr>
          </w:p>
        </w:tc>
        <w:tc>
          <w:tcPr>
            <w:tcW w:w="1140" w:type="dxa"/>
            <w:vAlign w:val="bottom"/>
          </w:tcPr>
          <w:p>
            <w:pPr>
              <w:jc w:val="right"/>
              <w:spacing w:after="0"/>
              <w:rPr>
                <w:sz w:val="20"/>
                <w:szCs w:val="20"/>
                <w:color w:val="auto"/>
              </w:rPr>
            </w:pPr>
            <w:r>
              <w:rPr>
                <w:rFonts w:ascii="Arial" w:cs="Arial" w:eastAsia="Arial" w:hAnsi="Arial"/>
                <w:sz w:val="18"/>
                <w:szCs w:val="18"/>
                <w:color w:val="auto"/>
              </w:rPr>
              <w:t>938</w:t>
            </w:r>
          </w:p>
        </w:tc>
        <w:tc>
          <w:tcPr>
            <w:tcW w:w="540" w:type="dxa"/>
            <w:vAlign w:val="bottom"/>
          </w:tcPr>
          <w:p>
            <w:pPr>
              <w:spacing w:after="0"/>
              <w:rPr>
                <w:sz w:val="18"/>
                <w:szCs w:val="18"/>
                <w:color w:val="auto"/>
              </w:rPr>
            </w:pPr>
          </w:p>
        </w:tc>
        <w:tc>
          <w:tcPr>
            <w:tcW w:w="50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1080" w:type="dxa"/>
            <w:vAlign w:val="bottom"/>
          </w:tcPr>
          <w:p>
            <w:pPr>
              <w:jc w:val="right"/>
              <w:spacing w:after="0"/>
              <w:rPr>
                <w:sz w:val="20"/>
                <w:szCs w:val="20"/>
                <w:color w:val="auto"/>
              </w:rPr>
            </w:pPr>
            <w:r>
              <w:rPr>
                <w:rFonts w:ascii="Arial" w:cs="Arial" w:eastAsia="Arial" w:hAnsi="Arial"/>
                <w:sz w:val="18"/>
                <w:szCs w:val="18"/>
                <w:color w:val="auto"/>
              </w:rPr>
              <w:t>3,518</w:t>
            </w:r>
          </w:p>
        </w:tc>
        <w:tc>
          <w:tcPr>
            <w:tcW w:w="1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08"/>
        </w:trPr>
        <w:tc>
          <w:tcPr>
            <w:tcW w:w="5120" w:type="dxa"/>
            <w:vAlign w:val="bottom"/>
            <w:shd w:val="clear" w:color="auto" w:fill="CCEEFF"/>
          </w:tcPr>
          <w:p>
            <w:pPr>
              <w:spacing w:after="0"/>
              <w:rPr>
                <w:sz w:val="20"/>
                <w:szCs w:val="20"/>
                <w:color w:val="auto"/>
              </w:rPr>
            </w:pPr>
            <w:r>
              <w:rPr>
                <w:rFonts w:ascii="Arial" w:cs="Arial" w:eastAsia="Arial" w:hAnsi="Arial"/>
                <w:sz w:val="18"/>
                <w:szCs w:val="18"/>
                <w:color w:val="auto"/>
              </w:rPr>
              <w:t>Gains reclassified from OCI to operating expense</w:t>
            </w:r>
          </w:p>
        </w:tc>
        <w:tc>
          <w:tcPr>
            <w:tcW w:w="100" w:type="dxa"/>
            <w:vAlign w:val="bottom"/>
            <w:shd w:val="clear" w:color="auto" w:fill="CCEEFF"/>
          </w:tcPr>
          <w:p>
            <w:pPr>
              <w:spacing w:after="0"/>
              <w:rPr>
                <w:sz w:val="18"/>
                <w:szCs w:val="18"/>
                <w:color w:val="auto"/>
              </w:rPr>
            </w:pPr>
          </w:p>
        </w:tc>
        <w:tc>
          <w:tcPr>
            <w:tcW w:w="1140" w:type="dxa"/>
            <w:vAlign w:val="bottom"/>
            <w:shd w:val="clear" w:color="auto" w:fill="CCEEFF"/>
          </w:tcPr>
          <w:p>
            <w:pPr>
              <w:spacing w:after="0"/>
              <w:rPr>
                <w:sz w:val="18"/>
                <w:szCs w:val="18"/>
                <w:color w:val="auto"/>
              </w:rPr>
            </w:pPr>
          </w:p>
        </w:tc>
        <w:tc>
          <w:tcPr>
            <w:tcW w:w="540" w:type="dxa"/>
            <w:vAlign w:val="bottom"/>
            <w:shd w:val="clear" w:color="auto" w:fill="CCEEFF"/>
          </w:tcPr>
          <w:p>
            <w:pPr>
              <w:spacing w:after="0"/>
              <w:rPr>
                <w:sz w:val="18"/>
                <w:szCs w:val="18"/>
                <w:color w:val="auto"/>
              </w:rPr>
            </w:pPr>
          </w:p>
        </w:tc>
        <w:tc>
          <w:tcPr>
            <w:tcW w:w="50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108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24"/>
        </w:trPr>
        <w:tc>
          <w:tcPr>
            <w:tcW w:w="5120" w:type="dxa"/>
            <w:vAlign w:val="bottom"/>
            <w:shd w:val="clear" w:color="auto" w:fill="CCEEFF"/>
          </w:tcPr>
          <w:p>
            <w:pPr>
              <w:ind w:left="220"/>
              <w:spacing w:after="0"/>
              <w:rPr>
                <w:sz w:val="20"/>
                <w:szCs w:val="20"/>
                <w:color w:val="auto"/>
              </w:rPr>
            </w:pPr>
            <w:r>
              <w:rPr>
                <w:rFonts w:ascii="Arial" w:cs="Arial" w:eastAsia="Arial" w:hAnsi="Arial"/>
                <w:sz w:val="18"/>
                <w:szCs w:val="18"/>
                <w:color w:val="auto"/>
              </w:rPr>
              <w:t>(effective portion)</w:t>
            </w:r>
          </w:p>
        </w:tc>
        <w:tc>
          <w:tcPr>
            <w:tcW w:w="100" w:type="dxa"/>
            <w:vAlign w:val="bottom"/>
            <w:shd w:val="clear" w:color="auto" w:fill="CCEEFF"/>
          </w:tcPr>
          <w:p>
            <w:pPr>
              <w:spacing w:after="0"/>
              <w:rPr>
                <w:sz w:val="19"/>
                <w:szCs w:val="19"/>
                <w:color w:val="auto"/>
              </w:rPr>
            </w:pPr>
          </w:p>
        </w:tc>
        <w:tc>
          <w:tcPr>
            <w:tcW w:w="1680" w:type="dxa"/>
            <w:vAlign w:val="bottom"/>
            <w:gridSpan w:val="2"/>
            <w:shd w:val="clear" w:color="auto" w:fill="CCEEFF"/>
          </w:tcPr>
          <w:p>
            <w:pPr>
              <w:jc w:val="right"/>
              <w:ind w:right="500"/>
              <w:spacing w:after="0"/>
              <w:rPr>
                <w:sz w:val="20"/>
                <w:szCs w:val="20"/>
                <w:color w:val="auto"/>
              </w:rPr>
            </w:pPr>
            <w:r>
              <w:rPr>
                <w:rFonts w:ascii="Arial" w:cs="Arial" w:eastAsia="Arial" w:hAnsi="Arial"/>
                <w:sz w:val="18"/>
                <w:szCs w:val="18"/>
                <w:color w:val="auto"/>
              </w:rPr>
              <w:t>(1,398)</w:t>
            </w:r>
          </w:p>
        </w:tc>
        <w:tc>
          <w:tcPr>
            <w:tcW w:w="500" w:type="dxa"/>
            <w:vAlign w:val="bottom"/>
            <w:shd w:val="clear" w:color="auto" w:fill="CCEEFF"/>
          </w:tcPr>
          <w:p>
            <w:pPr>
              <w:spacing w:after="0"/>
              <w:rPr>
                <w:sz w:val="19"/>
                <w:szCs w:val="19"/>
                <w:color w:val="auto"/>
              </w:rPr>
            </w:pPr>
          </w:p>
        </w:tc>
        <w:tc>
          <w:tcPr>
            <w:tcW w:w="80" w:type="dxa"/>
            <w:vAlign w:val="bottom"/>
            <w:shd w:val="clear" w:color="auto" w:fill="CCEEFF"/>
          </w:tcPr>
          <w:p>
            <w:pPr>
              <w:spacing w:after="0"/>
              <w:rPr>
                <w:sz w:val="19"/>
                <w:szCs w:val="19"/>
                <w:color w:val="auto"/>
              </w:rPr>
            </w:pPr>
          </w:p>
        </w:tc>
        <w:tc>
          <w:tcPr>
            <w:tcW w:w="120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(2,188)</w:t>
            </w:r>
          </w:p>
        </w:tc>
        <w:tc>
          <w:tcPr>
            <w:tcW w:w="0" w:type="dxa"/>
            <w:vAlign w:val="bottom"/>
          </w:tcPr>
          <w:p>
            <w:pPr>
              <w:spacing w:after="0"/>
              <w:rPr>
                <w:sz w:val="1"/>
                <w:szCs w:val="1"/>
                <w:color w:val="auto"/>
              </w:rPr>
            </w:pPr>
          </w:p>
        </w:tc>
      </w:tr>
      <w:tr>
        <w:trPr>
          <w:trHeight w:val="20"/>
        </w:trPr>
        <w:tc>
          <w:tcPr>
            <w:tcW w:w="5120" w:type="dxa"/>
            <w:vAlign w:val="bottom"/>
            <w:vMerge w:val="restart"/>
          </w:tcPr>
          <w:p>
            <w:pPr>
              <w:spacing w:after="0"/>
              <w:rPr>
                <w:sz w:val="20"/>
                <w:szCs w:val="20"/>
                <w:color w:val="auto"/>
              </w:rPr>
            </w:pPr>
            <w:r>
              <w:rPr>
                <w:rFonts w:ascii="Arial" w:cs="Arial" w:eastAsia="Arial" w:hAnsi="Arial"/>
                <w:sz w:val="18"/>
                <w:szCs w:val="18"/>
                <w:color w:val="auto"/>
              </w:rPr>
              <w:t>Accumulated gain in OCI, end of period</w:t>
            </w:r>
          </w:p>
        </w:tc>
        <w:tc>
          <w:tcPr>
            <w:tcW w:w="100" w:type="dxa"/>
            <w:vAlign w:val="bottom"/>
            <w:shd w:val="clear" w:color="auto" w:fill="000000"/>
          </w:tcPr>
          <w:p>
            <w:pPr>
              <w:spacing w:after="0" w:line="20" w:lineRule="exact"/>
              <w:rPr>
                <w:sz w:val="1"/>
                <w:szCs w:val="1"/>
                <w:color w:val="auto"/>
              </w:rPr>
            </w:pPr>
          </w:p>
        </w:tc>
        <w:tc>
          <w:tcPr>
            <w:tcW w:w="1140" w:type="dxa"/>
            <w:vAlign w:val="bottom"/>
            <w:shd w:val="clear" w:color="auto" w:fill="000000"/>
          </w:tcPr>
          <w:p>
            <w:pPr>
              <w:spacing w:after="0" w:line="20" w:lineRule="exact"/>
              <w:rPr>
                <w:sz w:val="1"/>
                <w:szCs w:val="1"/>
                <w:color w:val="auto"/>
              </w:rPr>
            </w:pPr>
          </w:p>
        </w:tc>
        <w:tc>
          <w:tcPr>
            <w:tcW w:w="540" w:type="dxa"/>
            <w:vAlign w:val="bottom"/>
          </w:tcPr>
          <w:p>
            <w:pPr>
              <w:spacing w:after="0" w:line="20" w:lineRule="exact"/>
              <w:rPr>
                <w:sz w:val="1"/>
                <w:szCs w:val="1"/>
                <w:color w:val="auto"/>
              </w:rPr>
            </w:pPr>
          </w:p>
        </w:tc>
        <w:tc>
          <w:tcPr>
            <w:tcW w:w="500" w:type="dxa"/>
            <w:vAlign w:val="bottom"/>
          </w:tcPr>
          <w:p>
            <w:pPr>
              <w:spacing w:after="0" w:line="20" w:lineRule="exact"/>
              <w:rPr>
                <w:sz w:val="1"/>
                <w:szCs w:val="1"/>
                <w:color w:val="auto"/>
              </w:rPr>
            </w:pPr>
          </w:p>
        </w:tc>
        <w:tc>
          <w:tcPr>
            <w:tcW w:w="80" w:type="dxa"/>
            <w:vAlign w:val="bottom"/>
            <w:shd w:val="clear" w:color="auto" w:fill="000000"/>
          </w:tcPr>
          <w:p>
            <w:pPr>
              <w:spacing w:after="0" w:line="20" w:lineRule="exact"/>
              <w:rPr>
                <w:sz w:val="1"/>
                <w:szCs w:val="1"/>
                <w:color w:val="auto"/>
              </w:rPr>
            </w:pPr>
          </w:p>
        </w:tc>
        <w:tc>
          <w:tcPr>
            <w:tcW w:w="1080" w:type="dxa"/>
            <w:vAlign w:val="bottom"/>
            <w:shd w:val="clear" w:color="auto" w:fill="000000"/>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22"/>
        </w:trPr>
        <w:tc>
          <w:tcPr>
            <w:tcW w:w="5120" w:type="dxa"/>
            <w:vAlign w:val="bottom"/>
            <w:vMerge w:val="continue"/>
          </w:tcPr>
          <w:p>
            <w:pPr>
              <w:spacing w:after="0"/>
              <w:rPr>
                <w:sz w:val="19"/>
                <w:szCs w:val="19"/>
                <w:color w:val="auto"/>
              </w:rPr>
            </w:pPr>
          </w:p>
        </w:tc>
        <w:tc>
          <w:tcPr>
            <w:tcW w:w="100" w:type="dxa"/>
            <w:vAlign w:val="bottom"/>
          </w:tcPr>
          <w:p>
            <w:pPr>
              <w:spacing w:after="0"/>
              <w:rPr>
                <w:sz w:val="20"/>
                <w:szCs w:val="20"/>
                <w:color w:val="auto"/>
              </w:rPr>
            </w:pPr>
            <w:r>
              <w:rPr>
                <w:rFonts w:ascii="Arial" w:cs="Arial" w:eastAsia="Arial" w:hAnsi="Arial"/>
                <w:sz w:val="18"/>
                <w:szCs w:val="18"/>
                <w:color w:val="auto"/>
                <w:w w:val="79"/>
              </w:rPr>
              <w:t>$</w:t>
            </w:r>
          </w:p>
        </w:tc>
        <w:tc>
          <w:tcPr>
            <w:tcW w:w="1140" w:type="dxa"/>
            <w:vAlign w:val="bottom"/>
          </w:tcPr>
          <w:p>
            <w:pPr>
              <w:jc w:val="right"/>
              <w:spacing w:after="0"/>
              <w:rPr>
                <w:sz w:val="20"/>
                <w:szCs w:val="20"/>
                <w:color w:val="auto"/>
              </w:rPr>
            </w:pPr>
            <w:r>
              <w:rPr>
                <w:rFonts w:ascii="Arial" w:cs="Arial" w:eastAsia="Arial" w:hAnsi="Arial"/>
                <w:sz w:val="18"/>
                <w:szCs w:val="18"/>
                <w:color w:val="auto"/>
              </w:rPr>
              <w:t>1,330</w:t>
            </w:r>
          </w:p>
        </w:tc>
        <w:tc>
          <w:tcPr>
            <w:tcW w:w="540" w:type="dxa"/>
            <w:vAlign w:val="bottom"/>
          </w:tcPr>
          <w:p>
            <w:pPr>
              <w:spacing w:after="0"/>
              <w:rPr>
                <w:sz w:val="19"/>
                <w:szCs w:val="19"/>
                <w:color w:val="auto"/>
              </w:rPr>
            </w:pPr>
          </w:p>
        </w:tc>
        <w:tc>
          <w:tcPr>
            <w:tcW w:w="580" w:type="dxa"/>
            <w:vAlign w:val="bottom"/>
            <w:gridSpan w:val="2"/>
          </w:tcPr>
          <w:p>
            <w:pPr>
              <w:ind w:left="500"/>
              <w:spacing w:after="0"/>
              <w:rPr>
                <w:sz w:val="20"/>
                <w:szCs w:val="20"/>
                <w:color w:val="auto"/>
              </w:rPr>
            </w:pPr>
            <w:r>
              <w:rPr>
                <w:rFonts w:ascii="Arial" w:cs="Arial" w:eastAsia="Arial" w:hAnsi="Arial"/>
                <w:sz w:val="15"/>
                <w:szCs w:val="15"/>
                <w:color w:val="auto"/>
                <w:w w:val="71"/>
              </w:rPr>
              <w:t>$</w:t>
            </w:r>
          </w:p>
        </w:tc>
        <w:tc>
          <w:tcPr>
            <w:tcW w:w="1080" w:type="dxa"/>
            <w:vAlign w:val="bottom"/>
          </w:tcPr>
          <w:p>
            <w:pPr>
              <w:jc w:val="right"/>
              <w:spacing w:after="0"/>
              <w:rPr>
                <w:sz w:val="20"/>
                <w:szCs w:val="20"/>
                <w:color w:val="auto"/>
              </w:rPr>
            </w:pPr>
            <w:r>
              <w:rPr>
                <w:rFonts w:ascii="Arial" w:cs="Arial" w:eastAsia="Arial" w:hAnsi="Arial"/>
                <w:sz w:val="18"/>
                <w:szCs w:val="18"/>
                <w:color w:val="auto"/>
              </w:rPr>
              <w:t>1,330</w:t>
            </w:r>
          </w:p>
        </w:tc>
        <w:tc>
          <w:tcPr>
            <w:tcW w:w="12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0"/>
        </w:trPr>
        <w:tc>
          <w:tcPr>
            <w:tcW w:w="512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1140" w:type="dxa"/>
            <w:vAlign w:val="bottom"/>
            <w:tcBorders>
              <w:top w:val="single" w:sz="8" w:color="auto"/>
              <w:bottom w:val="single" w:sz="8" w:color="auto"/>
            </w:tcBorders>
          </w:tcPr>
          <w:p>
            <w:pPr>
              <w:spacing w:after="0" w:line="20" w:lineRule="exact"/>
              <w:rPr>
                <w:sz w:val="1"/>
                <w:szCs w:val="1"/>
                <w:color w:val="auto"/>
              </w:rPr>
            </w:pPr>
          </w:p>
        </w:tc>
        <w:tc>
          <w:tcPr>
            <w:tcW w:w="540" w:type="dxa"/>
            <w:vAlign w:val="bottom"/>
          </w:tcPr>
          <w:p>
            <w:pPr>
              <w:spacing w:after="0" w:line="20" w:lineRule="exact"/>
              <w:rPr>
                <w:sz w:val="1"/>
                <w:szCs w:val="1"/>
                <w:color w:val="auto"/>
              </w:rPr>
            </w:pPr>
          </w:p>
        </w:tc>
        <w:tc>
          <w:tcPr>
            <w:tcW w:w="50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1080" w:type="dxa"/>
            <w:vAlign w:val="bottom"/>
            <w:tcBorders>
              <w:top w:val="single" w:sz="8" w:color="auto"/>
              <w:bottom w:val="single" w:sz="8" w:color="auto"/>
            </w:tcBorders>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167" w:lineRule="exact"/>
        <w:rPr>
          <w:sz w:val="20"/>
          <w:szCs w:val="20"/>
          <w:color w:val="auto"/>
        </w:rPr>
      </w:pPr>
    </w:p>
    <w:p>
      <w:pPr>
        <w:ind w:left="460"/>
        <w:spacing w:after="0"/>
        <w:rPr>
          <w:sz w:val="20"/>
          <w:szCs w:val="20"/>
          <w:color w:val="auto"/>
        </w:rPr>
      </w:pPr>
      <w:r>
        <w:rPr>
          <w:rFonts w:ascii="Arial" w:cs="Arial" w:eastAsia="Arial" w:hAnsi="Arial"/>
          <w:sz w:val="16"/>
          <w:szCs w:val="16"/>
          <w:color w:val="auto"/>
        </w:rPr>
        <w:t>The Company anticipates reclassifying the accumulated gain recorded as of October 31, 2009 from OCI to operating expense within 12 months.</w:t>
      </w:r>
    </w:p>
    <w:p>
      <w:pPr>
        <w:spacing w:after="0" w:line="194" w:lineRule="exact"/>
        <w:rPr>
          <w:sz w:val="20"/>
          <w:szCs w:val="20"/>
          <w:color w:val="auto"/>
        </w:rPr>
      </w:pPr>
    </w:p>
    <w:p>
      <w:pPr>
        <w:ind w:left="460"/>
        <w:spacing w:after="0"/>
        <w:rPr>
          <w:sz w:val="20"/>
          <w:szCs w:val="20"/>
          <w:color w:val="auto"/>
        </w:rPr>
      </w:pPr>
      <w:r>
        <w:rPr>
          <w:rFonts w:ascii="Arial" w:cs="Arial" w:eastAsia="Arial" w:hAnsi="Arial"/>
          <w:sz w:val="18"/>
          <w:szCs w:val="18"/>
          <w:color w:val="auto"/>
        </w:rPr>
        <w:t>(b) Other forward contracts (in thousands):</w:t>
      </w:r>
    </w:p>
    <w:p>
      <w:pPr>
        <w:spacing w:after="0" w:line="195" w:lineRule="exact"/>
        <w:rPr>
          <w:sz w:val="20"/>
          <w:szCs w:val="20"/>
          <w:color w:val="auto"/>
        </w:rPr>
      </w:pPr>
    </w:p>
    <w:tbl>
      <w:tblPr>
        <w:tblLayout w:type="fixed"/>
        <w:tblInd w:w="1380" w:type="dxa"/>
        <w:tblCellMar>
          <w:top w:w="0" w:type="dxa"/>
          <w:left w:w="0" w:type="dxa"/>
          <w:bottom w:w="0" w:type="dxa"/>
          <w:right w:w="0" w:type="dxa"/>
        </w:tblCellMar>
      </w:tblPr>
      <w:tr>
        <w:trPr>
          <w:trHeight w:val="161"/>
        </w:trPr>
        <w:tc>
          <w:tcPr>
            <w:tcW w:w="3520" w:type="dxa"/>
            <w:vAlign w:val="bottom"/>
          </w:tcPr>
          <w:p>
            <w:pPr>
              <w:spacing w:after="0"/>
              <w:rPr>
                <w:sz w:val="14"/>
                <w:szCs w:val="14"/>
                <w:color w:val="auto"/>
              </w:rPr>
            </w:pPr>
          </w:p>
        </w:tc>
        <w:tc>
          <w:tcPr>
            <w:tcW w:w="2920" w:type="dxa"/>
            <w:vAlign w:val="bottom"/>
            <w:gridSpan w:val="3"/>
          </w:tcPr>
          <w:p>
            <w:pPr>
              <w:ind w:left="1680"/>
              <w:spacing w:after="0"/>
              <w:rPr>
                <w:sz w:val="20"/>
                <w:szCs w:val="20"/>
                <w:color w:val="auto"/>
              </w:rPr>
            </w:pPr>
            <w:r>
              <w:rPr>
                <w:rFonts w:ascii="Arial" w:cs="Arial" w:eastAsia="Arial" w:hAnsi="Arial"/>
                <w:sz w:val="14"/>
                <w:szCs w:val="14"/>
                <w:b w:val="1"/>
                <w:bCs w:val="1"/>
                <w:color w:val="auto"/>
                <w:w w:val="88"/>
              </w:rPr>
              <w:t>Three Months Ended</w:t>
            </w:r>
          </w:p>
        </w:tc>
        <w:tc>
          <w:tcPr>
            <w:tcW w:w="2240" w:type="dxa"/>
            <w:vAlign w:val="bottom"/>
            <w:gridSpan w:val="3"/>
          </w:tcPr>
          <w:p>
            <w:pPr>
              <w:ind w:left="1080"/>
              <w:spacing w:after="0"/>
              <w:rPr>
                <w:sz w:val="20"/>
                <w:szCs w:val="20"/>
                <w:color w:val="auto"/>
              </w:rPr>
            </w:pPr>
            <w:r>
              <w:rPr>
                <w:rFonts w:ascii="Arial" w:cs="Arial" w:eastAsia="Arial" w:hAnsi="Arial"/>
                <w:sz w:val="14"/>
                <w:szCs w:val="14"/>
                <w:b w:val="1"/>
                <w:bCs w:val="1"/>
                <w:color w:val="auto"/>
                <w:w w:val="86"/>
              </w:rPr>
              <w:t>Nine months Ended</w:t>
            </w:r>
          </w:p>
        </w:tc>
        <w:tc>
          <w:tcPr>
            <w:tcW w:w="0" w:type="dxa"/>
            <w:vAlign w:val="bottom"/>
          </w:tcPr>
          <w:p>
            <w:pPr>
              <w:spacing w:after="0"/>
              <w:rPr>
                <w:sz w:val="1"/>
                <w:szCs w:val="1"/>
                <w:color w:val="auto"/>
              </w:rPr>
            </w:pPr>
          </w:p>
        </w:tc>
      </w:tr>
      <w:tr>
        <w:trPr>
          <w:trHeight w:val="161"/>
        </w:trPr>
        <w:tc>
          <w:tcPr>
            <w:tcW w:w="3520" w:type="dxa"/>
            <w:vAlign w:val="bottom"/>
          </w:tcPr>
          <w:p>
            <w:pPr>
              <w:spacing w:after="0"/>
              <w:rPr>
                <w:sz w:val="14"/>
                <w:szCs w:val="14"/>
                <w:color w:val="auto"/>
              </w:rPr>
            </w:pPr>
          </w:p>
        </w:tc>
        <w:tc>
          <w:tcPr>
            <w:tcW w:w="1680" w:type="dxa"/>
            <w:vAlign w:val="bottom"/>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1140" w:type="dxa"/>
            <w:vAlign w:val="bottom"/>
            <w:tcBorders>
              <w:bottom w:val="single" w:sz="8" w:color="auto"/>
            </w:tcBorders>
          </w:tcPr>
          <w:p>
            <w:pPr>
              <w:jc w:val="right"/>
              <w:ind w:right="62"/>
              <w:spacing w:after="0"/>
              <w:rPr>
                <w:sz w:val="20"/>
                <w:szCs w:val="20"/>
                <w:color w:val="auto"/>
              </w:rPr>
            </w:pPr>
            <w:r>
              <w:rPr>
                <w:rFonts w:ascii="Arial" w:cs="Arial" w:eastAsia="Arial" w:hAnsi="Arial"/>
                <w:sz w:val="14"/>
                <w:szCs w:val="14"/>
                <w:b w:val="1"/>
                <w:bCs w:val="1"/>
                <w:color w:val="auto"/>
                <w:w w:val="87"/>
              </w:rPr>
              <w:t>October 31, 2009</w:t>
            </w:r>
          </w:p>
        </w:tc>
        <w:tc>
          <w:tcPr>
            <w:tcW w:w="1080" w:type="dxa"/>
            <w:vAlign w:val="bottom"/>
          </w:tcPr>
          <w:p>
            <w:pPr>
              <w:spacing w:after="0"/>
              <w:rPr>
                <w:sz w:val="14"/>
                <w:szCs w:val="14"/>
                <w:color w:val="auto"/>
              </w:rPr>
            </w:pPr>
          </w:p>
        </w:tc>
        <w:tc>
          <w:tcPr>
            <w:tcW w:w="80" w:type="dxa"/>
            <w:vAlign w:val="bottom"/>
            <w:tcBorders>
              <w:bottom w:val="single" w:sz="8" w:color="auto"/>
            </w:tcBorders>
          </w:tcPr>
          <w:p>
            <w:pPr>
              <w:spacing w:after="0"/>
              <w:rPr>
                <w:sz w:val="14"/>
                <w:szCs w:val="14"/>
                <w:color w:val="auto"/>
              </w:rPr>
            </w:pPr>
          </w:p>
        </w:tc>
        <w:tc>
          <w:tcPr>
            <w:tcW w:w="1080" w:type="dxa"/>
            <w:vAlign w:val="bottom"/>
            <w:tcBorders>
              <w:bottom w:val="single" w:sz="8" w:color="auto"/>
            </w:tcBorders>
          </w:tcPr>
          <w:p>
            <w:pPr>
              <w:jc w:val="right"/>
              <w:ind w:right="22"/>
              <w:spacing w:after="0"/>
              <w:rPr>
                <w:sz w:val="20"/>
                <w:szCs w:val="20"/>
                <w:color w:val="auto"/>
              </w:rPr>
            </w:pPr>
            <w:r>
              <w:rPr>
                <w:rFonts w:ascii="Arial" w:cs="Arial" w:eastAsia="Arial" w:hAnsi="Arial"/>
                <w:sz w:val="14"/>
                <w:szCs w:val="14"/>
                <w:b w:val="1"/>
                <w:bCs w:val="1"/>
                <w:color w:val="auto"/>
                <w:w w:val="85"/>
              </w:rPr>
              <w:t>October 31, 2009</w:t>
            </w:r>
          </w:p>
        </w:tc>
        <w:tc>
          <w:tcPr>
            <w:tcW w:w="0" w:type="dxa"/>
            <w:vAlign w:val="bottom"/>
          </w:tcPr>
          <w:p>
            <w:pPr>
              <w:spacing w:after="0"/>
              <w:rPr>
                <w:sz w:val="1"/>
                <w:szCs w:val="1"/>
                <w:color w:val="auto"/>
              </w:rPr>
            </w:pPr>
          </w:p>
        </w:tc>
      </w:tr>
      <w:tr>
        <w:trPr>
          <w:trHeight w:val="210"/>
        </w:trPr>
        <w:tc>
          <w:tcPr>
            <w:tcW w:w="3520" w:type="dxa"/>
            <w:vAlign w:val="bottom"/>
            <w:shd w:val="clear" w:color="auto" w:fill="CCEEFF"/>
          </w:tcPr>
          <w:p>
            <w:pPr>
              <w:spacing w:after="0"/>
              <w:rPr>
                <w:sz w:val="20"/>
                <w:szCs w:val="20"/>
                <w:color w:val="auto"/>
              </w:rPr>
            </w:pPr>
            <w:r>
              <w:rPr>
                <w:rFonts w:ascii="Arial" w:cs="Arial" w:eastAsia="Arial" w:hAnsi="Arial"/>
                <w:sz w:val="18"/>
                <w:szCs w:val="18"/>
                <w:color w:val="auto"/>
              </w:rPr>
              <w:t>Gains recognized in other expenses, net</w:t>
            </w:r>
          </w:p>
        </w:tc>
        <w:tc>
          <w:tcPr>
            <w:tcW w:w="1780" w:type="dxa"/>
            <w:vAlign w:val="bottom"/>
            <w:gridSpan w:val="2"/>
            <w:shd w:val="clear" w:color="auto" w:fill="CCEEFF"/>
          </w:tcPr>
          <w:p>
            <w:pPr>
              <w:ind w:left="1680"/>
              <w:spacing w:after="0"/>
              <w:rPr>
                <w:sz w:val="20"/>
                <w:szCs w:val="20"/>
                <w:color w:val="auto"/>
              </w:rPr>
            </w:pPr>
            <w:r>
              <w:rPr>
                <w:rFonts w:ascii="Arial" w:cs="Arial" w:eastAsia="Arial" w:hAnsi="Arial"/>
                <w:sz w:val="18"/>
                <w:szCs w:val="18"/>
                <w:color w:val="auto"/>
                <w:w w:val="79"/>
              </w:rPr>
              <w:t>$</w:t>
            </w:r>
          </w:p>
        </w:tc>
        <w:tc>
          <w:tcPr>
            <w:tcW w:w="11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85</w:t>
            </w:r>
          </w:p>
        </w:tc>
        <w:tc>
          <w:tcPr>
            <w:tcW w:w="1160" w:type="dxa"/>
            <w:vAlign w:val="bottom"/>
            <w:gridSpan w:val="2"/>
            <w:shd w:val="clear" w:color="auto" w:fill="CCEEFF"/>
          </w:tcPr>
          <w:p>
            <w:pPr>
              <w:ind w:left="1080"/>
              <w:spacing w:after="0"/>
              <w:rPr>
                <w:sz w:val="20"/>
                <w:szCs w:val="20"/>
                <w:color w:val="auto"/>
              </w:rPr>
            </w:pPr>
            <w:r>
              <w:rPr>
                <w:rFonts w:ascii="Arial" w:cs="Arial" w:eastAsia="Arial" w:hAnsi="Arial"/>
                <w:sz w:val="15"/>
                <w:szCs w:val="15"/>
                <w:color w:val="auto"/>
                <w:w w:val="71"/>
              </w:rPr>
              <w:t>$</w:t>
            </w:r>
          </w:p>
        </w:tc>
        <w:tc>
          <w:tcPr>
            <w:tcW w:w="10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122</w:t>
            </w:r>
          </w:p>
        </w:tc>
        <w:tc>
          <w:tcPr>
            <w:tcW w:w="0" w:type="dxa"/>
            <w:vAlign w:val="bottom"/>
          </w:tcPr>
          <w:p>
            <w:pPr>
              <w:spacing w:after="0"/>
              <w:rPr>
                <w:sz w:val="1"/>
                <w:szCs w:val="1"/>
                <w:color w:val="auto"/>
              </w:rPr>
            </w:pPr>
          </w:p>
        </w:tc>
      </w:tr>
      <w:tr>
        <w:trPr>
          <w:trHeight w:val="20"/>
        </w:trPr>
        <w:tc>
          <w:tcPr>
            <w:tcW w:w="3520" w:type="dxa"/>
            <w:vAlign w:val="bottom"/>
          </w:tcPr>
          <w:p>
            <w:pPr>
              <w:spacing w:after="0" w:line="20" w:lineRule="exact"/>
              <w:rPr>
                <w:sz w:val="1"/>
                <w:szCs w:val="1"/>
                <w:color w:val="auto"/>
              </w:rPr>
            </w:pPr>
          </w:p>
        </w:tc>
        <w:tc>
          <w:tcPr>
            <w:tcW w:w="1680" w:type="dxa"/>
            <w:vAlign w:val="bottom"/>
            <w:vMerge w:val="restart"/>
          </w:tcPr>
          <w:p>
            <w:pPr>
              <w:jc w:val="right"/>
              <w:ind w:right="699"/>
              <w:spacing w:after="0"/>
              <w:rPr>
                <w:sz w:val="20"/>
                <w:szCs w:val="20"/>
                <w:color w:val="auto"/>
              </w:rPr>
            </w:pPr>
            <w:r>
              <w:rPr>
                <w:rFonts w:ascii="Arial" w:cs="Arial" w:eastAsia="Arial" w:hAnsi="Arial"/>
                <w:sz w:val="18"/>
                <w:szCs w:val="18"/>
                <w:color w:val="auto"/>
              </w:rPr>
              <w:t>15</w:t>
            </w:r>
          </w:p>
        </w:tc>
        <w:tc>
          <w:tcPr>
            <w:tcW w:w="100" w:type="dxa"/>
            <w:vAlign w:val="bottom"/>
            <w:tcBorders>
              <w:top w:val="single" w:sz="8" w:color="auto"/>
              <w:bottom w:val="single" w:sz="8" w:color="auto"/>
            </w:tcBorders>
          </w:tcPr>
          <w:p>
            <w:pPr>
              <w:spacing w:after="0" w:line="20" w:lineRule="exact"/>
              <w:rPr>
                <w:sz w:val="1"/>
                <w:szCs w:val="1"/>
                <w:color w:val="auto"/>
              </w:rPr>
            </w:pPr>
          </w:p>
        </w:tc>
        <w:tc>
          <w:tcPr>
            <w:tcW w:w="1140" w:type="dxa"/>
            <w:vAlign w:val="bottom"/>
            <w:tcBorders>
              <w:top w:val="single" w:sz="8" w:color="auto"/>
              <w:bottom w:val="single" w:sz="8" w:color="auto"/>
            </w:tcBorders>
          </w:tcPr>
          <w:p>
            <w:pPr>
              <w:spacing w:after="0" w:line="20" w:lineRule="exact"/>
              <w:rPr>
                <w:sz w:val="1"/>
                <w:szCs w:val="1"/>
                <w:color w:val="auto"/>
              </w:rPr>
            </w:pPr>
          </w:p>
        </w:tc>
        <w:tc>
          <w:tcPr>
            <w:tcW w:w="108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1080" w:type="dxa"/>
            <w:vAlign w:val="bottom"/>
            <w:tcBorders>
              <w:top w:val="single" w:sz="8" w:color="auto"/>
              <w:bottom w:val="single" w:sz="8" w:color="auto"/>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357"/>
        </w:trPr>
        <w:tc>
          <w:tcPr>
            <w:tcW w:w="3520" w:type="dxa"/>
            <w:vAlign w:val="bottom"/>
          </w:tcPr>
          <w:p>
            <w:pPr>
              <w:spacing w:after="0"/>
              <w:rPr>
                <w:sz w:val="24"/>
                <w:szCs w:val="24"/>
                <w:color w:val="auto"/>
              </w:rPr>
            </w:pPr>
          </w:p>
        </w:tc>
        <w:tc>
          <w:tcPr>
            <w:tcW w:w="1680" w:type="dxa"/>
            <w:vAlign w:val="bottom"/>
            <w:vMerge w:val="continue"/>
          </w:tcPr>
          <w:p>
            <w:pPr>
              <w:spacing w:after="0"/>
              <w:rPr>
                <w:sz w:val="24"/>
                <w:szCs w:val="24"/>
                <w:color w:val="auto"/>
              </w:rPr>
            </w:pPr>
          </w:p>
        </w:tc>
        <w:tc>
          <w:tcPr>
            <w:tcW w:w="100" w:type="dxa"/>
            <w:vAlign w:val="bottom"/>
          </w:tcPr>
          <w:p>
            <w:pPr>
              <w:spacing w:after="0"/>
              <w:rPr>
                <w:sz w:val="24"/>
                <w:szCs w:val="24"/>
                <w:color w:val="auto"/>
              </w:rPr>
            </w:pPr>
          </w:p>
        </w:tc>
        <w:tc>
          <w:tcPr>
            <w:tcW w:w="1140" w:type="dxa"/>
            <w:vAlign w:val="bottom"/>
          </w:tcPr>
          <w:p>
            <w:pPr>
              <w:spacing w:after="0"/>
              <w:rPr>
                <w:sz w:val="24"/>
                <w:szCs w:val="24"/>
                <w:color w:val="auto"/>
              </w:rPr>
            </w:pPr>
          </w:p>
        </w:tc>
        <w:tc>
          <w:tcPr>
            <w:tcW w:w="108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1080" w:type="dxa"/>
            <w:vAlign w:val="bottom"/>
          </w:tcPr>
          <w:p>
            <w:pPr>
              <w:spacing w:after="0"/>
              <w:rPr>
                <w:sz w:val="24"/>
                <w:szCs w:val="24"/>
                <w:color w:val="auto"/>
              </w:rPr>
            </w:pPr>
          </w:p>
        </w:tc>
        <w:tc>
          <w:tcPr>
            <w:tcW w:w="0" w:type="dxa"/>
            <w:vAlign w:val="bottom"/>
          </w:tcPr>
          <w:p>
            <w:pPr>
              <w:spacing w:after="0"/>
              <w:rPr>
                <w:sz w:val="1"/>
                <w:szCs w:val="1"/>
                <w:color w:val="auto"/>
              </w:rPr>
            </w:pPr>
          </w:p>
        </w:tc>
      </w:tr>
    </w:tbl>
    <w:p>
      <w:pPr>
        <w:sectPr>
          <w:pgSz w:w="11900" w:h="16838" w:orient="portrait"/>
          <w:cols w:equalWidth="0" w:num="1">
            <w:col w:w="11380"/>
          </w:cols>
          <w:pgMar w:left="240" w:top="459" w:right="279" w:bottom="1440" w:gutter="0" w:footer="0" w:header="0"/>
        </w:sectPr>
      </w:pPr>
    </w:p>
    <w:bookmarkStart w:id="15" w:name="page16"/>
    <w:bookmarkEnd w:id="15"/>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30">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MARVELL TECHNOLOGY GROUP LTD.</w:t>
      </w:r>
    </w:p>
    <w:p>
      <w:pPr>
        <w:spacing w:after="0" w:line="90"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NOTES TO UNAUDITED CONDENSED CONSOLIDATED FINANCIAL STATEMENTS—(Continued)</w:t>
      </w:r>
    </w:p>
    <w:p>
      <w:pPr>
        <w:spacing w:after="0" w:line="158"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Note 6. Fair Value Measurements</w:t>
      </w:r>
    </w:p>
    <w:p>
      <w:pPr>
        <w:spacing w:after="0" w:line="96" w:lineRule="exact"/>
        <w:rPr>
          <w:sz w:val="20"/>
          <w:szCs w:val="20"/>
          <w:color w:val="auto"/>
        </w:rPr>
      </w:pPr>
    </w:p>
    <w:p>
      <w:pPr>
        <w:ind w:firstLine="456"/>
        <w:spacing w:after="0" w:line="291" w:lineRule="auto"/>
        <w:rPr>
          <w:sz w:val="20"/>
          <w:szCs w:val="20"/>
          <w:color w:val="auto"/>
        </w:rPr>
      </w:pPr>
      <w:r>
        <w:rPr>
          <w:rFonts w:ascii="Arial" w:cs="Arial" w:eastAsia="Arial" w:hAnsi="Arial"/>
          <w:sz w:val="16"/>
          <w:szCs w:val="16"/>
          <w:color w:val="auto"/>
        </w:rPr>
        <w:t>Effective February 3, 2008, the Company adopted the authoritative guidance for fair value measurements and disclosures for all assets and liabilities within the scope of this guidance, except as it applies to the non-financial assets and non-financial liabilities subject to additional authoritative guidance, which the Company adopted during the first quarter ended May 2, 2009. The guidance clarifies that fair value is an exit price, representing the amount that would be received to sell an asset or paid to transfer a liability in an orderly transaction between market participants. As such, fair value is a market-based measurement that should be determined based on assumptions that market participants would use in pricing an asset or a liability. As a basis for considering such assumptions, the guidance establishes a three-tier value hierarchy, which prioritizes the inputs used in the valuation methodologies in measuring fair value:</w:t>
      </w:r>
    </w:p>
    <w:p>
      <w:pPr>
        <w:spacing w:after="0" w:line="120" w:lineRule="exact"/>
        <w:rPr>
          <w:sz w:val="20"/>
          <w:szCs w:val="20"/>
          <w:color w:val="auto"/>
        </w:rPr>
      </w:pPr>
    </w:p>
    <w:p>
      <w:pPr>
        <w:ind w:left="460"/>
        <w:spacing w:after="0"/>
        <w:rPr>
          <w:sz w:val="20"/>
          <w:szCs w:val="20"/>
          <w:color w:val="auto"/>
        </w:rPr>
      </w:pPr>
      <w:r>
        <w:rPr>
          <w:rFonts w:ascii="Arial" w:cs="Arial" w:eastAsia="Arial" w:hAnsi="Arial"/>
          <w:sz w:val="18"/>
          <w:szCs w:val="18"/>
          <w:color w:val="auto"/>
        </w:rPr>
        <w:t>Level 1 – Observable inputs that reflect quoted prices (unadjusted) for identical assets or liabilities in active markets.</w:t>
      </w:r>
    </w:p>
    <w:p>
      <w:pPr>
        <w:spacing w:after="0" w:line="171" w:lineRule="exact"/>
        <w:rPr>
          <w:sz w:val="20"/>
          <w:szCs w:val="20"/>
          <w:color w:val="auto"/>
        </w:rPr>
      </w:pPr>
    </w:p>
    <w:p>
      <w:pPr>
        <w:ind w:left="460"/>
        <w:spacing w:after="0"/>
        <w:rPr>
          <w:sz w:val="20"/>
          <w:szCs w:val="20"/>
          <w:color w:val="auto"/>
        </w:rPr>
      </w:pPr>
      <w:r>
        <w:rPr>
          <w:rFonts w:ascii="Arial" w:cs="Arial" w:eastAsia="Arial" w:hAnsi="Arial"/>
          <w:sz w:val="18"/>
          <w:szCs w:val="18"/>
          <w:color w:val="auto"/>
        </w:rPr>
        <w:t>Level 2 – Include other inputs that are directly or indirectly observable in the marketplace.</w:t>
      </w:r>
    </w:p>
    <w:p>
      <w:pPr>
        <w:spacing w:after="0" w:line="171" w:lineRule="exact"/>
        <w:rPr>
          <w:sz w:val="20"/>
          <w:szCs w:val="20"/>
          <w:color w:val="auto"/>
        </w:rPr>
      </w:pPr>
    </w:p>
    <w:p>
      <w:pPr>
        <w:ind w:left="460"/>
        <w:spacing w:after="0"/>
        <w:rPr>
          <w:sz w:val="20"/>
          <w:szCs w:val="20"/>
          <w:color w:val="auto"/>
        </w:rPr>
      </w:pPr>
      <w:r>
        <w:rPr>
          <w:rFonts w:ascii="Arial" w:cs="Arial" w:eastAsia="Arial" w:hAnsi="Arial"/>
          <w:sz w:val="18"/>
          <w:szCs w:val="18"/>
          <w:color w:val="auto"/>
        </w:rPr>
        <w:t>Level 3 – Unobservable inputs that are supported by little or no market activity.</w:t>
      </w:r>
    </w:p>
    <w:p>
      <w:pPr>
        <w:spacing w:after="0" w:line="171" w:lineRule="exact"/>
        <w:rPr>
          <w:sz w:val="20"/>
          <w:szCs w:val="20"/>
          <w:color w:val="auto"/>
        </w:rPr>
      </w:pPr>
    </w:p>
    <w:p>
      <w:pPr>
        <w:ind w:left="460"/>
        <w:spacing w:after="0"/>
        <w:rPr>
          <w:sz w:val="20"/>
          <w:szCs w:val="20"/>
          <w:color w:val="auto"/>
        </w:rPr>
      </w:pPr>
      <w:r>
        <w:rPr>
          <w:rFonts w:ascii="Arial" w:cs="Arial" w:eastAsia="Arial" w:hAnsi="Arial"/>
          <w:sz w:val="16"/>
          <w:szCs w:val="16"/>
          <w:color w:val="auto"/>
        </w:rPr>
        <w:t>The fair value hierarchy also requires an entity to maximize the use of observable inputs and minimize the use of unobservable inputs when measuring fair</w:t>
      </w:r>
    </w:p>
    <w:p>
      <w:pPr>
        <w:spacing w:after="0" w:line="38" w:lineRule="exact"/>
        <w:rPr>
          <w:sz w:val="20"/>
          <w:szCs w:val="20"/>
          <w:color w:val="auto"/>
        </w:rPr>
      </w:pPr>
    </w:p>
    <w:p>
      <w:pPr>
        <w:spacing w:after="0"/>
        <w:rPr>
          <w:sz w:val="20"/>
          <w:szCs w:val="20"/>
          <w:color w:val="auto"/>
        </w:rPr>
      </w:pPr>
      <w:r>
        <w:rPr>
          <w:rFonts w:ascii="Arial" w:cs="Arial" w:eastAsia="Arial" w:hAnsi="Arial"/>
          <w:sz w:val="18"/>
          <w:szCs w:val="18"/>
          <w:color w:val="auto"/>
        </w:rPr>
        <w:t>value.</w:t>
      </w:r>
    </w:p>
    <w:p>
      <w:pPr>
        <w:spacing w:after="0" w:line="165" w:lineRule="exact"/>
        <w:rPr>
          <w:sz w:val="20"/>
          <w:szCs w:val="20"/>
          <w:color w:val="auto"/>
        </w:rPr>
      </w:pPr>
    </w:p>
    <w:p>
      <w:pPr>
        <w:ind w:right="40" w:firstLine="456"/>
        <w:spacing w:after="0" w:line="253" w:lineRule="auto"/>
        <w:rPr>
          <w:sz w:val="20"/>
          <w:szCs w:val="20"/>
          <w:color w:val="auto"/>
        </w:rPr>
      </w:pPr>
      <w:r>
        <w:rPr>
          <w:rFonts w:ascii="Arial" w:cs="Arial" w:eastAsia="Arial" w:hAnsi="Arial"/>
          <w:sz w:val="18"/>
          <w:szCs w:val="18"/>
          <w:color w:val="auto"/>
        </w:rPr>
        <w:t>The Company measures its cash equivalents and marketable securities at fair value. The Company’s cash equivalents and marketable securities are primarily classified within Level 1 with the exception of its investments in auction rate securities, which are classified within Level 3. Cash equivalents and marketable securities are valued primarily using quoted market prices utilizing market observable inputs. The Company’s investments in auction rate securities are classified within Level 3 because there are no active markets for the auction rate securities and therefore the Company is unable to obtain independent valuations from market sources. Therefore, the auction rate securities were valued using a discounted cash flow model. Some of the inputs to the cash flow model are unobservable in the market. The total amount of assets measured using Level 3 valuation methodologies represented 0.8% of total assets as of October 31, 2009.</w:t>
      </w:r>
    </w:p>
    <w:p>
      <w:pPr>
        <w:spacing w:after="0" w:line="134"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16</w:t>
      </w:r>
    </w:p>
    <w:p>
      <w:pPr>
        <w:sectPr>
          <w:pgSz w:w="11900" w:h="16838" w:orient="portrait"/>
          <w:cols w:equalWidth="0" w:num="1">
            <w:col w:w="11420"/>
          </w:cols>
          <w:pgMar w:left="240" w:top="459" w:right="239" w:bottom="1440" w:gutter="0" w:footer="0" w:header="0"/>
        </w:sectPr>
      </w:pPr>
    </w:p>
    <w:bookmarkStart w:id="16" w:name="page17"/>
    <w:bookmarkEnd w:id="16"/>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31">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MARVELL TECHNOLOGY GROUP LTD.</w:t>
      </w:r>
    </w:p>
    <w:p>
      <w:pPr>
        <w:spacing w:after="0" w:line="90"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NOTES TO UNAUDITED CONDENSED CONSOLIDATED FINANCIAL STATEMENTS—(Continued)</w:t>
      </w:r>
    </w:p>
    <w:p>
      <w:pPr>
        <w:spacing w:after="0" w:line="164" w:lineRule="exact"/>
        <w:rPr>
          <w:sz w:val="20"/>
          <w:szCs w:val="20"/>
          <w:color w:val="auto"/>
        </w:rPr>
      </w:pPr>
    </w:p>
    <w:p>
      <w:pPr>
        <w:ind w:right="60" w:firstLine="456"/>
        <w:spacing w:after="0" w:line="268" w:lineRule="auto"/>
        <w:rPr>
          <w:sz w:val="20"/>
          <w:szCs w:val="20"/>
          <w:color w:val="auto"/>
        </w:rPr>
      </w:pPr>
      <w:r>
        <w:rPr>
          <w:rFonts w:ascii="Arial" w:cs="Arial" w:eastAsia="Arial" w:hAnsi="Arial"/>
          <w:sz w:val="18"/>
          <w:szCs w:val="18"/>
          <w:color w:val="auto"/>
        </w:rPr>
        <w:t>The table below sets forth, by level, the Company’s financial assets that were accounted for at fair value as of October 31, 2009. The table does not include assets and liabilities that are measured at historical cost or any basis other than fair value (in thousands):</w:t>
      </w:r>
    </w:p>
    <w:p>
      <w:pPr>
        <w:spacing w:after="0" w:line="168" w:lineRule="exact"/>
        <w:rPr>
          <w:sz w:val="20"/>
          <w:szCs w:val="20"/>
          <w:color w:val="auto"/>
        </w:rPr>
      </w:pPr>
    </w:p>
    <w:tbl>
      <w:tblPr>
        <w:tblLayout w:type="fixed"/>
        <w:tblInd w:w="460" w:type="dxa"/>
        <w:tblCellMar>
          <w:top w:w="0" w:type="dxa"/>
          <w:left w:w="0" w:type="dxa"/>
          <w:bottom w:w="0" w:type="dxa"/>
          <w:right w:w="0" w:type="dxa"/>
        </w:tblCellMar>
      </w:tblPr>
      <w:tr>
        <w:trPr>
          <w:trHeight w:val="161"/>
        </w:trPr>
        <w:tc>
          <w:tcPr>
            <w:tcW w:w="6960" w:type="dxa"/>
            <w:vAlign w:val="bottom"/>
          </w:tcPr>
          <w:p>
            <w:pPr>
              <w:spacing w:after="0"/>
              <w:rPr>
                <w:sz w:val="14"/>
                <w:szCs w:val="14"/>
                <w:color w:val="auto"/>
              </w:rPr>
            </w:pPr>
          </w:p>
        </w:tc>
        <w:tc>
          <w:tcPr>
            <w:tcW w:w="3560" w:type="dxa"/>
            <w:vAlign w:val="bottom"/>
            <w:gridSpan w:val="10"/>
          </w:tcPr>
          <w:p>
            <w:pPr>
              <w:jc w:val="right"/>
              <w:ind w:right="400"/>
              <w:spacing w:after="0"/>
              <w:rPr>
                <w:sz w:val="20"/>
                <w:szCs w:val="20"/>
                <w:color w:val="auto"/>
              </w:rPr>
            </w:pPr>
            <w:r>
              <w:rPr>
                <w:rFonts w:ascii="Arial" w:cs="Arial" w:eastAsia="Arial" w:hAnsi="Arial"/>
                <w:sz w:val="14"/>
                <w:szCs w:val="14"/>
                <w:b w:val="1"/>
                <w:bCs w:val="1"/>
                <w:color w:val="auto"/>
                <w:w w:val="97"/>
              </w:rPr>
              <w:t>Fair Value Measurements as of October 31, 2009</w:t>
            </w:r>
          </w:p>
        </w:tc>
      </w:tr>
      <w:tr>
        <w:trPr>
          <w:trHeight w:val="142"/>
        </w:trPr>
        <w:tc>
          <w:tcPr>
            <w:tcW w:w="6960" w:type="dxa"/>
            <w:vAlign w:val="bottom"/>
          </w:tcPr>
          <w:p>
            <w:pPr>
              <w:spacing w:after="0"/>
              <w:rPr>
                <w:sz w:val="12"/>
                <w:szCs w:val="12"/>
                <w:color w:val="auto"/>
              </w:rPr>
            </w:pPr>
          </w:p>
        </w:tc>
        <w:tc>
          <w:tcPr>
            <w:tcW w:w="680" w:type="dxa"/>
            <w:vAlign w:val="bottom"/>
            <w:tcBorders>
              <w:top w:val="single" w:sz="8" w:color="auto"/>
            </w:tcBorders>
          </w:tcPr>
          <w:p>
            <w:pPr>
              <w:jc w:val="right"/>
              <w:ind w:right="118"/>
              <w:spacing w:after="0" w:line="142" w:lineRule="exact"/>
              <w:rPr>
                <w:sz w:val="20"/>
                <w:szCs w:val="20"/>
                <w:color w:val="auto"/>
              </w:rPr>
            </w:pPr>
            <w:r>
              <w:rPr>
                <w:rFonts w:ascii="Arial" w:cs="Arial" w:eastAsia="Arial" w:hAnsi="Arial"/>
                <w:sz w:val="14"/>
                <w:szCs w:val="14"/>
                <w:b w:val="1"/>
                <w:bCs w:val="1"/>
                <w:color w:val="auto"/>
              </w:rPr>
              <w:t>Total</w:t>
            </w:r>
          </w:p>
        </w:tc>
        <w:tc>
          <w:tcPr>
            <w:tcW w:w="300" w:type="dxa"/>
            <w:vAlign w:val="bottom"/>
            <w:tcBorders>
              <w:top w:val="single" w:sz="8" w:color="auto"/>
            </w:tcBorders>
          </w:tcPr>
          <w:p>
            <w:pPr>
              <w:spacing w:after="0"/>
              <w:rPr>
                <w:sz w:val="12"/>
                <w:szCs w:val="12"/>
                <w:color w:val="auto"/>
              </w:rPr>
            </w:pPr>
          </w:p>
        </w:tc>
        <w:tc>
          <w:tcPr>
            <w:tcW w:w="1000" w:type="dxa"/>
            <w:vAlign w:val="bottom"/>
            <w:tcBorders>
              <w:top w:val="single" w:sz="8" w:color="auto"/>
            </w:tcBorders>
            <w:gridSpan w:val="2"/>
          </w:tcPr>
          <w:p>
            <w:pPr>
              <w:jc w:val="right"/>
              <w:ind w:right="440"/>
              <w:spacing w:after="0" w:line="142" w:lineRule="exact"/>
              <w:rPr>
                <w:sz w:val="20"/>
                <w:szCs w:val="20"/>
                <w:color w:val="auto"/>
              </w:rPr>
            </w:pPr>
            <w:r>
              <w:rPr>
                <w:rFonts w:ascii="Arial" w:cs="Arial" w:eastAsia="Arial" w:hAnsi="Arial"/>
                <w:sz w:val="14"/>
                <w:szCs w:val="14"/>
                <w:b w:val="1"/>
                <w:bCs w:val="1"/>
                <w:color w:val="auto"/>
              </w:rPr>
              <w:t>Level 1</w:t>
            </w:r>
          </w:p>
        </w:tc>
        <w:tc>
          <w:tcPr>
            <w:tcW w:w="100" w:type="dxa"/>
            <w:vAlign w:val="bottom"/>
            <w:tcBorders>
              <w:top w:val="single" w:sz="8" w:color="auto"/>
            </w:tcBorders>
          </w:tcPr>
          <w:p>
            <w:pPr>
              <w:spacing w:after="0"/>
              <w:rPr>
                <w:sz w:val="12"/>
                <w:szCs w:val="12"/>
                <w:color w:val="auto"/>
              </w:rPr>
            </w:pPr>
          </w:p>
        </w:tc>
        <w:tc>
          <w:tcPr>
            <w:tcW w:w="560" w:type="dxa"/>
            <w:vAlign w:val="bottom"/>
            <w:tcBorders>
              <w:top w:val="single" w:sz="8" w:color="auto"/>
            </w:tcBorders>
          </w:tcPr>
          <w:p>
            <w:pPr>
              <w:jc w:val="right"/>
              <w:ind w:right="36"/>
              <w:spacing w:after="0" w:line="142" w:lineRule="exact"/>
              <w:rPr>
                <w:sz w:val="20"/>
                <w:szCs w:val="20"/>
                <w:color w:val="auto"/>
              </w:rPr>
            </w:pPr>
            <w:r>
              <w:rPr>
                <w:rFonts w:ascii="Arial" w:cs="Arial" w:eastAsia="Arial" w:hAnsi="Arial"/>
                <w:sz w:val="14"/>
                <w:szCs w:val="14"/>
                <w:b w:val="1"/>
                <w:bCs w:val="1"/>
                <w:color w:val="auto"/>
                <w:w w:val="88"/>
              </w:rPr>
              <w:t>Level 2</w:t>
            </w:r>
          </w:p>
        </w:tc>
        <w:tc>
          <w:tcPr>
            <w:tcW w:w="320" w:type="dxa"/>
            <w:vAlign w:val="bottom"/>
            <w:tcBorders>
              <w:top w:val="single" w:sz="8" w:color="auto"/>
            </w:tcBorders>
          </w:tcPr>
          <w:p>
            <w:pPr>
              <w:spacing w:after="0"/>
              <w:rPr>
                <w:sz w:val="12"/>
                <w:szCs w:val="12"/>
                <w:color w:val="auto"/>
              </w:rPr>
            </w:pPr>
          </w:p>
        </w:tc>
        <w:tc>
          <w:tcPr>
            <w:tcW w:w="580" w:type="dxa"/>
            <w:vAlign w:val="bottom"/>
            <w:tcBorders>
              <w:top w:val="single" w:sz="8" w:color="auto"/>
            </w:tcBorders>
            <w:gridSpan w:val="2"/>
          </w:tcPr>
          <w:p>
            <w:pPr>
              <w:jc w:val="right"/>
              <w:spacing w:after="0" w:line="142" w:lineRule="exact"/>
              <w:rPr>
                <w:sz w:val="20"/>
                <w:szCs w:val="20"/>
                <w:color w:val="auto"/>
              </w:rPr>
            </w:pPr>
            <w:r>
              <w:rPr>
                <w:rFonts w:ascii="Arial" w:cs="Arial" w:eastAsia="Arial" w:hAnsi="Arial"/>
                <w:sz w:val="14"/>
                <w:szCs w:val="14"/>
                <w:b w:val="1"/>
                <w:bCs w:val="1"/>
                <w:color w:val="auto"/>
              </w:rPr>
              <w:t>Level 3</w:t>
            </w:r>
          </w:p>
        </w:tc>
        <w:tc>
          <w:tcPr>
            <w:tcW w:w="20" w:type="dxa"/>
            <w:vAlign w:val="bottom"/>
          </w:tcPr>
          <w:p>
            <w:pPr>
              <w:spacing w:after="0"/>
              <w:rPr>
                <w:sz w:val="12"/>
                <w:szCs w:val="12"/>
                <w:color w:val="auto"/>
              </w:rPr>
            </w:pPr>
          </w:p>
        </w:tc>
      </w:tr>
      <w:tr>
        <w:trPr>
          <w:trHeight w:val="210"/>
        </w:trPr>
        <w:tc>
          <w:tcPr>
            <w:tcW w:w="6960" w:type="dxa"/>
            <w:vAlign w:val="bottom"/>
            <w:shd w:val="clear" w:color="auto" w:fill="CCEEFF"/>
          </w:tcPr>
          <w:p>
            <w:pPr>
              <w:spacing w:after="0"/>
              <w:rPr>
                <w:sz w:val="20"/>
                <w:szCs w:val="20"/>
                <w:color w:val="auto"/>
              </w:rPr>
            </w:pPr>
            <w:r>
              <w:rPr>
                <w:rFonts w:ascii="Arial" w:cs="Arial" w:eastAsia="Arial" w:hAnsi="Arial"/>
                <w:sz w:val="18"/>
                <w:szCs w:val="18"/>
                <w:b w:val="1"/>
                <w:bCs w:val="1"/>
                <w:color w:val="auto"/>
              </w:rPr>
              <w:t>Items measured at fair value on a recurring basis:</w:t>
            </w:r>
          </w:p>
        </w:tc>
        <w:tc>
          <w:tcPr>
            <w:tcW w:w="680" w:type="dxa"/>
            <w:vAlign w:val="bottom"/>
            <w:tcBorders>
              <w:top w:val="single" w:sz="8" w:color="auto"/>
            </w:tcBorders>
            <w:shd w:val="clear" w:color="auto" w:fill="CCEEFF"/>
          </w:tcPr>
          <w:p>
            <w:pPr>
              <w:spacing w:after="0"/>
              <w:rPr>
                <w:sz w:val="18"/>
                <w:szCs w:val="18"/>
                <w:color w:val="auto"/>
              </w:rPr>
            </w:pPr>
          </w:p>
        </w:tc>
        <w:tc>
          <w:tcPr>
            <w:tcW w:w="300" w:type="dxa"/>
            <w:vAlign w:val="bottom"/>
            <w:shd w:val="clear" w:color="auto" w:fill="CCEEFF"/>
          </w:tcPr>
          <w:p>
            <w:pPr>
              <w:spacing w:after="0"/>
              <w:rPr>
                <w:sz w:val="18"/>
                <w:szCs w:val="18"/>
                <w:color w:val="auto"/>
              </w:rPr>
            </w:pPr>
          </w:p>
        </w:tc>
        <w:tc>
          <w:tcPr>
            <w:tcW w:w="680" w:type="dxa"/>
            <w:vAlign w:val="bottom"/>
            <w:tcBorders>
              <w:top w:val="single" w:sz="8" w:color="auto"/>
            </w:tcBorders>
            <w:shd w:val="clear" w:color="auto" w:fill="CCEEFF"/>
          </w:tcPr>
          <w:p>
            <w:pPr>
              <w:spacing w:after="0"/>
              <w:rPr>
                <w:sz w:val="18"/>
                <w:szCs w:val="18"/>
                <w:color w:val="auto"/>
              </w:rPr>
            </w:pPr>
          </w:p>
        </w:tc>
        <w:tc>
          <w:tcPr>
            <w:tcW w:w="320" w:type="dxa"/>
            <w:vAlign w:val="bottom"/>
            <w:shd w:val="clear" w:color="auto" w:fill="CCEEFF"/>
          </w:tcPr>
          <w:p>
            <w:pPr>
              <w:spacing w:after="0"/>
              <w:rPr>
                <w:sz w:val="18"/>
                <w:szCs w:val="18"/>
                <w:color w:val="auto"/>
              </w:rPr>
            </w:pPr>
          </w:p>
        </w:tc>
        <w:tc>
          <w:tcPr>
            <w:tcW w:w="100" w:type="dxa"/>
            <w:vAlign w:val="bottom"/>
            <w:tcBorders>
              <w:top w:val="single" w:sz="8" w:color="auto"/>
            </w:tcBorders>
            <w:shd w:val="clear" w:color="auto" w:fill="CCEEFF"/>
          </w:tcPr>
          <w:p>
            <w:pPr>
              <w:spacing w:after="0"/>
              <w:rPr>
                <w:sz w:val="18"/>
                <w:szCs w:val="18"/>
                <w:color w:val="auto"/>
              </w:rPr>
            </w:pPr>
          </w:p>
        </w:tc>
        <w:tc>
          <w:tcPr>
            <w:tcW w:w="560" w:type="dxa"/>
            <w:vAlign w:val="bottom"/>
            <w:tcBorders>
              <w:top w:val="single" w:sz="8" w:color="auto"/>
            </w:tcBorders>
            <w:shd w:val="clear" w:color="auto" w:fill="CCEEFF"/>
          </w:tcPr>
          <w:p>
            <w:pPr>
              <w:spacing w:after="0"/>
              <w:rPr>
                <w:sz w:val="18"/>
                <w:szCs w:val="18"/>
                <w:color w:val="auto"/>
              </w:rPr>
            </w:pPr>
          </w:p>
        </w:tc>
        <w:tc>
          <w:tcPr>
            <w:tcW w:w="320" w:type="dxa"/>
            <w:vAlign w:val="bottom"/>
            <w:shd w:val="clear" w:color="auto" w:fill="CCEEFF"/>
          </w:tcPr>
          <w:p>
            <w:pPr>
              <w:spacing w:after="0"/>
              <w:rPr>
                <w:sz w:val="18"/>
                <w:szCs w:val="18"/>
                <w:color w:val="auto"/>
              </w:rPr>
            </w:pPr>
          </w:p>
        </w:tc>
        <w:tc>
          <w:tcPr>
            <w:tcW w:w="100" w:type="dxa"/>
            <w:vAlign w:val="bottom"/>
            <w:tcBorders>
              <w:top w:val="single" w:sz="8" w:color="auto"/>
            </w:tcBorders>
            <w:shd w:val="clear" w:color="auto" w:fill="CCEEFF"/>
          </w:tcPr>
          <w:p>
            <w:pPr>
              <w:spacing w:after="0"/>
              <w:rPr>
                <w:sz w:val="18"/>
                <w:szCs w:val="18"/>
                <w:color w:val="auto"/>
              </w:rPr>
            </w:pPr>
          </w:p>
        </w:tc>
        <w:tc>
          <w:tcPr>
            <w:tcW w:w="480" w:type="dxa"/>
            <w:vAlign w:val="bottom"/>
            <w:tcBorders>
              <w:top w:val="single" w:sz="8" w:color="auto"/>
            </w:tcBorders>
            <w:shd w:val="clear" w:color="auto" w:fill="CCEEFF"/>
          </w:tcPr>
          <w:p>
            <w:pPr>
              <w:spacing w:after="0"/>
              <w:rPr>
                <w:sz w:val="18"/>
                <w:szCs w:val="18"/>
                <w:color w:val="auto"/>
              </w:rPr>
            </w:pPr>
          </w:p>
        </w:tc>
        <w:tc>
          <w:tcPr>
            <w:tcW w:w="20" w:type="dxa"/>
            <w:vAlign w:val="bottom"/>
          </w:tcPr>
          <w:p>
            <w:pPr>
              <w:spacing w:after="0"/>
              <w:rPr>
                <w:sz w:val="18"/>
                <w:szCs w:val="18"/>
                <w:color w:val="auto"/>
              </w:rPr>
            </w:pPr>
          </w:p>
        </w:tc>
      </w:tr>
      <w:tr>
        <w:trPr>
          <w:trHeight w:val="216"/>
        </w:trPr>
        <w:tc>
          <w:tcPr>
            <w:tcW w:w="6960" w:type="dxa"/>
            <w:vAlign w:val="bottom"/>
          </w:tcPr>
          <w:p>
            <w:pPr>
              <w:spacing w:after="0"/>
              <w:rPr>
                <w:sz w:val="20"/>
                <w:szCs w:val="20"/>
                <w:color w:val="auto"/>
              </w:rPr>
            </w:pPr>
            <w:r>
              <w:rPr>
                <w:rFonts w:ascii="Arial" w:cs="Arial" w:eastAsia="Arial" w:hAnsi="Arial"/>
                <w:sz w:val="18"/>
                <w:szCs w:val="18"/>
                <w:b w:val="1"/>
                <w:bCs w:val="1"/>
                <w:color w:val="auto"/>
              </w:rPr>
              <w:t>Assets</w:t>
            </w:r>
          </w:p>
        </w:tc>
        <w:tc>
          <w:tcPr>
            <w:tcW w:w="68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68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6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480" w:type="dxa"/>
            <w:vAlign w:val="bottom"/>
          </w:tcPr>
          <w:p>
            <w:pPr>
              <w:spacing w:after="0"/>
              <w:rPr>
                <w:sz w:val="18"/>
                <w:szCs w:val="18"/>
                <w:color w:val="auto"/>
              </w:rPr>
            </w:pPr>
          </w:p>
        </w:tc>
        <w:tc>
          <w:tcPr>
            <w:tcW w:w="20" w:type="dxa"/>
            <w:vAlign w:val="bottom"/>
          </w:tcPr>
          <w:p>
            <w:pPr>
              <w:spacing w:after="0"/>
              <w:rPr>
                <w:sz w:val="18"/>
                <w:szCs w:val="18"/>
                <w:color w:val="auto"/>
              </w:rPr>
            </w:pPr>
          </w:p>
        </w:tc>
      </w:tr>
      <w:tr>
        <w:trPr>
          <w:trHeight w:val="216"/>
        </w:trPr>
        <w:tc>
          <w:tcPr>
            <w:tcW w:w="6960" w:type="dxa"/>
            <w:vAlign w:val="bottom"/>
            <w:shd w:val="clear" w:color="auto" w:fill="CCEEFF"/>
          </w:tcPr>
          <w:p>
            <w:pPr>
              <w:spacing w:after="0"/>
              <w:rPr>
                <w:sz w:val="20"/>
                <w:szCs w:val="20"/>
                <w:color w:val="auto"/>
              </w:rPr>
            </w:pPr>
            <w:r>
              <w:rPr>
                <w:rFonts w:ascii="Arial" w:cs="Arial" w:eastAsia="Arial" w:hAnsi="Arial"/>
                <w:sz w:val="18"/>
                <w:szCs w:val="18"/>
                <w:color w:val="auto"/>
              </w:rPr>
              <w:t>Cash equivalents:</w:t>
            </w:r>
          </w:p>
        </w:tc>
        <w:tc>
          <w:tcPr>
            <w:tcW w:w="680" w:type="dxa"/>
            <w:vAlign w:val="bottom"/>
            <w:shd w:val="clear" w:color="auto" w:fill="CCEEFF"/>
          </w:tcPr>
          <w:p>
            <w:pPr>
              <w:spacing w:after="0"/>
              <w:rPr>
                <w:sz w:val="18"/>
                <w:szCs w:val="18"/>
                <w:color w:val="auto"/>
              </w:rPr>
            </w:pPr>
          </w:p>
        </w:tc>
        <w:tc>
          <w:tcPr>
            <w:tcW w:w="300" w:type="dxa"/>
            <w:vAlign w:val="bottom"/>
            <w:shd w:val="clear" w:color="auto" w:fill="CCEEFF"/>
          </w:tcPr>
          <w:p>
            <w:pPr>
              <w:spacing w:after="0"/>
              <w:rPr>
                <w:sz w:val="18"/>
                <w:szCs w:val="18"/>
                <w:color w:val="auto"/>
              </w:rPr>
            </w:pPr>
          </w:p>
        </w:tc>
        <w:tc>
          <w:tcPr>
            <w:tcW w:w="680" w:type="dxa"/>
            <w:vAlign w:val="bottom"/>
            <w:shd w:val="clear" w:color="auto" w:fill="CCEEFF"/>
          </w:tcPr>
          <w:p>
            <w:pPr>
              <w:spacing w:after="0"/>
              <w:rPr>
                <w:sz w:val="18"/>
                <w:szCs w:val="18"/>
                <w:color w:val="auto"/>
              </w:rPr>
            </w:pPr>
          </w:p>
        </w:tc>
        <w:tc>
          <w:tcPr>
            <w:tcW w:w="3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60" w:type="dxa"/>
            <w:vAlign w:val="bottom"/>
            <w:shd w:val="clear" w:color="auto" w:fill="CCEEFF"/>
          </w:tcPr>
          <w:p>
            <w:pPr>
              <w:spacing w:after="0"/>
              <w:rPr>
                <w:sz w:val="18"/>
                <w:szCs w:val="18"/>
                <w:color w:val="auto"/>
              </w:rPr>
            </w:pPr>
          </w:p>
        </w:tc>
        <w:tc>
          <w:tcPr>
            <w:tcW w:w="3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480" w:type="dxa"/>
            <w:vAlign w:val="bottom"/>
            <w:shd w:val="clear" w:color="auto" w:fill="CCEEFF"/>
          </w:tcPr>
          <w:p>
            <w:pPr>
              <w:spacing w:after="0"/>
              <w:rPr>
                <w:sz w:val="18"/>
                <w:szCs w:val="18"/>
                <w:color w:val="auto"/>
              </w:rPr>
            </w:pPr>
          </w:p>
        </w:tc>
        <w:tc>
          <w:tcPr>
            <w:tcW w:w="20" w:type="dxa"/>
            <w:vAlign w:val="bottom"/>
          </w:tcPr>
          <w:p>
            <w:pPr>
              <w:spacing w:after="0"/>
              <w:rPr>
                <w:sz w:val="18"/>
                <w:szCs w:val="18"/>
                <w:color w:val="auto"/>
              </w:rPr>
            </w:pPr>
          </w:p>
        </w:tc>
      </w:tr>
      <w:tr>
        <w:trPr>
          <w:trHeight w:val="216"/>
        </w:trPr>
        <w:tc>
          <w:tcPr>
            <w:tcW w:w="6960" w:type="dxa"/>
            <w:vAlign w:val="bottom"/>
          </w:tcPr>
          <w:p>
            <w:pPr>
              <w:ind w:left="440"/>
              <w:spacing w:after="0"/>
              <w:rPr>
                <w:sz w:val="20"/>
                <w:szCs w:val="20"/>
                <w:color w:val="auto"/>
              </w:rPr>
            </w:pPr>
            <w:r>
              <w:rPr>
                <w:rFonts w:ascii="Arial" w:cs="Arial" w:eastAsia="Arial" w:hAnsi="Arial"/>
                <w:sz w:val="18"/>
                <w:szCs w:val="18"/>
                <w:color w:val="auto"/>
              </w:rPr>
              <w:t>Money market funds</w:t>
            </w:r>
          </w:p>
        </w:tc>
        <w:tc>
          <w:tcPr>
            <w:tcW w:w="680" w:type="dxa"/>
            <w:vAlign w:val="bottom"/>
          </w:tcPr>
          <w:p>
            <w:pPr>
              <w:jc w:val="right"/>
              <w:spacing w:after="0"/>
              <w:rPr>
                <w:sz w:val="20"/>
                <w:szCs w:val="20"/>
                <w:color w:val="auto"/>
              </w:rPr>
            </w:pPr>
            <w:r>
              <w:rPr>
                <w:rFonts w:ascii="Arial" w:cs="Arial" w:eastAsia="Arial" w:hAnsi="Arial"/>
                <w:sz w:val="18"/>
                <w:szCs w:val="18"/>
                <w:color w:val="auto"/>
                <w:w w:val="87"/>
              </w:rPr>
              <w:t>$341,199</w:t>
            </w:r>
          </w:p>
        </w:tc>
        <w:tc>
          <w:tcPr>
            <w:tcW w:w="1300" w:type="dxa"/>
            <w:vAlign w:val="bottom"/>
            <w:gridSpan w:val="3"/>
          </w:tcPr>
          <w:p>
            <w:pPr>
              <w:jc w:val="right"/>
              <w:ind w:right="320"/>
              <w:spacing w:after="0"/>
              <w:rPr>
                <w:sz w:val="20"/>
                <w:szCs w:val="20"/>
                <w:color w:val="auto"/>
              </w:rPr>
            </w:pPr>
            <w:r>
              <w:rPr>
                <w:rFonts w:ascii="Arial" w:cs="Arial" w:eastAsia="Arial" w:hAnsi="Arial"/>
                <w:sz w:val="18"/>
                <w:szCs w:val="18"/>
                <w:color w:val="auto"/>
              </w:rPr>
              <w:t>$341,199</w:t>
            </w:r>
          </w:p>
        </w:tc>
        <w:tc>
          <w:tcPr>
            <w:tcW w:w="100" w:type="dxa"/>
            <w:vAlign w:val="bottom"/>
          </w:tcPr>
          <w:p>
            <w:pPr>
              <w:jc w:val="right"/>
              <w:spacing w:after="0"/>
              <w:rPr>
                <w:sz w:val="20"/>
                <w:szCs w:val="20"/>
                <w:color w:val="auto"/>
              </w:rPr>
            </w:pPr>
            <w:r>
              <w:rPr>
                <w:rFonts w:ascii="Arial" w:cs="Arial" w:eastAsia="Arial" w:hAnsi="Arial"/>
                <w:sz w:val="15"/>
                <w:szCs w:val="15"/>
                <w:color w:val="auto"/>
                <w:w w:val="71"/>
              </w:rPr>
              <w:t>$</w:t>
            </w:r>
          </w:p>
        </w:tc>
        <w:tc>
          <w:tcPr>
            <w:tcW w:w="560" w:type="dxa"/>
            <w:vAlign w:val="bottom"/>
          </w:tcPr>
          <w:p>
            <w:pPr>
              <w:jc w:val="right"/>
              <w:spacing w:after="0"/>
              <w:rPr>
                <w:sz w:val="20"/>
                <w:szCs w:val="20"/>
                <w:color w:val="auto"/>
              </w:rPr>
            </w:pPr>
            <w:r>
              <w:rPr>
                <w:rFonts w:ascii="Arial" w:cs="Arial" w:eastAsia="Arial" w:hAnsi="Arial"/>
                <w:sz w:val="18"/>
                <w:szCs w:val="18"/>
                <w:color w:val="auto"/>
              </w:rPr>
              <w:t>—</w:t>
            </w:r>
          </w:p>
        </w:tc>
        <w:tc>
          <w:tcPr>
            <w:tcW w:w="42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480" w:type="dxa"/>
            <w:vAlign w:val="bottom"/>
          </w:tcPr>
          <w:p>
            <w:pPr>
              <w:jc w:val="right"/>
              <w:spacing w:after="0"/>
              <w:rPr>
                <w:sz w:val="20"/>
                <w:szCs w:val="20"/>
                <w:color w:val="auto"/>
              </w:rPr>
            </w:pPr>
            <w:r>
              <w:rPr>
                <w:rFonts w:ascii="Arial" w:cs="Arial" w:eastAsia="Arial" w:hAnsi="Arial"/>
                <w:sz w:val="18"/>
                <w:szCs w:val="18"/>
                <w:color w:val="auto"/>
              </w:rPr>
              <w:t>—</w:t>
            </w:r>
          </w:p>
        </w:tc>
        <w:tc>
          <w:tcPr>
            <w:tcW w:w="20" w:type="dxa"/>
            <w:vAlign w:val="bottom"/>
          </w:tcPr>
          <w:p>
            <w:pPr>
              <w:spacing w:after="0"/>
              <w:rPr>
                <w:sz w:val="18"/>
                <w:szCs w:val="18"/>
                <w:color w:val="auto"/>
              </w:rPr>
            </w:pPr>
          </w:p>
        </w:tc>
      </w:tr>
      <w:tr>
        <w:trPr>
          <w:trHeight w:val="216"/>
        </w:trPr>
        <w:tc>
          <w:tcPr>
            <w:tcW w:w="6960" w:type="dxa"/>
            <w:vAlign w:val="bottom"/>
            <w:shd w:val="clear" w:color="auto" w:fill="CCEEFF"/>
          </w:tcPr>
          <w:p>
            <w:pPr>
              <w:spacing w:after="0"/>
              <w:rPr>
                <w:sz w:val="20"/>
                <w:szCs w:val="20"/>
                <w:color w:val="auto"/>
              </w:rPr>
            </w:pPr>
            <w:r>
              <w:rPr>
                <w:rFonts w:ascii="Arial" w:cs="Arial" w:eastAsia="Arial" w:hAnsi="Arial"/>
                <w:sz w:val="18"/>
                <w:szCs w:val="18"/>
                <w:color w:val="auto"/>
              </w:rPr>
              <w:t>Short-term investments</w:t>
            </w:r>
          </w:p>
        </w:tc>
        <w:tc>
          <w:tcPr>
            <w:tcW w:w="6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416,792</w:t>
            </w:r>
          </w:p>
        </w:tc>
        <w:tc>
          <w:tcPr>
            <w:tcW w:w="1300" w:type="dxa"/>
            <w:vAlign w:val="bottom"/>
            <w:gridSpan w:val="3"/>
            <w:shd w:val="clear" w:color="auto" w:fill="CCEEFF"/>
          </w:tcPr>
          <w:p>
            <w:pPr>
              <w:jc w:val="right"/>
              <w:ind w:right="320"/>
              <w:spacing w:after="0"/>
              <w:rPr>
                <w:sz w:val="20"/>
                <w:szCs w:val="20"/>
                <w:color w:val="auto"/>
              </w:rPr>
            </w:pPr>
            <w:r>
              <w:rPr>
                <w:rFonts w:ascii="Arial" w:cs="Arial" w:eastAsia="Arial" w:hAnsi="Arial"/>
                <w:sz w:val="18"/>
                <w:szCs w:val="18"/>
                <w:color w:val="auto"/>
              </w:rPr>
              <w:t>253,198</w:t>
            </w:r>
          </w:p>
        </w:tc>
        <w:tc>
          <w:tcPr>
            <w:tcW w:w="100" w:type="dxa"/>
            <w:vAlign w:val="bottom"/>
            <w:shd w:val="clear" w:color="auto" w:fill="CCEEFF"/>
          </w:tcPr>
          <w:p>
            <w:pPr>
              <w:spacing w:after="0"/>
              <w:rPr>
                <w:sz w:val="18"/>
                <w:szCs w:val="18"/>
                <w:color w:val="auto"/>
              </w:rPr>
            </w:pPr>
          </w:p>
        </w:tc>
        <w:tc>
          <w:tcPr>
            <w:tcW w:w="56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2"/>
              </w:rPr>
              <w:t>163,594</w:t>
            </w:r>
          </w:p>
        </w:tc>
        <w:tc>
          <w:tcPr>
            <w:tcW w:w="3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4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20" w:type="dxa"/>
            <w:vAlign w:val="bottom"/>
          </w:tcPr>
          <w:p>
            <w:pPr>
              <w:spacing w:after="0"/>
              <w:rPr>
                <w:sz w:val="18"/>
                <w:szCs w:val="18"/>
                <w:color w:val="auto"/>
              </w:rPr>
            </w:pPr>
          </w:p>
        </w:tc>
      </w:tr>
      <w:tr>
        <w:trPr>
          <w:trHeight w:val="216"/>
        </w:trPr>
        <w:tc>
          <w:tcPr>
            <w:tcW w:w="6960" w:type="dxa"/>
            <w:vAlign w:val="bottom"/>
          </w:tcPr>
          <w:p>
            <w:pPr>
              <w:spacing w:after="0"/>
              <w:rPr>
                <w:sz w:val="20"/>
                <w:szCs w:val="20"/>
                <w:color w:val="auto"/>
              </w:rPr>
            </w:pPr>
            <w:r>
              <w:rPr>
                <w:rFonts w:ascii="Arial" w:cs="Arial" w:eastAsia="Arial" w:hAnsi="Arial"/>
                <w:sz w:val="18"/>
                <w:szCs w:val="18"/>
                <w:color w:val="auto"/>
              </w:rPr>
              <w:t>Prepaids and other current assets:</w:t>
            </w:r>
          </w:p>
        </w:tc>
        <w:tc>
          <w:tcPr>
            <w:tcW w:w="68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68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6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480" w:type="dxa"/>
            <w:vAlign w:val="bottom"/>
          </w:tcPr>
          <w:p>
            <w:pPr>
              <w:spacing w:after="0"/>
              <w:rPr>
                <w:sz w:val="18"/>
                <w:szCs w:val="18"/>
                <w:color w:val="auto"/>
              </w:rPr>
            </w:pPr>
          </w:p>
        </w:tc>
        <w:tc>
          <w:tcPr>
            <w:tcW w:w="20" w:type="dxa"/>
            <w:vAlign w:val="bottom"/>
          </w:tcPr>
          <w:p>
            <w:pPr>
              <w:spacing w:after="0"/>
              <w:rPr>
                <w:sz w:val="18"/>
                <w:szCs w:val="18"/>
                <w:color w:val="auto"/>
              </w:rPr>
            </w:pPr>
          </w:p>
        </w:tc>
      </w:tr>
      <w:tr>
        <w:trPr>
          <w:trHeight w:val="216"/>
        </w:trPr>
        <w:tc>
          <w:tcPr>
            <w:tcW w:w="6960" w:type="dxa"/>
            <w:vAlign w:val="bottom"/>
            <w:shd w:val="clear" w:color="auto" w:fill="CCEEFF"/>
          </w:tcPr>
          <w:p>
            <w:pPr>
              <w:ind w:left="440"/>
              <w:spacing w:after="0"/>
              <w:rPr>
                <w:sz w:val="20"/>
                <w:szCs w:val="20"/>
                <w:color w:val="auto"/>
              </w:rPr>
            </w:pPr>
            <w:r>
              <w:rPr>
                <w:rFonts w:ascii="Arial" w:cs="Arial" w:eastAsia="Arial" w:hAnsi="Arial"/>
                <w:sz w:val="18"/>
                <w:szCs w:val="18"/>
                <w:color w:val="auto"/>
              </w:rPr>
              <w:t>Derivative assets</w:t>
            </w:r>
          </w:p>
        </w:tc>
        <w:tc>
          <w:tcPr>
            <w:tcW w:w="6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1,631</w:t>
            </w:r>
          </w:p>
        </w:tc>
        <w:tc>
          <w:tcPr>
            <w:tcW w:w="300" w:type="dxa"/>
            <w:vAlign w:val="bottom"/>
            <w:shd w:val="clear" w:color="auto" w:fill="CCEEFF"/>
          </w:tcPr>
          <w:p>
            <w:pPr>
              <w:spacing w:after="0"/>
              <w:rPr>
                <w:sz w:val="18"/>
                <w:szCs w:val="18"/>
                <w:color w:val="auto"/>
              </w:rPr>
            </w:pPr>
          </w:p>
        </w:tc>
        <w:tc>
          <w:tcPr>
            <w:tcW w:w="1000" w:type="dxa"/>
            <w:vAlign w:val="bottom"/>
            <w:gridSpan w:val="2"/>
            <w:shd w:val="clear" w:color="auto" w:fill="CCEEFF"/>
          </w:tcPr>
          <w:p>
            <w:pPr>
              <w:jc w:val="right"/>
              <w:ind w:right="400"/>
              <w:spacing w:after="0"/>
              <w:rPr>
                <w:sz w:val="20"/>
                <w:szCs w:val="20"/>
                <w:color w:val="auto"/>
              </w:rPr>
            </w:pPr>
            <w:r>
              <w:rPr>
                <w:rFonts w:ascii="Arial" w:cs="Arial" w:eastAsia="Arial" w:hAnsi="Arial"/>
                <w:sz w:val="18"/>
                <w:szCs w:val="18"/>
                <w:color w:val="auto"/>
              </w:rPr>
              <w:t>—</w:t>
            </w:r>
          </w:p>
        </w:tc>
        <w:tc>
          <w:tcPr>
            <w:tcW w:w="100" w:type="dxa"/>
            <w:vAlign w:val="bottom"/>
            <w:shd w:val="clear" w:color="auto" w:fill="CCEEFF"/>
          </w:tcPr>
          <w:p>
            <w:pPr>
              <w:spacing w:after="0"/>
              <w:rPr>
                <w:sz w:val="18"/>
                <w:szCs w:val="18"/>
                <w:color w:val="auto"/>
              </w:rPr>
            </w:pPr>
          </w:p>
        </w:tc>
        <w:tc>
          <w:tcPr>
            <w:tcW w:w="5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1,631</w:t>
            </w:r>
          </w:p>
        </w:tc>
        <w:tc>
          <w:tcPr>
            <w:tcW w:w="3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4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20" w:type="dxa"/>
            <w:vAlign w:val="bottom"/>
          </w:tcPr>
          <w:p>
            <w:pPr>
              <w:spacing w:after="0"/>
              <w:rPr>
                <w:sz w:val="18"/>
                <w:szCs w:val="18"/>
                <w:color w:val="auto"/>
              </w:rPr>
            </w:pPr>
          </w:p>
        </w:tc>
      </w:tr>
      <w:tr>
        <w:trPr>
          <w:trHeight w:val="216"/>
        </w:trPr>
        <w:tc>
          <w:tcPr>
            <w:tcW w:w="6960" w:type="dxa"/>
            <w:vAlign w:val="bottom"/>
          </w:tcPr>
          <w:p>
            <w:pPr>
              <w:spacing w:after="0"/>
              <w:rPr>
                <w:sz w:val="20"/>
                <w:szCs w:val="20"/>
                <w:color w:val="auto"/>
              </w:rPr>
            </w:pPr>
            <w:r>
              <w:rPr>
                <w:rFonts w:ascii="Arial" w:cs="Arial" w:eastAsia="Arial" w:hAnsi="Arial"/>
                <w:sz w:val="18"/>
                <w:szCs w:val="18"/>
                <w:color w:val="auto"/>
              </w:rPr>
              <w:t>Long-term investments:</w:t>
            </w:r>
          </w:p>
        </w:tc>
        <w:tc>
          <w:tcPr>
            <w:tcW w:w="68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68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6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480" w:type="dxa"/>
            <w:vAlign w:val="bottom"/>
          </w:tcPr>
          <w:p>
            <w:pPr>
              <w:spacing w:after="0"/>
              <w:rPr>
                <w:sz w:val="18"/>
                <w:szCs w:val="18"/>
                <w:color w:val="auto"/>
              </w:rPr>
            </w:pPr>
          </w:p>
        </w:tc>
        <w:tc>
          <w:tcPr>
            <w:tcW w:w="20" w:type="dxa"/>
            <w:vAlign w:val="bottom"/>
          </w:tcPr>
          <w:p>
            <w:pPr>
              <w:spacing w:after="0"/>
              <w:rPr>
                <w:sz w:val="18"/>
                <w:szCs w:val="18"/>
                <w:color w:val="auto"/>
              </w:rPr>
            </w:pPr>
          </w:p>
        </w:tc>
      </w:tr>
      <w:tr>
        <w:trPr>
          <w:trHeight w:val="216"/>
        </w:trPr>
        <w:tc>
          <w:tcPr>
            <w:tcW w:w="6960" w:type="dxa"/>
            <w:vAlign w:val="bottom"/>
            <w:shd w:val="clear" w:color="auto" w:fill="CCEEFF"/>
          </w:tcPr>
          <w:p>
            <w:pPr>
              <w:ind w:left="440"/>
              <w:spacing w:after="0"/>
              <w:rPr>
                <w:sz w:val="20"/>
                <w:szCs w:val="20"/>
                <w:color w:val="auto"/>
              </w:rPr>
            </w:pPr>
            <w:r>
              <w:rPr>
                <w:rFonts w:ascii="Arial" w:cs="Arial" w:eastAsia="Arial" w:hAnsi="Arial"/>
                <w:sz w:val="18"/>
                <w:szCs w:val="18"/>
                <w:color w:val="auto"/>
              </w:rPr>
              <w:t>Auction rate securities and settlement option</w:t>
            </w:r>
          </w:p>
        </w:tc>
        <w:tc>
          <w:tcPr>
            <w:tcW w:w="68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39,274</w:t>
            </w:r>
          </w:p>
        </w:tc>
        <w:tc>
          <w:tcPr>
            <w:tcW w:w="300" w:type="dxa"/>
            <w:vAlign w:val="bottom"/>
            <w:shd w:val="clear" w:color="auto" w:fill="CCEEFF"/>
          </w:tcPr>
          <w:p>
            <w:pPr>
              <w:spacing w:after="0"/>
              <w:rPr>
                <w:sz w:val="18"/>
                <w:szCs w:val="18"/>
                <w:color w:val="auto"/>
              </w:rPr>
            </w:pPr>
          </w:p>
        </w:tc>
        <w:tc>
          <w:tcPr>
            <w:tcW w:w="68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320" w:type="dxa"/>
            <w:vAlign w:val="bottom"/>
            <w:shd w:val="clear" w:color="auto" w:fill="CCEEFF"/>
          </w:tcPr>
          <w:p>
            <w:pPr>
              <w:spacing w:after="0"/>
              <w:rPr>
                <w:sz w:val="18"/>
                <w:szCs w:val="18"/>
                <w:color w:val="auto"/>
              </w:rPr>
            </w:pPr>
          </w:p>
        </w:tc>
        <w:tc>
          <w:tcPr>
            <w:tcW w:w="100" w:type="dxa"/>
            <w:vAlign w:val="bottom"/>
            <w:tcBorders>
              <w:bottom w:val="single" w:sz="8" w:color="auto"/>
            </w:tcBorders>
            <w:shd w:val="clear" w:color="auto" w:fill="CCEEFF"/>
          </w:tcPr>
          <w:p>
            <w:pPr>
              <w:spacing w:after="0"/>
              <w:rPr>
                <w:sz w:val="18"/>
                <w:szCs w:val="18"/>
                <w:color w:val="auto"/>
              </w:rPr>
            </w:pPr>
          </w:p>
        </w:tc>
        <w:tc>
          <w:tcPr>
            <w:tcW w:w="56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320" w:type="dxa"/>
            <w:vAlign w:val="bottom"/>
            <w:shd w:val="clear" w:color="auto" w:fill="CCEEFF"/>
          </w:tcPr>
          <w:p>
            <w:pPr>
              <w:spacing w:after="0"/>
              <w:rPr>
                <w:sz w:val="18"/>
                <w:szCs w:val="18"/>
                <w:color w:val="auto"/>
              </w:rPr>
            </w:pPr>
          </w:p>
        </w:tc>
        <w:tc>
          <w:tcPr>
            <w:tcW w:w="100" w:type="dxa"/>
            <w:vAlign w:val="bottom"/>
            <w:tcBorders>
              <w:bottom w:val="single" w:sz="8" w:color="auto"/>
            </w:tcBorders>
            <w:shd w:val="clear" w:color="auto" w:fill="CCEEFF"/>
          </w:tcPr>
          <w:p>
            <w:pPr>
              <w:spacing w:after="0"/>
              <w:rPr>
                <w:sz w:val="18"/>
                <w:szCs w:val="18"/>
                <w:color w:val="auto"/>
              </w:rPr>
            </w:pPr>
          </w:p>
        </w:tc>
        <w:tc>
          <w:tcPr>
            <w:tcW w:w="48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83"/>
              </w:rPr>
              <w:t>39,274</w:t>
            </w:r>
          </w:p>
        </w:tc>
        <w:tc>
          <w:tcPr>
            <w:tcW w:w="20" w:type="dxa"/>
            <w:vAlign w:val="bottom"/>
          </w:tcPr>
          <w:p>
            <w:pPr>
              <w:spacing w:after="0"/>
              <w:rPr>
                <w:sz w:val="18"/>
                <w:szCs w:val="18"/>
                <w:color w:val="auto"/>
              </w:rPr>
            </w:pPr>
          </w:p>
        </w:tc>
      </w:tr>
      <w:tr>
        <w:trPr>
          <w:trHeight w:val="222"/>
        </w:trPr>
        <w:tc>
          <w:tcPr>
            <w:tcW w:w="6960" w:type="dxa"/>
            <w:vAlign w:val="bottom"/>
          </w:tcPr>
          <w:p>
            <w:pPr>
              <w:spacing w:after="0"/>
              <w:rPr>
                <w:sz w:val="20"/>
                <w:szCs w:val="20"/>
                <w:color w:val="auto"/>
              </w:rPr>
            </w:pPr>
            <w:r>
              <w:rPr>
                <w:rFonts w:ascii="Arial" w:cs="Arial" w:eastAsia="Arial" w:hAnsi="Arial"/>
                <w:sz w:val="18"/>
                <w:szCs w:val="18"/>
                <w:color w:val="auto"/>
              </w:rPr>
              <w:t>Total assets</w:t>
            </w:r>
          </w:p>
        </w:tc>
        <w:tc>
          <w:tcPr>
            <w:tcW w:w="680" w:type="dxa"/>
            <w:vAlign w:val="bottom"/>
          </w:tcPr>
          <w:p>
            <w:pPr>
              <w:jc w:val="right"/>
              <w:spacing w:after="0"/>
              <w:rPr>
                <w:sz w:val="20"/>
                <w:szCs w:val="20"/>
                <w:color w:val="auto"/>
              </w:rPr>
            </w:pPr>
            <w:r>
              <w:rPr>
                <w:rFonts w:ascii="Arial" w:cs="Arial" w:eastAsia="Arial" w:hAnsi="Arial"/>
                <w:sz w:val="18"/>
                <w:szCs w:val="18"/>
                <w:u w:val="single" w:color="auto"/>
                <w:color w:val="auto"/>
                <w:w w:val="87"/>
              </w:rPr>
              <w:t>$</w:t>
            </w:r>
            <w:r>
              <w:rPr>
                <w:rFonts w:ascii="Arial" w:cs="Arial" w:eastAsia="Arial" w:hAnsi="Arial"/>
                <w:sz w:val="18"/>
                <w:szCs w:val="18"/>
                <w:color w:val="auto"/>
                <w:w w:val="87"/>
              </w:rPr>
              <w:t>798,896</w:t>
            </w:r>
          </w:p>
        </w:tc>
        <w:tc>
          <w:tcPr>
            <w:tcW w:w="1300" w:type="dxa"/>
            <w:vAlign w:val="bottom"/>
            <w:gridSpan w:val="3"/>
          </w:tcPr>
          <w:p>
            <w:pPr>
              <w:jc w:val="right"/>
              <w:ind w:right="320"/>
              <w:spacing w:after="0"/>
              <w:rPr>
                <w:sz w:val="20"/>
                <w:szCs w:val="20"/>
                <w:color w:val="auto"/>
              </w:rPr>
            </w:pPr>
            <w:r>
              <w:rPr>
                <w:rFonts w:ascii="Arial" w:cs="Arial" w:eastAsia="Arial" w:hAnsi="Arial"/>
                <w:sz w:val="18"/>
                <w:szCs w:val="18"/>
                <w:u w:val="single" w:color="auto"/>
                <w:color w:val="auto"/>
              </w:rPr>
              <w:t>$</w:t>
            </w:r>
            <w:r>
              <w:rPr>
                <w:rFonts w:ascii="Arial" w:cs="Arial" w:eastAsia="Arial" w:hAnsi="Arial"/>
                <w:sz w:val="18"/>
                <w:szCs w:val="18"/>
                <w:color w:val="auto"/>
              </w:rPr>
              <w:t>594,397</w:t>
            </w:r>
          </w:p>
        </w:tc>
        <w:tc>
          <w:tcPr>
            <w:tcW w:w="100" w:type="dxa"/>
            <w:vAlign w:val="bottom"/>
          </w:tcPr>
          <w:p>
            <w:pPr>
              <w:jc w:val="right"/>
              <w:spacing w:after="0"/>
              <w:rPr>
                <w:sz w:val="20"/>
                <w:szCs w:val="20"/>
                <w:color w:val="auto"/>
              </w:rPr>
            </w:pPr>
            <w:r>
              <w:rPr>
                <w:rFonts w:ascii="Arial" w:cs="Arial" w:eastAsia="Arial" w:hAnsi="Arial"/>
                <w:sz w:val="15"/>
                <w:szCs w:val="15"/>
                <w:u w:val="single" w:color="auto"/>
                <w:color w:val="auto"/>
                <w:w w:val="71"/>
              </w:rPr>
              <w:t>$</w:t>
            </w:r>
          </w:p>
        </w:tc>
        <w:tc>
          <w:tcPr>
            <w:tcW w:w="560" w:type="dxa"/>
            <w:vAlign w:val="bottom"/>
          </w:tcPr>
          <w:p>
            <w:pPr>
              <w:jc w:val="right"/>
              <w:spacing w:after="0"/>
              <w:rPr>
                <w:sz w:val="20"/>
                <w:szCs w:val="20"/>
                <w:color w:val="auto"/>
              </w:rPr>
            </w:pPr>
            <w:r>
              <w:rPr>
                <w:rFonts w:ascii="Arial" w:cs="Arial" w:eastAsia="Arial" w:hAnsi="Arial"/>
                <w:sz w:val="18"/>
                <w:szCs w:val="18"/>
                <w:color w:val="auto"/>
                <w:w w:val="82"/>
              </w:rPr>
              <w:t>165,225</w:t>
            </w:r>
          </w:p>
        </w:tc>
        <w:tc>
          <w:tcPr>
            <w:tcW w:w="420" w:type="dxa"/>
            <w:vAlign w:val="bottom"/>
            <w:gridSpan w:val="2"/>
          </w:tcPr>
          <w:p>
            <w:pPr>
              <w:jc w:val="right"/>
              <w:spacing w:after="0"/>
              <w:rPr>
                <w:sz w:val="20"/>
                <w:szCs w:val="20"/>
                <w:color w:val="auto"/>
              </w:rPr>
            </w:pPr>
            <w:r>
              <w:rPr>
                <w:rFonts w:ascii="Arial" w:cs="Arial" w:eastAsia="Arial" w:hAnsi="Arial"/>
                <w:sz w:val="18"/>
                <w:szCs w:val="18"/>
                <w:u w:val="single" w:color="auto"/>
                <w:color w:val="auto"/>
              </w:rPr>
              <w:t>$</w:t>
            </w:r>
          </w:p>
        </w:tc>
        <w:tc>
          <w:tcPr>
            <w:tcW w:w="500" w:type="dxa"/>
            <w:vAlign w:val="bottom"/>
            <w:gridSpan w:val="2"/>
          </w:tcPr>
          <w:p>
            <w:pPr>
              <w:jc w:val="right"/>
              <w:ind w:right="20"/>
              <w:spacing w:after="0"/>
              <w:rPr>
                <w:sz w:val="20"/>
                <w:szCs w:val="20"/>
                <w:color w:val="auto"/>
              </w:rPr>
            </w:pPr>
            <w:r>
              <w:rPr>
                <w:rFonts w:ascii="Arial" w:cs="Arial" w:eastAsia="Arial" w:hAnsi="Arial"/>
                <w:sz w:val="18"/>
                <w:szCs w:val="18"/>
                <w:color w:val="auto"/>
                <w:w w:val="83"/>
              </w:rPr>
              <w:t>39,274</w:t>
            </w:r>
          </w:p>
        </w:tc>
      </w:tr>
      <w:tr>
        <w:trPr>
          <w:trHeight w:val="20"/>
        </w:trPr>
        <w:tc>
          <w:tcPr>
            <w:tcW w:w="6960" w:type="dxa"/>
            <w:vAlign w:val="bottom"/>
          </w:tcPr>
          <w:p>
            <w:pPr>
              <w:spacing w:after="0" w:line="20" w:lineRule="exact"/>
              <w:rPr>
                <w:sz w:val="1"/>
                <w:szCs w:val="1"/>
                <w:color w:val="auto"/>
              </w:rPr>
            </w:pPr>
          </w:p>
        </w:tc>
        <w:tc>
          <w:tcPr>
            <w:tcW w:w="680" w:type="dxa"/>
            <w:vAlign w:val="bottom"/>
            <w:tcBorders>
              <w:top w:val="single" w:sz="8" w:color="auto"/>
              <w:bottom w:val="single" w:sz="8" w:color="auto"/>
            </w:tcBorders>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680" w:type="dxa"/>
            <w:vAlign w:val="bottom"/>
            <w:tcBorders>
              <w:top w:val="single" w:sz="8" w:color="auto"/>
              <w:bottom w:val="single" w:sz="8" w:color="auto"/>
            </w:tcBorders>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60" w:type="dxa"/>
            <w:vAlign w:val="bottom"/>
            <w:tcBorders>
              <w:top w:val="single" w:sz="8" w:color="auto"/>
              <w:bottom w:val="single" w:sz="8" w:color="auto"/>
            </w:tcBorders>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480" w:type="dxa"/>
            <w:vAlign w:val="bottom"/>
            <w:tcBorders>
              <w:top w:val="single" w:sz="8" w:color="auto"/>
              <w:bottom w:val="single" w:sz="8" w:color="auto"/>
            </w:tcBorders>
          </w:tcPr>
          <w:p>
            <w:pPr>
              <w:spacing w:after="0" w:line="20" w:lineRule="exact"/>
              <w:rPr>
                <w:sz w:val="1"/>
                <w:szCs w:val="1"/>
                <w:color w:val="auto"/>
              </w:rPr>
            </w:pPr>
          </w:p>
        </w:tc>
        <w:tc>
          <w:tcPr>
            <w:tcW w:w="20" w:type="dxa"/>
            <w:vAlign w:val="bottom"/>
          </w:tcPr>
          <w:p>
            <w:pPr>
              <w:spacing w:after="0" w:line="20" w:lineRule="exact"/>
              <w:rPr>
                <w:sz w:val="1"/>
                <w:szCs w:val="1"/>
                <w:color w:val="auto"/>
              </w:rPr>
            </w:pPr>
          </w:p>
        </w:tc>
      </w:tr>
    </w:tbl>
    <w:p>
      <w:pPr>
        <w:spacing w:after="0" w:line="167" w:lineRule="exact"/>
        <w:rPr>
          <w:sz w:val="20"/>
          <w:szCs w:val="20"/>
          <w:color w:val="auto"/>
        </w:rPr>
      </w:pPr>
    </w:p>
    <w:p>
      <w:pPr>
        <w:ind w:left="460"/>
        <w:spacing w:after="0"/>
        <w:rPr>
          <w:sz w:val="20"/>
          <w:szCs w:val="20"/>
          <w:color w:val="auto"/>
        </w:rPr>
      </w:pPr>
      <w:r>
        <w:rPr>
          <w:rFonts w:ascii="Arial" w:cs="Arial" w:eastAsia="Arial" w:hAnsi="Arial"/>
          <w:sz w:val="18"/>
          <w:szCs w:val="18"/>
          <w:color w:val="auto"/>
        </w:rPr>
        <w:t>The following table summarizes the change in fair value for Level 3 items during the nine months ended October 31, 2009 (in thousands):</w:t>
      </w:r>
    </w:p>
    <w:p>
      <w:pPr>
        <w:spacing w:after="0" w:line="207"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182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2560" w:type="dxa"/>
            <w:vAlign w:val="bottom"/>
          </w:tcPr>
          <w:p>
            <w:pPr>
              <w:spacing w:after="0"/>
              <w:rPr>
                <w:sz w:val="14"/>
                <w:szCs w:val="14"/>
                <w:color w:val="auto"/>
              </w:rPr>
            </w:pPr>
          </w:p>
        </w:tc>
        <w:tc>
          <w:tcPr>
            <w:tcW w:w="88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16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260" w:type="dxa"/>
            <w:vAlign w:val="bottom"/>
          </w:tcPr>
          <w:p>
            <w:pPr>
              <w:spacing w:after="0"/>
              <w:rPr>
                <w:sz w:val="14"/>
                <w:szCs w:val="14"/>
                <w:color w:val="auto"/>
              </w:rPr>
            </w:pPr>
          </w:p>
        </w:tc>
        <w:tc>
          <w:tcPr>
            <w:tcW w:w="6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580" w:type="dxa"/>
            <w:vAlign w:val="bottom"/>
          </w:tcPr>
          <w:p>
            <w:pPr>
              <w:spacing w:after="0"/>
              <w:rPr>
                <w:sz w:val="14"/>
                <w:szCs w:val="14"/>
                <w:color w:val="auto"/>
              </w:rPr>
            </w:pPr>
          </w:p>
        </w:tc>
        <w:tc>
          <w:tcPr>
            <w:tcW w:w="200" w:type="dxa"/>
            <w:vAlign w:val="bottom"/>
          </w:tcPr>
          <w:p>
            <w:pPr>
              <w:spacing w:after="0"/>
              <w:rPr>
                <w:sz w:val="14"/>
                <w:szCs w:val="14"/>
                <w:color w:val="auto"/>
              </w:rPr>
            </w:pPr>
          </w:p>
        </w:tc>
        <w:tc>
          <w:tcPr>
            <w:tcW w:w="340" w:type="dxa"/>
            <w:vAlign w:val="bottom"/>
          </w:tcPr>
          <w:p>
            <w:pPr>
              <w:spacing w:after="0"/>
              <w:rPr>
                <w:sz w:val="14"/>
                <w:szCs w:val="14"/>
                <w:color w:val="auto"/>
              </w:rPr>
            </w:pPr>
          </w:p>
        </w:tc>
        <w:tc>
          <w:tcPr>
            <w:tcW w:w="640" w:type="dxa"/>
            <w:vAlign w:val="bottom"/>
            <w:gridSpan w:val="3"/>
          </w:tcPr>
          <w:p>
            <w:pPr>
              <w:jc w:val="right"/>
              <w:ind w:right="140"/>
              <w:spacing w:after="0"/>
              <w:rPr>
                <w:sz w:val="20"/>
                <w:szCs w:val="20"/>
                <w:color w:val="auto"/>
              </w:rPr>
            </w:pPr>
            <w:r>
              <w:rPr>
                <w:rFonts w:ascii="Arial" w:cs="Arial" w:eastAsia="Arial" w:hAnsi="Arial"/>
                <w:sz w:val="14"/>
                <w:szCs w:val="14"/>
                <w:b w:val="1"/>
                <w:bCs w:val="1"/>
                <w:color w:val="auto"/>
              </w:rPr>
              <w:t>Level 3</w:t>
            </w:r>
          </w:p>
        </w:tc>
        <w:tc>
          <w:tcPr>
            <w:tcW w:w="6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260" w:type="dxa"/>
            <w:vAlign w:val="bottom"/>
          </w:tcPr>
          <w:p>
            <w:pPr>
              <w:spacing w:after="0"/>
              <w:rPr>
                <w:sz w:val="14"/>
                <w:szCs w:val="14"/>
                <w:color w:val="auto"/>
              </w:rPr>
            </w:pPr>
          </w:p>
        </w:tc>
        <w:tc>
          <w:tcPr>
            <w:tcW w:w="4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58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210"/>
        </w:trPr>
        <w:tc>
          <w:tcPr>
            <w:tcW w:w="182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6520" w:type="dxa"/>
            <w:vAlign w:val="bottom"/>
            <w:gridSpan w:val="12"/>
            <w:shd w:val="clear" w:color="auto" w:fill="CCEEFF"/>
          </w:tcPr>
          <w:p>
            <w:pPr>
              <w:spacing w:after="0"/>
              <w:rPr>
                <w:sz w:val="20"/>
                <w:szCs w:val="20"/>
                <w:color w:val="auto"/>
              </w:rPr>
            </w:pPr>
            <w:r>
              <w:rPr>
                <w:rFonts w:ascii="Arial" w:cs="Arial" w:eastAsia="Arial" w:hAnsi="Arial"/>
                <w:sz w:val="18"/>
                <w:szCs w:val="18"/>
                <w:b w:val="1"/>
                <w:bCs w:val="1"/>
                <w:color w:val="auto"/>
                <w:w w:val="96"/>
              </w:rPr>
              <w:t>Changes in fair value during the nine months ended October 31, 2009 (pre-tax):</w:t>
            </w:r>
          </w:p>
        </w:tc>
        <w:tc>
          <w:tcPr>
            <w:tcW w:w="200" w:type="dxa"/>
            <w:vAlign w:val="bottom"/>
            <w:shd w:val="clear" w:color="auto" w:fill="CCEEFF"/>
          </w:tcPr>
          <w:p>
            <w:pPr>
              <w:spacing w:after="0"/>
              <w:rPr>
                <w:sz w:val="18"/>
                <w:szCs w:val="18"/>
                <w:color w:val="auto"/>
              </w:rPr>
            </w:pPr>
          </w:p>
        </w:tc>
        <w:tc>
          <w:tcPr>
            <w:tcW w:w="340" w:type="dxa"/>
            <w:vAlign w:val="bottom"/>
            <w:shd w:val="clear" w:color="auto" w:fill="CCEEFF"/>
          </w:tcPr>
          <w:p>
            <w:pPr>
              <w:spacing w:after="0"/>
              <w:rPr>
                <w:sz w:val="18"/>
                <w:szCs w:val="18"/>
                <w:color w:val="auto"/>
              </w:rPr>
            </w:pPr>
          </w:p>
        </w:tc>
        <w:tc>
          <w:tcPr>
            <w:tcW w:w="460" w:type="dxa"/>
            <w:vAlign w:val="bottom"/>
            <w:tcBorders>
              <w:top w:val="single" w:sz="8" w:color="auto"/>
            </w:tcBorders>
            <w:shd w:val="clear" w:color="auto" w:fill="CCEEFF"/>
          </w:tcPr>
          <w:p>
            <w:pPr>
              <w:spacing w:after="0"/>
              <w:rPr>
                <w:sz w:val="18"/>
                <w:szCs w:val="18"/>
                <w:color w:val="auto"/>
              </w:rPr>
            </w:pPr>
          </w:p>
        </w:tc>
        <w:tc>
          <w:tcPr>
            <w:tcW w:w="120" w:type="dxa"/>
            <w:vAlign w:val="bottom"/>
            <w:tcBorders>
              <w:top w:val="single" w:sz="8" w:color="auto"/>
            </w:tcBorders>
            <w:shd w:val="clear" w:color="auto" w:fill="CCEEFF"/>
          </w:tcPr>
          <w:p>
            <w:pPr>
              <w:spacing w:after="0"/>
              <w:rPr>
                <w:sz w:val="18"/>
                <w:szCs w:val="18"/>
                <w:color w:val="auto"/>
              </w:rPr>
            </w:pPr>
          </w:p>
        </w:tc>
        <w:tc>
          <w:tcPr>
            <w:tcW w:w="60" w:type="dxa"/>
            <w:vAlign w:val="bottom"/>
            <w:shd w:val="clear" w:color="auto" w:fill="CCEEFF"/>
          </w:tcPr>
          <w:p>
            <w:pPr>
              <w:spacing w:after="0"/>
              <w:rPr>
                <w:sz w:val="18"/>
                <w:szCs w:val="18"/>
                <w:color w:val="auto"/>
              </w:rPr>
            </w:pPr>
          </w:p>
        </w:tc>
        <w:tc>
          <w:tcPr>
            <w:tcW w:w="60" w:type="dxa"/>
            <w:vAlign w:val="bottom"/>
            <w:tcBorders>
              <w:right w:val="single" w:sz="8" w:color="CCEEFF"/>
            </w:tcBorders>
            <w:shd w:val="clear" w:color="auto" w:fill="CCEEFF"/>
          </w:tcPr>
          <w:p>
            <w:pPr>
              <w:spacing w:after="0"/>
              <w:rPr>
                <w:sz w:val="18"/>
                <w:szCs w:val="18"/>
                <w:color w:val="auto"/>
              </w:rPr>
            </w:pPr>
          </w:p>
        </w:tc>
        <w:tc>
          <w:tcPr>
            <w:tcW w:w="120" w:type="dxa"/>
            <w:vAlign w:val="bottom"/>
          </w:tcPr>
          <w:p>
            <w:pPr>
              <w:spacing w:after="0"/>
              <w:rPr>
                <w:sz w:val="18"/>
                <w:szCs w:val="18"/>
                <w:color w:val="auto"/>
              </w:rPr>
            </w:pPr>
          </w:p>
        </w:tc>
        <w:tc>
          <w:tcPr>
            <w:tcW w:w="72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322"/>
        </w:trPr>
        <w:tc>
          <w:tcPr>
            <w:tcW w:w="1820" w:type="dxa"/>
            <w:vAlign w:val="bottom"/>
          </w:tcPr>
          <w:p>
            <w:pPr>
              <w:spacing w:after="0"/>
              <w:rPr>
                <w:sz w:val="24"/>
                <w:szCs w:val="24"/>
                <w:color w:val="auto"/>
              </w:rPr>
            </w:pPr>
          </w:p>
        </w:tc>
        <w:tc>
          <w:tcPr>
            <w:tcW w:w="3680" w:type="dxa"/>
            <w:vAlign w:val="bottom"/>
            <w:gridSpan w:val="4"/>
          </w:tcPr>
          <w:p>
            <w:pPr>
              <w:ind w:left="20"/>
              <w:spacing w:after="0"/>
              <w:rPr>
                <w:sz w:val="20"/>
                <w:szCs w:val="20"/>
                <w:color w:val="auto"/>
              </w:rPr>
            </w:pPr>
            <w:r>
              <w:rPr>
                <w:rFonts w:ascii="Arial" w:cs="Arial" w:eastAsia="Arial" w:hAnsi="Arial"/>
                <w:sz w:val="18"/>
                <w:szCs w:val="18"/>
                <w:color w:val="auto"/>
              </w:rPr>
              <w:t>Beginning balance at February 1, 2009</w:t>
            </w:r>
          </w:p>
        </w:tc>
        <w:tc>
          <w:tcPr>
            <w:tcW w:w="80" w:type="dxa"/>
            <w:vAlign w:val="bottom"/>
          </w:tcPr>
          <w:p>
            <w:pPr>
              <w:spacing w:after="0"/>
              <w:rPr>
                <w:sz w:val="24"/>
                <w:szCs w:val="24"/>
                <w:color w:val="auto"/>
              </w:rPr>
            </w:pPr>
          </w:p>
        </w:tc>
        <w:tc>
          <w:tcPr>
            <w:tcW w:w="70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160" w:type="dxa"/>
            <w:vAlign w:val="bottom"/>
          </w:tcPr>
          <w:p>
            <w:pPr>
              <w:spacing w:after="0"/>
              <w:rPr>
                <w:sz w:val="24"/>
                <w:szCs w:val="24"/>
                <w:color w:val="auto"/>
              </w:rPr>
            </w:pPr>
          </w:p>
        </w:tc>
        <w:tc>
          <w:tcPr>
            <w:tcW w:w="700" w:type="dxa"/>
            <w:vAlign w:val="bottom"/>
          </w:tcPr>
          <w:p>
            <w:pPr>
              <w:spacing w:after="0"/>
              <w:rPr>
                <w:sz w:val="24"/>
                <w:szCs w:val="24"/>
                <w:color w:val="auto"/>
              </w:rPr>
            </w:pPr>
          </w:p>
        </w:tc>
        <w:tc>
          <w:tcPr>
            <w:tcW w:w="26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580" w:type="dxa"/>
            <w:vAlign w:val="bottom"/>
          </w:tcPr>
          <w:p>
            <w:pPr>
              <w:spacing w:after="0"/>
              <w:rPr>
                <w:sz w:val="24"/>
                <w:szCs w:val="24"/>
                <w:color w:val="auto"/>
              </w:rPr>
            </w:pPr>
          </w:p>
        </w:tc>
        <w:tc>
          <w:tcPr>
            <w:tcW w:w="1120" w:type="dxa"/>
            <w:vAlign w:val="bottom"/>
            <w:gridSpan w:val="4"/>
          </w:tcPr>
          <w:p>
            <w:pPr>
              <w:jc w:val="right"/>
              <w:spacing w:after="0"/>
              <w:rPr>
                <w:sz w:val="20"/>
                <w:szCs w:val="20"/>
                <w:color w:val="auto"/>
              </w:rPr>
            </w:pPr>
            <w:r>
              <w:rPr>
                <w:rFonts w:ascii="Arial" w:cs="Arial" w:eastAsia="Arial" w:hAnsi="Arial"/>
                <w:sz w:val="18"/>
                <w:szCs w:val="18"/>
                <w:color w:val="auto"/>
              </w:rPr>
              <w:t>$40,541</w:t>
            </w:r>
          </w:p>
        </w:tc>
        <w:tc>
          <w:tcPr>
            <w:tcW w:w="6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720" w:type="dxa"/>
            <w:vAlign w:val="bottom"/>
          </w:tcPr>
          <w:p>
            <w:pPr>
              <w:spacing w:after="0"/>
              <w:rPr>
                <w:sz w:val="24"/>
                <w:szCs w:val="24"/>
                <w:color w:val="auto"/>
              </w:rPr>
            </w:pPr>
          </w:p>
        </w:tc>
        <w:tc>
          <w:tcPr>
            <w:tcW w:w="26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58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18"/>
        </w:trPr>
        <w:tc>
          <w:tcPr>
            <w:tcW w:w="182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3660" w:type="dxa"/>
            <w:vAlign w:val="bottom"/>
            <w:gridSpan w:val="3"/>
            <w:shd w:val="clear" w:color="auto" w:fill="CCEEFF"/>
          </w:tcPr>
          <w:p>
            <w:pPr>
              <w:spacing w:after="0"/>
              <w:rPr>
                <w:sz w:val="20"/>
                <w:szCs w:val="20"/>
                <w:color w:val="auto"/>
              </w:rPr>
            </w:pPr>
            <w:r>
              <w:rPr>
                <w:rFonts w:ascii="Arial" w:cs="Arial" w:eastAsia="Arial" w:hAnsi="Arial"/>
                <w:sz w:val="18"/>
                <w:szCs w:val="18"/>
                <w:color w:val="auto"/>
              </w:rPr>
              <w:t>Purchases</w:t>
            </w:r>
          </w:p>
        </w:tc>
        <w:tc>
          <w:tcPr>
            <w:tcW w:w="80" w:type="dxa"/>
            <w:vAlign w:val="bottom"/>
            <w:shd w:val="clear" w:color="auto" w:fill="CCEEFF"/>
          </w:tcPr>
          <w:p>
            <w:pPr>
              <w:spacing w:after="0"/>
              <w:rPr>
                <w:sz w:val="18"/>
                <w:szCs w:val="18"/>
                <w:color w:val="auto"/>
              </w:rPr>
            </w:pPr>
          </w:p>
        </w:tc>
        <w:tc>
          <w:tcPr>
            <w:tcW w:w="70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700" w:type="dxa"/>
            <w:vAlign w:val="bottom"/>
            <w:shd w:val="clear" w:color="auto" w:fill="CCEEFF"/>
          </w:tcPr>
          <w:p>
            <w:pPr>
              <w:spacing w:after="0"/>
              <w:rPr>
                <w:sz w:val="18"/>
                <w:szCs w:val="18"/>
                <w:color w:val="auto"/>
              </w:rPr>
            </w:pPr>
          </w:p>
        </w:tc>
        <w:tc>
          <w:tcPr>
            <w:tcW w:w="260" w:type="dxa"/>
            <w:vAlign w:val="bottom"/>
            <w:shd w:val="clear" w:color="auto" w:fill="CCEEFF"/>
          </w:tcPr>
          <w:p>
            <w:pPr>
              <w:spacing w:after="0"/>
              <w:rPr>
                <w:sz w:val="18"/>
                <w:szCs w:val="18"/>
                <w:color w:val="auto"/>
              </w:rPr>
            </w:pPr>
          </w:p>
        </w:tc>
        <w:tc>
          <w:tcPr>
            <w:tcW w:w="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340" w:type="dxa"/>
            <w:vAlign w:val="bottom"/>
            <w:shd w:val="clear" w:color="auto" w:fill="CCEEFF"/>
          </w:tcPr>
          <w:p>
            <w:pPr>
              <w:spacing w:after="0"/>
              <w:rPr>
                <w:sz w:val="18"/>
                <w:szCs w:val="18"/>
                <w:color w:val="auto"/>
              </w:rPr>
            </w:pPr>
          </w:p>
        </w:tc>
        <w:tc>
          <w:tcPr>
            <w:tcW w:w="640" w:type="dxa"/>
            <w:vAlign w:val="bottom"/>
            <w:gridSpan w:val="3"/>
            <w:shd w:val="clear" w:color="auto" w:fill="CCEEFF"/>
          </w:tcPr>
          <w:p>
            <w:pPr>
              <w:jc w:val="right"/>
              <w:ind w:right="140"/>
              <w:spacing w:after="0"/>
              <w:rPr>
                <w:sz w:val="20"/>
                <w:szCs w:val="20"/>
                <w:color w:val="auto"/>
              </w:rPr>
            </w:pPr>
            <w:r>
              <w:rPr>
                <w:rFonts w:ascii="Arial" w:cs="Arial" w:eastAsia="Arial" w:hAnsi="Arial"/>
                <w:sz w:val="18"/>
                <w:szCs w:val="18"/>
                <w:color w:val="auto"/>
              </w:rPr>
              <w:t>—</w:t>
            </w:r>
          </w:p>
        </w:tc>
        <w:tc>
          <w:tcPr>
            <w:tcW w:w="60" w:type="dxa"/>
            <w:vAlign w:val="bottom"/>
            <w:tcBorders>
              <w:right w:val="single" w:sz="8" w:color="CCEEFF"/>
            </w:tcBorders>
            <w:shd w:val="clear" w:color="auto" w:fill="CCEEFF"/>
          </w:tcPr>
          <w:p>
            <w:pPr>
              <w:spacing w:after="0"/>
              <w:rPr>
                <w:sz w:val="18"/>
                <w:szCs w:val="18"/>
                <w:color w:val="auto"/>
              </w:rPr>
            </w:pPr>
          </w:p>
        </w:tc>
        <w:tc>
          <w:tcPr>
            <w:tcW w:w="120" w:type="dxa"/>
            <w:vAlign w:val="bottom"/>
          </w:tcPr>
          <w:p>
            <w:pPr>
              <w:spacing w:after="0"/>
              <w:rPr>
                <w:sz w:val="18"/>
                <w:szCs w:val="18"/>
                <w:color w:val="auto"/>
              </w:rPr>
            </w:pPr>
          </w:p>
        </w:tc>
        <w:tc>
          <w:tcPr>
            <w:tcW w:w="72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182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3660" w:type="dxa"/>
            <w:vAlign w:val="bottom"/>
            <w:gridSpan w:val="3"/>
          </w:tcPr>
          <w:p>
            <w:pPr>
              <w:spacing w:after="0"/>
              <w:rPr>
                <w:sz w:val="20"/>
                <w:szCs w:val="20"/>
                <w:color w:val="auto"/>
              </w:rPr>
            </w:pPr>
            <w:r>
              <w:rPr>
                <w:rFonts w:ascii="Arial" w:cs="Arial" w:eastAsia="Arial" w:hAnsi="Arial"/>
                <w:sz w:val="18"/>
                <w:szCs w:val="18"/>
                <w:color w:val="auto"/>
              </w:rPr>
              <w:t>Sales and redemption</w:t>
            </w:r>
          </w:p>
        </w:tc>
        <w:tc>
          <w:tcPr>
            <w:tcW w:w="8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1180" w:type="dxa"/>
            <w:vAlign w:val="bottom"/>
            <w:gridSpan w:val="5"/>
          </w:tcPr>
          <w:p>
            <w:pPr>
              <w:jc w:val="right"/>
              <w:spacing w:after="0"/>
              <w:rPr>
                <w:sz w:val="20"/>
                <w:szCs w:val="20"/>
                <w:color w:val="auto"/>
              </w:rPr>
            </w:pPr>
            <w:r>
              <w:rPr>
                <w:rFonts w:ascii="Arial" w:cs="Arial" w:eastAsia="Arial" w:hAnsi="Arial"/>
                <w:sz w:val="18"/>
                <w:szCs w:val="18"/>
                <w:color w:val="auto"/>
              </w:rPr>
              <w:t>(150)</w:t>
            </w:r>
          </w:p>
        </w:tc>
        <w:tc>
          <w:tcPr>
            <w:tcW w:w="6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72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182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4660" w:type="dxa"/>
            <w:vAlign w:val="bottom"/>
            <w:gridSpan w:val="6"/>
            <w:shd w:val="clear" w:color="auto" w:fill="CCEEFF"/>
          </w:tcPr>
          <w:p>
            <w:pPr>
              <w:spacing w:after="0"/>
              <w:rPr>
                <w:sz w:val="20"/>
                <w:szCs w:val="20"/>
                <w:color w:val="auto"/>
              </w:rPr>
            </w:pPr>
            <w:r>
              <w:rPr>
                <w:rFonts w:ascii="Arial" w:cs="Arial" w:eastAsia="Arial" w:hAnsi="Arial"/>
                <w:sz w:val="18"/>
                <w:szCs w:val="18"/>
                <w:color w:val="auto"/>
                <w:w w:val="92"/>
              </w:rPr>
              <w:t>Unrealized loss included in other comprehensive income (loss)</w:t>
            </w:r>
          </w:p>
        </w:tc>
        <w:tc>
          <w:tcPr>
            <w:tcW w:w="160" w:type="dxa"/>
            <w:vAlign w:val="bottom"/>
            <w:shd w:val="clear" w:color="auto" w:fill="CCEEFF"/>
          </w:tcPr>
          <w:p>
            <w:pPr>
              <w:spacing w:after="0"/>
              <w:rPr>
                <w:sz w:val="18"/>
                <w:szCs w:val="18"/>
                <w:color w:val="auto"/>
              </w:rPr>
            </w:pPr>
          </w:p>
        </w:tc>
        <w:tc>
          <w:tcPr>
            <w:tcW w:w="700" w:type="dxa"/>
            <w:vAlign w:val="bottom"/>
            <w:shd w:val="clear" w:color="auto" w:fill="CCEEFF"/>
          </w:tcPr>
          <w:p>
            <w:pPr>
              <w:spacing w:after="0"/>
              <w:rPr>
                <w:sz w:val="18"/>
                <w:szCs w:val="18"/>
                <w:color w:val="auto"/>
              </w:rPr>
            </w:pPr>
          </w:p>
        </w:tc>
        <w:tc>
          <w:tcPr>
            <w:tcW w:w="260" w:type="dxa"/>
            <w:vAlign w:val="bottom"/>
            <w:shd w:val="clear" w:color="auto" w:fill="CCEEFF"/>
          </w:tcPr>
          <w:p>
            <w:pPr>
              <w:spacing w:after="0"/>
              <w:rPr>
                <w:sz w:val="18"/>
                <w:szCs w:val="18"/>
                <w:color w:val="auto"/>
              </w:rPr>
            </w:pPr>
          </w:p>
        </w:tc>
        <w:tc>
          <w:tcPr>
            <w:tcW w:w="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spacing w:after="0"/>
              <w:rPr>
                <w:sz w:val="18"/>
                <w:szCs w:val="18"/>
                <w:color w:val="auto"/>
              </w:rPr>
            </w:pPr>
          </w:p>
        </w:tc>
        <w:tc>
          <w:tcPr>
            <w:tcW w:w="540" w:type="dxa"/>
            <w:vAlign w:val="bottom"/>
            <w:gridSpan w:val="2"/>
            <w:shd w:val="clear" w:color="auto" w:fill="CCEEFF"/>
          </w:tcPr>
          <w:p>
            <w:pPr>
              <w:spacing w:after="0"/>
              <w:rPr>
                <w:sz w:val="18"/>
                <w:szCs w:val="18"/>
                <w:color w:val="auto"/>
              </w:rPr>
            </w:pPr>
          </w:p>
        </w:tc>
        <w:tc>
          <w:tcPr>
            <w:tcW w:w="640" w:type="dxa"/>
            <w:vAlign w:val="bottom"/>
            <w:gridSpan w:val="3"/>
            <w:shd w:val="clear" w:color="auto" w:fill="CCEEFF"/>
          </w:tcPr>
          <w:p>
            <w:pPr>
              <w:jc w:val="right"/>
              <w:spacing w:after="0"/>
              <w:rPr>
                <w:sz w:val="20"/>
                <w:szCs w:val="20"/>
                <w:color w:val="auto"/>
              </w:rPr>
            </w:pPr>
            <w:r>
              <w:rPr>
                <w:rFonts w:ascii="Arial" w:cs="Arial" w:eastAsia="Arial" w:hAnsi="Arial"/>
                <w:sz w:val="18"/>
                <w:szCs w:val="18"/>
                <w:color w:val="auto"/>
              </w:rPr>
              <w:t>(1,117)</w:t>
            </w:r>
          </w:p>
        </w:tc>
        <w:tc>
          <w:tcPr>
            <w:tcW w:w="60" w:type="dxa"/>
            <w:vAlign w:val="bottom"/>
            <w:tcBorders>
              <w:right w:val="single" w:sz="8" w:color="CCEEFF"/>
            </w:tcBorders>
            <w:shd w:val="clear" w:color="auto" w:fill="CCEEFF"/>
          </w:tcPr>
          <w:p>
            <w:pPr>
              <w:spacing w:after="0"/>
              <w:rPr>
                <w:sz w:val="18"/>
                <w:szCs w:val="18"/>
                <w:color w:val="auto"/>
              </w:rPr>
            </w:pPr>
          </w:p>
        </w:tc>
        <w:tc>
          <w:tcPr>
            <w:tcW w:w="120" w:type="dxa"/>
            <w:vAlign w:val="bottom"/>
          </w:tcPr>
          <w:p>
            <w:pPr>
              <w:spacing w:after="0"/>
              <w:rPr>
                <w:sz w:val="18"/>
                <w:szCs w:val="18"/>
                <w:color w:val="auto"/>
              </w:rPr>
            </w:pPr>
          </w:p>
        </w:tc>
        <w:tc>
          <w:tcPr>
            <w:tcW w:w="72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21"/>
        </w:trPr>
        <w:tc>
          <w:tcPr>
            <w:tcW w:w="1820" w:type="dxa"/>
            <w:vAlign w:val="bottom"/>
          </w:tcPr>
          <w:p>
            <w:pPr>
              <w:spacing w:after="0"/>
              <w:rPr>
                <w:sz w:val="19"/>
                <w:szCs w:val="19"/>
                <w:color w:val="auto"/>
              </w:rPr>
            </w:pPr>
          </w:p>
        </w:tc>
        <w:tc>
          <w:tcPr>
            <w:tcW w:w="3680" w:type="dxa"/>
            <w:vAlign w:val="bottom"/>
            <w:gridSpan w:val="4"/>
          </w:tcPr>
          <w:p>
            <w:pPr>
              <w:ind w:left="20"/>
              <w:spacing w:after="0"/>
              <w:rPr>
                <w:sz w:val="20"/>
                <w:szCs w:val="20"/>
                <w:color w:val="auto"/>
              </w:rPr>
            </w:pPr>
            <w:r>
              <w:rPr>
                <w:rFonts w:ascii="Arial" w:cs="Arial" w:eastAsia="Arial" w:hAnsi="Arial"/>
                <w:sz w:val="18"/>
                <w:szCs w:val="18"/>
                <w:color w:val="auto"/>
              </w:rPr>
              <w:t>Ending balance at October 31, 2009</w:t>
            </w:r>
          </w:p>
        </w:tc>
        <w:tc>
          <w:tcPr>
            <w:tcW w:w="80" w:type="dxa"/>
            <w:vAlign w:val="bottom"/>
          </w:tcPr>
          <w:p>
            <w:pPr>
              <w:spacing w:after="0"/>
              <w:rPr>
                <w:sz w:val="19"/>
                <w:szCs w:val="19"/>
                <w:color w:val="auto"/>
              </w:rPr>
            </w:pPr>
          </w:p>
        </w:tc>
        <w:tc>
          <w:tcPr>
            <w:tcW w:w="700" w:type="dxa"/>
            <w:vAlign w:val="bottom"/>
          </w:tcPr>
          <w:p>
            <w:pPr>
              <w:spacing w:after="0"/>
              <w:rPr>
                <w:sz w:val="19"/>
                <w:szCs w:val="19"/>
                <w:color w:val="auto"/>
              </w:rPr>
            </w:pPr>
          </w:p>
        </w:tc>
        <w:tc>
          <w:tcPr>
            <w:tcW w:w="220" w:type="dxa"/>
            <w:vAlign w:val="bottom"/>
          </w:tcPr>
          <w:p>
            <w:pPr>
              <w:spacing w:after="0"/>
              <w:rPr>
                <w:sz w:val="19"/>
                <w:szCs w:val="19"/>
                <w:color w:val="auto"/>
              </w:rPr>
            </w:pPr>
          </w:p>
        </w:tc>
        <w:tc>
          <w:tcPr>
            <w:tcW w:w="160" w:type="dxa"/>
            <w:vAlign w:val="bottom"/>
          </w:tcPr>
          <w:p>
            <w:pPr>
              <w:spacing w:after="0"/>
              <w:rPr>
                <w:sz w:val="19"/>
                <w:szCs w:val="19"/>
                <w:color w:val="auto"/>
              </w:rPr>
            </w:pPr>
          </w:p>
        </w:tc>
        <w:tc>
          <w:tcPr>
            <w:tcW w:w="700" w:type="dxa"/>
            <w:vAlign w:val="bottom"/>
          </w:tcPr>
          <w:p>
            <w:pPr>
              <w:spacing w:after="0"/>
              <w:rPr>
                <w:sz w:val="19"/>
                <w:szCs w:val="19"/>
                <w:color w:val="auto"/>
              </w:rPr>
            </w:pPr>
          </w:p>
        </w:tc>
        <w:tc>
          <w:tcPr>
            <w:tcW w:w="260" w:type="dxa"/>
            <w:vAlign w:val="bottom"/>
          </w:tcPr>
          <w:p>
            <w:pPr>
              <w:spacing w:after="0"/>
              <w:rPr>
                <w:sz w:val="19"/>
                <w:szCs w:val="19"/>
                <w:color w:val="auto"/>
              </w:rPr>
            </w:pPr>
          </w:p>
        </w:tc>
        <w:tc>
          <w:tcPr>
            <w:tcW w:w="6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580" w:type="dxa"/>
            <w:vAlign w:val="bottom"/>
          </w:tcPr>
          <w:p>
            <w:pPr>
              <w:spacing w:after="0"/>
              <w:rPr>
                <w:sz w:val="19"/>
                <w:szCs w:val="19"/>
                <w:color w:val="auto"/>
              </w:rPr>
            </w:pPr>
          </w:p>
        </w:tc>
        <w:tc>
          <w:tcPr>
            <w:tcW w:w="540" w:type="dxa"/>
            <w:vAlign w:val="bottom"/>
            <w:gridSpan w:val="2"/>
          </w:tcPr>
          <w:p>
            <w:pPr>
              <w:spacing w:after="0"/>
              <w:rPr>
                <w:sz w:val="19"/>
                <w:szCs w:val="19"/>
                <w:color w:val="auto"/>
              </w:rPr>
            </w:pPr>
          </w:p>
        </w:tc>
        <w:tc>
          <w:tcPr>
            <w:tcW w:w="580" w:type="dxa"/>
            <w:vAlign w:val="bottom"/>
            <w:tcBorders>
              <w:top w:val="single" w:sz="8" w:color="auto"/>
              <w:bottom w:val="single" w:sz="8" w:color="auto"/>
            </w:tcBorders>
            <w:gridSpan w:val="2"/>
          </w:tcPr>
          <w:p>
            <w:pPr>
              <w:jc w:val="right"/>
              <w:spacing w:after="0"/>
              <w:rPr>
                <w:sz w:val="20"/>
                <w:szCs w:val="20"/>
                <w:color w:val="auto"/>
              </w:rPr>
            </w:pPr>
            <w:r>
              <w:rPr>
                <w:rFonts w:ascii="Arial" w:cs="Arial" w:eastAsia="Arial" w:hAnsi="Arial"/>
                <w:sz w:val="18"/>
                <w:szCs w:val="18"/>
                <w:u w:val="single" w:color="auto"/>
                <w:color w:val="auto"/>
                <w:w w:val="86"/>
              </w:rPr>
              <w:t>$</w:t>
            </w:r>
            <w:r>
              <w:rPr>
                <w:rFonts w:ascii="Arial" w:cs="Arial" w:eastAsia="Arial" w:hAnsi="Arial"/>
                <w:sz w:val="18"/>
                <w:szCs w:val="18"/>
                <w:color w:val="auto"/>
                <w:w w:val="86"/>
              </w:rPr>
              <w:t>39,274</w:t>
            </w:r>
          </w:p>
        </w:tc>
        <w:tc>
          <w:tcPr>
            <w:tcW w:w="60" w:type="dxa"/>
            <w:vAlign w:val="bottom"/>
          </w:tcPr>
          <w:p>
            <w:pPr>
              <w:spacing w:after="0"/>
              <w:rPr>
                <w:sz w:val="19"/>
                <w:szCs w:val="19"/>
                <w:color w:val="auto"/>
              </w:rPr>
            </w:pPr>
          </w:p>
        </w:tc>
        <w:tc>
          <w:tcPr>
            <w:tcW w:w="6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720" w:type="dxa"/>
            <w:vAlign w:val="bottom"/>
          </w:tcPr>
          <w:p>
            <w:pPr>
              <w:spacing w:after="0"/>
              <w:rPr>
                <w:sz w:val="19"/>
                <w:szCs w:val="19"/>
                <w:color w:val="auto"/>
              </w:rPr>
            </w:pPr>
          </w:p>
        </w:tc>
        <w:tc>
          <w:tcPr>
            <w:tcW w:w="260" w:type="dxa"/>
            <w:vAlign w:val="bottom"/>
          </w:tcPr>
          <w:p>
            <w:pPr>
              <w:spacing w:after="0"/>
              <w:rPr>
                <w:sz w:val="19"/>
                <w:szCs w:val="19"/>
                <w:color w:val="auto"/>
              </w:rPr>
            </w:pPr>
          </w:p>
        </w:tc>
        <w:tc>
          <w:tcPr>
            <w:tcW w:w="4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580" w:type="dxa"/>
            <w:vAlign w:val="bottom"/>
          </w:tcPr>
          <w:p>
            <w:pPr>
              <w:spacing w:after="0"/>
              <w:rPr>
                <w:sz w:val="19"/>
                <w:szCs w:val="19"/>
                <w:color w:val="auto"/>
              </w:rPr>
            </w:pPr>
          </w:p>
        </w:tc>
        <w:tc>
          <w:tcPr>
            <w:tcW w:w="2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0"/>
        </w:trPr>
        <w:tc>
          <w:tcPr>
            <w:tcW w:w="5500" w:type="dxa"/>
            <w:vAlign w:val="bottom"/>
            <w:gridSpan w:val="5"/>
            <w:vMerge w:val="restart"/>
          </w:tcPr>
          <w:p>
            <w:pPr>
              <w:spacing w:after="0"/>
              <w:rPr>
                <w:sz w:val="20"/>
                <w:szCs w:val="20"/>
                <w:color w:val="auto"/>
              </w:rPr>
            </w:pPr>
            <w:r>
              <w:rPr>
                <w:rFonts w:ascii="Arial" w:cs="Arial" w:eastAsia="Arial" w:hAnsi="Arial"/>
                <w:sz w:val="18"/>
                <w:szCs w:val="18"/>
                <w:b w:val="1"/>
                <w:bCs w:val="1"/>
                <w:color w:val="auto"/>
              </w:rPr>
              <w:t>Note 7. Acquired Intangible Assets, Net</w:t>
            </w:r>
          </w:p>
        </w:tc>
        <w:tc>
          <w:tcPr>
            <w:tcW w:w="80" w:type="dxa"/>
            <w:vAlign w:val="bottom"/>
          </w:tcPr>
          <w:p>
            <w:pPr>
              <w:spacing w:after="0" w:line="20" w:lineRule="exact"/>
              <w:rPr>
                <w:sz w:val="1"/>
                <w:szCs w:val="1"/>
                <w:color w:val="auto"/>
              </w:rPr>
            </w:pPr>
          </w:p>
        </w:tc>
        <w:tc>
          <w:tcPr>
            <w:tcW w:w="700" w:type="dxa"/>
            <w:vAlign w:val="bottom"/>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700" w:type="dxa"/>
            <w:vAlign w:val="bottom"/>
          </w:tcPr>
          <w:p>
            <w:pPr>
              <w:spacing w:after="0" w:line="20" w:lineRule="exact"/>
              <w:rPr>
                <w:sz w:val="1"/>
                <w:szCs w:val="1"/>
                <w:color w:val="auto"/>
              </w:rPr>
            </w:pPr>
          </w:p>
        </w:tc>
        <w:tc>
          <w:tcPr>
            <w:tcW w:w="26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580" w:type="dxa"/>
            <w:vAlign w:val="bottom"/>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340" w:type="dxa"/>
            <w:vAlign w:val="bottom"/>
          </w:tcPr>
          <w:p>
            <w:pPr>
              <w:spacing w:after="0" w:line="20" w:lineRule="exact"/>
              <w:rPr>
                <w:sz w:val="1"/>
                <w:szCs w:val="1"/>
                <w:color w:val="auto"/>
              </w:rPr>
            </w:pPr>
          </w:p>
        </w:tc>
        <w:tc>
          <w:tcPr>
            <w:tcW w:w="460" w:type="dxa"/>
            <w:vAlign w:val="bottom"/>
            <w:tcBorders>
              <w:bottom w:val="single" w:sz="8" w:color="auto"/>
            </w:tcBorders>
          </w:tcPr>
          <w:p>
            <w:pPr>
              <w:spacing w:after="0" w:line="20" w:lineRule="exact"/>
              <w:rPr>
                <w:sz w:val="1"/>
                <w:szCs w:val="1"/>
                <w:color w:val="auto"/>
              </w:rPr>
            </w:pPr>
          </w:p>
        </w:tc>
        <w:tc>
          <w:tcPr>
            <w:tcW w:w="120" w:type="dxa"/>
            <w:vAlign w:val="bottom"/>
            <w:tcBorders>
              <w:bottom w:val="single" w:sz="8" w:color="auto"/>
            </w:tcBorders>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720" w:type="dxa"/>
            <w:vAlign w:val="bottom"/>
          </w:tcPr>
          <w:p>
            <w:pPr>
              <w:spacing w:after="0" w:line="20" w:lineRule="exact"/>
              <w:rPr>
                <w:sz w:val="1"/>
                <w:szCs w:val="1"/>
                <w:color w:val="auto"/>
              </w:rPr>
            </w:pPr>
          </w:p>
        </w:tc>
        <w:tc>
          <w:tcPr>
            <w:tcW w:w="26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58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453"/>
        </w:trPr>
        <w:tc>
          <w:tcPr>
            <w:tcW w:w="5500" w:type="dxa"/>
            <w:vAlign w:val="bottom"/>
            <w:gridSpan w:val="5"/>
            <w:vMerge w:val="continue"/>
          </w:tcPr>
          <w:p>
            <w:pPr>
              <w:spacing w:after="0"/>
              <w:rPr>
                <w:sz w:val="24"/>
                <w:szCs w:val="24"/>
                <w:color w:val="auto"/>
              </w:rPr>
            </w:pPr>
          </w:p>
        </w:tc>
        <w:tc>
          <w:tcPr>
            <w:tcW w:w="80" w:type="dxa"/>
            <w:vAlign w:val="bottom"/>
          </w:tcPr>
          <w:p>
            <w:pPr>
              <w:spacing w:after="0"/>
              <w:rPr>
                <w:sz w:val="24"/>
                <w:szCs w:val="24"/>
                <w:color w:val="auto"/>
              </w:rPr>
            </w:pPr>
          </w:p>
        </w:tc>
        <w:tc>
          <w:tcPr>
            <w:tcW w:w="70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160" w:type="dxa"/>
            <w:vAlign w:val="bottom"/>
          </w:tcPr>
          <w:p>
            <w:pPr>
              <w:spacing w:after="0"/>
              <w:rPr>
                <w:sz w:val="24"/>
                <w:szCs w:val="24"/>
                <w:color w:val="auto"/>
              </w:rPr>
            </w:pPr>
          </w:p>
        </w:tc>
        <w:tc>
          <w:tcPr>
            <w:tcW w:w="700" w:type="dxa"/>
            <w:vAlign w:val="bottom"/>
          </w:tcPr>
          <w:p>
            <w:pPr>
              <w:spacing w:after="0"/>
              <w:rPr>
                <w:sz w:val="24"/>
                <w:szCs w:val="24"/>
                <w:color w:val="auto"/>
              </w:rPr>
            </w:pPr>
          </w:p>
        </w:tc>
        <w:tc>
          <w:tcPr>
            <w:tcW w:w="26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58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340" w:type="dxa"/>
            <w:vAlign w:val="bottom"/>
          </w:tcPr>
          <w:p>
            <w:pPr>
              <w:spacing w:after="0"/>
              <w:rPr>
                <w:sz w:val="24"/>
                <w:szCs w:val="24"/>
                <w:color w:val="auto"/>
              </w:rPr>
            </w:pPr>
          </w:p>
        </w:tc>
        <w:tc>
          <w:tcPr>
            <w:tcW w:w="46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720" w:type="dxa"/>
            <w:vAlign w:val="bottom"/>
          </w:tcPr>
          <w:p>
            <w:pPr>
              <w:spacing w:after="0"/>
              <w:rPr>
                <w:sz w:val="24"/>
                <w:szCs w:val="24"/>
                <w:color w:val="auto"/>
              </w:rPr>
            </w:pPr>
          </w:p>
        </w:tc>
        <w:tc>
          <w:tcPr>
            <w:tcW w:w="26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58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353"/>
        </w:trPr>
        <w:tc>
          <w:tcPr>
            <w:tcW w:w="182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2560" w:type="dxa"/>
            <w:vAlign w:val="bottom"/>
          </w:tcPr>
          <w:p>
            <w:pPr>
              <w:spacing w:after="0"/>
              <w:rPr>
                <w:sz w:val="24"/>
                <w:szCs w:val="24"/>
                <w:color w:val="auto"/>
              </w:rPr>
            </w:pPr>
          </w:p>
        </w:tc>
        <w:tc>
          <w:tcPr>
            <w:tcW w:w="88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80" w:type="dxa"/>
            <w:vAlign w:val="bottom"/>
            <w:tcBorders>
              <w:bottom w:val="single" w:sz="8" w:color="auto"/>
            </w:tcBorders>
          </w:tcPr>
          <w:p>
            <w:pPr>
              <w:spacing w:after="0"/>
              <w:rPr>
                <w:sz w:val="24"/>
                <w:szCs w:val="24"/>
                <w:color w:val="auto"/>
              </w:rPr>
            </w:pPr>
          </w:p>
        </w:tc>
        <w:tc>
          <w:tcPr>
            <w:tcW w:w="2040" w:type="dxa"/>
            <w:vAlign w:val="bottom"/>
            <w:tcBorders>
              <w:bottom w:val="single" w:sz="8" w:color="auto"/>
            </w:tcBorders>
            <w:gridSpan w:val="5"/>
          </w:tcPr>
          <w:p>
            <w:pPr>
              <w:jc w:val="center"/>
              <w:ind w:left="560"/>
              <w:spacing w:after="0"/>
              <w:rPr>
                <w:sz w:val="20"/>
                <w:szCs w:val="20"/>
                <w:color w:val="auto"/>
              </w:rPr>
            </w:pPr>
            <w:r>
              <w:rPr>
                <w:rFonts w:ascii="Arial" w:cs="Arial" w:eastAsia="Arial" w:hAnsi="Arial"/>
                <w:sz w:val="14"/>
                <w:szCs w:val="14"/>
                <w:b w:val="1"/>
                <w:bCs w:val="1"/>
                <w:color w:val="auto"/>
                <w:w w:val="87"/>
              </w:rPr>
              <w:t>As of October 31, 2009</w:t>
            </w:r>
          </w:p>
        </w:tc>
        <w:tc>
          <w:tcPr>
            <w:tcW w:w="60" w:type="dxa"/>
            <w:vAlign w:val="bottom"/>
            <w:tcBorders>
              <w:bottom w:val="single" w:sz="8" w:color="auto"/>
            </w:tcBorders>
          </w:tcPr>
          <w:p>
            <w:pPr>
              <w:spacing w:after="0"/>
              <w:rPr>
                <w:sz w:val="24"/>
                <w:szCs w:val="24"/>
                <w:color w:val="auto"/>
              </w:rPr>
            </w:pPr>
          </w:p>
        </w:tc>
        <w:tc>
          <w:tcPr>
            <w:tcW w:w="100" w:type="dxa"/>
            <w:vAlign w:val="bottom"/>
            <w:tcBorders>
              <w:bottom w:val="single" w:sz="8" w:color="auto"/>
            </w:tcBorders>
          </w:tcPr>
          <w:p>
            <w:pPr>
              <w:spacing w:after="0"/>
              <w:rPr>
                <w:sz w:val="24"/>
                <w:szCs w:val="24"/>
                <w:color w:val="auto"/>
              </w:rPr>
            </w:pPr>
          </w:p>
        </w:tc>
        <w:tc>
          <w:tcPr>
            <w:tcW w:w="580" w:type="dxa"/>
            <w:vAlign w:val="bottom"/>
            <w:tcBorders>
              <w:bottom w:val="single" w:sz="8" w:color="auto"/>
            </w:tcBorders>
          </w:tcPr>
          <w:p>
            <w:pPr>
              <w:spacing w:after="0"/>
              <w:rPr>
                <w:sz w:val="24"/>
                <w:szCs w:val="24"/>
                <w:color w:val="auto"/>
              </w:rPr>
            </w:pPr>
          </w:p>
        </w:tc>
        <w:tc>
          <w:tcPr>
            <w:tcW w:w="200" w:type="dxa"/>
            <w:vAlign w:val="bottom"/>
          </w:tcPr>
          <w:p>
            <w:pPr>
              <w:spacing w:after="0"/>
              <w:rPr>
                <w:sz w:val="24"/>
                <w:szCs w:val="24"/>
                <w:color w:val="auto"/>
              </w:rPr>
            </w:pPr>
          </w:p>
        </w:tc>
        <w:tc>
          <w:tcPr>
            <w:tcW w:w="340" w:type="dxa"/>
            <w:vAlign w:val="bottom"/>
            <w:tcBorders>
              <w:bottom w:val="single" w:sz="8" w:color="auto"/>
            </w:tcBorders>
          </w:tcPr>
          <w:p>
            <w:pPr>
              <w:spacing w:after="0"/>
              <w:rPr>
                <w:sz w:val="24"/>
                <w:szCs w:val="24"/>
                <w:color w:val="auto"/>
              </w:rPr>
            </w:pPr>
          </w:p>
        </w:tc>
        <w:tc>
          <w:tcPr>
            <w:tcW w:w="1800" w:type="dxa"/>
            <w:vAlign w:val="bottom"/>
            <w:tcBorders>
              <w:bottom w:val="single" w:sz="8" w:color="auto"/>
            </w:tcBorders>
            <w:gridSpan w:val="7"/>
          </w:tcPr>
          <w:p>
            <w:pPr>
              <w:jc w:val="center"/>
              <w:ind w:left="300"/>
              <w:spacing w:after="0"/>
              <w:rPr>
                <w:sz w:val="20"/>
                <w:szCs w:val="20"/>
                <w:color w:val="auto"/>
              </w:rPr>
            </w:pPr>
            <w:r>
              <w:rPr>
                <w:rFonts w:ascii="Arial" w:cs="Arial" w:eastAsia="Arial" w:hAnsi="Arial"/>
                <w:sz w:val="14"/>
                <w:szCs w:val="14"/>
                <w:b w:val="1"/>
                <w:bCs w:val="1"/>
                <w:color w:val="auto"/>
                <w:w w:val="86"/>
              </w:rPr>
              <w:t>As of January 31, 2009</w:t>
            </w:r>
          </w:p>
        </w:tc>
        <w:tc>
          <w:tcPr>
            <w:tcW w:w="40" w:type="dxa"/>
            <w:vAlign w:val="bottom"/>
            <w:tcBorders>
              <w:bottom w:val="single" w:sz="8" w:color="auto"/>
            </w:tcBorders>
          </w:tcPr>
          <w:p>
            <w:pPr>
              <w:spacing w:after="0"/>
              <w:rPr>
                <w:sz w:val="24"/>
                <w:szCs w:val="24"/>
                <w:color w:val="auto"/>
              </w:rPr>
            </w:pPr>
          </w:p>
        </w:tc>
        <w:tc>
          <w:tcPr>
            <w:tcW w:w="100" w:type="dxa"/>
            <w:vAlign w:val="bottom"/>
            <w:tcBorders>
              <w:bottom w:val="single" w:sz="8" w:color="auto"/>
            </w:tcBorders>
          </w:tcPr>
          <w:p>
            <w:pPr>
              <w:spacing w:after="0"/>
              <w:rPr>
                <w:sz w:val="24"/>
                <w:szCs w:val="24"/>
                <w:color w:val="auto"/>
              </w:rPr>
            </w:pPr>
          </w:p>
        </w:tc>
        <w:tc>
          <w:tcPr>
            <w:tcW w:w="580" w:type="dxa"/>
            <w:vAlign w:val="bottom"/>
            <w:tcBorders>
              <w:bottom w:val="single" w:sz="8" w:color="auto"/>
            </w:tcBorders>
          </w:tcPr>
          <w:p>
            <w:pPr>
              <w:spacing w:after="0"/>
              <w:rPr>
                <w:sz w:val="24"/>
                <w:szCs w:val="24"/>
                <w:color w:val="auto"/>
              </w:rPr>
            </w:pPr>
          </w:p>
        </w:tc>
        <w:tc>
          <w:tcPr>
            <w:tcW w:w="2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129"/>
        </w:trPr>
        <w:tc>
          <w:tcPr>
            <w:tcW w:w="182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2560" w:type="dxa"/>
            <w:vAlign w:val="bottom"/>
          </w:tcPr>
          <w:p>
            <w:pPr>
              <w:spacing w:after="0"/>
              <w:rPr>
                <w:sz w:val="11"/>
                <w:szCs w:val="11"/>
                <w:color w:val="auto"/>
              </w:rPr>
            </w:pPr>
          </w:p>
        </w:tc>
        <w:tc>
          <w:tcPr>
            <w:tcW w:w="1100" w:type="dxa"/>
            <w:vAlign w:val="bottom"/>
            <w:gridSpan w:val="2"/>
            <w:vMerge w:val="restart"/>
          </w:tcPr>
          <w:p>
            <w:pPr>
              <w:jc w:val="center"/>
              <w:ind w:right="220"/>
              <w:spacing w:after="0"/>
              <w:rPr>
                <w:sz w:val="20"/>
                <w:szCs w:val="20"/>
                <w:color w:val="auto"/>
              </w:rPr>
            </w:pPr>
            <w:r>
              <w:rPr>
                <w:rFonts w:ascii="Arial" w:cs="Arial" w:eastAsia="Arial" w:hAnsi="Arial"/>
                <w:sz w:val="14"/>
                <w:szCs w:val="14"/>
                <w:b w:val="1"/>
                <w:bCs w:val="1"/>
                <w:color w:val="auto"/>
                <w:w w:val="86"/>
              </w:rPr>
              <w:t>Range of</w:t>
            </w:r>
          </w:p>
        </w:tc>
        <w:tc>
          <w:tcPr>
            <w:tcW w:w="80" w:type="dxa"/>
            <w:vAlign w:val="bottom"/>
          </w:tcPr>
          <w:p>
            <w:pPr>
              <w:spacing w:after="0"/>
              <w:rPr>
                <w:sz w:val="11"/>
                <w:szCs w:val="11"/>
                <w:color w:val="auto"/>
              </w:rPr>
            </w:pPr>
          </w:p>
        </w:tc>
        <w:tc>
          <w:tcPr>
            <w:tcW w:w="920" w:type="dxa"/>
            <w:vAlign w:val="bottom"/>
            <w:gridSpan w:val="2"/>
          </w:tcPr>
          <w:p>
            <w:pPr>
              <w:jc w:val="center"/>
              <w:ind w:right="300"/>
              <w:spacing w:after="0" w:line="129" w:lineRule="exact"/>
              <w:rPr>
                <w:sz w:val="20"/>
                <w:szCs w:val="20"/>
                <w:color w:val="auto"/>
              </w:rPr>
            </w:pPr>
            <w:r>
              <w:rPr>
                <w:rFonts w:ascii="Arial" w:cs="Arial" w:eastAsia="Arial" w:hAnsi="Arial"/>
                <w:sz w:val="14"/>
                <w:szCs w:val="14"/>
                <w:b w:val="1"/>
                <w:bCs w:val="1"/>
                <w:color w:val="auto"/>
                <w:w w:val="83"/>
              </w:rPr>
              <w:t>Gross</w:t>
            </w:r>
          </w:p>
        </w:tc>
        <w:tc>
          <w:tcPr>
            <w:tcW w:w="1120" w:type="dxa"/>
            <w:vAlign w:val="bottom"/>
            <w:gridSpan w:val="3"/>
          </w:tcPr>
          <w:p>
            <w:pPr>
              <w:jc w:val="center"/>
              <w:ind w:right="260"/>
              <w:spacing w:after="0" w:line="129" w:lineRule="exact"/>
              <w:rPr>
                <w:sz w:val="20"/>
                <w:szCs w:val="20"/>
                <w:color w:val="auto"/>
              </w:rPr>
            </w:pPr>
            <w:r>
              <w:rPr>
                <w:rFonts w:ascii="Arial" w:cs="Arial" w:eastAsia="Arial" w:hAnsi="Arial"/>
                <w:sz w:val="14"/>
                <w:szCs w:val="14"/>
                <w:b w:val="1"/>
                <w:bCs w:val="1"/>
                <w:color w:val="auto"/>
                <w:w w:val="88"/>
              </w:rPr>
              <w:t>Accumulated</w:t>
            </w:r>
          </w:p>
        </w:tc>
        <w:tc>
          <w:tcPr>
            <w:tcW w:w="6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580" w:type="dxa"/>
            <w:vAlign w:val="bottom"/>
          </w:tcPr>
          <w:p>
            <w:pPr>
              <w:jc w:val="center"/>
              <w:ind w:right="17"/>
              <w:spacing w:after="0" w:line="129" w:lineRule="exact"/>
              <w:rPr>
                <w:sz w:val="20"/>
                <w:szCs w:val="20"/>
                <w:color w:val="auto"/>
              </w:rPr>
            </w:pPr>
            <w:r>
              <w:rPr>
                <w:rFonts w:ascii="Arial" w:cs="Arial" w:eastAsia="Arial" w:hAnsi="Arial"/>
                <w:sz w:val="14"/>
                <w:szCs w:val="14"/>
                <w:b w:val="1"/>
                <w:bCs w:val="1"/>
                <w:color w:val="auto"/>
                <w:w w:val="88"/>
              </w:rPr>
              <w:t>Net</w:t>
            </w:r>
          </w:p>
        </w:tc>
        <w:tc>
          <w:tcPr>
            <w:tcW w:w="200" w:type="dxa"/>
            <w:vAlign w:val="bottom"/>
          </w:tcPr>
          <w:p>
            <w:pPr>
              <w:spacing w:after="0"/>
              <w:rPr>
                <w:sz w:val="11"/>
                <w:szCs w:val="11"/>
                <w:color w:val="auto"/>
              </w:rPr>
            </w:pPr>
          </w:p>
        </w:tc>
        <w:tc>
          <w:tcPr>
            <w:tcW w:w="980" w:type="dxa"/>
            <w:vAlign w:val="bottom"/>
            <w:gridSpan w:val="4"/>
          </w:tcPr>
          <w:p>
            <w:pPr>
              <w:jc w:val="center"/>
              <w:ind w:right="200"/>
              <w:spacing w:after="0" w:line="129" w:lineRule="exact"/>
              <w:rPr>
                <w:sz w:val="20"/>
                <w:szCs w:val="20"/>
                <w:color w:val="auto"/>
              </w:rPr>
            </w:pPr>
            <w:r>
              <w:rPr>
                <w:rFonts w:ascii="Arial" w:cs="Arial" w:eastAsia="Arial" w:hAnsi="Arial"/>
                <w:sz w:val="14"/>
                <w:szCs w:val="14"/>
                <w:b w:val="1"/>
                <w:bCs w:val="1"/>
                <w:color w:val="auto"/>
                <w:w w:val="83"/>
              </w:rPr>
              <w:t>Gross</w:t>
            </w:r>
          </w:p>
        </w:tc>
        <w:tc>
          <w:tcPr>
            <w:tcW w:w="60" w:type="dxa"/>
            <w:vAlign w:val="bottom"/>
          </w:tcPr>
          <w:p>
            <w:pPr>
              <w:spacing w:after="0"/>
              <w:rPr>
                <w:sz w:val="11"/>
                <w:szCs w:val="11"/>
                <w:color w:val="auto"/>
              </w:rPr>
            </w:pPr>
          </w:p>
        </w:tc>
        <w:tc>
          <w:tcPr>
            <w:tcW w:w="1100" w:type="dxa"/>
            <w:vAlign w:val="bottom"/>
            <w:gridSpan w:val="3"/>
          </w:tcPr>
          <w:p>
            <w:pPr>
              <w:jc w:val="center"/>
              <w:ind w:right="300"/>
              <w:spacing w:after="0" w:line="129" w:lineRule="exact"/>
              <w:rPr>
                <w:sz w:val="20"/>
                <w:szCs w:val="20"/>
                <w:color w:val="auto"/>
              </w:rPr>
            </w:pPr>
            <w:r>
              <w:rPr>
                <w:rFonts w:ascii="Arial" w:cs="Arial" w:eastAsia="Arial" w:hAnsi="Arial"/>
                <w:sz w:val="14"/>
                <w:szCs w:val="14"/>
                <w:b w:val="1"/>
                <w:bCs w:val="1"/>
                <w:color w:val="auto"/>
                <w:w w:val="86"/>
              </w:rPr>
              <w:t>Accumulated</w:t>
            </w:r>
          </w:p>
        </w:tc>
        <w:tc>
          <w:tcPr>
            <w:tcW w:w="4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580" w:type="dxa"/>
            <w:vAlign w:val="bottom"/>
          </w:tcPr>
          <w:p>
            <w:pPr>
              <w:jc w:val="center"/>
              <w:ind w:right="17"/>
              <w:spacing w:after="0" w:line="129" w:lineRule="exact"/>
              <w:rPr>
                <w:sz w:val="20"/>
                <w:szCs w:val="20"/>
                <w:color w:val="auto"/>
              </w:rPr>
            </w:pPr>
            <w:r>
              <w:rPr>
                <w:rFonts w:ascii="Arial" w:cs="Arial" w:eastAsia="Arial" w:hAnsi="Arial"/>
                <w:sz w:val="14"/>
                <w:szCs w:val="14"/>
                <w:b w:val="1"/>
                <w:bCs w:val="1"/>
                <w:color w:val="auto"/>
                <w:w w:val="88"/>
              </w:rPr>
              <w:t>Net</w:t>
            </w: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5"/>
        </w:trPr>
        <w:tc>
          <w:tcPr>
            <w:tcW w:w="182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2560" w:type="dxa"/>
            <w:vAlign w:val="bottom"/>
          </w:tcPr>
          <w:p>
            <w:pPr>
              <w:spacing w:after="0"/>
              <w:rPr>
                <w:sz w:val="11"/>
                <w:szCs w:val="11"/>
                <w:color w:val="auto"/>
              </w:rPr>
            </w:pPr>
          </w:p>
        </w:tc>
        <w:tc>
          <w:tcPr>
            <w:tcW w:w="1100" w:type="dxa"/>
            <w:vAlign w:val="bottom"/>
            <w:gridSpan w:val="2"/>
            <w:vMerge w:val="continue"/>
          </w:tcPr>
          <w:p>
            <w:pPr>
              <w:spacing w:after="0"/>
              <w:rPr>
                <w:sz w:val="11"/>
                <w:szCs w:val="11"/>
                <w:color w:val="auto"/>
              </w:rPr>
            </w:pPr>
          </w:p>
        </w:tc>
        <w:tc>
          <w:tcPr>
            <w:tcW w:w="80" w:type="dxa"/>
            <w:vAlign w:val="bottom"/>
          </w:tcPr>
          <w:p>
            <w:pPr>
              <w:spacing w:after="0"/>
              <w:rPr>
                <w:sz w:val="11"/>
                <w:szCs w:val="11"/>
                <w:color w:val="auto"/>
              </w:rPr>
            </w:pPr>
          </w:p>
        </w:tc>
        <w:tc>
          <w:tcPr>
            <w:tcW w:w="920" w:type="dxa"/>
            <w:vAlign w:val="bottom"/>
            <w:gridSpan w:val="2"/>
          </w:tcPr>
          <w:p>
            <w:pPr>
              <w:jc w:val="center"/>
              <w:ind w:right="300"/>
              <w:spacing w:after="0" w:line="135" w:lineRule="exact"/>
              <w:rPr>
                <w:sz w:val="20"/>
                <w:szCs w:val="20"/>
                <w:color w:val="auto"/>
              </w:rPr>
            </w:pPr>
            <w:r>
              <w:rPr>
                <w:rFonts w:ascii="Arial" w:cs="Arial" w:eastAsia="Arial" w:hAnsi="Arial"/>
                <w:sz w:val="14"/>
                <w:szCs w:val="14"/>
                <w:b w:val="1"/>
                <w:bCs w:val="1"/>
                <w:color w:val="auto"/>
                <w:w w:val="93"/>
              </w:rPr>
              <w:t>Carrying</w:t>
            </w:r>
          </w:p>
        </w:tc>
        <w:tc>
          <w:tcPr>
            <w:tcW w:w="1120" w:type="dxa"/>
            <w:vAlign w:val="bottom"/>
            <w:gridSpan w:val="3"/>
          </w:tcPr>
          <w:p>
            <w:pPr>
              <w:jc w:val="center"/>
              <w:ind w:right="260"/>
              <w:spacing w:after="0" w:line="135" w:lineRule="exact"/>
              <w:rPr>
                <w:sz w:val="20"/>
                <w:szCs w:val="20"/>
                <w:color w:val="auto"/>
              </w:rPr>
            </w:pPr>
            <w:r>
              <w:rPr>
                <w:rFonts w:ascii="Arial" w:cs="Arial" w:eastAsia="Arial" w:hAnsi="Arial"/>
                <w:sz w:val="14"/>
                <w:szCs w:val="14"/>
                <w:b w:val="1"/>
                <w:bCs w:val="1"/>
                <w:color w:val="auto"/>
                <w:w w:val="91"/>
              </w:rPr>
              <w:t>Amortization</w:t>
            </w:r>
          </w:p>
        </w:tc>
        <w:tc>
          <w:tcPr>
            <w:tcW w:w="60" w:type="dxa"/>
            <w:vAlign w:val="bottom"/>
          </w:tcPr>
          <w:p>
            <w:pPr>
              <w:spacing w:after="0"/>
              <w:rPr>
                <w:sz w:val="11"/>
                <w:szCs w:val="11"/>
                <w:color w:val="auto"/>
              </w:rPr>
            </w:pPr>
          </w:p>
        </w:tc>
        <w:tc>
          <w:tcPr>
            <w:tcW w:w="680" w:type="dxa"/>
            <w:vAlign w:val="bottom"/>
            <w:gridSpan w:val="2"/>
          </w:tcPr>
          <w:p>
            <w:pPr>
              <w:jc w:val="center"/>
              <w:spacing w:after="0" w:line="135" w:lineRule="exact"/>
              <w:rPr>
                <w:sz w:val="20"/>
                <w:szCs w:val="20"/>
                <w:color w:val="auto"/>
              </w:rPr>
            </w:pPr>
            <w:r>
              <w:rPr>
                <w:rFonts w:ascii="Arial" w:cs="Arial" w:eastAsia="Arial" w:hAnsi="Arial"/>
                <w:sz w:val="14"/>
                <w:szCs w:val="14"/>
                <w:b w:val="1"/>
                <w:bCs w:val="1"/>
                <w:color w:val="auto"/>
                <w:w w:val="90"/>
              </w:rPr>
              <w:t>Carrying</w:t>
            </w:r>
          </w:p>
        </w:tc>
        <w:tc>
          <w:tcPr>
            <w:tcW w:w="200" w:type="dxa"/>
            <w:vAlign w:val="bottom"/>
          </w:tcPr>
          <w:p>
            <w:pPr>
              <w:spacing w:after="0"/>
              <w:rPr>
                <w:sz w:val="11"/>
                <w:szCs w:val="11"/>
                <w:color w:val="auto"/>
              </w:rPr>
            </w:pPr>
          </w:p>
        </w:tc>
        <w:tc>
          <w:tcPr>
            <w:tcW w:w="980" w:type="dxa"/>
            <w:vAlign w:val="bottom"/>
            <w:gridSpan w:val="4"/>
          </w:tcPr>
          <w:p>
            <w:pPr>
              <w:jc w:val="center"/>
              <w:ind w:right="200"/>
              <w:spacing w:after="0" w:line="135" w:lineRule="exact"/>
              <w:rPr>
                <w:sz w:val="20"/>
                <w:szCs w:val="20"/>
                <w:color w:val="auto"/>
              </w:rPr>
            </w:pPr>
            <w:r>
              <w:rPr>
                <w:rFonts w:ascii="Arial" w:cs="Arial" w:eastAsia="Arial" w:hAnsi="Arial"/>
                <w:sz w:val="14"/>
                <w:szCs w:val="14"/>
                <w:b w:val="1"/>
                <w:bCs w:val="1"/>
                <w:color w:val="auto"/>
                <w:w w:val="93"/>
              </w:rPr>
              <w:t>Carrying</w:t>
            </w:r>
          </w:p>
        </w:tc>
        <w:tc>
          <w:tcPr>
            <w:tcW w:w="60" w:type="dxa"/>
            <w:vAlign w:val="bottom"/>
          </w:tcPr>
          <w:p>
            <w:pPr>
              <w:spacing w:after="0"/>
              <w:rPr>
                <w:sz w:val="11"/>
                <w:szCs w:val="11"/>
                <w:color w:val="auto"/>
              </w:rPr>
            </w:pPr>
          </w:p>
        </w:tc>
        <w:tc>
          <w:tcPr>
            <w:tcW w:w="1100" w:type="dxa"/>
            <w:vAlign w:val="bottom"/>
            <w:gridSpan w:val="3"/>
          </w:tcPr>
          <w:p>
            <w:pPr>
              <w:jc w:val="center"/>
              <w:ind w:right="320"/>
              <w:spacing w:after="0" w:line="135" w:lineRule="exact"/>
              <w:rPr>
                <w:sz w:val="20"/>
                <w:szCs w:val="20"/>
                <w:color w:val="auto"/>
              </w:rPr>
            </w:pPr>
            <w:r>
              <w:rPr>
                <w:rFonts w:ascii="Arial" w:cs="Arial" w:eastAsia="Arial" w:hAnsi="Arial"/>
                <w:sz w:val="14"/>
                <w:szCs w:val="14"/>
                <w:b w:val="1"/>
                <w:bCs w:val="1"/>
                <w:color w:val="auto"/>
                <w:w w:val="91"/>
              </w:rPr>
              <w:t>Amortization</w:t>
            </w:r>
          </w:p>
        </w:tc>
        <w:tc>
          <w:tcPr>
            <w:tcW w:w="40" w:type="dxa"/>
            <w:vAlign w:val="bottom"/>
          </w:tcPr>
          <w:p>
            <w:pPr>
              <w:spacing w:after="0"/>
              <w:rPr>
                <w:sz w:val="11"/>
                <w:szCs w:val="11"/>
                <w:color w:val="auto"/>
              </w:rPr>
            </w:pPr>
          </w:p>
        </w:tc>
        <w:tc>
          <w:tcPr>
            <w:tcW w:w="700" w:type="dxa"/>
            <w:vAlign w:val="bottom"/>
            <w:gridSpan w:val="3"/>
          </w:tcPr>
          <w:p>
            <w:pPr>
              <w:jc w:val="center"/>
              <w:ind w:right="20"/>
              <w:spacing w:after="0" w:line="135" w:lineRule="exact"/>
              <w:rPr>
                <w:sz w:val="20"/>
                <w:szCs w:val="20"/>
                <w:color w:val="auto"/>
              </w:rPr>
            </w:pPr>
            <w:r>
              <w:rPr>
                <w:rFonts w:ascii="Arial" w:cs="Arial" w:eastAsia="Arial" w:hAnsi="Arial"/>
                <w:sz w:val="14"/>
                <w:szCs w:val="14"/>
                <w:b w:val="1"/>
                <w:bCs w:val="1"/>
                <w:color w:val="auto"/>
                <w:w w:val="90"/>
              </w:rPr>
              <w:t>Carrying</w:t>
            </w:r>
          </w:p>
        </w:tc>
        <w:tc>
          <w:tcPr>
            <w:tcW w:w="0" w:type="dxa"/>
            <w:vAlign w:val="bottom"/>
          </w:tcPr>
          <w:p>
            <w:pPr>
              <w:spacing w:after="0"/>
              <w:rPr>
                <w:sz w:val="1"/>
                <w:szCs w:val="1"/>
                <w:color w:val="auto"/>
              </w:rPr>
            </w:pPr>
          </w:p>
        </w:tc>
      </w:tr>
      <w:tr>
        <w:trPr>
          <w:trHeight w:val="175"/>
        </w:trPr>
        <w:tc>
          <w:tcPr>
            <w:tcW w:w="182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2560" w:type="dxa"/>
            <w:vAlign w:val="bottom"/>
          </w:tcPr>
          <w:p>
            <w:pPr>
              <w:spacing w:after="0"/>
              <w:rPr>
                <w:sz w:val="15"/>
                <w:szCs w:val="15"/>
                <w:color w:val="auto"/>
              </w:rPr>
            </w:pPr>
          </w:p>
        </w:tc>
        <w:tc>
          <w:tcPr>
            <w:tcW w:w="880" w:type="dxa"/>
            <w:vAlign w:val="bottom"/>
          </w:tcPr>
          <w:p>
            <w:pPr>
              <w:jc w:val="center"/>
              <w:spacing w:after="0"/>
              <w:rPr>
                <w:sz w:val="20"/>
                <w:szCs w:val="20"/>
                <w:color w:val="auto"/>
              </w:rPr>
            </w:pPr>
            <w:r>
              <w:rPr>
                <w:rFonts w:ascii="Arial" w:cs="Arial" w:eastAsia="Arial" w:hAnsi="Arial"/>
                <w:sz w:val="14"/>
                <w:szCs w:val="14"/>
                <w:b w:val="1"/>
                <w:bCs w:val="1"/>
                <w:color w:val="auto"/>
                <w:w w:val="87"/>
              </w:rPr>
              <w:t>Useful Lives</w:t>
            </w:r>
          </w:p>
        </w:tc>
        <w:tc>
          <w:tcPr>
            <w:tcW w:w="220" w:type="dxa"/>
            <w:vAlign w:val="bottom"/>
          </w:tcPr>
          <w:p>
            <w:pPr>
              <w:spacing w:after="0"/>
              <w:rPr>
                <w:sz w:val="15"/>
                <w:szCs w:val="15"/>
                <w:color w:val="auto"/>
              </w:rPr>
            </w:pPr>
          </w:p>
        </w:tc>
        <w:tc>
          <w:tcPr>
            <w:tcW w:w="80" w:type="dxa"/>
            <w:vAlign w:val="bottom"/>
          </w:tcPr>
          <w:p>
            <w:pPr>
              <w:spacing w:after="0"/>
              <w:rPr>
                <w:sz w:val="15"/>
                <w:szCs w:val="15"/>
                <w:color w:val="auto"/>
              </w:rPr>
            </w:pPr>
          </w:p>
        </w:tc>
        <w:tc>
          <w:tcPr>
            <w:tcW w:w="700" w:type="dxa"/>
            <w:vAlign w:val="bottom"/>
          </w:tcPr>
          <w:p>
            <w:pPr>
              <w:jc w:val="center"/>
              <w:spacing w:after="0"/>
              <w:rPr>
                <w:sz w:val="20"/>
                <w:szCs w:val="20"/>
                <w:color w:val="auto"/>
              </w:rPr>
            </w:pPr>
            <w:r>
              <w:rPr>
                <w:rFonts w:ascii="Arial" w:cs="Arial" w:eastAsia="Arial" w:hAnsi="Arial"/>
                <w:sz w:val="14"/>
                <w:szCs w:val="14"/>
                <w:b w:val="1"/>
                <w:bCs w:val="1"/>
                <w:color w:val="auto"/>
                <w:w w:val="86"/>
              </w:rPr>
              <w:t>Amount</w:t>
            </w:r>
          </w:p>
        </w:tc>
        <w:tc>
          <w:tcPr>
            <w:tcW w:w="220" w:type="dxa"/>
            <w:vAlign w:val="bottom"/>
          </w:tcPr>
          <w:p>
            <w:pPr>
              <w:spacing w:after="0"/>
              <w:rPr>
                <w:sz w:val="15"/>
                <w:szCs w:val="15"/>
                <w:color w:val="auto"/>
              </w:rPr>
            </w:pPr>
          </w:p>
        </w:tc>
        <w:tc>
          <w:tcPr>
            <w:tcW w:w="1120" w:type="dxa"/>
            <w:vAlign w:val="bottom"/>
            <w:gridSpan w:val="3"/>
          </w:tcPr>
          <w:p>
            <w:pPr>
              <w:jc w:val="center"/>
              <w:ind w:right="260"/>
              <w:spacing w:after="0"/>
              <w:rPr>
                <w:sz w:val="20"/>
                <w:szCs w:val="20"/>
                <w:color w:val="auto"/>
              </w:rPr>
            </w:pPr>
            <w:r>
              <w:rPr>
                <w:rFonts w:ascii="Arial" w:cs="Arial" w:eastAsia="Arial" w:hAnsi="Arial"/>
                <w:sz w:val="14"/>
                <w:szCs w:val="14"/>
                <w:b w:val="1"/>
                <w:bCs w:val="1"/>
                <w:color w:val="auto"/>
                <w:w w:val="89"/>
              </w:rPr>
              <w:t>and Write-Offs</w:t>
            </w:r>
          </w:p>
        </w:tc>
        <w:tc>
          <w:tcPr>
            <w:tcW w:w="60" w:type="dxa"/>
            <w:vAlign w:val="bottom"/>
          </w:tcPr>
          <w:p>
            <w:pPr>
              <w:spacing w:after="0"/>
              <w:rPr>
                <w:sz w:val="15"/>
                <w:szCs w:val="15"/>
                <w:color w:val="auto"/>
              </w:rPr>
            </w:pPr>
          </w:p>
        </w:tc>
        <w:tc>
          <w:tcPr>
            <w:tcW w:w="100" w:type="dxa"/>
            <w:vAlign w:val="bottom"/>
          </w:tcPr>
          <w:p>
            <w:pPr>
              <w:spacing w:after="0"/>
              <w:rPr>
                <w:sz w:val="15"/>
                <w:szCs w:val="15"/>
                <w:color w:val="auto"/>
              </w:rPr>
            </w:pPr>
          </w:p>
        </w:tc>
        <w:tc>
          <w:tcPr>
            <w:tcW w:w="580" w:type="dxa"/>
            <w:vAlign w:val="bottom"/>
          </w:tcPr>
          <w:p>
            <w:pPr>
              <w:jc w:val="center"/>
              <w:ind w:right="17"/>
              <w:spacing w:after="0"/>
              <w:rPr>
                <w:sz w:val="20"/>
                <w:szCs w:val="20"/>
                <w:color w:val="auto"/>
              </w:rPr>
            </w:pPr>
            <w:r>
              <w:rPr>
                <w:rFonts w:ascii="Arial" w:cs="Arial" w:eastAsia="Arial" w:hAnsi="Arial"/>
                <w:sz w:val="14"/>
                <w:szCs w:val="14"/>
                <w:b w:val="1"/>
                <w:bCs w:val="1"/>
                <w:color w:val="auto"/>
                <w:w w:val="90"/>
              </w:rPr>
              <w:t>Amount</w:t>
            </w:r>
          </w:p>
        </w:tc>
        <w:tc>
          <w:tcPr>
            <w:tcW w:w="200" w:type="dxa"/>
            <w:vAlign w:val="bottom"/>
          </w:tcPr>
          <w:p>
            <w:pPr>
              <w:spacing w:after="0"/>
              <w:rPr>
                <w:sz w:val="15"/>
                <w:szCs w:val="15"/>
                <w:color w:val="auto"/>
              </w:rPr>
            </w:pPr>
          </w:p>
        </w:tc>
        <w:tc>
          <w:tcPr>
            <w:tcW w:w="980" w:type="dxa"/>
            <w:vAlign w:val="bottom"/>
            <w:gridSpan w:val="4"/>
          </w:tcPr>
          <w:p>
            <w:pPr>
              <w:jc w:val="center"/>
              <w:ind w:right="180"/>
              <w:spacing w:after="0"/>
              <w:rPr>
                <w:sz w:val="20"/>
                <w:szCs w:val="20"/>
                <w:color w:val="auto"/>
              </w:rPr>
            </w:pPr>
            <w:r>
              <w:rPr>
                <w:rFonts w:ascii="Arial" w:cs="Arial" w:eastAsia="Arial" w:hAnsi="Arial"/>
                <w:sz w:val="14"/>
                <w:szCs w:val="14"/>
                <w:b w:val="1"/>
                <w:bCs w:val="1"/>
                <w:color w:val="auto"/>
                <w:w w:val="90"/>
              </w:rPr>
              <w:t>Amount</w:t>
            </w:r>
          </w:p>
        </w:tc>
        <w:tc>
          <w:tcPr>
            <w:tcW w:w="60" w:type="dxa"/>
            <w:vAlign w:val="bottom"/>
          </w:tcPr>
          <w:p>
            <w:pPr>
              <w:spacing w:after="0"/>
              <w:rPr>
                <w:sz w:val="15"/>
                <w:szCs w:val="15"/>
                <w:color w:val="auto"/>
              </w:rPr>
            </w:pPr>
          </w:p>
        </w:tc>
        <w:tc>
          <w:tcPr>
            <w:tcW w:w="1100" w:type="dxa"/>
            <w:vAlign w:val="bottom"/>
            <w:gridSpan w:val="3"/>
          </w:tcPr>
          <w:p>
            <w:pPr>
              <w:jc w:val="center"/>
              <w:ind w:right="260"/>
              <w:spacing w:after="0"/>
              <w:rPr>
                <w:sz w:val="20"/>
                <w:szCs w:val="20"/>
                <w:color w:val="auto"/>
              </w:rPr>
            </w:pPr>
            <w:r>
              <w:rPr>
                <w:rFonts w:ascii="Arial" w:cs="Arial" w:eastAsia="Arial" w:hAnsi="Arial"/>
                <w:sz w:val="14"/>
                <w:szCs w:val="14"/>
                <w:b w:val="1"/>
                <w:bCs w:val="1"/>
                <w:color w:val="auto"/>
                <w:w w:val="87"/>
              </w:rPr>
              <w:t>and Write-Offs</w:t>
            </w:r>
          </w:p>
        </w:tc>
        <w:tc>
          <w:tcPr>
            <w:tcW w:w="40" w:type="dxa"/>
            <w:vAlign w:val="bottom"/>
          </w:tcPr>
          <w:p>
            <w:pPr>
              <w:spacing w:after="0"/>
              <w:rPr>
                <w:sz w:val="15"/>
                <w:szCs w:val="15"/>
                <w:color w:val="auto"/>
              </w:rPr>
            </w:pPr>
          </w:p>
        </w:tc>
        <w:tc>
          <w:tcPr>
            <w:tcW w:w="100" w:type="dxa"/>
            <w:vAlign w:val="bottom"/>
          </w:tcPr>
          <w:p>
            <w:pPr>
              <w:spacing w:after="0"/>
              <w:rPr>
                <w:sz w:val="15"/>
                <w:szCs w:val="15"/>
                <w:color w:val="auto"/>
              </w:rPr>
            </w:pPr>
          </w:p>
        </w:tc>
        <w:tc>
          <w:tcPr>
            <w:tcW w:w="600" w:type="dxa"/>
            <w:vAlign w:val="bottom"/>
            <w:gridSpan w:val="2"/>
          </w:tcPr>
          <w:p>
            <w:pPr>
              <w:jc w:val="center"/>
              <w:ind w:right="120"/>
              <w:spacing w:after="0"/>
              <w:rPr>
                <w:sz w:val="20"/>
                <w:szCs w:val="20"/>
                <w:color w:val="auto"/>
              </w:rPr>
            </w:pPr>
            <w:r>
              <w:rPr>
                <w:rFonts w:ascii="Arial" w:cs="Arial" w:eastAsia="Arial" w:hAnsi="Arial"/>
                <w:sz w:val="14"/>
                <w:szCs w:val="14"/>
                <w:b w:val="1"/>
                <w:bCs w:val="1"/>
                <w:color w:val="auto"/>
                <w:w w:val="90"/>
              </w:rPr>
              <w:t>Amount</w:t>
            </w:r>
          </w:p>
        </w:tc>
        <w:tc>
          <w:tcPr>
            <w:tcW w:w="0" w:type="dxa"/>
            <w:vAlign w:val="bottom"/>
          </w:tcPr>
          <w:p>
            <w:pPr>
              <w:spacing w:after="0"/>
              <w:rPr>
                <w:sz w:val="1"/>
                <w:szCs w:val="1"/>
                <w:color w:val="auto"/>
              </w:rPr>
            </w:pPr>
          </w:p>
        </w:tc>
      </w:tr>
      <w:tr>
        <w:trPr>
          <w:trHeight w:val="20"/>
        </w:trPr>
        <w:tc>
          <w:tcPr>
            <w:tcW w:w="18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560" w:type="dxa"/>
            <w:vAlign w:val="bottom"/>
          </w:tcPr>
          <w:p>
            <w:pPr>
              <w:spacing w:after="0" w:line="20" w:lineRule="exact"/>
              <w:rPr>
                <w:sz w:val="1"/>
                <w:szCs w:val="1"/>
                <w:color w:val="auto"/>
              </w:rPr>
            </w:pPr>
          </w:p>
        </w:tc>
        <w:tc>
          <w:tcPr>
            <w:tcW w:w="880" w:type="dxa"/>
            <w:vAlign w:val="bottom"/>
            <w:shd w:val="clear" w:color="auto" w:fill="000000"/>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80" w:type="dxa"/>
            <w:vAlign w:val="bottom"/>
            <w:shd w:val="clear" w:color="auto" w:fill="000000"/>
          </w:tcPr>
          <w:p>
            <w:pPr>
              <w:spacing w:after="0" w:line="20" w:lineRule="exact"/>
              <w:rPr>
                <w:sz w:val="1"/>
                <w:szCs w:val="1"/>
                <w:color w:val="auto"/>
              </w:rPr>
            </w:pPr>
          </w:p>
        </w:tc>
        <w:tc>
          <w:tcPr>
            <w:tcW w:w="700" w:type="dxa"/>
            <w:vAlign w:val="bottom"/>
            <w:shd w:val="clear" w:color="auto" w:fill="000000"/>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160" w:type="dxa"/>
            <w:vAlign w:val="bottom"/>
            <w:shd w:val="clear" w:color="auto" w:fill="000000"/>
          </w:tcPr>
          <w:p>
            <w:pPr>
              <w:spacing w:after="0" w:line="20" w:lineRule="exact"/>
              <w:rPr>
                <w:sz w:val="1"/>
                <w:szCs w:val="1"/>
                <w:color w:val="auto"/>
              </w:rPr>
            </w:pPr>
          </w:p>
        </w:tc>
        <w:tc>
          <w:tcPr>
            <w:tcW w:w="700" w:type="dxa"/>
            <w:vAlign w:val="bottom"/>
            <w:shd w:val="clear" w:color="auto" w:fill="000000"/>
          </w:tcPr>
          <w:p>
            <w:pPr>
              <w:spacing w:after="0" w:line="20" w:lineRule="exact"/>
              <w:rPr>
                <w:sz w:val="1"/>
                <w:szCs w:val="1"/>
                <w:color w:val="auto"/>
              </w:rPr>
            </w:pPr>
          </w:p>
        </w:tc>
        <w:tc>
          <w:tcPr>
            <w:tcW w:w="26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100" w:type="dxa"/>
            <w:vAlign w:val="bottom"/>
            <w:shd w:val="clear" w:color="auto" w:fill="000000"/>
          </w:tcPr>
          <w:p>
            <w:pPr>
              <w:spacing w:after="0" w:line="20" w:lineRule="exact"/>
              <w:rPr>
                <w:sz w:val="1"/>
                <w:szCs w:val="1"/>
                <w:color w:val="auto"/>
              </w:rPr>
            </w:pPr>
          </w:p>
        </w:tc>
        <w:tc>
          <w:tcPr>
            <w:tcW w:w="580" w:type="dxa"/>
            <w:vAlign w:val="bottom"/>
            <w:shd w:val="clear" w:color="auto" w:fill="000000"/>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340" w:type="dxa"/>
            <w:vAlign w:val="bottom"/>
            <w:shd w:val="clear" w:color="auto" w:fill="000000"/>
          </w:tcPr>
          <w:p>
            <w:pPr>
              <w:spacing w:after="0" w:line="20" w:lineRule="exact"/>
              <w:rPr>
                <w:sz w:val="1"/>
                <w:szCs w:val="1"/>
                <w:color w:val="auto"/>
              </w:rPr>
            </w:pPr>
          </w:p>
        </w:tc>
        <w:tc>
          <w:tcPr>
            <w:tcW w:w="460" w:type="dxa"/>
            <w:vAlign w:val="bottom"/>
            <w:shd w:val="clear" w:color="auto" w:fill="000000"/>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60" w:type="dxa"/>
            <w:vAlign w:val="bottom"/>
            <w:tcBorders>
              <w:right w:val="single" w:sz="8" w:color="auto"/>
            </w:tcBorders>
          </w:tcPr>
          <w:p>
            <w:pPr>
              <w:spacing w:after="0" w:line="20" w:lineRule="exact"/>
              <w:rPr>
                <w:sz w:val="1"/>
                <w:szCs w:val="1"/>
                <w:color w:val="auto"/>
              </w:rPr>
            </w:pPr>
          </w:p>
        </w:tc>
        <w:tc>
          <w:tcPr>
            <w:tcW w:w="120" w:type="dxa"/>
            <w:vAlign w:val="bottom"/>
            <w:shd w:val="clear" w:color="auto" w:fill="000000"/>
          </w:tcPr>
          <w:p>
            <w:pPr>
              <w:spacing w:after="0" w:line="20" w:lineRule="exact"/>
              <w:rPr>
                <w:sz w:val="1"/>
                <w:szCs w:val="1"/>
                <w:color w:val="auto"/>
              </w:rPr>
            </w:pPr>
          </w:p>
        </w:tc>
        <w:tc>
          <w:tcPr>
            <w:tcW w:w="720" w:type="dxa"/>
            <w:vAlign w:val="bottom"/>
            <w:shd w:val="clear" w:color="auto" w:fill="000000"/>
          </w:tcPr>
          <w:p>
            <w:pPr>
              <w:spacing w:after="0" w:line="20" w:lineRule="exact"/>
              <w:rPr>
                <w:sz w:val="1"/>
                <w:szCs w:val="1"/>
                <w:color w:val="auto"/>
              </w:rPr>
            </w:pPr>
          </w:p>
        </w:tc>
        <w:tc>
          <w:tcPr>
            <w:tcW w:w="26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100" w:type="dxa"/>
            <w:vAlign w:val="bottom"/>
            <w:shd w:val="clear" w:color="auto" w:fill="000000"/>
          </w:tcPr>
          <w:p>
            <w:pPr>
              <w:spacing w:after="0" w:line="20" w:lineRule="exact"/>
              <w:rPr>
                <w:sz w:val="1"/>
                <w:szCs w:val="1"/>
                <w:color w:val="auto"/>
              </w:rPr>
            </w:pPr>
          </w:p>
        </w:tc>
        <w:tc>
          <w:tcPr>
            <w:tcW w:w="580" w:type="dxa"/>
            <w:vAlign w:val="bottom"/>
            <w:shd w:val="clear" w:color="auto" w:fill="000000"/>
          </w:tcPr>
          <w:p>
            <w:pPr>
              <w:spacing w:after="0" w:line="20" w:lineRule="exact"/>
              <w:rPr>
                <w:sz w:val="1"/>
                <w:szCs w:val="1"/>
                <w:color w:val="auto"/>
              </w:rPr>
            </w:pPr>
          </w:p>
        </w:tc>
        <w:tc>
          <w:tcPr>
            <w:tcW w:w="20" w:type="dxa"/>
            <w:vAlign w:val="bottom"/>
            <w:vMerge w:val="restart"/>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10"/>
        </w:trPr>
        <w:tc>
          <w:tcPr>
            <w:tcW w:w="1820" w:type="dxa"/>
            <w:vAlign w:val="bottom"/>
            <w:shd w:val="clear" w:color="auto" w:fill="CCEEFF"/>
          </w:tcPr>
          <w:p>
            <w:pPr>
              <w:spacing w:after="0"/>
              <w:rPr>
                <w:sz w:val="20"/>
                <w:szCs w:val="20"/>
                <w:color w:val="auto"/>
              </w:rPr>
            </w:pPr>
            <w:r>
              <w:rPr>
                <w:rFonts w:ascii="Arial" w:cs="Arial" w:eastAsia="Arial" w:hAnsi="Arial"/>
                <w:sz w:val="18"/>
                <w:szCs w:val="18"/>
                <w:color w:val="auto"/>
              </w:rPr>
              <w:t>Purchased technology</w:t>
            </w:r>
          </w:p>
        </w:tc>
        <w:tc>
          <w:tcPr>
            <w:tcW w:w="20" w:type="dxa"/>
            <w:vAlign w:val="bottom"/>
            <w:shd w:val="clear" w:color="auto" w:fill="CCEEFF"/>
          </w:tcPr>
          <w:p>
            <w:pPr>
              <w:spacing w:after="0"/>
              <w:rPr>
                <w:sz w:val="18"/>
                <w:szCs w:val="18"/>
                <w:color w:val="auto"/>
              </w:rPr>
            </w:pPr>
          </w:p>
        </w:tc>
        <w:tc>
          <w:tcPr>
            <w:tcW w:w="2560" w:type="dxa"/>
            <w:vAlign w:val="bottom"/>
            <w:shd w:val="clear" w:color="auto" w:fill="CCEEFF"/>
          </w:tcPr>
          <w:p>
            <w:pPr>
              <w:spacing w:after="0"/>
              <w:rPr>
                <w:sz w:val="18"/>
                <w:szCs w:val="18"/>
                <w:color w:val="auto"/>
              </w:rPr>
            </w:pPr>
          </w:p>
        </w:tc>
        <w:tc>
          <w:tcPr>
            <w:tcW w:w="880" w:type="dxa"/>
            <w:vAlign w:val="bottom"/>
            <w:shd w:val="clear" w:color="auto" w:fill="CCEEFF"/>
          </w:tcPr>
          <w:p>
            <w:pPr>
              <w:jc w:val="center"/>
              <w:spacing w:after="0"/>
              <w:rPr>
                <w:sz w:val="20"/>
                <w:szCs w:val="20"/>
                <w:color w:val="auto"/>
              </w:rPr>
            </w:pPr>
            <w:r>
              <w:rPr>
                <w:rFonts w:ascii="Arial" w:cs="Arial" w:eastAsia="Arial" w:hAnsi="Arial"/>
                <w:sz w:val="18"/>
                <w:szCs w:val="18"/>
                <w:color w:val="auto"/>
                <w:w w:val="85"/>
              </w:rPr>
              <w:t>1 – 7 years</w:t>
            </w:r>
          </w:p>
        </w:tc>
        <w:tc>
          <w:tcPr>
            <w:tcW w:w="220" w:type="dxa"/>
            <w:vAlign w:val="bottom"/>
            <w:shd w:val="clear" w:color="auto" w:fill="CCEEFF"/>
          </w:tcPr>
          <w:p>
            <w:pPr>
              <w:spacing w:after="0"/>
              <w:rPr>
                <w:sz w:val="18"/>
                <w:szCs w:val="18"/>
                <w:color w:val="auto"/>
              </w:rPr>
            </w:pPr>
          </w:p>
        </w:tc>
        <w:tc>
          <w:tcPr>
            <w:tcW w:w="80" w:type="dxa"/>
            <w:vAlign w:val="bottom"/>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714,640</w:t>
            </w:r>
          </w:p>
        </w:tc>
        <w:tc>
          <w:tcPr>
            <w:tcW w:w="220" w:type="dxa"/>
            <w:vAlign w:val="bottom"/>
            <w:shd w:val="clear" w:color="auto" w:fill="CCEEFF"/>
          </w:tcPr>
          <w:p>
            <w:pPr>
              <w:spacing w:after="0"/>
              <w:rPr>
                <w:sz w:val="18"/>
                <w:szCs w:val="18"/>
                <w:color w:val="auto"/>
              </w:rPr>
            </w:pPr>
          </w:p>
        </w:tc>
        <w:tc>
          <w:tcPr>
            <w:tcW w:w="160" w:type="dxa"/>
            <w:vAlign w:val="bottom"/>
            <w:shd w:val="clear" w:color="auto" w:fill="CCEEFF"/>
          </w:tcPr>
          <w:p>
            <w:pPr>
              <w:jc w:val="right"/>
              <w:ind w:right="9"/>
              <w:spacing w:after="0"/>
              <w:rPr>
                <w:sz w:val="20"/>
                <w:szCs w:val="20"/>
                <w:color w:val="auto"/>
              </w:rPr>
            </w:pPr>
            <w:r>
              <w:rPr>
                <w:rFonts w:ascii="Arial" w:cs="Arial" w:eastAsia="Arial" w:hAnsi="Arial"/>
                <w:sz w:val="15"/>
                <w:szCs w:val="15"/>
                <w:color w:val="auto"/>
                <w:w w:val="71"/>
              </w:rPr>
              <w:t>$</w:t>
            </w:r>
          </w:p>
        </w:tc>
        <w:tc>
          <w:tcPr>
            <w:tcW w:w="96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w w:val="95"/>
              </w:rPr>
              <w:t>(652,746)</w:t>
            </w:r>
          </w:p>
        </w:tc>
        <w:tc>
          <w:tcPr>
            <w:tcW w:w="16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61,894</w:t>
            </w:r>
          </w:p>
        </w:tc>
        <w:tc>
          <w:tcPr>
            <w:tcW w:w="1000" w:type="dxa"/>
            <w:vAlign w:val="bottom"/>
            <w:gridSpan w:val="3"/>
            <w:shd w:val="clear" w:color="auto" w:fill="CCEEFF"/>
          </w:tcPr>
          <w:p>
            <w:pPr>
              <w:jc w:val="right"/>
              <w:spacing w:after="0"/>
              <w:rPr>
                <w:sz w:val="20"/>
                <w:szCs w:val="20"/>
                <w:color w:val="auto"/>
              </w:rPr>
            </w:pPr>
            <w:r>
              <w:rPr>
                <w:rFonts w:ascii="Arial" w:cs="Arial" w:eastAsia="Arial" w:hAnsi="Arial"/>
                <w:sz w:val="18"/>
                <w:szCs w:val="18"/>
                <w:color w:val="auto"/>
              </w:rPr>
              <w:t>$  714,640</w:t>
            </w:r>
          </w:p>
        </w:tc>
        <w:tc>
          <w:tcPr>
            <w:tcW w:w="120" w:type="dxa"/>
            <w:vAlign w:val="bottom"/>
            <w:shd w:val="clear" w:color="auto" w:fill="CCEEFF"/>
          </w:tcPr>
          <w:p>
            <w:pPr>
              <w:spacing w:after="0"/>
              <w:rPr>
                <w:sz w:val="18"/>
                <w:szCs w:val="18"/>
                <w:color w:val="auto"/>
              </w:rPr>
            </w:pPr>
          </w:p>
        </w:tc>
        <w:tc>
          <w:tcPr>
            <w:tcW w:w="60" w:type="dxa"/>
            <w:vAlign w:val="bottom"/>
            <w:shd w:val="clear" w:color="auto" w:fill="CCEEFF"/>
          </w:tcPr>
          <w:p>
            <w:pPr>
              <w:spacing w:after="0"/>
              <w:rPr>
                <w:sz w:val="18"/>
                <w:szCs w:val="18"/>
                <w:color w:val="auto"/>
              </w:rPr>
            </w:pPr>
          </w:p>
        </w:tc>
        <w:tc>
          <w:tcPr>
            <w:tcW w:w="180" w:type="dxa"/>
            <w:vAlign w:val="bottom"/>
            <w:gridSpan w:val="2"/>
            <w:shd w:val="clear" w:color="auto" w:fill="CCEEFF"/>
          </w:tcPr>
          <w:p>
            <w:pPr>
              <w:jc w:val="right"/>
              <w:ind w:right="12"/>
              <w:spacing w:after="0"/>
              <w:rPr>
                <w:sz w:val="20"/>
                <w:szCs w:val="20"/>
                <w:color w:val="auto"/>
              </w:rPr>
            </w:pPr>
            <w:r>
              <w:rPr>
                <w:rFonts w:ascii="Arial" w:cs="Arial" w:eastAsia="Arial" w:hAnsi="Arial"/>
                <w:sz w:val="18"/>
                <w:szCs w:val="18"/>
                <w:color w:val="auto"/>
                <w:w w:val="79"/>
              </w:rPr>
              <w:t>$</w:t>
            </w:r>
          </w:p>
        </w:tc>
        <w:tc>
          <w:tcPr>
            <w:tcW w:w="98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w w:val="98"/>
              </w:rPr>
              <w:t>(615,206)</w:t>
            </w:r>
          </w:p>
        </w:tc>
        <w:tc>
          <w:tcPr>
            <w:tcW w:w="14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99,434</w:t>
            </w:r>
          </w:p>
        </w:tc>
        <w:tc>
          <w:tcPr>
            <w:tcW w:w="20" w:type="dxa"/>
            <w:vAlign w:val="bottom"/>
            <w:vMerge w:val="continue"/>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1820" w:type="dxa"/>
            <w:vAlign w:val="bottom"/>
          </w:tcPr>
          <w:p>
            <w:pPr>
              <w:spacing w:after="0"/>
              <w:rPr>
                <w:sz w:val="20"/>
                <w:szCs w:val="20"/>
                <w:color w:val="auto"/>
              </w:rPr>
            </w:pPr>
            <w:r>
              <w:rPr>
                <w:rFonts w:ascii="Arial" w:cs="Arial" w:eastAsia="Arial" w:hAnsi="Arial"/>
                <w:sz w:val="18"/>
                <w:szCs w:val="18"/>
                <w:color w:val="auto"/>
              </w:rPr>
              <w:t>Core technology</w:t>
            </w:r>
          </w:p>
        </w:tc>
        <w:tc>
          <w:tcPr>
            <w:tcW w:w="20" w:type="dxa"/>
            <w:vAlign w:val="bottom"/>
          </w:tcPr>
          <w:p>
            <w:pPr>
              <w:spacing w:after="0"/>
              <w:rPr>
                <w:sz w:val="18"/>
                <w:szCs w:val="18"/>
                <w:color w:val="auto"/>
              </w:rPr>
            </w:pPr>
          </w:p>
        </w:tc>
        <w:tc>
          <w:tcPr>
            <w:tcW w:w="2560" w:type="dxa"/>
            <w:vAlign w:val="bottom"/>
          </w:tcPr>
          <w:p>
            <w:pPr>
              <w:spacing w:after="0"/>
              <w:rPr>
                <w:sz w:val="18"/>
                <w:szCs w:val="18"/>
                <w:color w:val="auto"/>
              </w:rPr>
            </w:pPr>
          </w:p>
        </w:tc>
        <w:tc>
          <w:tcPr>
            <w:tcW w:w="1100" w:type="dxa"/>
            <w:vAlign w:val="bottom"/>
            <w:gridSpan w:val="2"/>
          </w:tcPr>
          <w:p>
            <w:pPr>
              <w:jc w:val="center"/>
              <w:ind w:right="220"/>
              <w:spacing w:after="0"/>
              <w:rPr>
                <w:sz w:val="20"/>
                <w:szCs w:val="20"/>
                <w:color w:val="auto"/>
              </w:rPr>
            </w:pPr>
            <w:r>
              <w:rPr>
                <w:rFonts w:ascii="Arial" w:cs="Arial" w:eastAsia="Arial" w:hAnsi="Arial"/>
                <w:sz w:val="18"/>
                <w:szCs w:val="18"/>
                <w:color w:val="auto"/>
                <w:w w:val="85"/>
              </w:rPr>
              <w:t>1 – 8 years</w:t>
            </w:r>
          </w:p>
        </w:tc>
        <w:tc>
          <w:tcPr>
            <w:tcW w:w="8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212,650</w:t>
            </w:r>
          </w:p>
        </w:tc>
        <w:tc>
          <w:tcPr>
            <w:tcW w:w="22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960" w:type="dxa"/>
            <w:vAlign w:val="bottom"/>
            <w:gridSpan w:val="2"/>
          </w:tcPr>
          <w:p>
            <w:pPr>
              <w:jc w:val="right"/>
              <w:ind w:right="200"/>
              <w:spacing w:after="0"/>
              <w:rPr>
                <w:sz w:val="20"/>
                <w:szCs w:val="20"/>
                <w:color w:val="auto"/>
              </w:rPr>
            </w:pPr>
            <w:r>
              <w:rPr>
                <w:rFonts w:ascii="Arial" w:cs="Arial" w:eastAsia="Arial" w:hAnsi="Arial"/>
                <w:sz w:val="18"/>
                <w:szCs w:val="18"/>
                <w:color w:val="auto"/>
                <w:w w:val="95"/>
              </w:rPr>
              <w:t>(122,679)</w:t>
            </w:r>
          </w:p>
        </w:tc>
        <w:tc>
          <w:tcPr>
            <w:tcW w:w="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rPr>
              <w:t>89,971</w:t>
            </w:r>
          </w:p>
        </w:tc>
        <w:tc>
          <w:tcPr>
            <w:tcW w:w="1000" w:type="dxa"/>
            <w:vAlign w:val="bottom"/>
            <w:gridSpan w:val="3"/>
          </w:tcPr>
          <w:p>
            <w:pPr>
              <w:jc w:val="right"/>
              <w:spacing w:after="0"/>
              <w:rPr>
                <w:sz w:val="20"/>
                <w:szCs w:val="20"/>
                <w:color w:val="auto"/>
              </w:rPr>
            </w:pPr>
            <w:r>
              <w:rPr>
                <w:rFonts w:ascii="Arial" w:cs="Arial" w:eastAsia="Arial" w:hAnsi="Arial"/>
                <w:sz w:val="18"/>
                <w:szCs w:val="18"/>
                <w:color w:val="auto"/>
              </w:rPr>
              <w:t>212,650</w:t>
            </w:r>
          </w:p>
        </w:tc>
        <w:tc>
          <w:tcPr>
            <w:tcW w:w="120" w:type="dxa"/>
            <w:vAlign w:val="bottom"/>
          </w:tcPr>
          <w:p>
            <w:pPr>
              <w:spacing w:after="0"/>
              <w:rPr>
                <w:sz w:val="18"/>
                <w:szCs w:val="18"/>
                <w:color w:val="auto"/>
              </w:rPr>
            </w:pPr>
          </w:p>
        </w:tc>
        <w:tc>
          <w:tcPr>
            <w:tcW w:w="60" w:type="dxa"/>
            <w:vAlign w:val="bottom"/>
          </w:tcPr>
          <w:p>
            <w:pPr>
              <w:spacing w:after="0"/>
              <w:rPr>
                <w:sz w:val="18"/>
                <w:szCs w:val="18"/>
                <w:color w:val="auto"/>
              </w:rPr>
            </w:pPr>
          </w:p>
        </w:tc>
        <w:tc>
          <w:tcPr>
            <w:tcW w:w="6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980" w:type="dxa"/>
            <w:vAlign w:val="bottom"/>
            <w:gridSpan w:val="2"/>
          </w:tcPr>
          <w:p>
            <w:pPr>
              <w:jc w:val="right"/>
              <w:ind w:right="200"/>
              <w:spacing w:after="0"/>
              <w:rPr>
                <w:sz w:val="20"/>
                <w:szCs w:val="20"/>
                <w:color w:val="auto"/>
              </w:rPr>
            </w:pPr>
            <w:r>
              <w:rPr>
                <w:rFonts w:ascii="Arial" w:cs="Arial" w:eastAsia="Arial" w:hAnsi="Arial"/>
                <w:sz w:val="18"/>
                <w:szCs w:val="18"/>
                <w:color w:val="auto"/>
                <w:w w:val="98"/>
              </w:rPr>
              <w:t>(101,990)</w:t>
            </w:r>
          </w:p>
        </w:tc>
        <w:tc>
          <w:tcPr>
            <w:tcW w:w="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w w:val="86"/>
              </w:rPr>
              <w:t>110,660</w:t>
            </w: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1820" w:type="dxa"/>
            <w:vAlign w:val="bottom"/>
            <w:shd w:val="clear" w:color="auto" w:fill="CCEEFF"/>
          </w:tcPr>
          <w:p>
            <w:pPr>
              <w:spacing w:after="0"/>
              <w:rPr>
                <w:sz w:val="20"/>
                <w:szCs w:val="20"/>
                <w:color w:val="auto"/>
              </w:rPr>
            </w:pPr>
            <w:r>
              <w:rPr>
                <w:rFonts w:ascii="Arial" w:cs="Arial" w:eastAsia="Arial" w:hAnsi="Arial"/>
                <w:sz w:val="18"/>
                <w:szCs w:val="18"/>
                <w:color w:val="auto"/>
              </w:rPr>
              <w:t>Trade name</w:t>
            </w:r>
          </w:p>
        </w:tc>
        <w:tc>
          <w:tcPr>
            <w:tcW w:w="20" w:type="dxa"/>
            <w:vAlign w:val="bottom"/>
            <w:shd w:val="clear" w:color="auto" w:fill="CCEEFF"/>
          </w:tcPr>
          <w:p>
            <w:pPr>
              <w:spacing w:after="0"/>
              <w:rPr>
                <w:sz w:val="18"/>
                <w:szCs w:val="18"/>
                <w:color w:val="auto"/>
              </w:rPr>
            </w:pPr>
          </w:p>
        </w:tc>
        <w:tc>
          <w:tcPr>
            <w:tcW w:w="2560" w:type="dxa"/>
            <w:vAlign w:val="bottom"/>
            <w:shd w:val="clear" w:color="auto" w:fill="CCEEFF"/>
          </w:tcPr>
          <w:p>
            <w:pPr>
              <w:spacing w:after="0"/>
              <w:rPr>
                <w:sz w:val="18"/>
                <w:szCs w:val="18"/>
                <w:color w:val="auto"/>
              </w:rPr>
            </w:pPr>
          </w:p>
        </w:tc>
        <w:tc>
          <w:tcPr>
            <w:tcW w:w="1100" w:type="dxa"/>
            <w:vAlign w:val="bottom"/>
            <w:gridSpan w:val="2"/>
            <w:shd w:val="clear" w:color="auto" w:fill="CCEEFF"/>
          </w:tcPr>
          <w:p>
            <w:pPr>
              <w:jc w:val="center"/>
              <w:ind w:right="220"/>
              <w:spacing w:after="0"/>
              <w:rPr>
                <w:sz w:val="20"/>
                <w:szCs w:val="20"/>
                <w:color w:val="auto"/>
              </w:rPr>
            </w:pPr>
            <w:r>
              <w:rPr>
                <w:rFonts w:ascii="Arial" w:cs="Arial" w:eastAsia="Arial" w:hAnsi="Arial"/>
                <w:sz w:val="18"/>
                <w:szCs w:val="18"/>
                <w:color w:val="auto"/>
                <w:w w:val="85"/>
              </w:rPr>
              <w:t>1 – 5 years</w:t>
            </w:r>
          </w:p>
        </w:tc>
        <w:tc>
          <w:tcPr>
            <w:tcW w:w="8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350</w:t>
            </w:r>
          </w:p>
        </w:tc>
        <w:tc>
          <w:tcPr>
            <w:tcW w:w="22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96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(249)</w:t>
            </w:r>
          </w:p>
        </w:tc>
        <w:tc>
          <w:tcPr>
            <w:tcW w:w="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101</w:t>
            </w:r>
          </w:p>
        </w:tc>
        <w:tc>
          <w:tcPr>
            <w:tcW w:w="1000" w:type="dxa"/>
            <w:vAlign w:val="bottom"/>
            <w:gridSpan w:val="3"/>
            <w:shd w:val="clear" w:color="auto" w:fill="CCEEFF"/>
          </w:tcPr>
          <w:p>
            <w:pPr>
              <w:jc w:val="right"/>
              <w:spacing w:after="0"/>
              <w:rPr>
                <w:sz w:val="20"/>
                <w:szCs w:val="20"/>
                <w:color w:val="auto"/>
              </w:rPr>
            </w:pPr>
            <w:r>
              <w:rPr>
                <w:rFonts w:ascii="Arial" w:cs="Arial" w:eastAsia="Arial" w:hAnsi="Arial"/>
                <w:sz w:val="18"/>
                <w:szCs w:val="18"/>
                <w:color w:val="auto"/>
              </w:rPr>
              <w:t>350</w:t>
            </w:r>
          </w:p>
        </w:tc>
        <w:tc>
          <w:tcPr>
            <w:tcW w:w="120" w:type="dxa"/>
            <w:vAlign w:val="bottom"/>
            <w:shd w:val="clear" w:color="auto" w:fill="CCEEFF"/>
          </w:tcPr>
          <w:p>
            <w:pPr>
              <w:spacing w:after="0"/>
              <w:rPr>
                <w:sz w:val="18"/>
                <w:szCs w:val="18"/>
                <w:color w:val="auto"/>
              </w:rPr>
            </w:pPr>
          </w:p>
        </w:tc>
        <w:tc>
          <w:tcPr>
            <w:tcW w:w="60" w:type="dxa"/>
            <w:vAlign w:val="bottom"/>
            <w:shd w:val="clear" w:color="auto" w:fill="CCEEFF"/>
          </w:tcPr>
          <w:p>
            <w:pPr>
              <w:spacing w:after="0"/>
              <w:rPr>
                <w:sz w:val="18"/>
                <w:szCs w:val="18"/>
                <w:color w:val="auto"/>
              </w:rPr>
            </w:pPr>
          </w:p>
        </w:tc>
        <w:tc>
          <w:tcPr>
            <w:tcW w:w="60" w:type="dxa"/>
            <w:vAlign w:val="bottom"/>
            <w:tcBorders>
              <w:right w:val="single" w:sz="8" w:color="CCEEFF"/>
            </w:tcBorders>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98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(219)</w:t>
            </w:r>
          </w:p>
        </w:tc>
        <w:tc>
          <w:tcPr>
            <w:tcW w:w="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131</w:t>
            </w: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1820" w:type="dxa"/>
            <w:vAlign w:val="bottom"/>
          </w:tcPr>
          <w:p>
            <w:pPr>
              <w:spacing w:after="0"/>
              <w:rPr>
                <w:sz w:val="20"/>
                <w:szCs w:val="20"/>
                <w:color w:val="auto"/>
              </w:rPr>
            </w:pPr>
            <w:r>
              <w:rPr>
                <w:rFonts w:ascii="Arial" w:cs="Arial" w:eastAsia="Arial" w:hAnsi="Arial"/>
                <w:sz w:val="18"/>
                <w:szCs w:val="18"/>
                <w:color w:val="auto"/>
              </w:rPr>
              <w:t>Customer contracts</w:t>
            </w:r>
          </w:p>
        </w:tc>
        <w:tc>
          <w:tcPr>
            <w:tcW w:w="20" w:type="dxa"/>
            <w:vAlign w:val="bottom"/>
          </w:tcPr>
          <w:p>
            <w:pPr>
              <w:spacing w:after="0"/>
              <w:rPr>
                <w:sz w:val="18"/>
                <w:szCs w:val="18"/>
                <w:color w:val="auto"/>
              </w:rPr>
            </w:pPr>
          </w:p>
        </w:tc>
        <w:tc>
          <w:tcPr>
            <w:tcW w:w="2560" w:type="dxa"/>
            <w:vAlign w:val="bottom"/>
          </w:tcPr>
          <w:p>
            <w:pPr>
              <w:spacing w:after="0"/>
              <w:rPr>
                <w:sz w:val="18"/>
                <w:szCs w:val="18"/>
                <w:color w:val="auto"/>
              </w:rPr>
            </w:pPr>
          </w:p>
        </w:tc>
        <w:tc>
          <w:tcPr>
            <w:tcW w:w="1100" w:type="dxa"/>
            <w:vAlign w:val="bottom"/>
            <w:gridSpan w:val="2"/>
          </w:tcPr>
          <w:p>
            <w:pPr>
              <w:jc w:val="center"/>
              <w:ind w:right="220"/>
              <w:spacing w:after="0"/>
              <w:rPr>
                <w:sz w:val="20"/>
                <w:szCs w:val="20"/>
                <w:color w:val="auto"/>
              </w:rPr>
            </w:pPr>
            <w:r>
              <w:rPr>
                <w:rFonts w:ascii="Arial" w:cs="Arial" w:eastAsia="Arial" w:hAnsi="Arial"/>
                <w:sz w:val="18"/>
                <w:szCs w:val="18"/>
                <w:color w:val="auto"/>
                <w:w w:val="85"/>
              </w:rPr>
              <w:t>4 – 7 years</w:t>
            </w:r>
          </w:p>
        </w:tc>
        <w:tc>
          <w:tcPr>
            <w:tcW w:w="8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183,300</w:t>
            </w:r>
          </w:p>
        </w:tc>
        <w:tc>
          <w:tcPr>
            <w:tcW w:w="22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960" w:type="dxa"/>
            <w:vAlign w:val="bottom"/>
            <w:gridSpan w:val="2"/>
          </w:tcPr>
          <w:p>
            <w:pPr>
              <w:jc w:val="right"/>
              <w:ind w:right="200"/>
              <w:spacing w:after="0"/>
              <w:rPr>
                <w:sz w:val="20"/>
                <w:szCs w:val="20"/>
                <w:color w:val="auto"/>
              </w:rPr>
            </w:pPr>
            <w:r>
              <w:rPr>
                <w:rFonts w:ascii="Arial" w:cs="Arial" w:eastAsia="Arial" w:hAnsi="Arial"/>
                <w:sz w:val="18"/>
                <w:szCs w:val="18"/>
                <w:color w:val="auto"/>
                <w:w w:val="95"/>
              </w:rPr>
              <w:t>(132,041)</w:t>
            </w:r>
          </w:p>
        </w:tc>
        <w:tc>
          <w:tcPr>
            <w:tcW w:w="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rPr>
              <w:t>51,259</w:t>
            </w:r>
          </w:p>
        </w:tc>
        <w:tc>
          <w:tcPr>
            <w:tcW w:w="1000" w:type="dxa"/>
            <w:vAlign w:val="bottom"/>
            <w:gridSpan w:val="3"/>
          </w:tcPr>
          <w:p>
            <w:pPr>
              <w:jc w:val="right"/>
              <w:spacing w:after="0"/>
              <w:rPr>
                <w:sz w:val="20"/>
                <w:szCs w:val="20"/>
                <w:color w:val="auto"/>
              </w:rPr>
            </w:pPr>
            <w:r>
              <w:rPr>
                <w:rFonts w:ascii="Arial" w:cs="Arial" w:eastAsia="Arial" w:hAnsi="Arial"/>
                <w:sz w:val="18"/>
                <w:szCs w:val="18"/>
                <w:color w:val="auto"/>
              </w:rPr>
              <w:t>183,300</w:t>
            </w:r>
          </w:p>
        </w:tc>
        <w:tc>
          <w:tcPr>
            <w:tcW w:w="120" w:type="dxa"/>
            <w:vAlign w:val="bottom"/>
          </w:tcPr>
          <w:p>
            <w:pPr>
              <w:spacing w:after="0"/>
              <w:rPr>
                <w:sz w:val="18"/>
                <w:szCs w:val="18"/>
                <w:color w:val="auto"/>
              </w:rPr>
            </w:pPr>
          </w:p>
        </w:tc>
        <w:tc>
          <w:tcPr>
            <w:tcW w:w="60" w:type="dxa"/>
            <w:vAlign w:val="bottom"/>
          </w:tcPr>
          <w:p>
            <w:pPr>
              <w:spacing w:after="0"/>
              <w:rPr>
                <w:sz w:val="18"/>
                <w:szCs w:val="18"/>
                <w:color w:val="auto"/>
              </w:rPr>
            </w:pPr>
          </w:p>
        </w:tc>
        <w:tc>
          <w:tcPr>
            <w:tcW w:w="6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980" w:type="dxa"/>
            <w:vAlign w:val="bottom"/>
            <w:gridSpan w:val="2"/>
          </w:tcPr>
          <w:p>
            <w:pPr>
              <w:jc w:val="right"/>
              <w:ind w:right="200"/>
              <w:spacing w:after="0"/>
              <w:rPr>
                <w:sz w:val="20"/>
                <w:szCs w:val="20"/>
                <w:color w:val="auto"/>
              </w:rPr>
            </w:pPr>
            <w:r>
              <w:rPr>
                <w:rFonts w:ascii="Arial" w:cs="Arial" w:eastAsia="Arial" w:hAnsi="Arial"/>
                <w:sz w:val="18"/>
                <w:szCs w:val="18"/>
                <w:color w:val="auto"/>
                <w:w w:val="98"/>
              </w:rPr>
              <w:t>(107,294)</w:t>
            </w:r>
          </w:p>
        </w:tc>
        <w:tc>
          <w:tcPr>
            <w:tcW w:w="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rPr>
              <w:t>76,006</w:t>
            </w: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1820" w:type="dxa"/>
            <w:vAlign w:val="bottom"/>
            <w:shd w:val="clear" w:color="auto" w:fill="CCEEFF"/>
          </w:tcPr>
          <w:p>
            <w:pPr>
              <w:spacing w:after="0"/>
              <w:rPr>
                <w:sz w:val="20"/>
                <w:szCs w:val="20"/>
                <w:color w:val="auto"/>
              </w:rPr>
            </w:pPr>
            <w:r>
              <w:rPr>
                <w:rFonts w:ascii="Arial" w:cs="Arial" w:eastAsia="Arial" w:hAnsi="Arial"/>
                <w:sz w:val="18"/>
                <w:szCs w:val="18"/>
                <w:color w:val="auto"/>
                <w:w w:val="86"/>
              </w:rPr>
              <w:t>Non-compete agreements</w:t>
            </w:r>
          </w:p>
        </w:tc>
        <w:tc>
          <w:tcPr>
            <w:tcW w:w="20" w:type="dxa"/>
            <w:vAlign w:val="bottom"/>
            <w:shd w:val="clear" w:color="auto" w:fill="CCEEFF"/>
          </w:tcPr>
          <w:p>
            <w:pPr>
              <w:spacing w:after="0"/>
              <w:rPr>
                <w:sz w:val="18"/>
                <w:szCs w:val="18"/>
                <w:color w:val="auto"/>
              </w:rPr>
            </w:pPr>
          </w:p>
        </w:tc>
        <w:tc>
          <w:tcPr>
            <w:tcW w:w="2560" w:type="dxa"/>
            <w:vAlign w:val="bottom"/>
            <w:shd w:val="clear" w:color="auto" w:fill="CCEEFF"/>
          </w:tcPr>
          <w:p>
            <w:pPr>
              <w:spacing w:after="0"/>
              <w:rPr>
                <w:sz w:val="18"/>
                <w:szCs w:val="18"/>
                <w:color w:val="auto"/>
              </w:rPr>
            </w:pPr>
          </w:p>
        </w:tc>
        <w:tc>
          <w:tcPr>
            <w:tcW w:w="1100" w:type="dxa"/>
            <w:vAlign w:val="bottom"/>
            <w:gridSpan w:val="2"/>
            <w:shd w:val="clear" w:color="auto" w:fill="CCEEFF"/>
          </w:tcPr>
          <w:p>
            <w:pPr>
              <w:jc w:val="center"/>
              <w:ind w:right="200"/>
              <w:spacing w:after="0"/>
              <w:rPr>
                <w:sz w:val="20"/>
                <w:szCs w:val="20"/>
                <w:color w:val="auto"/>
              </w:rPr>
            </w:pPr>
            <w:r>
              <w:rPr>
                <w:rFonts w:ascii="Arial" w:cs="Arial" w:eastAsia="Arial" w:hAnsi="Arial"/>
                <w:sz w:val="18"/>
                <w:szCs w:val="18"/>
                <w:color w:val="auto"/>
                <w:w w:val="84"/>
              </w:rPr>
              <w:t>3 years</w:t>
            </w:r>
          </w:p>
        </w:tc>
        <w:tc>
          <w:tcPr>
            <w:tcW w:w="8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700</w:t>
            </w:r>
          </w:p>
        </w:tc>
        <w:tc>
          <w:tcPr>
            <w:tcW w:w="22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96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(571)</w:t>
            </w:r>
          </w:p>
        </w:tc>
        <w:tc>
          <w:tcPr>
            <w:tcW w:w="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129</w:t>
            </w:r>
          </w:p>
        </w:tc>
        <w:tc>
          <w:tcPr>
            <w:tcW w:w="1000" w:type="dxa"/>
            <w:vAlign w:val="bottom"/>
            <w:gridSpan w:val="3"/>
            <w:shd w:val="clear" w:color="auto" w:fill="CCEEFF"/>
          </w:tcPr>
          <w:p>
            <w:pPr>
              <w:jc w:val="right"/>
              <w:spacing w:after="0"/>
              <w:rPr>
                <w:sz w:val="20"/>
                <w:szCs w:val="20"/>
                <w:color w:val="auto"/>
              </w:rPr>
            </w:pPr>
            <w:r>
              <w:rPr>
                <w:rFonts w:ascii="Arial" w:cs="Arial" w:eastAsia="Arial" w:hAnsi="Arial"/>
                <w:sz w:val="18"/>
                <w:szCs w:val="18"/>
                <w:color w:val="auto"/>
              </w:rPr>
              <w:t>700</w:t>
            </w:r>
          </w:p>
        </w:tc>
        <w:tc>
          <w:tcPr>
            <w:tcW w:w="120" w:type="dxa"/>
            <w:vAlign w:val="bottom"/>
            <w:shd w:val="clear" w:color="auto" w:fill="CCEEFF"/>
          </w:tcPr>
          <w:p>
            <w:pPr>
              <w:spacing w:after="0"/>
              <w:rPr>
                <w:sz w:val="18"/>
                <w:szCs w:val="18"/>
                <w:color w:val="auto"/>
              </w:rPr>
            </w:pPr>
          </w:p>
        </w:tc>
        <w:tc>
          <w:tcPr>
            <w:tcW w:w="60" w:type="dxa"/>
            <w:vAlign w:val="bottom"/>
            <w:shd w:val="clear" w:color="auto" w:fill="CCEEFF"/>
          </w:tcPr>
          <w:p>
            <w:pPr>
              <w:spacing w:after="0"/>
              <w:rPr>
                <w:sz w:val="18"/>
                <w:szCs w:val="18"/>
                <w:color w:val="auto"/>
              </w:rPr>
            </w:pPr>
          </w:p>
        </w:tc>
        <w:tc>
          <w:tcPr>
            <w:tcW w:w="60" w:type="dxa"/>
            <w:vAlign w:val="bottom"/>
            <w:tcBorders>
              <w:right w:val="single" w:sz="8" w:color="CCEEFF"/>
            </w:tcBorders>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98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(397)</w:t>
            </w:r>
          </w:p>
        </w:tc>
        <w:tc>
          <w:tcPr>
            <w:tcW w:w="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303</w:t>
            </w: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5500" w:type="dxa"/>
            <w:vAlign w:val="bottom"/>
            <w:gridSpan w:val="5"/>
            <w:vMerge w:val="restart"/>
          </w:tcPr>
          <w:p>
            <w:pPr>
              <w:ind w:left="440"/>
              <w:spacing w:after="0"/>
              <w:rPr>
                <w:sz w:val="20"/>
                <w:szCs w:val="20"/>
                <w:color w:val="auto"/>
              </w:rPr>
            </w:pPr>
            <w:r>
              <w:rPr>
                <w:rFonts w:ascii="Arial" w:cs="Arial" w:eastAsia="Arial" w:hAnsi="Arial"/>
                <w:sz w:val="18"/>
                <w:szCs w:val="18"/>
                <w:color w:val="auto"/>
              </w:rPr>
              <w:t>Total acquired intangible assets, net</w:t>
            </w:r>
          </w:p>
        </w:tc>
        <w:tc>
          <w:tcPr>
            <w:tcW w:w="80" w:type="dxa"/>
            <w:vAlign w:val="bottom"/>
            <w:shd w:val="clear" w:color="auto" w:fill="000000"/>
          </w:tcPr>
          <w:p>
            <w:pPr>
              <w:spacing w:after="0" w:line="20" w:lineRule="exact"/>
              <w:rPr>
                <w:sz w:val="1"/>
                <w:szCs w:val="1"/>
                <w:color w:val="auto"/>
              </w:rPr>
            </w:pPr>
          </w:p>
        </w:tc>
        <w:tc>
          <w:tcPr>
            <w:tcW w:w="700" w:type="dxa"/>
            <w:vAlign w:val="bottom"/>
            <w:shd w:val="clear" w:color="auto" w:fill="000000"/>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160" w:type="dxa"/>
            <w:vAlign w:val="bottom"/>
            <w:shd w:val="clear" w:color="auto" w:fill="000000"/>
          </w:tcPr>
          <w:p>
            <w:pPr>
              <w:spacing w:after="0" w:line="20" w:lineRule="exact"/>
              <w:rPr>
                <w:sz w:val="1"/>
                <w:szCs w:val="1"/>
                <w:color w:val="auto"/>
              </w:rPr>
            </w:pPr>
          </w:p>
        </w:tc>
        <w:tc>
          <w:tcPr>
            <w:tcW w:w="700" w:type="dxa"/>
            <w:vAlign w:val="bottom"/>
            <w:shd w:val="clear" w:color="auto" w:fill="000000"/>
          </w:tcPr>
          <w:p>
            <w:pPr>
              <w:spacing w:after="0" w:line="20" w:lineRule="exact"/>
              <w:rPr>
                <w:sz w:val="1"/>
                <w:szCs w:val="1"/>
                <w:color w:val="auto"/>
              </w:rPr>
            </w:pPr>
          </w:p>
        </w:tc>
        <w:tc>
          <w:tcPr>
            <w:tcW w:w="26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100" w:type="dxa"/>
            <w:vAlign w:val="bottom"/>
            <w:shd w:val="clear" w:color="auto" w:fill="000000"/>
          </w:tcPr>
          <w:p>
            <w:pPr>
              <w:spacing w:after="0" w:line="20" w:lineRule="exact"/>
              <w:rPr>
                <w:sz w:val="1"/>
                <w:szCs w:val="1"/>
                <w:color w:val="auto"/>
              </w:rPr>
            </w:pPr>
          </w:p>
        </w:tc>
        <w:tc>
          <w:tcPr>
            <w:tcW w:w="580" w:type="dxa"/>
            <w:vAlign w:val="bottom"/>
            <w:shd w:val="clear" w:color="auto" w:fill="000000"/>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800" w:type="dxa"/>
            <w:vAlign w:val="bottom"/>
            <w:gridSpan w:val="2"/>
            <w:shd w:val="clear" w:color="auto" w:fill="000000"/>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60" w:type="dxa"/>
            <w:vAlign w:val="bottom"/>
            <w:tcBorders>
              <w:right w:val="single" w:sz="8" w:color="auto"/>
            </w:tcBorders>
          </w:tcPr>
          <w:p>
            <w:pPr>
              <w:spacing w:after="0" w:line="20" w:lineRule="exact"/>
              <w:rPr>
                <w:sz w:val="1"/>
                <w:szCs w:val="1"/>
                <w:color w:val="auto"/>
              </w:rPr>
            </w:pPr>
          </w:p>
        </w:tc>
        <w:tc>
          <w:tcPr>
            <w:tcW w:w="120" w:type="dxa"/>
            <w:vAlign w:val="bottom"/>
            <w:shd w:val="clear" w:color="auto" w:fill="000000"/>
          </w:tcPr>
          <w:p>
            <w:pPr>
              <w:spacing w:after="0" w:line="20" w:lineRule="exact"/>
              <w:rPr>
                <w:sz w:val="1"/>
                <w:szCs w:val="1"/>
                <w:color w:val="auto"/>
              </w:rPr>
            </w:pPr>
          </w:p>
        </w:tc>
        <w:tc>
          <w:tcPr>
            <w:tcW w:w="720" w:type="dxa"/>
            <w:vAlign w:val="bottom"/>
            <w:shd w:val="clear" w:color="auto" w:fill="000000"/>
          </w:tcPr>
          <w:p>
            <w:pPr>
              <w:spacing w:after="0" w:line="20" w:lineRule="exact"/>
              <w:rPr>
                <w:sz w:val="1"/>
                <w:szCs w:val="1"/>
                <w:color w:val="auto"/>
              </w:rPr>
            </w:pPr>
          </w:p>
        </w:tc>
        <w:tc>
          <w:tcPr>
            <w:tcW w:w="26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100" w:type="dxa"/>
            <w:vAlign w:val="bottom"/>
            <w:shd w:val="clear" w:color="auto" w:fill="000000"/>
          </w:tcPr>
          <w:p>
            <w:pPr>
              <w:spacing w:after="0" w:line="20" w:lineRule="exact"/>
              <w:rPr>
                <w:sz w:val="1"/>
                <w:szCs w:val="1"/>
                <w:color w:val="auto"/>
              </w:rPr>
            </w:pPr>
          </w:p>
        </w:tc>
        <w:tc>
          <w:tcPr>
            <w:tcW w:w="580" w:type="dxa"/>
            <w:vAlign w:val="bottom"/>
            <w:shd w:val="clear" w:color="auto" w:fill="000000"/>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22"/>
        </w:trPr>
        <w:tc>
          <w:tcPr>
            <w:tcW w:w="5500" w:type="dxa"/>
            <w:vAlign w:val="bottom"/>
            <w:gridSpan w:val="5"/>
            <w:vMerge w:val="continue"/>
          </w:tcPr>
          <w:p>
            <w:pPr>
              <w:spacing w:after="0"/>
              <w:rPr>
                <w:sz w:val="19"/>
                <w:szCs w:val="19"/>
                <w:color w:val="auto"/>
              </w:rPr>
            </w:pPr>
          </w:p>
        </w:tc>
        <w:tc>
          <w:tcPr>
            <w:tcW w:w="80" w:type="dxa"/>
            <w:vAlign w:val="bottom"/>
          </w:tcPr>
          <w:p>
            <w:pPr>
              <w:jc w:val="right"/>
              <w:spacing w:after="0"/>
              <w:rPr>
                <w:sz w:val="20"/>
                <w:szCs w:val="20"/>
                <w:color w:val="auto"/>
              </w:rPr>
            </w:pPr>
            <w:r>
              <w:rPr>
                <w:rFonts w:ascii="Arial" w:cs="Arial" w:eastAsia="Arial" w:hAnsi="Arial"/>
                <w:sz w:val="15"/>
                <w:szCs w:val="15"/>
                <w:u w:val="single" w:color="auto"/>
                <w:color w:val="auto"/>
                <w:w w:val="71"/>
              </w:rPr>
              <w:t>$</w:t>
            </w:r>
          </w:p>
        </w:tc>
        <w:tc>
          <w:tcPr>
            <w:tcW w:w="700" w:type="dxa"/>
            <w:vAlign w:val="bottom"/>
          </w:tcPr>
          <w:p>
            <w:pPr>
              <w:jc w:val="right"/>
              <w:spacing w:after="0"/>
              <w:rPr>
                <w:sz w:val="20"/>
                <w:szCs w:val="20"/>
                <w:color w:val="auto"/>
              </w:rPr>
            </w:pPr>
            <w:r>
              <w:rPr>
                <w:rFonts w:ascii="Arial" w:cs="Arial" w:eastAsia="Arial" w:hAnsi="Arial"/>
                <w:sz w:val="18"/>
                <w:szCs w:val="18"/>
                <w:color w:val="auto"/>
                <w:w w:val="84"/>
              </w:rPr>
              <w:t>1,111,640</w:t>
            </w:r>
          </w:p>
        </w:tc>
        <w:tc>
          <w:tcPr>
            <w:tcW w:w="220" w:type="dxa"/>
            <w:vAlign w:val="bottom"/>
          </w:tcPr>
          <w:p>
            <w:pPr>
              <w:spacing w:after="0"/>
              <w:rPr>
                <w:sz w:val="19"/>
                <w:szCs w:val="19"/>
                <w:color w:val="auto"/>
              </w:rPr>
            </w:pPr>
          </w:p>
        </w:tc>
        <w:tc>
          <w:tcPr>
            <w:tcW w:w="160" w:type="dxa"/>
            <w:vAlign w:val="bottom"/>
          </w:tcPr>
          <w:p>
            <w:pPr>
              <w:jc w:val="right"/>
              <w:ind w:right="9"/>
              <w:spacing w:after="0"/>
              <w:rPr>
                <w:sz w:val="20"/>
                <w:szCs w:val="20"/>
                <w:color w:val="auto"/>
              </w:rPr>
            </w:pPr>
            <w:r>
              <w:rPr>
                <w:rFonts w:ascii="Arial" w:cs="Arial" w:eastAsia="Arial" w:hAnsi="Arial"/>
                <w:sz w:val="15"/>
                <w:szCs w:val="15"/>
                <w:color w:val="auto"/>
                <w:w w:val="71"/>
              </w:rPr>
              <w:t>$</w:t>
            </w:r>
          </w:p>
        </w:tc>
        <w:tc>
          <w:tcPr>
            <w:tcW w:w="960" w:type="dxa"/>
            <w:vAlign w:val="bottom"/>
            <w:gridSpan w:val="2"/>
          </w:tcPr>
          <w:p>
            <w:pPr>
              <w:jc w:val="right"/>
              <w:ind w:right="200"/>
              <w:spacing w:after="0"/>
              <w:rPr>
                <w:sz w:val="20"/>
                <w:szCs w:val="20"/>
                <w:color w:val="auto"/>
              </w:rPr>
            </w:pPr>
            <w:r>
              <w:rPr>
                <w:rFonts w:ascii="Arial" w:cs="Arial" w:eastAsia="Arial" w:hAnsi="Arial"/>
                <w:sz w:val="18"/>
                <w:szCs w:val="18"/>
                <w:color w:val="auto"/>
                <w:w w:val="95"/>
              </w:rPr>
              <w:t>(908,286)</w:t>
            </w:r>
          </w:p>
        </w:tc>
        <w:tc>
          <w:tcPr>
            <w:tcW w:w="160" w:type="dxa"/>
            <w:vAlign w:val="bottom"/>
            <w:gridSpan w:val="2"/>
          </w:tcPr>
          <w:p>
            <w:pPr>
              <w:jc w:val="right"/>
              <w:spacing w:after="0"/>
              <w:rPr>
                <w:sz w:val="20"/>
                <w:szCs w:val="20"/>
                <w:color w:val="auto"/>
              </w:rPr>
            </w:pPr>
            <w:r>
              <w:rPr>
                <w:rFonts w:ascii="Arial" w:cs="Arial" w:eastAsia="Arial" w:hAnsi="Arial"/>
                <w:sz w:val="18"/>
                <w:szCs w:val="18"/>
                <w:u w:val="single" w:color="auto"/>
                <w:color w:val="auto"/>
              </w:rPr>
              <w:t>$</w:t>
            </w:r>
          </w:p>
        </w:tc>
        <w:tc>
          <w:tcPr>
            <w:tcW w:w="580" w:type="dxa"/>
            <w:vAlign w:val="bottom"/>
          </w:tcPr>
          <w:p>
            <w:pPr>
              <w:jc w:val="right"/>
              <w:spacing w:after="0"/>
              <w:rPr>
                <w:sz w:val="20"/>
                <w:szCs w:val="20"/>
                <w:color w:val="auto"/>
              </w:rPr>
            </w:pPr>
            <w:r>
              <w:rPr>
                <w:rFonts w:ascii="Arial" w:cs="Arial" w:eastAsia="Arial" w:hAnsi="Arial"/>
                <w:sz w:val="18"/>
                <w:szCs w:val="18"/>
                <w:color w:val="auto"/>
                <w:w w:val="86"/>
              </w:rPr>
              <w:t>203,354</w:t>
            </w:r>
          </w:p>
        </w:tc>
        <w:tc>
          <w:tcPr>
            <w:tcW w:w="1120" w:type="dxa"/>
            <w:vAlign w:val="bottom"/>
            <w:gridSpan w:val="4"/>
          </w:tcPr>
          <w:p>
            <w:pPr>
              <w:jc w:val="right"/>
              <w:ind w:right="120"/>
              <w:spacing w:after="0"/>
              <w:rPr>
                <w:sz w:val="20"/>
                <w:szCs w:val="20"/>
                <w:color w:val="auto"/>
              </w:rPr>
            </w:pPr>
            <w:r>
              <w:rPr>
                <w:rFonts w:ascii="Arial" w:cs="Arial" w:eastAsia="Arial" w:hAnsi="Arial"/>
                <w:sz w:val="18"/>
                <w:szCs w:val="18"/>
                <w:u w:val="single" w:color="auto"/>
                <w:color w:val="auto"/>
              </w:rPr>
              <w:t>$</w:t>
            </w:r>
            <w:r>
              <w:rPr>
                <w:rFonts w:ascii="Arial" w:cs="Arial" w:eastAsia="Arial" w:hAnsi="Arial"/>
                <w:sz w:val="18"/>
                <w:szCs w:val="18"/>
                <w:color w:val="auto"/>
              </w:rPr>
              <w:t xml:space="preserve"> 1,111,640</w:t>
            </w:r>
          </w:p>
        </w:tc>
        <w:tc>
          <w:tcPr>
            <w:tcW w:w="60" w:type="dxa"/>
            <w:vAlign w:val="bottom"/>
          </w:tcPr>
          <w:p>
            <w:pPr>
              <w:spacing w:after="0"/>
              <w:rPr>
                <w:sz w:val="19"/>
                <w:szCs w:val="19"/>
                <w:color w:val="auto"/>
              </w:rPr>
            </w:pPr>
          </w:p>
        </w:tc>
        <w:tc>
          <w:tcPr>
            <w:tcW w:w="180" w:type="dxa"/>
            <w:vAlign w:val="bottom"/>
            <w:gridSpan w:val="2"/>
          </w:tcPr>
          <w:p>
            <w:pPr>
              <w:jc w:val="right"/>
              <w:ind w:right="12"/>
              <w:spacing w:after="0"/>
              <w:rPr>
                <w:sz w:val="20"/>
                <w:szCs w:val="20"/>
                <w:color w:val="auto"/>
              </w:rPr>
            </w:pPr>
            <w:r>
              <w:rPr>
                <w:rFonts w:ascii="Arial" w:cs="Arial" w:eastAsia="Arial" w:hAnsi="Arial"/>
                <w:sz w:val="18"/>
                <w:szCs w:val="18"/>
                <w:color w:val="auto"/>
                <w:w w:val="79"/>
              </w:rPr>
              <w:t>$</w:t>
            </w:r>
          </w:p>
        </w:tc>
        <w:tc>
          <w:tcPr>
            <w:tcW w:w="980" w:type="dxa"/>
            <w:vAlign w:val="bottom"/>
            <w:gridSpan w:val="2"/>
          </w:tcPr>
          <w:p>
            <w:pPr>
              <w:jc w:val="right"/>
              <w:ind w:right="200"/>
              <w:spacing w:after="0"/>
              <w:rPr>
                <w:sz w:val="20"/>
                <w:szCs w:val="20"/>
                <w:color w:val="auto"/>
              </w:rPr>
            </w:pPr>
            <w:r>
              <w:rPr>
                <w:rFonts w:ascii="Arial" w:cs="Arial" w:eastAsia="Arial" w:hAnsi="Arial"/>
                <w:sz w:val="18"/>
                <w:szCs w:val="18"/>
                <w:color w:val="auto"/>
                <w:w w:val="98"/>
              </w:rPr>
              <w:t>(825,106)</w:t>
            </w:r>
          </w:p>
        </w:tc>
        <w:tc>
          <w:tcPr>
            <w:tcW w:w="140" w:type="dxa"/>
            <w:vAlign w:val="bottom"/>
            <w:gridSpan w:val="2"/>
          </w:tcPr>
          <w:p>
            <w:pPr>
              <w:jc w:val="right"/>
              <w:spacing w:after="0"/>
              <w:rPr>
                <w:sz w:val="20"/>
                <w:szCs w:val="20"/>
                <w:color w:val="auto"/>
              </w:rPr>
            </w:pPr>
            <w:r>
              <w:rPr>
                <w:rFonts w:ascii="Arial" w:cs="Arial" w:eastAsia="Arial" w:hAnsi="Arial"/>
                <w:sz w:val="18"/>
                <w:szCs w:val="18"/>
                <w:u w:val="single" w:color="auto"/>
                <w:color w:val="auto"/>
              </w:rPr>
              <w:t>$</w:t>
            </w:r>
          </w:p>
        </w:tc>
        <w:tc>
          <w:tcPr>
            <w:tcW w:w="600" w:type="dxa"/>
            <w:vAlign w:val="bottom"/>
            <w:gridSpan w:val="2"/>
          </w:tcPr>
          <w:p>
            <w:pPr>
              <w:jc w:val="right"/>
              <w:ind w:right="20"/>
              <w:spacing w:after="0"/>
              <w:rPr>
                <w:sz w:val="20"/>
                <w:szCs w:val="20"/>
                <w:color w:val="auto"/>
              </w:rPr>
            </w:pPr>
            <w:r>
              <w:rPr>
                <w:rFonts w:ascii="Arial" w:cs="Arial" w:eastAsia="Arial" w:hAnsi="Arial"/>
                <w:sz w:val="18"/>
                <w:szCs w:val="18"/>
                <w:color w:val="auto"/>
                <w:w w:val="86"/>
              </w:rPr>
              <w:t>286,534</w:t>
            </w:r>
          </w:p>
        </w:tc>
        <w:tc>
          <w:tcPr>
            <w:tcW w:w="0" w:type="dxa"/>
            <w:vAlign w:val="bottom"/>
          </w:tcPr>
          <w:p>
            <w:pPr>
              <w:spacing w:after="0"/>
              <w:rPr>
                <w:sz w:val="1"/>
                <w:szCs w:val="1"/>
                <w:color w:val="auto"/>
              </w:rPr>
            </w:pPr>
          </w:p>
        </w:tc>
      </w:tr>
      <w:tr>
        <w:trPr>
          <w:trHeight w:val="20"/>
        </w:trPr>
        <w:tc>
          <w:tcPr>
            <w:tcW w:w="18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560" w:type="dxa"/>
            <w:vAlign w:val="bottom"/>
          </w:tcPr>
          <w:p>
            <w:pPr>
              <w:spacing w:after="0" w:line="20" w:lineRule="exact"/>
              <w:rPr>
                <w:sz w:val="1"/>
                <w:szCs w:val="1"/>
                <w:color w:val="auto"/>
              </w:rPr>
            </w:pPr>
          </w:p>
        </w:tc>
        <w:tc>
          <w:tcPr>
            <w:tcW w:w="880" w:type="dxa"/>
            <w:vAlign w:val="bottom"/>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700" w:type="dxa"/>
            <w:vAlign w:val="bottom"/>
            <w:tcBorders>
              <w:top w:val="single" w:sz="8" w:color="auto"/>
              <w:bottom w:val="single" w:sz="8" w:color="auto"/>
            </w:tcBorders>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160" w:type="dxa"/>
            <w:vAlign w:val="bottom"/>
            <w:tcBorders>
              <w:top w:val="single" w:sz="8" w:color="auto"/>
              <w:bottom w:val="single" w:sz="8" w:color="auto"/>
            </w:tcBorders>
          </w:tcPr>
          <w:p>
            <w:pPr>
              <w:spacing w:after="0" w:line="20" w:lineRule="exact"/>
              <w:rPr>
                <w:sz w:val="1"/>
                <w:szCs w:val="1"/>
                <w:color w:val="auto"/>
              </w:rPr>
            </w:pPr>
          </w:p>
        </w:tc>
        <w:tc>
          <w:tcPr>
            <w:tcW w:w="700" w:type="dxa"/>
            <w:vAlign w:val="bottom"/>
            <w:tcBorders>
              <w:top w:val="single" w:sz="8" w:color="auto"/>
              <w:bottom w:val="single" w:sz="8" w:color="auto"/>
            </w:tcBorders>
          </w:tcPr>
          <w:p>
            <w:pPr>
              <w:spacing w:after="0" w:line="20" w:lineRule="exact"/>
              <w:rPr>
                <w:sz w:val="1"/>
                <w:szCs w:val="1"/>
                <w:color w:val="auto"/>
              </w:rPr>
            </w:pPr>
          </w:p>
        </w:tc>
        <w:tc>
          <w:tcPr>
            <w:tcW w:w="26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340" w:type="dxa"/>
            <w:vAlign w:val="bottom"/>
            <w:tcBorders>
              <w:top w:val="single" w:sz="8" w:color="auto"/>
              <w:bottom w:val="single" w:sz="8" w:color="auto"/>
            </w:tcBorders>
          </w:tcPr>
          <w:p>
            <w:pPr>
              <w:spacing w:after="0" w:line="20" w:lineRule="exact"/>
              <w:rPr>
                <w:sz w:val="1"/>
                <w:szCs w:val="1"/>
                <w:color w:val="auto"/>
              </w:rPr>
            </w:pPr>
          </w:p>
        </w:tc>
        <w:tc>
          <w:tcPr>
            <w:tcW w:w="460" w:type="dxa"/>
            <w:vAlign w:val="bottom"/>
            <w:tcBorders>
              <w:top w:val="single" w:sz="8" w:color="auto"/>
              <w:bottom w:val="single" w:sz="8" w:color="auto"/>
            </w:tcBorders>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120" w:type="dxa"/>
            <w:vAlign w:val="bottom"/>
            <w:tcBorders>
              <w:top w:val="single" w:sz="8" w:color="auto"/>
              <w:bottom w:val="single" w:sz="8" w:color="auto"/>
            </w:tcBorders>
          </w:tcPr>
          <w:p>
            <w:pPr>
              <w:spacing w:after="0" w:line="20" w:lineRule="exact"/>
              <w:rPr>
                <w:sz w:val="1"/>
                <w:szCs w:val="1"/>
                <w:color w:val="auto"/>
              </w:rPr>
            </w:pPr>
          </w:p>
        </w:tc>
        <w:tc>
          <w:tcPr>
            <w:tcW w:w="720" w:type="dxa"/>
            <w:vAlign w:val="bottom"/>
            <w:tcBorders>
              <w:top w:val="single" w:sz="8" w:color="auto"/>
              <w:bottom w:val="single" w:sz="8" w:color="auto"/>
            </w:tcBorders>
          </w:tcPr>
          <w:p>
            <w:pPr>
              <w:spacing w:after="0" w:line="20" w:lineRule="exact"/>
              <w:rPr>
                <w:sz w:val="1"/>
                <w:szCs w:val="1"/>
                <w:color w:val="auto"/>
              </w:rPr>
            </w:pPr>
          </w:p>
        </w:tc>
        <w:tc>
          <w:tcPr>
            <w:tcW w:w="26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167" w:lineRule="exact"/>
        <w:rPr>
          <w:sz w:val="20"/>
          <w:szCs w:val="20"/>
          <w:color w:val="auto"/>
        </w:rPr>
      </w:pPr>
    </w:p>
    <w:p>
      <w:pPr>
        <w:jc w:val="both"/>
        <w:ind w:firstLine="456"/>
        <w:spacing w:after="0" w:line="268" w:lineRule="auto"/>
        <w:rPr>
          <w:sz w:val="20"/>
          <w:szCs w:val="20"/>
          <w:color w:val="auto"/>
        </w:rPr>
      </w:pPr>
      <w:r>
        <w:rPr>
          <w:rFonts w:ascii="Arial" w:cs="Arial" w:eastAsia="Arial" w:hAnsi="Arial"/>
          <w:sz w:val="18"/>
          <w:szCs w:val="18"/>
          <w:color w:val="auto"/>
        </w:rPr>
        <w:t>Based on the identified intangible assets recorded at October 31, 2009, the future amortization expense of identified intangibles for the next five fiscal years is as follows (in thousands):</w:t>
      </w:r>
    </w:p>
    <w:p>
      <w:pPr>
        <w:spacing w:after="0" w:line="168" w:lineRule="exact"/>
        <w:rPr>
          <w:sz w:val="20"/>
          <w:szCs w:val="20"/>
          <w:color w:val="auto"/>
        </w:rPr>
      </w:pPr>
    </w:p>
    <w:tbl>
      <w:tblPr>
        <w:tblLayout w:type="fixed"/>
        <w:tblInd w:w="1840" w:type="dxa"/>
        <w:tblCellMar>
          <w:top w:w="0" w:type="dxa"/>
          <w:left w:w="0" w:type="dxa"/>
          <w:bottom w:w="0" w:type="dxa"/>
          <w:right w:w="0" w:type="dxa"/>
        </w:tblCellMar>
      </w:tblPr>
      <w:tr>
        <w:trPr>
          <w:trHeight w:val="161"/>
        </w:trPr>
        <w:tc>
          <w:tcPr>
            <w:tcW w:w="2780" w:type="dxa"/>
            <w:vAlign w:val="bottom"/>
            <w:gridSpan w:val="3"/>
          </w:tcPr>
          <w:p>
            <w:pPr>
              <w:spacing w:after="0"/>
              <w:rPr>
                <w:sz w:val="20"/>
                <w:szCs w:val="20"/>
                <w:color w:val="auto"/>
              </w:rPr>
            </w:pPr>
            <w:r>
              <w:rPr>
                <w:rFonts w:ascii="Arial" w:cs="Arial" w:eastAsia="Arial" w:hAnsi="Arial"/>
                <w:sz w:val="14"/>
                <w:szCs w:val="14"/>
                <w:b w:val="1"/>
                <w:bCs w:val="1"/>
                <w:color w:val="auto"/>
              </w:rPr>
              <w:t>Fiscal year</w:t>
            </w:r>
          </w:p>
        </w:tc>
        <w:tc>
          <w:tcPr>
            <w:tcW w:w="430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600" w:type="dxa"/>
            <w:vAlign w:val="bottom"/>
          </w:tcPr>
          <w:p>
            <w:pPr>
              <w:jc w:val="right"/>
              <w:ind w:right="35"/>
              <w:spacing w:after="0"/>
              <w:rPr>
                <w:sz w:val="20"/>
                <w:szCs w:val="20"/>
                <w:color w:val="auto"/>
              </w:rPr>
            </w:pPr>
            <w:r>
              <w:rPr>
                <w:rFonts w:ascii="Arial" w:cs="Arial" w:eastAsia="Arial" w:hAnsi="Arial"/>
                <w:sz w:val="14"/>
                <w:szCs w:val="14"/>
                <w:b w:val="1"/>
                <w:bCs w:val="1"/>
                <w:color w:val="auto"/>
                <w:w w:val="86"/>
              </w:rPr>
              <w:t>Amount</w:t>
            </w:r>
          </w:p>
        </w:tc>
        <w:tc>
          <w:tcPr>
            <w:tcW w:w="0" w:type="dxa"/>
            <w:vAlign w:val="bottom"/>
          </w:tcPr>
          <w:p>
            <w:pPr>
              <w:spacing w:after="0"/>
              <w:rPr>
                <w:sz w:val="1"/>
                <w:szCs w:val="1"/>
                <w:color w:val="auto"/>
              </w:rPr>
            </w:pPr>
          </w:p>
        </w:tc>
      </w:tr>
      <w:tr>
        <w:trPr>
          <w:trHeight w:val="20"/>
        </w:trPr>
        <w:tc>
          <w:tcPr>
            <w:tcW w:w="20" w:type="dxa"/>
            <w:vAlign w:val="bottom"/>
            <w:vMerge w:val="restart"/>
          </w:tcPr>
          <w:p>
            <w:pPr>
              <w:spacing w:after="0" w:line="20" w:lineRule="exact"/>
              <w:rPr>
                <w:sz w:val="1"/>
                <w:szCs w:val="1"/>
                <w:color w:val="auto"/>
              </w:rPr>
            </w:pPr>
          </w:p>
        </w:tc>
        <w:tc>
          <w:tcPr>
            <w:tcW w:w="640" w:type="dxa"/>
            <w:vAlign w:val="bottom"/>
            <w:shd w:val="clear" w:color="auto" w:fill="000000"/>
          </w:tcPr>
          <w:p>
            <w:pPr>
              <w:spacing w:after="0" w:line="20" w:lineRule="exact"/>
              <w:rPr>
                <w:sz w:val="1"/>
                <w:szCs w:val="1"/>
                <w:color w:val="auto"/>
              </w:rPr>
            </w:pPr>
          </w:p>
        </w:tc>
        <w:tc>
          <w:tcPr>
            <w:tcW w:w="2120" w:type="dxa"/>
            <w:vAlign w:val="bottom"/>
          </w:tcPr>
          <w:p>
            <w:pPr>
              <w:spacing w:after="0" w:line="20" w:lineRule="exact"/>
              <w:rPr>
                <w:sz w:val="1"/>
                <w:szCs w:val="1"/>
                <w:color w:val="auto"/>
              </w:rPr>
            </w:pPr>
          </w:p>
        </w:tc>
        <w:tc>
          <w:tcPr>
            <w:tcW w:w="4300" w:type="dxa"/>
            <w:vAlign w:val="bottom"/>
          </w:tcPr>
          <w:p>
            <w:pPr>
              <w:spacing w:after="0" w:line="20" w:lineRule="exact"/>
              <w:rPr>
                <w:sz w:val="1"/>
                <w:szCs w:val="1"/>
                <w:color w:val="auto"/>
              </w:rPr>
            </w:pPr>
          </w:p>
        </w:tc>
        <w:tc>
          <w:tcPr>
            <w:tcW w:w="80" w:type="dxa"/>
            <w:vAlign w:val="bottom"/>
            <w:shd w:val="clear" w:color="auto" w:fill="000000"/>
          </w:tcPr>
          <w:p>
            <w:pPr>
              <w:spacing w:after="0" w:line="20" w:lineRule="exact"/>
              <w:rPr>
                <w:sz w:val="1"/>
                <w:szCs w:val="1"/>
                <w:color w:val="auto"/>
              </w:rPr>
            </w:pPr>
          </w:p>
        </w:tc>
        <w:tc>
          <w:tcPr>
            <w:tcW w:w="600" w:type="dxa"/>
            <w:vAlign w:val="bottom"/>
            <w:shd w:val="clear" w:color="auto" w:fill="000000"/>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10"/>
        </w:trPr>
        <w:tc>
          <w:tcPr>
            <w:tcW w:w="20" w:type="dxa"/>
            <w:vAlign w:val="bottom"/>
            <w:vMerge w:val="continue"/>
          </w:tcPr>
          <w:p>
            <w:pPr>
              <w:spacing w:after="0"/>
              <w:rPr>
                <w:sz w:val="18"/>
                <w:szCs w:val="18"/>
                <w:color w:val="auto"/>
              </w:rPr>
            </w:pPr>
          </w:p>
        </w:tc>
        <w:tc>
          <w:tcPr>
            <w:tcW w:w="276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Remainder of fiscal 2010</w:t>
            </w:r>
          </w:p>
        </w:tc>
        <w:tc>
          <w:tcPr>
            <w:tcW w:w="438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6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23,298</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40" w:type="dxa"/>
            <w:vAlign w:val="bottom"/>
          </w:tcPr>
          <w:p>
            <w:pPr>
              <w:spacing w:after="0"/>
              <w:rPr>
                <w:sz w:val="20"/>
                <w:szCs w:val="20"/>
                <w:color w:val="auto"/>
              </w:rPr>
            </w:pPr>
            <w:r>
              <w:rPr>
                <w:rFonts w:ascii="Arial" w:cs="Arial" w:eastAsia="Arial" w:hAnsi="Arial"/>
                <w:sz w:val="18"/>
                <w:szCs w:val="18"/>
                <w:color w:val="auto"/>
              </w:rPr>
              <w:t>2011</w:t>
            </w:r>
          </w:p>
        </w:tc>
        <w:tc>
          <w:tcPr>
            <w:tcW w:w="2120" w:type="dxa"/>
            <w:vAlign w:val="bottom"/>
          </w:tcPr>
          <w:p>
            <w:pPr>
              <w:spacing w:after="0"/>
              <w:rPr>
                <w:sz w:val="18"/>
                <w:szCs w:val="18"/>
                <w:color w:val="auto"/>
              </w:rPr>
            </w:pPr>
          </w:p>
        </w:tc>
        <w:tc>
          <w:tcPr>
            <w:tcW w:w="430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600" w:type="dxa"/>
            <w:vAlign w:val="bottom"/>
          </w:tcPr>
          <w:p>
            <w:pPr>
              <w:jc w:val="right"/>
              <w:spacing w:after="0"/>
              <w:rPr>
                <w:sz w:val="20"/>
                <w:szCs w:val="20"/>
                <w:color w:val="auto"/>
              </w:rPr>
            </w:pPr>
            <w:r>
              <w:rPr>
                <w:rFonts w:ascii="Arial" w:cs="Arial" w:eastAsia="Arial" w:hAnsi="Arial"/>
                <w:sz w:val="18"/>
                <w:szCs w:val="18"/>
                <w:color w:val="auto"/>
              </w:rPr>
              <w:t>79,913</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40" w:type="dxa"/>
            <w:vAlign w:val="bottom"/>
            <w:shd w:val="clear" w:color="auto" w:fill="CCEEFF"/>
          </w:tcPr>
          <w:p>
            <w:pPr>
              <w:spacing w:after="0"/>
              <w:rPr>
                <w:sz w:val="20"/>
                <w:szCs w:val="20"/>
                <w:color w:val="auto"/>
              </w:rPr>
            </w:pPr>
            <w:r>
              <w:rPr>
                <w:rFonts w:ascii="Arial" w:cs="Arial" w:eastAsia="Arial" w:hAnsi="Arial"/>
                <w:sz w:val="18"/>
                <w:szCs w:val="18"/>
                <w:color w:val="auto"/>
              </w:rPr>
              <w:t>2012</w:t>
            </w:r>
          </w:p>
        </w:tc>
        <w:tc>
          <w:tcPr>
            <w:tcW w:w="2120" w:type="dxa"/>
            <w:vAlign w:val="bottom"/>
            <w:shd w:val="clear" w:color="auto" w:fill="CCEEFF"/>
          </w:tcPr>
          <w:p>
            <w:pPr>
              <w:spacing w:after="0"/>
              <w:rPr>
                <w:sz w:val="18"/>
                <w:szCs w:val="18"/>
                <w:color w:val="auto"/>
              </w:rPr>
            </w:pPr>
          </w:p>
        </w:tc>
        <w:tc>
          <w:tcPr>
            <w:tcW w:w="430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6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41,951</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40" w:type="dxa"/>
            <w:vAlign w:val="bottom"/>
          </w:tcPr>
          <w:p>
            <w:pPr>
              <w:spacing w:after="0"/>
              <w:rPr>
                <w:sz w:val="20"/>
                <w:szCs w:val="20"/>
                <w:color w:val="auto"/>
              </w:rPr>
            </w:pPr>
            <w:r>
              <w:rPr>
                <w:rFonts w:ascii="Arial" w:cs="Arial" w:eastAsia="Arial" w:hAnsi="Arial"/>
                <w:sz w:val="18"/>
                <w:szCs w:val="18"/>
                <w:color w:val="auto"/>
              </w:rPr>
              <w:t>2013</w:t>
            </w:r>
          </w:p>
        </w:tc>
        <w:tc>
          <w:tcPr>
            <w:tcW w:w="2120" w:type="dxa"/>
            <w:vAlign w:val="bottom"/>
          </w:tcPr>
          <w:p>
            <w:pPr>
              <w:spacing w:after="0"/>
              <w:rPr>
                <w:sz w:val="18"/>
                <w:szCs w:val="18"/>
                <w:color w:val="auto"/>
              </w:rPr>
            </w:pPr>
          </w:p>
        </w:tc>
        <w:tc>
          <w:tcPr>
            <w:tcW w:w="430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600" w:type="dxa"/>
            <w:vAlign w:val="bottom"/>
          </w:tcPr>
          <w:p>
            <w:pPr>
              <w:jc w:val="right"/>
              <w:spacing w:after="0"/>
              <w:rPr>
                <w:sz w:val="20"/>
                <w:szCs w:val="20"/>
                <w:color w:val="auto"/>
              </w:rPr>
            </w:pPr>
            <w:r>
              <w:rPr>
                <w:rFonts w:ascii="Arial" w:cs="Arial" w:eastAsia="Arial" w:hAnsi="Arial"/>
                <w:sz w:val="18"/>
                <w:szCs w:val="18"/>
                <w:color w:val="auto"/>
              </w:rPr>
              <w:t>35,217</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40" w:type="dxa"/>
            <w:vAlign w:val="bottom"/>
            <w:shd w:val="clear" w:color="auto" w:fill="CCEEFF"/>
          </w:tcPr>
          <w:p>
            <w:pPr>
              <w:spacing w:after="0"/>
              <w:rPr>
                <w:sz w:val="20"/>
                <w:szCs w:val="20"/>
                <w:color w:val="auto"/>
              </w:rPr>
            </w:pPr>
            <w:r>
              <w:rPr>
                <w:rFonts w:ascii="Arial" w:cs="Arial" w:eastAsia="Arial" w:hAnsi="Arial"/>
                <w:sz w:val="18"/>
                <w:szCs w:val="18"/>
                <w:color w:val="auto"/>
              </w:rPr>
              <w:t>2014</w:t>
            </w:r>
          </w:p>
        </w:tc>
        <w:tc>
          <w:tcPr>
            <w:tcW w:w="2120" w:type="dxa"/>
            <w:vAlign w:val="bottom"/>
            <w:shd w:val="clear" w:color="auto" w:fill="CCEEFF"/>
          </w:tcPr>
          <w:p>
            <w:pPr>
              <w:spacing w:after="0"/>
              <w:rPr>
                <w:sz w:val="18"/>
                <w:szCs w:val="18"/>
                <w:color w:val="auto"/>
              </w:rPr>
            </w:pPr>
          </w:p>
        </w:tc>
        <w:tc>
          <w:tcPr>
            <w:tcW w:w="430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6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22,093</w:t>
            </w:r>
          </w:p>
        </w:tc>
        <w:tc>
          <w:tcPr>
            <w:tcW w:w="0" w:type="dxa"/>
            <w:vAlign w:val="bottom"/>
          </w:tcPr>
          <w:p>
            <w:pPr>
              <w:spacing w:after="0"/>
              <w:rPr>
                <w:sz w:val="1"/>
                <w:szCs w:val="1"/>
                <w:color w:val="auto"/>
              </w:rPr>
            </w:pPr>
          </w:p>
        </w:tc>
      </w:tr>
      <w:tr>
        <w:trPr>
          <w:trHeight w:val="223"/>
        </w:trPr>
        <w:tc>
          <w:tcPr>
            <w:tcW w:w="20" w:type="dxa"/>
            <w:vAlign w:val="bottom"/>
          </w:tcPr>
          <w:p>
            <w:pPr>
              <w:spacing w:after="0"/>
              <w:rPr>
                <w:sz w:val="19"/>
                <w:szCs w:val="19"/>
                <w:color w:val="auto"/>
              </w:rPr>
            </w:pPr>
          </w:p>
        </w:tc>
        <w:tc>
          <w:tcPr>
            <w:tcW w:w="2760" w:type="dxa"/>
            <w:vAlign w:val="bottom"/>
            <w:gridSpan w:val="2"/>
          </w:tcPr>
          <w:p>
            <w:pPr>
              <w:spacing w:after="0"/>
              <w:rPr>
                <w:sz w:val="20"/>
                <w:szCs w:val="20"/>
                <w:color w:val="auto"/>
              </w:rPr>
            </w:pPr>
            <w:r>
              <w:rPr>
                <w:rFonts w:ascii="Arial" w:cs="Arial" w:eastAsia="Arial" w:hAnsi="Arial"/>
                <w:sz w:val="18"/>
                <w:szCs w:val="18"/>
                <w:color w:val="auto"/>
              </w:rPr>
              <w:t>Thereafter</w:t>
            </w:r>
          </w:p>
        </w:tc>
        <w:tc>
          <w:tcPr>
            <w:tcW w:w="4300" w:type="dxa"/>
            <w:vAlign w:val="bottom"/>
          </w:tcPr>
          <w:p>
            <w:pPr>
              <w:spacing w:after="0"/>
              <w:rPr>
                <w:sz w:val="19"/>
                <w:szCs w:val="19"/>
                <w:color w:val="auto"/>
              </w:rPr>
            </w:pPr>
          </w:p>
        </w:tc>
        <w:tc>
          <w:tcPr>
            <w:tcW w:w="80" w:type="dxa"/>
            <w:vAlign w:val="bottom"/>
            <w:tcBorders>
              <w:bottom w:val="single" w:sz="8" w:color="auto"/>
            </w:tcBorders>
          </w:tcPr>
          <w:p>
            <w:pPr>
              <w:spacing w:after="0"/>
              <w:rPr>
                <w:sz w:val="19"/>
                <w:szCs w:val="19"/>
                <w:color w:val="auto"/>
              </w:rPr>
            </w:pPr>
          </w:p>
        </w:tc>
        <w:tc>
          <w:tcPr>
            <w:tcW w:w="6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882</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40" w:type="dxa"/>
            <w:vAlign w:val="bottom"/>
            <w:shd w:val="clear" w:color="auto" w:fill="CCEEFF"/>
          </w:tcPr>
          <w:p>
            <w:pPr>
              <w:spacing w:after="0"/>
              <w:rPr>
                <w:sz w:val="18"/>
                <w:szCs w:val="18"/>
                <w:color w:val="auto"/>
              </w:rPr>
            </w:pPr>
          </w:p>
        </w:tc>
        <w:tc>
          <w:tcPr>
            <w:tcW w:w="2120" w:type="dxa"/>
            <w:vAlign w:val="bottom"/>
            <w:shd w:val="clear" w:color="auto" w:fill="CCEEFF"/>
          </w:tcPr>
          <w:p>
            <w:pPr>
              <w:spacing w:after="0"/>
              <w:rPr>
                <w:sz w:val="18"/>
                <w:szCs w:val="18"/>
                <w:color w:val="auto"/>
              </w:rPr>
            </w:pPr>
          </w:p>
        </w:tc>
        <w:tc>
          <w:tcPr>
            <w:tcW w:w="4380" w:type="dxa"/>
            <w:vAlign w:val="bottom"/>
            <w:gridSpan w:val="2"/>
            <w:shd w:val="clear" w:color="auto" w:fill="CCEEFF"/>
          </w:tcPr>
          <w:p>
            <w:pPr>
              <w:jc w:val="right"/>
              <w:spacing w:after="0"/>
              <w:rPr>
                <w:sz w:val="20"/>
                <w:szCs w:val="20"/>
                <w:color w:val="auto"/>
              </w:rPr>
            </w:pPr>
            <w:r>
              <w:rPr>
                <w:rFonts w:ascii="Arial" w:cs="Arial" w:eastAsia="Arial" w:hAnsi="Arial"/>
                <w:sz w:val="18"/>
                <w:szCs w:val="18"/>
                <w:u w:val="single" w:color="auto"/>
                <w:color w:val="auto"/>
              </w:rPr>
              <w:t>$</w:t>
            </w:r>
          </w:p>
        </w:tc>
        <w:tc>
          <w:tcPr>
            <w:tcW w:w="6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9"/>
              </w:rPr>
              <w:t>203,354</w:t>
            </w: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640" w:type="dxa"/>
            <w:vAlign w:val="bottom"/>
          </w:tcPr>
          <w:p>
            <w:pPr>
              <w:spacing w:after="0" w:line="20" w:lineRule="exact"/>
              <w:rPr>
                <w:sz w:val="1"/>
                <w:szCs w:val="1"/>
                <w:color w:val="auto"/>
              </w:rPr>
            </w:pPr>
          </w:p>
        </w:tc>
        <w:tc>
          <w:tcPr>
            <w:tcW w:w="2120" w:type="dxa"/>
            <w:vAlign w:val="bottom"/>
          </w:tcPr>
          <w:p>
            <w:pPr>
              <w:spacing w:after="0" w:line="20" w:lineRule="exact"/>
              <w:rPr>
                <w:sz w:val="1"/>
                <w:szCs w:val="1"/>
                <w:color w:val="auto"/>
              </w:rPr>
            </w:pPr>
          </w:p>
        </w:tc>
        <w:tc>
          <w:tcPr>
            <w:tcW w:w="4300" w:type="dxa"/>
            <w:vAlign w:val="bottom"/>
            <w:vMerge w:val="restart"/>
          </w:tcPr>
          <w:p>
            <w:pPr>
              <w:jc w:val="right"/>
              <w:ind w:right="3032"/>
              <w:spacing w:after="0"/>
              <w:rPr>
                <w:sz w:val="20"/>
                <w:szCs w:val="20"/>
                <w:color w:val="auto"/>
              </w:rPr>
            </w:pPr>
            <w:r>
              <w:rPr>
                <w:rFonts w:ascii="Arial" w:cs="Arial" w:eastAsia="Arial" w:hAnsi="Arial"/>
                <w:sz w:val="18"/>
                <w:szCs w:val="18"/>
                <w:color w:val="auto"/>
              </w:rPr>
              <w:t>17</w:t>
            </w:r>
          </w:p>
        </w:tc>
        <w:tc>
          <w:tcPr>
            <w:tcW w:w="80" w:type="dxa"/>
            <w:vAlign w:val="bottom"/>
            <w:tcBorders>
              <w:top w:val="single" w:sz="8" w:color="auto"/>
              <w:bottom w:val="single" w:sz="8" w:color="auto"/>
            </w:tcBorders>
          </w:tcPr>
          <w:p>
            <w:pPr>
              <w:spacing w:after="0" w:line="20" w:lineRule="exact"/>
              <w:rPr>
                <w:sz w:val="1"/>
                <w:szCs w:val="1"/>
                <w:color w:val="auto"/>
              </w:rPr>
            </w:pPr>
          </w:p>
        </w:tc>
        <w:tc>
          <w:tcPr>
            <w:tcW w:w="600" w:type="dxa"/>
            <w:vAlign w:val="bottom"/>
            <w:tcBorders>
              <w:top w:val="single" w:sz="8" w:color="auto"/>
              <w:bottom w:val="single" w:sz="8" w:color="auto"/>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357"/>
        </w:trPr>
        <w:tc>
          <w:tcPr>
            <w:tcW w:w="20" w:type="dxa"/>
            <w:vAlign w:val="bottom"/>
          </w:tcPr>
          <w:p>
            <w:pPr>
              <w:spacing w:after="0"/>
              <w:rPr>
                <w:sz w:val="24"/>
                <w:szCs w:val="24"/>
                <w:color w:val="auto"/>
              </w:rPr>
            </w:pPr>
          </w:p>
        </w:tc>
        <w:tc>
          <w:tcPr>
            <w:tcW w:w="640" w:type="dxa"/>
            <w:vAlign w:val="bottom"/>
          </w:tcPr>
          <w:p>
            <w:pPr>
              <w:spacing w:after="0"/>
              <w:rPr>
                <w:sz w:val="24"/>
                <w:szCs w:val="24"/>
                <w:color w:val="auto"/>
              </w:rPr>
            </w:pPr>
          </w:p>
        </w:tc>
        <w:tc>
          <w:tcPr>
            <w:tcW w:w="2120" w:type="dxa"/>
            <w:vAlign w:val="bottom"/>
          </w:tcPr>
          <w:p>
            <w:pPr>
              <w:spacing w:after="0"/>
              <w:rPr>
                <w:sz w:val="24"/>
                <w:szCs w:val="24"/>
                <w:color w:val="auto"/>
              </w:rPr>
            </w:pPr>
          </w:p>
        </w:tc>
        <w:tc>
          <w:tcPr>
            <w:tcW w:w="4300" w:type="dxa"/>
            <w:vAlign w:val="bottom"/>
            <w:vMerge w:val="continue"/>
          </w:tcPr>
          <w:p>
            <w:pPr>
              <w:spacing w:after="0"/>
              <w:rPr>
                <w:sz w:val="24"/>
                <w:szCs w:val="24"/>
                <w:color w:val="auto"/>
              </w:rPr>
            </w:pPr>
          </w:p>
        </w:tc>
        <w:tc>
          <w:tcPr>
            <w:tcW w:w="80" w:type="dxa"/>
            <w:vAlign w:val="bottom"/>
          </w:tcPr>
          <w:p>
            <w:pPr>
              <w:spacing w:after="0"/>
              <w:rPr>
                <w:sz w:val="24"/>
                <w:szCs w:val="24"/>
                <w:color w:val="auto"/>
              </w:rPr>
            </w:pPr>
          </w:p>
        </w:tc>
        <w:tc>
          <w:tcPr>
            <w:tcW w:w="600" w:type="dxa"/>
            <w:vAlign w:val="bottom"/>
          </w:tcPr>
          <w:p>
            <w:pPr>
              <w:spacing w:after="0"/>
              <w:rPr>
                <w:sz w:val="24"/>
                <w:szCs w:val="24"/>
                <w:color w:val="auto"/>
              </w:rPr>
            </w:pPr>
          </w:p>
        </w:tc>
        <w:tc>
          <w:tcPr>
            <w:tcW w:w="0" w:type="dxa"/>
            <w:vAlign w:val="bottom"/>
          </w:tcPr>
          <w:p>
            <w:pPr>
              <w:spacing w:after="0"/>
              <w:rPr>
                <w:sz w:val="1"/>
                <w:szCs w:val="1"/>
                <w:color w:val="auto"/>
              </w:rPr>
            </w:pPr>
          </w:p>
        </w:tc>
      </w:tr>
    </w:tbl>
    <w:p>
      <w:pPr>
        <w:sectPr>
          <w:pgSz w:w="11900" w:h="16838" w:orient="portrait"/>
          <w:cols w:equalWidth="0" w:num="1">
            <w:col w:w="11420"/>
          </w:cols>
          <w:pgMar w:left="240" w:top="459" w:right="239" w:bottom="1440" w:gutter="0" w:footer="0" w:header="0"/>
        </w:sectPr>
      </w:pPr>
    </w:p>
    <w:bookmarkStart w:id="17" w:name="page18"/>
    <w:bookmarkEnd w:id="17"/>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32">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ind w:right="-59"/>
        <w:spacing w:after="0"/>
        <w:rPr>
          <w:sz w:val="20"/>
          <w:szCs w:val="20"/>
          <w:color w:val="auto"/>
        </w:rPr>
      </w:pPr>
      <w:r>
        <w:rPr>
          <w:rFonts w:ascii="Arial" w:cs="Arial" w:eastAsia="Arial" w:hAnsi="Arial"/>
          <w:sz w:val="18"/>
          <w:szCs w:val="18"/>
          <w:b w:val="1"/>
          <w:bCs w:val="1"/>
          <w:color w:val="auto"/>
        </w:rPr>
        <w:t>MARVELL TECHNOLOGY GROUP LTD.</w:t>
      </w:r>
    </w:p>
    <w:p>
      <w:pPr>
        <w:spacing w:after="0" w:line="90" w:lineRule="exact"/>
        <w:rPr>
          <w:sz w:val="20"/>
          <w:szCs w:val="20"/>
          <w:color w:val="auto"/>
        </w:rPr>
      </w:pPr>
    </w:p>
    <w:p>
      <w:pPr>
        <w:jc w:val="center"/>
        <w:ind w:right="-59"/>
        <w:spacing w:after="0"/>
        <w:rPr>
          <w:sz w:val="20"/>
          <w:szCs w:val="20"/>
          <w:color w:val="auto"/>
        </w:rPr>
      </w:pPr>
      <w:r>
        <w:rPr>
          <w:rFonts w:ascii="Arial" w:cs="Arial" w:eastAsia="Arial" w:hAnsi="Arial"/>
          <w:sz w:val="18"/>
          <w:szCs w:val="18"/>
          <w:b w:val="1"/>
          <w:bCs w:val="1"/>
          <w:color w:val="auto"/>
        </w:rPr>
        <w:t>NOTES TO UNAUDITED CONDENSED CONSOLIDATED FINANCIAL STATEMENTS—(Continued)</w:t>
      </w:r>
    </w:p>
    <w:p>
      <w:pPr>
        <w:spacing w:after="0" w:line="158"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Note 8. Restructuring and Related Charges</w:t>
      </w:r>
    </w:p>
    <w:p>
      <w:pPr>
        <w:spacing w:after="0" w:line="96" w:lineRule="exact"/>
        <w:rPr>
          <w:sz w:val="20"/>
          <w:szCs w:val="20"/>
          <w:color w:val="auto"/>
        </w:rPr>
      </w:pPr>
    </w:p>
    <w:p>
      <w:pPr>
        <w:ind w:left="460"/>
        <w:spacing w:after="0"/>
        <w:rPr>
          <w:sz w:val="20"/>
          <w:szCs w:val="20"/>
          <w:color w:val="auto"/>
        </w:rPr>
      </w:pPr>
      <w:r>
        <w:rPr>
          <w:rFonts w:ascii="Arial" w:cs="Arial" w:eastAsia="Arial" w:hAnsi="Arial"/>
          <w:sz w:val="16"/>
          <w:szCs w:val="16"/>
          <w:color w:val="auto"/>
        </w:rPr>
        <w:t>During the three months ended October 31, 2009, the Company continued to implement certain cost reduction measures that included reductions in</w:t>
      </w:r>
    </w:p>
    <w:p>
      <w:pPr>
        <w:spacing w:after="0" w:line="38" w:lineRule="exact"/>
        <w:rPr>
          <w:sz w:val="20"/>
          <w:szCs w:val="20"/>
          <w:color w:val="auto"/>
        </w:rPr>
      </w:pPr>
    </w:p>
    <w:p>
      <w:pPr>
        <w:spacing w:after="0"/>
        <w:rPr>
          <w:sz w:val="20"/>
          <w:szCs w:val="20"/>
          <w:color w:val="auto"/>
        </w:rPr>
      </w:pPr>
      <w:r>
        <w:rPr>
          <w:rFonts w:ascii="Arial" w:cs="Arial" w:eastAsia="Arial" w:hAnsi="Arial"/>
          <w:sz w:val="16"/>
          <w:szCs w:val="16"/>
          <w:color w:val="auto"/>
        </w:rPr>
        <w:t>workforce that were announced in the first quarter ended May 2, 2009. In addition, the Company also impaired some facilities due to vacating certain</w:t>
      </w:r>
    </w:p>
    <w:p>
      <w:pPr>
        <w:spacing w:after="0" w:line="32" w:lineRule="exact"/>
        <w:rPr>
          <w:sz w:val="20"/>
          <w:szCs w:val="20"/>
          <w:color w:val="auto"/>
        </w:rPr>
      </w:pPr>
    </w:p>
    <w:p>
      <w:pPr>
        <w:spacing w:after="0"/>
        <w:rPr>
          <w:sz w:val="20"/>
          <w:szCs w:val="20"/>
          <w:color w:val="auto"/>
        </w:rPr>
      </w:pPr>
      <w:r>
        <w:rPr>
          <w:rFonts w:ascii="Arial" w:cs="Arial" w:eastAsia="Arial" w:hAnsi="Arial"/>
          <w:sz w:val="16"/>
          <w:szCs w:val="16"/>
          <w:color w:val="auto"/>
        </w:rPr>
        <w:t>locations. As a result, during the three months ended October 31, 2009, the Company recorded a restructuring charge of $1.9 million consisting of $0.1 million of</w:t>
      </w:r>
    </w:p>
    <w:p>
      <w:pPr>
        <w:spacing w:after="0" w:line="32" w:lineRule="exact"/>
        <w:rPr>
          <w:sz w:val="20"/>
          <w:szCs w:val="20"/>
          <w:color w:val="auto"/>
        </w:rPr>
      </w:pPr>
    </w:p>
    <w:p>
      <w:pPr>
        <w:spacing w:after="0"/>
        <w:rPr>
          <w:sz w:val="20"/>
          <w:szCs w:val="20"/>
          <w:color w:val="auto"/>
        </w:rPr>
      </w:pPr>
      <w:r>
        <w:rPr>
          <w:rFonts w:ascii="Arial" w:cs="Arial" w:eastAsia="Arial" w:hAnsi="Arial"/>
          <w:sz w:val="16"/>
          <w:szCs w:val="16"/>
          <w:color w:val="auto"/>
        </w:rPr>
        <w:t>severance and related employee benefits to the terminated employees and $1.8 million for equipment and other related charges which included $1.0 million for</w:t>
      </w:r>
    </w:p>
    <w:p>
      <w:pPr>
        <w:spacing w:after="0" w:line="32" w:lineRule="exact"/>
        <w:rPr>
          <w:sz w:val="20"/>
          <w:szCs w:val="20"/>
          <w:color w:val="auto"/>
        </w:rPr>
      </w:pPr>
    </w:p>
    <w:p>
      <w:pPr>
        <w:spacing w:after="0"/>
        <w:rPr>
          <w:sz w:val="20"/>
          <w:szCs w:val="20"/>
          <w:color w:val="auto"/>
        </w:rPr>
      </w:pPr>
      <w:r>
        <w:rPr>
          <w:rFonts w:ascii="Arial" w:cs="Arial" w:eastAsia="Arial" w:hAnsi="Arial"/>
          <w:sz w:val="16"/>
          <w:szCs w:val="16"/>
          <w:color w:val="auto"/>
        </w:rPr>
        <w:t>leasehold improvements, furniture and equipment related to the closure of a lease in a foreign subsidiary. For the nine months ended October 31, 2009, the</w:t>
      </w:r>
    </w:p>
    <w:p>
      <w:pPr>
        <w:spacing w:after="0" w:line="32" w:lineRule="exact"/>
        <w:rPr>
          <w:sz w:val="20"/>
          <w:szCs w:val="20"/>
          <w:color w:val="auto"/>
        </w:rPr>
      </w:pPr>
    </w:p>
    <w:p>
      <w:pPr>
        <w:spacing w:after="0"/>
        <w:rPr>
          <w:sz w:val="20"/>
          <w:szCs w:val="20"/>
          <w:color w:val="auto"/>
        </w:rPr>
      </w:pPr>
      <w:r>
        <w:rPr>
          <w:rFonts w:ascii="Arial" w:cs="Arial" w:eastAsia="Arial" w:hAnsi="Arial"/>
          <w:sz w:val="16"/>
          <w:szCs w:val="16"/>
          <w:color w:val="auto"/>
        </w:rPr>
        <w:t>Company recorded a restructuring charge $15.2 million consisting of $8.6 million for of severance and related employee benefits to terminated employees, $4.2</w:t>
      </w:r>
    </w:p>
    <w:p>
      <w:pPr>
        <w:spacing w:after="0" w:line="32" w:lineRule="exact"/>
        <w:rPr>
          <w:sz w:val="20"/>
          <w:szCs w:val="20"/>
          <w:color w:val="auto"/>
        </w:rPr>
      </w:pPr>
    </w:p>
    <w:p>
      <w:pPr>
        <w:spacing w:after="0"/>
        <w:rPr>
          <w:sz w:val="20"/>
          <w:szCs w:val="20"/>
          <w:color w:val="auto"/>
        </w:rPr>
      </w:pPr>
      <w:r>
        <w:rPr>
          <w:rFonts w:ascii="Arial" w:cs="Arial" w:eastAsia="Arial" w:hAnsi="Arial"/>
          <w:sz w:val="18"/>
          <w:szCs w:val="18"/>
          <w:color w:val="auto"/>
        </w:rPr>
        <w:t>million for equipment and other related charges and $2.3 million of additional facilities impairment charges.</w:t>
      </w:r>
    </w:p>
    <w:p>
      <w:pPr>
        <w:spacing w:after="0" w:line="165" w:lineRule="exact"/>
        <w:rPr>
          <w:sz w:val="20"/>
          <w:szCs w:val="20"/>
          <w:color w:val="auto"/>
        </w:rPr>
      </w:pPr>
    </w:p>
    <w:p>
      <w:pPr>
        <w:ind w:left="460"/>
        <w:spacing w:after="0"/>
        <w:rPr>
          <w:sz w:val="20"/>
          <w:szCs w:val="20"/>
          <w:color w:val="auto"/>
        </w:rPr>
      </w:pPr>
      <w:r>
        <w:rPr>
          <w:rFonts w:ascii="Arial" w:cs="Arial" w:eastAsia="Arial" w:hAnsi="Arial"/>
          <w:sz w:val="18"/>
          <w:szCs w:val="18"/>
          <w:color w:val="auto"/>
        </w:rPr>
        <w:t>The following table sets forth an analysis of the components of the restructuring charges and the payments made (in thousands):</w:t>
      </w:r>
    </w:p>
    <w:p>
      <w:pPr>
        <w:spacing w:after="0" w:line="207" w:lineRule="exact"/>
        <w:rPr>
          <w:sz w:val="20"/>
          <w:szCs w:val="20"/>
          <w:color w:val="auto"/>
        </w:rPr>
      </w:pPr>
    </w:p>
    <w:tbl>
      <w:tblPr>
        <w:tblLayout w:type="fixed"/>
        <w:tblInd w:w="460" w:type="dxa"/>
        <w:tblCellMar>
          <w:top w:w="0" w:type="dxa"/>
          <w:left w:w="0" w:type="dxa"/>
          <w:bottom w:w="0" w:type="dxa"/>
          <w:right w:w="0" w:type="dxa"/>
        </w:tblCellMar>
      </w:tblPr>
      <w:tr>
        <w:trPr>
          <w:trHeight w:val="161"/>
        </w:trPr>
        <w:tc>
          <w:tcPr>
            <w:tcW w:w="20" w:type="dxa"/>
            <w:vAlign w:val="bottom"/>
          </w:tcPr>
          <w:p>
            <w:pPr>
              <w:spacing w:after="0"/>
              <w:rPr>
                <w:sz w:val="14"/>
                <w:szCs w:val="14"/>
                <w:color w:val="auto"/>
              </w:rPr>
            </w:pPr>
          </w:p>
        </w:tc>
        <w:tc>
          <w:tcPr>
            <w:tcW w:w="4420" w:type="dxa"/>
            <w:vAlign w:val="bottom"/>
          </w:tcPr>
          <w:p>
            <w:pPr>
              <w:spacing w:after="0"/>
              <w:rPr>
                <w:sz w:val="14"/>
                <w:szCs w:val="14"/>
                <w:color w:val="auto"/>
              </w:rPr>
            </w:pPr>
          </w:p>
        </w:tc>
        <w:tc>
          <w:tcPr>
            <w:tcW w:w="130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2480" w:type="dxa"/>
            <w:vAlign w:val="bottom"/>
            <w:gridSpan w:val="6"/>
          </w:tcPr>
          <w:p>
            <w:pPr>
              <w:jc w:val="right"/>
              <w:ind w:right="1000"/>
              <w:spacing w:after="0"/>
              <w:rPr>
                <w:sz w:val="20"/>
                <w:szCs w:val="20"/>
                <w:color w:val="auto"/>
              </w:rPr>
            </w:pPr>
            <w:r>
              <w:rPr>
                <w:rFonts w:ascii="Arial" w:cs="Arial" w:eastAsia="Arial" w:hAnsi="Arial"/>
                <w:sz w:val="14"/>
                <w:szCs w:val="14"/>
                <w:b w:val="1"/>
                <w:bCs w:val="1"/>
                <w:color w:val="auto"/>
              </w:rPr>
              <w:t>Three Months Ended</w:t>
            </w:r>
          </w:p>
        </w:tc>
        <w:tc>
          <w:tcPr>
            <w:tcW w:w="120" w:type="dxa"/>
            <w:vAlign w:val="bottom"/>
          </w:tcPr>
          <w:p>
            <w:pPr>
              <w:spacing w:after="0"/>
              <w:rPr>
                <w:sz w:val="14"/>
                <w:szCs w:val="14"/>
                <w:color w:val="auto"/>
              </w:rPr>
            </w:pPr>
          </w:p>
        </w:tc>
        <w:tc>
          <w:tcPr>
            <w:tcW w:w="2020" w:type="dxa"/>
            <w:vAlign w:val="bottom"/>
            <w:gridSpan w:val="5"/>
          </w:tcPr>
          <w:p>
            <w:pPr>
              <w:jc w:val="right"/>
              <w:ind w:right="540"/>
              <w:spacing w:after="0"/>
              <w:rPr>
                <w:sz w:val="20"/>
                <w:szCs w:val="20"/>
                <w:color w:val="auto"/>
              </w:rPr>
            </w:pPr>
            <w:r>
              <w:rPr>
                <w:rFonts w:ascii="Arial" w:cs="Arial" w:eastAsia="Arial" w:hAnsi="Arial"/>
                <w:sz w:val="14"/>
                <w:szCs w:val="14"/>
                <w:b w:val="1"/>
                <w:bCs w:val="1"/>
                <w:color w:val="auto"/>
              </w:rPr>
              <w:t>Nine Months Ended</w:t>
            </w:r>
          </w:p>
        </w:tc>
        <w:tc>
          <w:tcPr>
            <w:tcW w:w="0" w:type="dxa"/>
            <w:vAlign w:val="bottom"/>
          </w:tcPr>
          <w:p>
            <w:pPr>
              <w:spacing w:after="0"/>
              <w:rPr>
                <w:sz w:val="1"/>
                <w:szCs w:val="1"/>
                <w:color w:val="auto"/>
              </w:rPr>
            </w:pPr>
          </w:p>
        </w:tc>
      </w:tr>
      <w:tr>
        <w:trPr>
          <w:trHeight w:val="129"/>
        </w:trPr>
        <w:tc>
          <w:tcPr>
            <w:tcW w:w="20" w:type="dxa"/>
            <w:vAlign w:val="bottom"/>
          </w:tcPr>
          <w:p>
            <w:pPr>
              <w:spacing w:after="0"/>
              <w:rPr>
                <w:sz w:val="11"/>
                <w:szCs w:val="11"/>
                <w:color w:val="auto"/>
              </w:rPr>
            </w:pPr>
          </w:p>
        </w:tc>
        <w:tc>
          <w:tcPr>
            <w:tcW w:w="4420" w:type="dxa"/>
            <w:vAlign w:val="bottom"/>
          </w:tcPr>
          <w:p>
            <w:pPr>
              <w:spacing w:after="0"/>
              <w:rPr>
                <w:sz w:val="11"/>
                <w:szCs w:val="11"/>
                <w:color w:val="auto"/>
              </w:rPr>
            </w:pPr>
          </w:p>
        </w:tc>
        <w:tc>
          <w:tcPr>
            <w:tcW w:w="1300" w:type="dxa"/>
            <w:vAlign w:val="bottom"/>
          </w:tcPr>
          <w:p>
            <w:pPr>
              <w:spacing w:after="0"/>
              <w:rPr>
                <w:sz w:val="11"/>
                <w:szCs w:val="11"/>
                <w:color w:val="auto"/>
              </w:rPr>
            </w:pPr>
          </w:p>
        </w:tc>
        <w:tc>
          <w:tcPr>
            <w:tcW w:w="1000" w:type="dxa"/>
            <w:vAlign w:val="bottom"/>
            <w:tcBorders>
              <w:top w:val="single" w:sz="8" w:color="auto"/>
            </w:tcBorders>
            <w:gridSpan w:val="3"/>
          </w:tcPr>
          <w:p>
            <w:pPr>
              <w:spacing w:after="0" w:line="129" w:lineRule="exact"/>
              <w:rPr>
                <w:sz w:val="20"/>
                <w:szCs w:val="20"/>
                <w:color w:val="auto"/>
              </w:rPr>
            </w:pPr>
            <w:r>
              <w:rPr>
                <w:rFonts w:ascii="Arial" w:cs="Arial" w:eastAsia="Arial" w:hAnsi="Arial"/>
                <w:sz w:val="14"/>
                <w:szCs w:val="14"/>
                <w:b w:val="1"/>
                <w:bCs w:val="1"/>
                <w:color w:val="auto"/>
              </w:rPr>
              <w:t>October 31,</w:t>
            </w:r>
          </w:p>
        </w:tc>
        <w:tc>
          <w:tcPr>
            <w:tcW w:w="280" w:type="dxa"/>
            <w:vAlign w:val="bottom"/>
            <w:tcBorders>
              <w:top w:val="single" w:sz="8" w:color="auto"/>
            </w:tcBorders>
          </w:tcPr>
          <w:p>
            <w:pPr>
              <w:spacing w:after="0"/>
              <w:rPr>
                <w:sz w:val="11"/>
                <w:szCs w:val="11"/>
                <w:color w:val="auto"/>
              </w:rPr>
            </w:pPr>
          </w:p>
        </w:tc>
        <w:tc>
          <w:tcPr>
            <w:tcW w:w="740" w:type="dxa"/>
            <w:vAlign w:val="bottom"/>
            <w:tcBorders>
              <w:top w:val="single" w:sz="8" w:color="auto"/>
            </w:tcBorders>
            <w:gridSpan w:val="2"/>
          </w:tcPr>
          <w:p>
            <w:pPr>
              <w:spacing w:after="0" w:line="129" w:lineRule="exact"/>
              <w:rPr>
                <w:sz w:val="20"/>
                <w:szCs w:val="20"/>
                <w:color w:val="auto"/>
              </w:rPr>
            </w:pPr>
            <w:r>
              <w:rPr>
                <w:rFonts w:ascii="Arial" w:cs="Arial" w:eastAsia="Arial" w:hAnsi="Arial"/>
                <w:sz w:val="14"/>
                <w:szCs w:val="14"/>
                <w:b w:val="1"/>
                <w:bCs w:val="1"/>
                <w:color w:val="auto"/>
                <w:w w:val="85"/>
              </w:rPr>
              <w:t>November 1,</w:t>
            </w:r>
          </w:p>
        </w:tc>
        <w:tc>
          <w:tcPr>
            <w:tcW w:w="600" w:type="dxa"/>
            <w:vAlign w:val="bottom"/>
          </w:tcPr>
          <w:p>
            <w:pPr>
              <w:spacing w:after="0"/>
              <w:rPr>
                <w:sz w:val="11"/>
                <w:szCs w:val="11"/>
                <w:color w:val="auto"/>
              </w:rPr>
            </w:pPr>
          </w:p>
        </w:tc>
        <w:tc>
          <w:tcPr>
            <w:tcW w:w="1280" w:type="dxa"/>
            <w:vAlign w:val="bottom"/>
            <w:tcBorders>
              <w:top w:val="single" w:sz="8" w:color="auto"/>
            </w:tcBorders>
            <w:gridSpan w:val="3"/>
          </w:tcPr>
          <w:p>
            <w:pPr>
              <w:spacing w:after="0" w:line="129" w:lineRule="exact"/>
              <w:rPr>
                <w:sz w:val="20"/>
                <w:szCs w:val="20"/>
                <w:color w:val="auto"/>
              </w:rPr>
            </w:pPr>
            <w:r>
              <w:rPr>
                <w:rFonts w:ascii="Arial" w:cs="Arial" w:eastAsia="Arial" w:hAnsi="Arial"/>
                <w:sz w:val="14"/>
                <w:szCs w:val="14"/>
                <w:b w:val="1"/>
                <w:bCs w:val="1"/>
                <w:color w:val="auto"/>
              </w:rPr>
              <w:t>October 31,</w:t>
            </w:r>
          </w:p>
        </w:tc>
        <w:tc>
          <w:tcPr>
            <w:tcW w:w="760" w:type="dxa"/>
            <w:vAlign w:val="bottom"/>
            <w:tcBorders>
              <w:top w:val="single" w:sz="8" w:color="auto"/>
            </w:tcBorders>
            <w:gridSpan w:val="2"/>
          </w:tcPr>
          <w:p>
            <w:pPr>
              <w:ind w:left="20"/>
              <w:spacing w:after="0" w:line="129" w:lineRule="exact"/>
              <w:rPr>
                <w:sz w:val="20"/>
                <w:szCs w:val="20"/>
                <w:color w:val="auto"/>
              </w:rPr>
            </w:pPr>
            <w:r>
              <w:rPr>
                <w:rFonts w:ascii="Arial" w:cs="Arial" w:eastAsia="Arial" w:hAnsi="Arial"/>
                <w:sz w:val="14"/>
                <w:szCs w:val="14"/>
                <w:b w:val="1"/>
                <w:bCs w:val="1"/>
                <w:color w:val="auto"/>
                <w:w w:val="85"/>
              </w:rPr>
              <w:t>November 1,</w:t>
            </w: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1"/>
        </w:trPr>
        <w:tc>
          <w:tcPr>
            <w:tcW w:w="20" w:type="dxa"/>
            <w:vAlign w:val="bottom"/>
          </w:tcPr>
          <w:p>
            <w:pPr>
              <w:spacing w:after="0"/>
              <w:rPr>
                <w:sz w:val="14"/>
                <w:szCs w:val="14"/>
                <w:color w:val="auto"/>
              </w:rPr>
            </w:pPr>
          </w:p>
        </w:tc>
        <w:tc>
          <w:tcPr>
            <w:tcW w:w="4420" w:type="dxa"/>
            <w:vAlign w:val="bottom"/>
          </w:tcPr>
          <w:p>
            <w:pPr>
              <w:spacing w:after="0"/>
              <w:rPr>
                <w:sz w:val="14"/>
                <w:szCs w:val="14"/>
                <w:color w:val="auto"/>
              </w:rPr>
            </w:pPr>
          </w:p>
        </w:tc>
        <w:tc>
          <w:tcPr>
            <w:tcW w:w="1300" w:type="dxa"/>
            <w:vAlign w:val="bottom"/>
          </w:tcPr>
          <w:p>
            <w:pPr>
              <w:spacing w:after="0"/>
              <w:rPr>
                <w:sz w:val="14"/>
                <w:szCs w:val="14"/>
                <w:color w:val="auto"/>
              </w:rPr>
            </w:pPr>
          </w:p>
        </w:tc>
        <w:tc>
          <w:tcPr>
            <w:tcW w:w="140" w:type="dxa"/>
            <w:vAlign w:val="bottom"/>
            <w:tcBorders>
              <w:bottom w:val="single" w:sz="8" w:color="auto"/>
            </w:tcBorders>
          </w:tcPr>
          <w:p>
            <w:pPr>
              <w:spacing w:after="0"/>
              <w:rPr>
                <w:sz w:val="14"/>
                <w:szCs w:val="14"/>
                <w:color w:val="auto"/>
              </w:rPr>
            </w:pPr>
          </w:p>
        </w:tc>
        <w:tc>
          <w:tcPr>
            <w:tcW w:w="520" w:type="dxa"/>
            <w:vAlign w:val="bottom"/>
            <w:tcBorders>
              <w:bottom w:val="single" w:sz="8" w:color="auto"/>
            </w:tcBorders>
          </w:tcPr>
          <w:p>
            <w:pPr>
              <w:jc w:val="right"/>
              <w:ind w:right="117"/>
              <w:spacing w:after="0"/>
              <w:rPr>
                <w:sz w:val="20"/>
                <w:szCs w:val="20"/>
                <w:color w:val="auto"/>
              </w:rPr>
            </w:pPr>
            <w:r>
              <w:rPr>
                <w:rFonts w:ascii="Arial" w:cs="Arial" w:eastAsia="Arial" w:hAnsi="Arial"/>
                <w:sz w:val="14"/>
                <w:szCs w:val="14"/>
                <w:b w:val="1"/>
                <w:bCs w:val="1"/>
                <w:color w:val="auto"/>
                <w:w w:val="96"/>
              </w:rPr>
              <w:t>2009</w:t>
            </w:r>
          </w:p>
        </w:tc>
        <w:tc>
          <w:tcPr>
            <w:tcW w:w="340" w:type="dxa"/>
            <w:vAlign w:val="bottom"/>
          </w:tcPr>
          <w:p>
            <w:pPr>
              <w:spacing w:after="0"/>
              <w:rPr>
                <w:sz w:val="14"/>
                <w:szCs w:val="14"/>
                <w:color w:val="auto"/>
              </w:rPr>
            </w:pPr>
          </w:p>
        </w:tc>
        <w:tc>
          <w:tcPr>
            <w:tcW w:w="280" w:type="dxa"/>
            <w:vAlign w:val="bottom"/>
          </w:tcPr>
          <w:p>
            <w:pPr>
              <w:spacing w:after="0"/>
              <w:rPr>
                <w:sz w:val="14"/>
                <w:szCs w:val="14"/>
                <w:color w:val="auto"/>
              </w:rPr>
            </w:pPr>
          </w:p>
        </w:tc>
        <w:tc>
          <w:tcPr>
            <w:tcW w:w="160" w:type="dxa"/>
            <w:vAlign w:val="bottom"/>
            <w:tcBorders>
              <w:bottom w:val="single" w:sz="8" w:color="auto"/>
            </w:tcBorders>
          </w:tcPr>
          <w:p>
            <w:pPr>
              <w:spacing w:after="0"/>
              <w:rPr>
                <w:sz w:val="14"/>
                <w:szCs w:val="14"/>
                <w:color w:val="auto"/>
              </w:rPr>
            </w:pPr>
          </w:p>
        </w:tc>
        <w:tc>
          <w:tcPr>
            <w:tcW w:w="580" w:type="dxa"/>
            <w:vAlign w:val="bottom"/>
            <w:tcBorders>
              <w:bottom w:val="single" w:sz="8" w:color="auto"/>
            </w:tcBorders>
          </w:tcPr>
          <w:p>
            <w:pPr>
              <w:jc w:val="right"/>
              <w:ind w:right="155"/>
              <w:spacing w:after="0"/>
              <w:rPr>
                <w:sz w:val="20"/>
                <w:szCs w:val="20"/>
                <w:color w:val="auto"/>
              </w:rPr>
            </w:pPr>
            <w:r>
              <w:rPr>
                <w:rFonts w:ascii="Arial" w:cs="Arial" w:eastAsia="Arial" w:hAnsi="Arial"/>
                <w:sz w:val="14"/>
                <w:szCs w:val="14"/>
                <w:b w:val="1"/>
                <w:bCs w:val="1"/>
                <w:color w:val="auto"/>
              </w:rPr>
              <w:t>2008</w:t>
            </w:r>
          </w:p>
        </w:tc>
        <w:tc>
          <w:tcPr>
            <w:tcW w:w="600" w:type="dxa"/>
            <w:vAlign w:val="bottom"/>
          </w:tcPr>
          <w:p>
            <w:pPr>
              <w:spacing w:after="0"/>
              <w:rPr>
                <w:sz w:val="14"/>
                <w:szCs w:val="14"/>
                <w:color w:val="auto"/>
              </w:rPr>
            </w:pPr>
          </w:p>
        </w:tc>
        <w:tc>
          <w:tcPr>
            <w:tcW w:w="120" w:type="dxa"/>
            <w:vAlign w:val="bottom"/>
            <w:tcBorders>
              <w:bottom w:val="single" w:sz="8" w:color="auto"/>
            </w:tcBorders>
          </w:tcPr>
          <w:p>
            <w:pPr>
              <w:spacing w:after="0"/>
              <w:rPr>
                <w:sz w:val="14"/>
                <w:szCs w:val="14"/>
                <w:color w:val="auto"/>
              </w:rPr>
            </w:pPr>
          </w:p>
        </w:tc>
        <w:tc>
          <w:tcPr>
            <w:tcW w:w="560" w:type="dxa"/>
            <w:vAlign w:val="bottom"/>
            <w:tcBorders>
              <w:bottom w:val="single" w:sz="8" w:color="auto"/>
            </w:tcBorders>
          </w:tcPr>
          <w:p>
            <w:pPr>
              <w:jc w:val="right"/>
              <w:ind w:right="117"/>
              <w:spacing w:after="0"/>
              <w:rPr>
                <w:sz w:val="20"/>
                <w:szCs w:val="20"/>
                <w:color w:val="auto"/>
              </w:rPr>
            </w:pPr>
            <w:r>
              <w:rPr>
                <w:rFonts w:ascii="Arial" w:cs="Arial" w:eastAsia="Arial" w:hAnsi="Arial"/>
                <w:sz w:val="14"/>
                <w:szCs w:val="14"/>
                <w:b w:val="1"/>
                <w:bCs w:val="1"/>
                <w:color w:val="auto"/>
              </w:rPr>
              <w:t>2009</w:t>
            </w:r>
          </w:p>
        </w:tc>
        <w:tc>
          <w:tcPr>
            <w:tcW w:w="600" w:type="dxa"/>
            <w:vAlign w:val="bottom"/>
          </w:tcPr>
          <w:p>
            <w:pPr>
              <w:spacing w:after="0"/>
              <w:rPr>
                <w:sz w:val="14"/>
                <w:szCs w:val="14"/>
                <w:color w:val="auto"/>
              </w:rPr>
            </w:pPr>
          </w:p>
        </w:tc>
        <w:tc>
          <w:tcPr>
            <w:tcW w:w="180" w:type="dxa"/>
            <w:vAlign w:val="bottom"/>
            <w:tcBorders>
              <w:bottom w:val="single" w:sz="8" w:color="auto"/>
            </w:tcBorders>
          </w:tcPr>
          <w:p>
            <w:pPr>
              <w:spacing w:after="0"/>
              <w:rPr>
                <w:sz w:val="14"/>
                <w:szCs w:val="14"/>
                <w:color w:val="auto"/>
              </w:rPr>
            </w:pPr>
          </w:p>
        </w:tc>
        <w:tc>
          <w:tcPr>
            <w:tcW w:w="580" w:type="dxa"/>
            <w:vAlign w:val="bottom"/>
            <w:tcBorders>
              <w:bottom w:val="single" w:sz="8" w:color="auto"/>
            </w:tcBorders>
          </w:tcPr>
          <w:p>
            <w:pPr>
              <w:jc w:val="right"/>
              <w:ind w:right="155"/>
              <w:spacing w:after="0"/>
              <w:rPr>
                <w:sz w:val="20"/>
                <w:szCs w:val="20"/>
                <w:color w:val="auto"/>
              </w:rPr>
            </w:pPr>
            <w:r>
              <w:rPr>
                <w:rFonts w:ascii="Arial" w:cs="Arial" w:eastAsia="Arial" w:hAnsi="Arial"/>
                <w:sz w:val="14"/>
                <w:szCs w:val="14"/>
                <w:b w:val="1"/>
                <w:bCs w:val="1"/>
                <w:color w:val="auto"/>
              </w:rPr>
              <w:t>2008</w:t>
            </w:r>
          </w:p>
        </w:tc>
        <w:tc>
          <w:tcPr>
            <w:tcW w:w="1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210"/>
        </w:trPr>
        <w:tc>
          <w:tcPr>
            <w:tcW w:w="20" w:type="dxa"/>
            <w:vAlign w:val="bottom"/>
          </w:tcPr>
          <w:p>
            <w:pPr>
              <w:spacing w:after="0"/>
              <w:rPr>
                <w:sz w:val="18"/>
                <w:szCs w:val="18"/>
                <w:color w:val="auto"/>
              </w:rPr>
            </w:pPr>
          </w:p>
        </w:tc>
        <w:tc>
          <w:tcPr>
            <w:tcW w:w="4420" w:type="dxa"/>
            <w:vAlign w:val="bottom"/>
            <w:shd w:val="clear" w:color="auto" w:fill="CCEEFF"/>
          </w:tcPr>
          <w:p>
            <w:pPr>
              <w:spacing w:after="0"/>
              <w:rPr>
                <w:sz w:val="20"/>
                <w:szCs w:val="20"/>
                <w:color w:val="auto"/>
              </w:rPr>
            </w:pPr>
            <w:r>
              <w:rPr>
                <w:rFonts w:ascii="Arial" w:cs="Arial" w:eastAsia="Arial" w:hAnsi="Arial"/>
                <w:sz w:val="18"/>
                <w:szCs w:val="18"/>
                <w:color w:val="auto"/>
              </w:rPr>
              <w:t>Restructuring liabilities, beginning of period</w:t>
            </w:r>
          </w:p>
        </w:tc>
        <w:tc>
          <w:tcPr>
            <w:tcW w:w="1440" w:type="dxa"/>
            <w:vAlign w:val="bottom"/>
            <w:gridSpan w:val="2"/>
            <w:shd w:val="clear" w:color="auto" w:fill="CCEEFF"/>
          </w:tcPr>
          <w:p>
            <w:pPr>
              <w:ind w:left="1300"/>
              <w:spacing w:after="0"/>
              <w:rPr>
                <w:sz w:val="20"/>
                <w:szCs w:val="20"/>
                <w:color w:val="auto"/>
              </w:rPr>
            </w:pPr>
            <w:r>
              <w:rPr>
                <w:rFonts w:ascii="Arial" w:cs="Arial" w:eastAsia="Arial" w:hAnsi="Arial"/>
                <w:sz w:val="18"/>
                <w:szCs w:val="18"/>
                <w:color w:val="auto"/>
              </w:rPr>
              <w:t>$</w:t>
            </w:r>
          </w:p>
        </w:tc>
        <w:tc>
          <w:tcPr>
            <w:tcW w:w="5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5,234</w:t>
            </w:r>
          </w:p>
        </w:tc>
        <w:tc>
          <w:tcPr>
            <w:tcW w:w="340" w:type="dxa"/>
            <w:vAlign w:val="bottom"/>
            <w:shd w:val="clear" w:color="auto" w:fill="CCEEFF"/>
          </w:tcPr>
          <w:p>
            <w:pPr>
              <w:spacing w:after="0"/>
              <w:rPr>
                <w:sz w:val="18"/>
                <w:szCs w:val="18"/>
                <w:color w:val="auto"/>
              </w:rPr>
            </w:pPr>
          </w:p>
        </w:tc>
        <w:tc>
          <w:tcPr>
            <w:tcW w:w="440" w:type="dxa"/>
            <w:vAlign w:val="bottom"/>
            <w:gridSpan w:val="2"/>
            <w:shd w:val="clear" w:color="auto" w:fill="CCEEFF"/>
          </w:tcPr>
          <w:p>
            <w:pPr>
              <w:ind w:left="280"/>
              <w:spacing w:after="0"/>
              <w:rPr>
                <w:sz w:val="20"/>
                <w:szCs w:val="20"/>
                <w:color w:val="auto"/>
              </w:rPr>
            </w:pPr>
            <w:r>
              <w:rPr>
                <w:rFonts w:ascii="Arial" w:cs="Arial" w:eastAsia="Arial" w:hAnsi="Arial"/>
                <w:sz w:val="18"/>
                <w:szCs w:val="18"/>
                <w:color w:val="auto"/>
              </w:rPr>
              <w:t>$</w:t>
            </w: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1,486</w:t>
            </w:r>
          </w:p>
        </w:tc>
        <w:tc>
          <w:tcPr>
            <w:tcW w:w="60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20"/>
                <w:szCs w:val="20"/>
                <w:color w:val="auto"/>
              </w:rPr>
            </w:pPr>
            <w:r>
              <w:rPr>
                <w:rFonts w:ascii="Arial" w:cs="Arial" w:eastAsia="Arial" w:hAnsi="Arial"/>
                <w:sz w:val="18"/>
                <w:szCs w:val="18"/>
                <w:color w:val="auto"/>
                <w:w w:val="99"/>
              </w:rPr>
              <w:t>$</w:t>
            </w:r>
          </w:p>
        </w:tc>
        <w:tc>
          <w:tcPr>
            <w:tcW w:w="5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7,685</w:t>
            </w:r>
          </w:p>
        </w:tc>
        <w:tc>
          <w:tcPr>
            <w:tcW w:w="600" w:type="dxa"/>
            <w:vAlign w:val="bottom"/>
            <w:shd w:val="clear" w:color="auto" w:fill="CCEEFF"/>
          </w:tcPr>
          <w:p>
            <w:pPr>
              <w:spacing w:after="0"/>
              <w:rPr>
                <w:sz w:val="18"/>
                <w:szCs w:val="18"/>
                <w:color w:val="auto"/>
              </w:rPr>
            </w:pPr>
          </w:p>
        </w:tc>
        <w:tc>
          <w:tcPr>
            <w:tcW w:w="180" w:type="dxa"/>
            <w:vAlign w:val="bottom"/>
            <w:shd w:val="clear" w:color="auto" w:fill="CCEEFF"/>
          </w:tcPr>
          <w:p>
            <w:pPr>
              <w:ind w:left="20"/>
              <w:spacing w:after="0"/>
              <w:rPr>
                <w:sz w:val="20"/>
                <w:szCs w:val="20"/>
                <w:color w:val="auto"/>
              </w:rPr>
            </w:pPr>
            <w:r>
              <w:rPr>
                <w:rFonts w:ascii="Arial" w:cs="Arial" w:eastAsia="Arial" w:hAnsi="Arial"/>
                <w:sz w:val="18"/>
                <w:szCs w:val="18"/>
                <w:color w:val="auto"/>
              </w:rPr>
              <w:t>$</w:t>
            </w:r>
          </w:p>
        </w:tc>
        <w:tc>
          <w:tcPr>
            <w:tcW w:w="68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2,731</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420" w:type="dxa"/>
            <w:vAlign w:val="bottom"/>
          </w:tcPr>
          <w:p>
            <w:pPr>
              <w:ind w:left="420"/>
              <w:spacing w:after="0"/>
              <w:rPr>
                <w:sz w:val="20"/>
                <w:szCs w:val="20"/>
                <w:color w:val="auto"/>
              </w:rPr>
            </w:pPr>
            <w:r>
              <w:rPr>
                <w:rFonts w:ascii="Arial" w:cs="Arial" w:eastAsia="Arial" w:hAnsi="Arial"/>
                <w:sz w:val="18"/>
                <w:szCs w:val="18"/>
                <w:color w:val="auto"/>
              </w:rPr>
              <w:t>Severance and related charges</w:t>
            </w:r>
          </w:p>
        </w:tc>
        <w:tc>
          <w:tcPr>
            <w:tcW w:w="130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860" w:type="dxa"/>
            <w:vAlign w:val="bottom"/>
            <w:gridSpan w:val="2"/>
          </w:tcPr>
          <w:p>
            <w:pPr>
              <w:jc w:val="right"/>
              <w:ind w:right="340"/>
              <w:spacing w:after="0"/>
              <w:rPr>
                <w:sz w:val="20"/>
                <w:szCs w:val="20"/>
                <w:color w:val="auto"/>
              </w:rPr>
            </w:pPr>
            <w:r>
              <w:rPr>
                <w:rFonts w:ascii="Arial" w:cs="Arial" w:eastAsia="Arial" w:hAnsi="Arial"/>
                <w:sz w:val="18"/>
                <w:szCs w:val="18"/>
                <w:color w:val="auto"/>
              </w:rPr>
              <w:t>117</w:t>
            </w:r>
          </w:p>
        </w:tc>
        <w:tc>
          <w:tcPr>
            <w:tcW w:w="28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1180" w:type="dxa"/>
            <w:vAlign w:val="bottom"/>
            <w:gridSpan w:val="2"/>
          </w:tcPr>
          <w:p>
            <w:pPr>
              <w:jc w:val="right"/>
              <w:ind w:right="680"/>
              <w:spacing w:after="0"/>
              <w:rPr>
                <w:sz w:val="20"/>
                <w:szCs w:val="20"/>
                <w:color w:val="auto"/>
              </w:rPr>
            </w:pPr>
            <w:r>
              <w:rPr>
                <w:rFonts w:ascii="Arial" w:cs="Arial" w:eastAsia="Arial" w:hAnsi="Arial"/>
                <w:sz w:val="18"/>
                <w:szCs w:val="18"/>
                <w:color w:val="auto"/>
              </w:rPr>
              <w:t>—</w:t>
            </w:r>
          </w:p>
        </w:tc>
        <w:tc>
          <w:tcPr>
            <w:tcW w:w="120" w:type="dxa"/>
            <w:vAlign w:val="bottom"/>
          </w:tcPr>
          <w:p>
            <w:pPr>
              <w:spacing w:after="0"/>
              <w:rPr>
                <w:sz w:val="18"/>
                <w:szCs w:val="18"/>
                <w:color w:val="auto"/>
              </w:rPr>
            </w:pPr>
          </w:p>
        </w:tc>
        <w:tc>
          <w:tcPr>
            <w:tcW w:w="560" w:type="dxa"/>
            <w:vAlign w:val="bottom"/>
          </w:tcPr>
          <w:p>
            <w:pPr>
              <w:jc w:val="right"/>
              <w:spacing w:after="0"/>
              <w:rPr>
                <w:sz w:val="20"/>
                <w:szCs w:val="20"/>
                <w:color w:val="auto"/>
              </w:rPr>
            </w:pPr>
            <w:r>
              <w:rPr>
                <w:rFonts w:ascii="Arial" w:cs="Arial" w:eastAsia="Arial" w:hAnsi="Arial"/>
                <w:sz w:val="18"/>
                <w:szCs w:val="18"/>
                <w:color w:val="auto"/>
              </w:rPr>
              <w:t>8,641</w:t>
            </w:r>
          </w:p>
        </w:tc>
        <w:tc>
          <w:tcPr>
            <w:tcW w:w="60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680" w:type="dxa"/>
            <w:vAlign w:val="bottom"/>
            <w:gridSpan w:val="2"/>
          </w:tcPr>
          <w:p>
            <w:pPr>
              <w:jc w:val="right"/>
              <w:ind w:right="20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420" w:type="dxa"/>
            <w:vAlign w:val="bottom"/>
            <w:shd w:val="clear" w:color="auto" w:fill="CCEEFF"/>
          </w:tcPr>
          <w:p>
            <w:pPr>
              <w:ind w:left="420"/>
              <w:spacing w:after="0"/>
              <w:rPr>
                <w:sz w:val="20"/>
                <w:szCs w:val="20"/>
                <w:color w:val="auto"/>
              </w:rPr>
            </w:pPr>
            <w:r>
              <w:rPr>
                <w:rFonts w:ascii="Arial" w:cs="Arial" w:eastAsia="Arial" w:hAnsi="Arial"/>
                <w:sz w:val="18"/>
                <w:szCs w:val="18"/>
                <w:color w:val="auto"/>
              </w:rPr>
              <w:t>Equipment and other related charges</w:t>
            </w:r>
          </w:p>
        </w:tc>
        <w:tc>
          <w:tcPr>
            <w:tcW w:w="130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5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1,802</w:t>
            </w:r>
          </w:p>
        </w:tc>
        <w:tc>
          <w:tcPr>
            <w:tcW w:w="340" w:type="dxa"/>
            <w:vAlign w:val="bottom"/>
            <w:shd w:val="clear" w:color="auto" w:fill="CCEEFF"/>
          </w:tcPr>
          <w:p>
            <w:pPr>
              <w:spacing w:after="0"/>
              <w:rPr>
                <w:sz w:val="18"/>
                <w:szCs w:val="18"/>
                <w:color w:val="auto"/>
              </w:rPr>
            </w:pPr>
          </w:p>
        </w:tc>
        <w:tc>
          <w:tcPr>
            <w:tcW w:w="28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1180" w:type="dxa"/>
            <w:vAlign w:val="bottom"/>
            <w:gridSpan w:val="2"/>
            <w:shd w:val="clear" w:color="auto" w:fill="CCEEFF"/>
          </w:tcPr>
          <w:p>
            <w:pPr>
              <w:jc w:val="right"/>
              <w:ind w:right="680"/>
              <w:spacing w:after="0"/>
              <w:rPr>
                <w:sz w:val="20"/>
                <w:szCs w:val="20"/>
                <w:color w:val="auto"/>
              </w:rPr>
            </w:pPr>
            <w:r>
              <w:rPr>
                <w:rFonts w:ascii="Arial" w:cs="Arial" w:eastAsia="Arial" w:hAnsi="Arial"/>
                <w:sz w:val="18"/>
                <w:szCs w:val="18"/>
                <w:color w:val="auto"/>
              </w:rPr>
              <w:t>—</w:t>
            </w:r>
          </w:p>
        </w:tc>
        <w:tc>
          <w:tcPr>
            <w:tcW w:w="120" w:type="dxa"/>
            <w:vAlign w:val="bottom"/>
            <w:shd w:val="clear" w:color="auto" w:fill="CCEEFF"/>
          </w:tcPr>
          <w:p>
            <w:pPr>
              <w:spacing w:after="0"/>
              <w:rPr>
                <w:sz w:val="18"/>
                <w:szCs w:val="18"/>
                <w:color w:val="auto"/>
              </w:rPr>
            </w:pPr>
          </w:p>
        </w:tc>
        <w:tc>
          <w:tcPr>
            <w:tcW w:w="5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4,234</w:t>
            </w:r>
          </w:p>
        </w:tc>
        <w:tc>
          <w:tcPr>
            <w:tcW w:w="60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68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420" w:type="dxa"/>
            <w:vAlign w:val="bottom"/>
          </w:tcPr>
          <w:p>
            <w:pPr>
              <w:ind w:left="420"/>
              <w:spacing w:after="0"/>
              <w:rPr>
                <w:sz w:val="20"/>
                <w:szCs w:val="20"/>
                <w:color w:val="auto"/>
              </w:rPr>
            </w:pPr>
            <w:r>
              <w:rPr>
                <w:rFonts w:ascii="Arial" w:cs="Arial" w:eastAsia="Arial" w:hAnsi="Arial"/>
                <w:sz w:val="18"/>
                <w:szCs w:val="18"/>
                <w:color w:val="auto"/>
              </w:rPr>
              <w:t>Facilities and related charges</w:t>
            </w:r>
          </w:p>
        </w:tc>
        <w:tc>
          <w:tcPr>
            <w:tcW w:w="130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860" w:type="dxa"/>
            <w:vAlign w:val="bottom"/>
            <w:gridSpan w:val="2"/>
          </w:tcPr>
          <w:p>
            <w:pPr>
              <w:jc w:val="right"/>
              <w:ind w:right="420"/>
              <w:spacing w:after="0"/>
              <w:rPr>
                <w:sz w:val="20"/>
                <w:szCs w:val="20"/>
                <w:color w:val="auto"/>
              </w:rPr>
            </w:pPr>
            <w:r>
              <w:rPr>
                <w:rFonts w:ascii="Arial" w:cs="Arial" w:eastAsia="Arial" w:hAnsi="Arial"/>
                <w:sz w:val="18"/>
                <w:szCs w:val="18"/>
                <w:color w:val="auto"/>
              </w:rPr>
              <w:t>—</w:t>
            </w:r>
          </w:p>
        </w:tc>
        <w:tc>
          <w:tcPr>
            <w:tcW w:w="28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1180" w:type="dxa"/>
            <w:vAlign w:val="bottom"/>
            <w:gridSpan w:val="2"/>
          </w:tcPr>
          <w:p>
            <w:pPr>
              <w:jc w:val="right"/>
              <w:ind w:right="680"/>
              <w:spacing w:after="0"/>
              <w:rPr>
                <w:sz w:val="20"/>
                <w:szCs w:val="20"/>
                <w:color w:val="auto"/>
              </w:rPr>
            </w:pPr>
            <w:r>
              <w:rPr>
                <w:rFonts w:ascii="Arial" w:cs="Arial" w:eastAsia="Arial" w:hAnsi="Arial"/>
                <w:sz w:val="18"/>
                <w:szCs w:val="18"/>
                <w:color w:val="auto"/>
              </w:rPr>
              <w:t>—</w:t>
            </w:r>
          </w:p>
        </w:tc>
        <w:tc>
          <w:tcPr>
            <w:tcW w:w="120" w:type="dxa"/>
            <w:vAlign w:val="bottom"/>
          </w:tcPr>
          <w:p>
            <w:pPr>
              <w:spacing w:after="0"/>
              <w:rPr>
                <w:sz w:val="18"/>
                <w:szCs w:val="18"/>
                <w:color w:val="auto"/>
              </w:rPr>
            </w:pPr>
          </w:p>
        </w:tc>
        <w:tc>
          <w:tcPr>
            <w:tcW w:w="560" w:type="dxa"/>
            <w:vAlign w:val="bottom"/>
          </w:tcPr>
          <w:p>
            <w:pPr>
              <w:jc w:val="right"/>
              <w:spacing w:after="0"/>
              <w:rPr>
                <w:sz w:val="20"/>
                <w:szCs w:val="20"/>
                <w:color w:val="auto"/>
              </w:rPr>
            </w:pPr>
            <w:r>
              <w:rPr>
                <w:rFonts w:ascii="Arial" w:cs="Arial" w:eastAsia="Arial" w:hAnsi="Arial"/>
                <w:sz w:val="18"/>
                <w:szCs w:val="18"/>
                <w:color w:val="auto"/>
              </w:rPr>
              <w:t>2,336</w:t>
            </w:r>
          </w:p>
        </w:tc>
        <w:tc>
          <w:tcPr>
            <w:tcW w:w="60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680" w:type="dxa"/>
            <w:vAlign w:val="bottom"/>
            <w:gridSpan w:val="2"/>
          </w:tcPr>
          <w:p>
            <w:pPr>
              <w:jc w:val="right"/>
              <w:ind w:right="20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420" w:type="dxa"/>
            <w:vAlign w:val="bottom"/>
            <w:shd w:val="clear" w:color="auto" w:fill="CCEEFF"/>
          </w:tcPr>
          <w:p>
            <w:pPr>
              <w:ind w:left="420"/>
              <w:spacing w:after="0"/>
              <w:rPr>
                <w:sz w:val="20"/>
                <w:szCs w:val="20"/>
                <w:color w:val="auto"/>
              </w:rPr>
            </w:pPr>
            <w:r>
              <w:rPr>
                <w:rFonts w:ascii="Arial" w:cs="Arial" w:eastAsia="Arial" w:hAnsi="Arial"/>
                <w:sz w:val="18"/>
                <w:szCs w:val="18"/>
                <w:color w:val="auto"/>
              </w:rPr>
              <w:t>Non-cash adjustment</w:t>
            </w:r>
          </w:p>
        </w:tc>
        <w:tc>
          <w:tcPr>
            <w:tcW w:w="130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860" w:type="dxa"/>
            <w:vAlign w:val="bottom"/>
            <w:gridSpan w:val="2"/>
            <w:shd w:val="clear" w:color="auto" w:fill="CCEEFF"/>
          </w:tcPr>
          <w:p>
            <w:pPr>
              <w:jc w:val="right"/>
              <w:ind w:right="280"/>
              <w:spacing w:after="0"/>
              <w:rPr>
                <w:sz w:val="20"/>
                <w:szCs w:val="20"/>
                <w:color w:val="auto"/>
              </w:rPr>
            </w:pPr>
            <w:r>
              <w:rPr>
                <w:rFonts w:ascii="Arial" w:cs="Arial" w:eastAsia="Arial" w:hAnsi="Arial"/>
                <w:sz w:val="18"/>
                <w:szCs w:val="18"/>
                <w:color w:val="auto"/>
                <w:w w:val="98"/>
              </w:rPr>
              <w:t>(1,015)</w:t>
            </w:r>
          </w:p>
        </w:tc>
        <w:tc>
          <w:tcPr>
            <w:tcW w:w="28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1180" w:type="dxa"/>
            <w:vAlign w:val="bottom"/>
            <w:gridSpan w:val="2"/>
            <w:shd w:val="clear" w:color="auto" w:fill="CCEEFF"/>
          </w:tcPr>
          <w:p>
            <w:pPr>
              <w:jc w:val="right"/>
              <w:ind w:right="680"/>
              <w:spacing w:after="0"/>
              <w:rPr>
                <w:sz w:val="20"/>
                <w:szCs w:val="20"/>
                <w:color w:val="auto"/>
              </w:rPr>
            </w:pPr>
            <w:r>
              <w:rPr>
                <w:rFonts w:ascii="Arial" w:cs="Arial" w:eastAsia="Arial" w:hAnsi="Arial"/>
                <w:sz w:val="18"/>
                <w:szCs w:val="18"/>
                <w:color w:val="auto"/>
              </w:rPr>
              <w:t>—</w:t>
            </w:r>
          </w:p>
        </w:tc>
        <w:tc>
          <w:tcPr>
            <w:tcW w:w="120" w:type="dxa"/>
            <w:vAlign w:val="bottom"/>
            <w:shd w:val="clear" w:color="auto" w:fill="CCEEFF"/>
          </w:tcPr>
          <w:p>
            <w:pPr>
              <w:spacing w:after="0"/>
              <w:rPr>
                <w:sz w:val="18"/>
                <w:szCs w:val="18"/>
                <w:color w:val="auto"/>
              </w:rPr>
            </w:pPr>
          </w:p>
        </w:tc>
        <w:tc>
          <w:tcPr>
            <w:tcW w:w="1160" w:type="dxa"/>
            <w:vAlign w:val="bottom"/>
            <w:gridSpan w:val="2"/>
            <w:shd w:val="clear" w:color="auto" w:fill="CCEEFF"/>
          </w:tcPr>
          <w:p>
            <w:pPr>
              <w:jc w:val="right"/>
              <w:ind w:right="540"/>
              <w:spacing w:after="0"/>
              <w:rPr>
                <w:sz w:val="20"/>
                <w:szCs w:val="20"/>
                <w:color w:val="auto"/>
              </w:rPr>
            </w:pPr>
            <w:r>
              <w:rPr>
                <w:rFonts w:ascii="Arial" w:cs="Arial" w:eastAsia="Arial" w:hAnsi="Arial"/>
                <w:sz w:val="18"/>
                <w:szCs w:val="18"/>
                <w:color w:val="auto"/>
              </w:rPr>
              <w:t>(1,254)</w:t>
            </w:r>
          </w:p>
        </w:tc>
        <w:tc>
          <w:tcPr>
            <w:tcW w:w="180" w:type="dxa"/>
            <w:vAlign w:val="bottom"/>
            <w:shd w:val="clear" w:color="auto" w:fill="CCEEFF"/>
          </w:tcPr>
          <w:p>
            <w:pPr>
              <w:spacing w:after="0"/>
              <w:rPr>
                <w:sz w:val="18"/>
                <w:szCs w:val="18"/>
                <w:color w:val="auto"/>
              </w:rPr>
            </w:pPr>
          </w:p>
        </w:tc>
        <w:tc>
          <w:tcPr>
            <w:tcW w:w="68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420" w:type="dxa"/>
            <w:vAlign w:val="bottom"/>
          </w:tcPr>
          <w:p>
            <w:pPr>
              <w:ind w:left="420"/>
              <w:spacing w:after="0"/>
              <w:rPr>
                <w:sz w:val="20"/>
                <w:szCs w:val="20"/>
                <w:color w:val="auto"/>
              </w:rPr>
            </w:pPr>
            <w:r>
              <w:rPr>
                <w:rFonts w:ascii="Arial" w:cs="Arial" w:eastAsia="Arial" w:hAnsi="Arial"/>
                <w:sz w:val="18"/>
                <w:szCs w:val="18"/>
                <w:color w:val="auto"/>
              </w:rPr>
              <w:t>Net cash payments</w:t>
            </w:r>
          </w:p>
        </w:tc>
        <w:tc>
          <w:tcPr>
            <w:tcW w:w="130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860" w:type="dxa"/>
            <w:vAlign w:val="bottom"/>
            <w:gridSpan w:val="2"/>
          </w:tcPr>
          <w:p>
            <w:pPr>
              <w:jc w:val="right"/>
              <w:ind w:right="280"/>
              <w:spacing w:after="0"/>
              <w:rPr>
                <w:sz w:val="20"/>
                <w:szCs w:val="20"/>
                <w:color w:val="auto"/>
              </w:rPr>
            </w:pPr>
            <w:r>
              <w:rPr>
                <w:rFonts w:ascii="Arial" w:cs="Arial" w:eastAsia="Arial" w:hAnsi="Arial"/>
                <w:sz w:val="18"/>
                <w:szCs w:val="18"/>
                <w:color w:val="auto"/>
                <w:w w:val="98"/>
              </w:rPr>
              <w:t>(1,501)</w:t>
            </w:r>
          </w:p>
        </w:tc>
        <w:tc>
          <w:tcPr>
            <w:tcW w:w="28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1180" w:type="dxa"/>
            <w:vAlign w:val="bottom"/>
            <w:gridSpan w:val="2"/>
          </w:tcPr>
          <w:p>
            <w:pPr>
              <w:jc w:val="right"/>
              <w:ind w:right="540"/>
              <w:spacing w:after="0"/>
              <w:rPr>
                <w:sz w:val="20"/>
                <w:szCs w:val="20"/>
                <w:color w:val="auto"/>
              </w:rPr>
            </w:pPr>
            <w:r>
              <w:rPr>
                <w:rFonts w:ascii="Arial" w:cs="Arial" w:eastAsia="Arial" w:hAnsi="Arial"/>
                <w:sz w:val="18"/>
                <w:szCs w:val="18"/>
                <w:color w:val="auto"/>
              </w:rPr>
              <w:t>(226)</w:t>
            </w:r>
          </w:p>
        </w:tc>
        <w:tc>
          <w:tcPr>
            <w:tcW w:w="120" w:type="dxa"/>
            <w:vAlign w:val="bottom"/>
          </w:tcPr>
          <w:p>
            <w:pPr>
              <w:spacing w:after="0"/>
              <w:rPr>
                <w:sz w:val="18"/>
                <w:szCs w:val="18"/>
                <w:color w:val="auto"/>
              </w:rPr>
            </w:pPr>
          </w:p>
        </w:tc>
        <w:tc>
          <w:tcPr>
            <w:tcW w:w="1160" w:type="dxa"/>
            <w:vAlign w:val="bottom"/>
            <w:gridSpan w:val="2"/>
          </w:tcPr>
          <w:p>
            <w:pPr>
              <w:jc w:val="right"/>
              <w:ind w:right="540"/>
              <w:spacing w:after="0"/>
              <w:rPr>
                <w:sz w:val="20"/>
                <w:szCs w:val="20"/>
                <w:color w:val="auto"/>
              </w:rPr>
            </w:pPr>
            <w:r>
              <w:rPr>
                <w:rFonts w:ascii="Arial" w:cs="Arial" w:eastAsia="Arial" w:hAnsi="Arial"/>
                <w:sz w:val="18"/>
                <w:szCs w:val="18"/>
                <w:color w:val="auto"/>
                <w:w w:val="89"/>
              </w:rPr>
              <w:t>(17,005)</w:t>
            </w:r>
          </w:p>
        </w:tc>
        <w:tc>
          <w:tcPr>
            <w:tcW w:w="180" w:type="dxa"/>
            <w:vAlign w:val="bottom"/>
          </w:tcPr>
          <w:p>
            <w:pPr>
              <w:spacing w:after="0"/>
              <w:rPr>
                <w:sz w:val="18"/>
                <w:szCs w:val="18"/>
                <w:color w:val="auto"/>
              </w:rPr>
            </w:pPr>
          </w:p>
        </w:tc>
        <w:tc>
          <w:tcPr>
            <w:tcW w:w="680" w:type="dxa"/>
            <w:vAlign w:val="bottom"/>
            <w:gridSpan w:val="2"/>
          </w:tcPr>
          <w:p>
            <w:pPr>
              <w:jc w:val="right"/>
              <w:ind w:right="40"/>
              <w:spacing w:after="0"/>
              <w:rPr>
                <w:sz w:val="20"/>
                <w:szCs w:val="20"/>
                <w:color w:val="auto"/>
              </w:rPr>
            </w:pPr>
            <w:r>
              <w:rPr>
                <w:rFonts w:ascii="Arial" w:cs="Arial" w:eastAsia="Arial" w:hAnsi="Arial"/>
                <w:sz w:val="18"/>
                <w:szCs w:val="18"/>
                <w:color w:val="auto"/>
              </w:rPr>
              <w:t>(1,471)</w:t>
            </w:r>
          </w:p>
        </w:tc>
        <w:tc>
          <w:tcPr>
            <w:tcW w:w="0" w:type="dxa"/>
            <w:vAlign w:val="bottom"/>
          </w:tcPr>
          <w:p>
            <w:pPr>
              <w:spacing w:after="0"/>
              <w:rPr>
                <w:sz w:val="1"/>
                <w:szCs w:val="1"/>
                <w:color w:val="auto"/>
              </w:rPr>
            </w:pPr>
          </w:p>
        </w:tc>
      </w:tr>
      <w:tr>
        <w:trPr>
          <w:trHeight w:val="27"/>
        </w:trPr>
        <w:tc>
          <w:tcPr>
            <w:tcW w:w="20" w:type="dxa"/>
            <w:vAlign w:val="bottom"/>
            <w:vMerge w:val="restart"/>
          </w:tcPr>
          <w:p>
            <w:pPr>
              <w:spacing w:after="0"/>
              <w:rPr>
                <w:sz w:val="2"/>
                <w:szCs w:val="2"/>
                <w:color w:val="auto"/>
              </w:rPr>
            </w:pPr>
          </w:p>
        </w:tc>
        <w:tc>
          <w:tcPr>
            <w:tcW w:w="4420" w:type="dxa"/>
            <w:vAlign w:val="bottom"/>
          </w:tcPr>
          <w:p>
            <w:pPr>
              <w:spacing w:after="0"/>
              <w:rPr>
                <w:sz w:val="2"/>
                <w:szCs w:val="2"/>
                <w:color w:val="auto"/>
              </w:rPr>
            </w:pPr>
          </w:p>
        </w:tc>
        <w:tc>
          <w:tcPr>
            <w:tcW w:w="1300" w:type="dxa"/>
            <w:vAlign w:val="bottom"/>
          </w:tcPr>
          <w:p>
            <w:pPr>
              <w:spacing w:after="0"/>
              <w:rPr>
                <w:sz w:val="2"/>
                <w:szCs w:val="2"/>
                <w:color w:val="auto"/>
              </w:rPr>
            </w:pPr>
          </w:p>
        </w:tc>
        <w:tc>
          <w:tcPr>
            <w:tcW w:w="140" w:type="dxa"/>
            <w:vAlign w:val="bottom"/>
            <w:shd w:val="clear" w:color="auto" w:fill="000000"/>
          </w:tcPr>
          <w:p>
            <w:pPr>
              <w:spacing w:after="0"/>
              <w:rPr>
                <w:sz w:val="2"/>
                <w:szCs w:val="2"/>
                <w:color w:val="auto"/>
              </w:rPr>
            </w:pPr>
          </w:p>
        </w:tc>
        <w:tc>
          <w:tcPr>
            <w:tcW w:w="520" w:type="dxa"/>
            <w:vAlign w:val="bottom"/>
            <w:shd w:val="clear" w:color="auto" w:fill="000000"/>
          </w:tcPr>
          <w:p>
            <w:pPr>
              <w:spacing w:after="0"/>
              <w:rPr>
                <w:sz w:val="2"/>
                <w:szCs w:val="2"/>
                <w:color w:val="auto"/>
              </w:rPr>
            </w:pPr>
          </w:p>
        </w:tc>
        <w:tc>
          <w:tcPr>
            <w:tcW w:w="340" w:type="dxa"/>
            <w:vAlign w:val="bottom"/>
          </w:tcPr>
          <w:p>
            <w:pPr>
              <w:spacing w:after="0"/>
              <w:rPr>
                <w:sz w:val="2"/>
                <w:szCs w:val="2"/>
                <w:color w:val="auto"/>
              </w:rPr>
            </w:pPr>
          </w:p>
        </w:tc>
        <w:tc>
          <w:tcPr>
            <w:tcW w:w="280" w:type="dxa"/>
            <w:vAlign w:val="bottom"/>
          </w:tcPr>
          <w:p>
            <w:pPr>
              <w:spacing w:after="0"/>
              <w:rPr>
                <w:sz w:val="2"/>
                <w:szCs w:val="2"/>
                <w:color w:val="auto"/>
              </w:rPr>
            </w:pPr>
          </w:p>
        </w:tc>
        <w:tc>
          <w:tcPr>
            <w:tcW w:w="160" w:type="dxa"/>
            <w:vAlign w:val="bottom"/>
            <w:shd w:val="clear" w:color="auto" w:fill="000000"/>
          </w:tcPr>
          <w:p>
            <w:pPr>
              <w:spacing w:after="0"/>
              <w:rPr>
                <w:sz w:val="2"/>
                <w:szCs w:val="2"/>
                <w:color w:val="auto"/>
              </w:rPr>
            </w:pPr>
          </w:p>
        </w:tc>
        <w:tc>
          <w:tcPr>
            <w:tcW w:w="580" w:type="dxa"/>
            <w:vAlign w:val="bottom"/>
            <w:shd w:val="clear" w:color="auto" w:fill="000000"/>
          </w:tcPr>
          <w:p>
            <w:pPr>
              <w:spacing w:after="0"/>
              <w:rPr>
                <w:sz w:val="2"/>
                <w:szCs w:val="2"/>
                <w:color w:val="auto"/>
              </w:rPr>
            </w:pPr>
          </w:p>
        </w:tc>
        <w:tc>
          <w:tcPr>
            <w:tcW w:w="600" w:type="dxa"/>
            <w:vAlign w:val="bottom"/>
          </w:tcPr>
          <w:p>
            <w:pPr>
              <w:spacing w:after="0"/>
              <w:rPr>
                <w:sz w:val="2"/>
                <w:szCs w:val="2"/>
                <w:color w:val="auto"/>
              </w:rPr>
            </w:pPr>
          </w:p>
        </w:tc>
        <w:tc>
          <w:tcPr>
            <w:tcW w:w="120" w:type="dxa"/>
            <w:vAlign w:val="bottom"/>
            <w:shd w:val="clear" w:color="auto" w:fill="000000"/>
          </w:tcPr>
          <w:p>
            <w:pPr>
              <w:spacing w:after="0"/>
              <w:rPr>
                <w:sz w:val="2"/>
                <w:szCs w:val="2"/>
                <w:color w:val="auto"/>
              </w:rPr>
            </w:pPr>
          </w:p>
        </w:tc>
        <w:tc>
          <w:tcPr>
            <w:tcW w:w="560" w:type="dxa"/>
            <w:vAlign w:val="bottom"/>
            <w:shd w:val="clear" w:color="auto" w:fill="000000"/>
          </w:tcPr>
          <w:p>
            <w:pPr>
              <w:spacing w:after="0"/>
              <w:rPr>
                <w:sz w:val="2"/>
                <w:szCs w:val="2"/>
                <w:color w:val="auto"/>
              </w:rPr>
            </w:pPr>
          </w:p>
        </w:tc>
        <w:tc>
          <w:tcPr>
            <w:tcW w:w="600" w:type="dxa"/>
            <w:vAlign w:val="bottom"/>
          </w:tcPr>
          <w:p>
            <w:pPr>
              <w:spacing w:after="0"/>
              <w:rPr>
                <w:sz w:val="2"/>
                <w:szCs w:val="2"/>
                <w:color w:val="auto"/>
              </w:rPr>
            </w:pPr>
          </w:p>
        </w:tc>
        <w:tc>
          <w:tcPr>
            <w:tcW w:w="180" w:type="dxa"/>
            <w:vAlign w:val="bottom"/>
            <w:shd w:val="clear" w:color="auto" w:fill="000000"/>
          </w:tcPr>
          <w:p>
            <w:pPr>
              <w:spacing w:after="0"/>
              <w:rPr>
                <w:sz w:val="2"/>
                <w:szCs w:val="2"/>
                <w:color w:val="auto"/>
              </w:rPr>
            </w:pPr>
          </w:p>
        </w:tc>
        <w:tc>
          <w:tcPr>
            <w:tcW w:w="580" w:type="dxa"/>
            <w:vAlign w:val="bottom"/>
            <w:shd w:val="clear" w:color="auto" w:fill="000000"/>
          </w:tcPr>
          <w:p>
            <w:pPr>
              <w:spacing w:after="0"/>
              <w:rPr>
                <w:sz w:val="2"/>
                <w:szCs w:val="2"/>
                <w:color w:val="auto"/>
              </w:rPr>
            </w:pPr>
          </w:p>
        </w:tc>
        <w:tc>
          <w:tcPr>
            <w:tcW w:w="10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16"/>
        </w:trPr>
        <w:tc>
          <w:tcPr>
            <w:tcW w:w="20" w:type="dxa"/>
            <w:vAlign w:val="bottom"/>
            <w:vMerge w:val="continue"/>
          </w:tcPr>
          <w:p>
            <w:pPr>
              <w:spacing w:after="0"/>
              <w:rPr>
                <w:sz w:val="18"/>
                <w:szCs w:val="18"/>
                <w:color w:val="auto"/>
              </w:rPr>
            </w:pPr>
          </w:p>
        </w:tc>
        <w:tc>
          <w:tcPr>
            <w:tcW w:w="4420" w:type="dxa"/>
            <w:vAlign w:val="bottom"/>
            <w:shd w:val="clear" w:color="auto" w:fill="CCEEFF"/>
          </w:tcPr>
          <w:p>
            <w:pPr>
              <w:spacing w:after="0"/>
              <w:rPr>
                <w:sz w:val="20"/>
                <w:szCs w:val="20"/>
                <w:color w:val="auto"/>
              </w:rPr>
            </w:pPr>
            <w:r>
              <w:rPr>
                <w:rFonts w:ascii="Arial" w:cs="Arial" w:eastAsia="Arial" w:hAnsi="Arial"/>
                <w:sz w:val="18"/>
                <w:szCs w:val="18"/>
                <w:color w:val="auto"/>
              </w:rPr>
              <w:t>Restructuring liabilities, end of period</w:t>
            </w:r>
          </w:p>
        </w:tc>
        <w:tc>
          <w:tcPr>
            <w:tcW w:w="1440" w:type="dxa"/>
            <w:vAlign w:val="bottom"/>
            <w:gridSpan w:val="2"/>
            <w:shd w:val="clear" w:color="auto" w:fill="CCEEFF"/>
          </w:tcPr>
          <w:p>
            <w:pPr>
              <w:ind w:left="1300"/>
              <w:spacing w:after="0"/>
              <w:rPr>
                <w:sz w:val="20"/>
                <w:szCs w:val="20"/>
                <w:color w:val="auto"/>
              </w:rPr>
            </w:pPr>
            <w:r>
              <w:rPr>
                <w:rFonts w:ascii="Arial" w:cs="Arial" w:eastAsia="Arial" w:hAnsi="Arial"/>
                <w:sz w:val="18"/>
                <w:szCs w:val="18"/>
                <w:color w:val="auto"/>
              </w:rPr>
              <w:t>$</w:t>
            </w:r>
          </w:p>
        </w:tc>
        <w:tc>
          <w:tcPr>
            <w:tcW w:w="5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4,637</w:t>
            </w:r>
          </w:p>
        </w:tc>
        <w:tc>
          <w:tcPr>
            <w:tcW w:w="340" w:type="dxa"/>
            <w:vAlign w:val="bottom"/>
            <w:shd w:val="clear" w:color="auto" w:fill="CCEEFF"/>
          </w:tcPr>
          <w:p>
            <w:pPr>
              <w:spacing w:after="0"/>
              <w:rPr>
                <w:sz w:val="18"/>
                <w:szCs w:val="18"/>
                <w:color w:val="auto"/>
              </w:rPr>
            </w:pPr>
          </w:p>
        </w:tc>
        <w:tc>
          <w:tcPr>
            <w:tcW w:w="440" w:type="dxa"/>
            <w:vAlign w:val="bottom"/>
            <w:gridSpan w:val="2"/>
            <w:shd w:val="clear" w:color="auto" w:fill="CCEEFF"/>
          </w:tcPr>
          <w:p>
            <w:pPr>
              <w:ind w:left="280"/>
              <w:spacing w:after="0"/>
              <w:rPr>
                <w:sz w:val="20"/>
                <w:szCs w:val="20"/>
                <w:color w:val="auto"/>
              </w:rPr>
            </w:pPr>
            <w:r>
              <w:rPr>
                <w:rFonts w:ascii="Arial" w:cs="Arial" w:eastAsia="Arial" w:hAnsi="Arial"/>
                <w:sz w:val="18"/>
                <w:szCs w:val="18"/>
                <w:color w:val="auto"/>
              </w:rPr>
              <w:t>$</w:t>
            </w: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1,260</w:t>
            </w:r>
          </w:p>
        </w:tc>
        <w:tc>
          <w:tcPr>
            <w:tcW w:w="60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20"/>
                <w:szCs w:val="20"/>
                <w:color w:val="auto"/>
              </w:rPr>
            </w:pPr>
            <w:r>
              <w:rPr>
                <w:rFonts w:ascii="Arial" w:cs="Arial" w:eastAsia="Arial" w:hAnsi="Arial"/>
                <w:sz w:val="18"/>
                <w:szCs w:val="18"/>
                <w:color w:val="auto"/>
                <w:w w:val="99"/>
              </w:rPr>
              <w:t>$</w:t>
            </w:r>
          </w:p>
        </w:tc>
        <w:tc>
          <w:tcPr>
            <w:tcW w:w="5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4,637</w:t>
            </w:r>
          </w:p>
        </w:tc>
        <w:tc>
          <w:tcPr>
            <w:tcW w:w="600" w:type="dxa"/>
            <w:vAlign w:val="bottom"/>
            <w:shd w:val="clear" w:color="auto" w:fill="CCEEFF"/>
          </w:tcPr>
          <w:p>
            <w:pPr>
              <w:spacing w:after="0"/>
              <w:rPr>
                <w:sz w:val="18"/>
                <w:szCs w:val="18"/>
                <w:color w:val="auto"/>
              </w:rPr>
            </w:pPr>
          </w:p>
        </w:tc>
        <w:tc>
          <w:tcPr>
            <w:tcW w:w="180" w:type="dxa"/>
            <w:vAlign w:val="bottom"/>
            <w:shd w:val="clear" w:color="auto" w:fill="CCEEFF"/>
          </w:tcPr>
          <w:p>
            <w:pPr>
              <w:ind w:left="20"/>
              <w:spacing w:after="0"/>
              <w:rPr>
                <w:sz w:val="20"/>
                <w:szCs w:val="20"/>
                <w:color w:val="auto"/>
              </w:rPr>
            </w:pPr>
            <w:r>
              <w:rPr>
                <w:rFonts w:ascii="Arial" w:cs="Arial" w:eastAsia="Arial" w:hAnsi="Arial"/>
                <w:sz w:val="18"/>
                <w:szCs w:val="18"/>
                <w:color w:val="auto"/>
              </w:rPr>
              <w:t>$</w:t>
            </w:r>
          </w:p>
        </w:tc>
        <w:tc>
          <w:tcPr>
            <w:tcW w:w="68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1,260</w:t>
            </w: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4420" w:type="dxa"/>
            <w:vAlign w:val="bottom"/>
          </w:tcPr>
          <w:p>
            <w:pPr>
              <w:spacing w:after="0" w:line="20" w:lineRule="exact"/>
              <w:rPr>
                <w:sz w:val="1"/>
                <w:szCs w:val="1"/>
                <w:color w:val="auto"/>
              </w:rPr>
            </w:pPr>
          </w:p>
        </w:tc>
        <w:tc>
          <w:tcPr>
            <w:tcW w:w="1300" w:type="dxa"/>
            <w:vAlign w:val="bottom"/>
          </w:tcPr>
          <w:p>
            <w:pPr>
              <w:spacing w:after="0" w:line="20" w:lineRule="exact"/>
              <w:rPr>
                <w:sz w:val="1"/>
                <w:szCs w:val="1"/>
                <w:color w:val="auto"/>
              </w:rPr>
            </w:pPr>
          </w:p>
        </w:tc>
        <w:tc>
          <w:tcPr>
            <w:tcW w:w="140" w:type="dxa"/>
            <w:vAlign w:val="bottom"/>
            <w:tcBorders>
              <w:top w:val="single" w:sz="8" w:color="auto"/>
              <w:bottom w:val="single" w:sz="8" w:color="auto"/>
            </w:tcBorders>
          </w:tcPr>
          <w:p>
            <w:pPr>
              <w:spacing w:after="0" w:line="20" w:lineRule="exact"/>
              <w:rPr>
                <w:sz w:val="1"/>
                <w:szCs w:val="1"/>
                <w:color w:val="auto"/>
              </w:rPr>
            </w:pPr>
          </w:p>
        </w:tc>
        <w:tc>
          <w:tcPr>
            <w:tcW w:w="520" w:type="dxa"/>
            <w:vAlign w:val="bottom"/>
            <w:tcBorders>
              <w:top w:val="single" w:sz="8" w:color="auto"/>
              <w:bottom w:val="single" w:sz="8" w:color="auto"/>
            </w:tcBorders>
          </w:tcPr>
          <w:p>
            <w:pPr>
              <w:spacing w:after="0" w:line="20" w:lineRule="exact"/>
              <w:rPr>
                <w:sz w:val="1"/>
                <w:szCs w:val="1"/>
                <w:color w:val="auto"/>
              </w:rPr>
            </w:pPr>
          </w:p>
        </w:tc>
        <w:tc>
          <w:tcPr>
            <w:tcW w:w="340" w:type="dxa"/>
            <w:vAlign w:val="bottom"/>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16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600" w:type="dxa"/>
            <w:vAlign w:val="bottom"/>
          </w:tcPr>
          <w:p>
            <w:pPr>
              <w:spacing w:after="0" w:line="20" w:lineRule="exact"/>
              <w:rPr>
                <w:sz w:val="1"/>
                <w:szCs w:val="1"/>
                <w:color w:val="auto"/>
              </w:rPr>
            </w:pPr>
          </w:p>
        </w:tc>
        <w:tc>
          <w:tcPr>
            <w:tcW w:w="120" w:type="dxa"/>
            <w:vAlign w:val="bottom"/>
            <w:tcBorders>
              <w:top w:val="single" w:sz="8" w:color="auto"/>
              <w:bottom w:val="single" w:sz="8" w:color="auto"/>
            </w:tcBorders>
          </w:tcPr>
          <w:p>
            <w:pPr>
              <w:spacing w:after="0" w:line="20" w:lineRule="exact"/>
              <w:rPr>
                <w:sz w:val="1"/>
                <w:szCs w:val="1"/>
                <w:color w:val="auto"/>
              </w:rPr>
            </w:pPr>
          </w:p>
        </w:tc>
        <w:tc>
          <w:tcPr>
            <w:tcW w:w="560" w:type="dxa"/>
            <w:vAlign w:val="bottom"/>
            <w:tcBorders>
              <w:top w:val="single" w:sz="8" w:color="auto"/>
              <w:bottom w:val="single" w:sz="8" w:color="auto"/>
            </w:tcBorders>
          </w:tcPr>
          <w:p>
            <w:pPr>
              <w:spacing w:after="0" w:line="20" w:lineRule="exact"/>
              <w:rPr>
                <w:sz w:val="1"/>
                <w:szCs w:val="1"/>
                <w:color w:val="auto"/>
              </w:rPr>
            </w:pPr>
          </w:p>
        </w:tc>
        <w:tc>
          <w:tcPr>
            <w:tcW w:w="600" w:type="dxa"/>
            <w:vAlign w:val="bottom"/>
          </w:tcPr>
          <w:p>
            <w:pPr>
              <w:spacing w:after="0" w:line="20" w:lineRule="exact"/>
              <w:rPr>
                <w:sz w:val="1"/>
                <w:szCs w:val="1"/>
                <w:color w:val="auto"/>
              </w:rPr>
            </w:pPr>
          </w:p>
        </w:tc>
        <w:tc>
          <w:tcPr>
            <w:tcW w:w="18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167" w:lineRule="exact"/>
        <w:rPr>
          <w:sz w:val="20"/>
          <w:szCs w:val="20"/>
          <w:color w:val="auto"/>
        </w:rPr>
      </w:pPr>
    </w:p>
    <w:p>
      <w:pPr>
        <w:ind w:left="460"/>
        <w:spacing w:after="0"/>
        <w:rPr>
          <w:sz w:val="20"/>
          <w:szCs w:val="20"/>
          <w:color w:val="auto"/>
        </w:rPr>
      </w:pPr>
      <w:r>
        <w:rPr>
          <w:rFonts w:ascii="Arial" w:cs="Arial" w:eastAsia="Arial" w:hAnsi="Arial"/>
          <w:sz w:val="18"/>
          <w:szCs w:val="18"/>
          <w:color w:val="auto"/>
        </w:rPr>
        <w:t>The following table presents details of restructuring charges by functional line item (in thousands):</w:t>
      </w:r>
    </w:p>
    <w:p>
      <w:pPr>
        <w:spacing w:after="0" w:line="207" w:lineRule="exact"/>
        <w:rPr>
          <w:sz w:val="20"/>
          <w:szCs w:val="20"/>
          <w:color w:val="auto"/>
        </w:rPr>
      </w:pPr>
    </w:p>
    <w:tbl>
      <w:tblPr>
        <w:tblLayout w:type="fixed"/>
        <w:tblInd w:w="460" w:type="dxa"/>
        <w:tblCellMar>
          <w:top w:w="0" w:type="dxa"/>
          <w:left w:w="0" w:type="dxa"/>
          <w:bottom w:w="0" w:type="dxa"/>
          <w:right w:w="0" w:type="dxa"/>
        </w:tblCellMar>
      </w:tblPr>
      <w:tr>
        <w:trPr>
          <w:trHeight w:val="161"/>
        </w:trPr>
        <w:tc>
          <w:tcPr>
            <w:tcW w:w="6040" w:type="dxa"/>
            <w:vAlign w:val="bottom"/>
          </w:tcPr>
          <w:p>
            <w:pPr>
              <w:spacing w:after="0"/>
              <w:rPr>
                <w:sz w:val="14"/>
                <w:szCs w:val="14"/>
                <w:color w:val="auto"/>
              </w:rPr>
            </w:pPr>
          </w:p>
        </w:tc>
        <w:tc>
          <w:tcPr>
            <w:tcW w:w="140" w:type="dxa"/>
            <w:vAlign w:val="bottom"/>
            <w:tcBorders>
              <w:bottom w:val="single" w:sz="8" w:color="auto"/>
            </w:tcBorders>
          </w:tcPr>
          <w:p>
            <w:pPr>
              <w:spacing w:after="0"/>
              <w:rPr>
                <w:sz w:val="14"/>
                <w:szCs w:val="14"/>
                <w:color w:val="auto"/>
              </w:rPr>
            </w:pPr>
          </w:p>
        </w:tc>
        <w:tc>
          <w:tcPr>
            <w:tcW w:w="1820" w:type="dxa"/>
            <w:vAlign w:val="bottom"/>
            <w:tcBorders>
              <w:bottom w:val="single" w:sz="8" w:color="auto"/>
            </w:tcBorders>
            <w:gridSpan w:val="4"/>
          </w:tcPr>
          <w:p>
            <w:pPr>
              <w:ind w:left="220"/>
              <w:spacing w:after="0"/>
              <w:rPr>
                <w:sz w:val="20"/>
                <w:szCs w:val="20"/>
                <w:color w:val="auto"/>
              </w:rPr>
            </w:pPr>
            <w:r>
              <w:rPr>
                <w:rFonts w:ascii="Arial" w:cs="Arial" w:eastAsia="Arial" w:hAnsi="Arial"/>
                <w:sz w:val="14"/>
                <w:szCs w:val="14"/>
                <w:b w:val="1"/>
                <w:bCs w:val="1"/>
                <w:color w:val="auto"/>
              </w:rPr>
              <w:t>Three Months Ended</w:t>
            </w:r>
          </w:p>
        </w:tc>
        <w:tc>
          <w:tcPr>
            <w:tcW w:w="540" w:type="dxa"/>
            <w:vAlign w:val="bottom"/>
          </w:tcPr>
          <w:p>
            <w:pPr>
              <w:spacing w:after="0"/>
              <w:rPr>
                <w:sz w:val="14"/>
                <w:szCs w:val="14"/>
                <w:color w:val="auto"/>
              </w:rPr>
            </w:pPr>
          </w:p>
        </w:tc>
        <w:tc>
          <w:tcPr>
            <w:tcW w:w="140" w:type="dxa"/>
            <w:vAlign w:val="bottom"/>
            <w:tcBorders>
              <w:bottom w:val="single" w:sz="8" w:color="auto"/>
            </w:tcBorders>
          </w:tcPr>
          <w:p>
            <w:pPr>
              <w:spacing w:after="0"/>
              <w:rPr>
                <w:sz w:val="14"/>
                <w:szCs w:val="14"/>
                <w:color w:val="auto"/>
              </w:rPr>
            </w:pPr>
          </w:p>
        </w:tc>
        <w:tc>
          <w:tcPr>
            <w:tcW w:w="1820" w:type="dxa"/>
            <w:vAlign w:val="bottom"/>
            <w:tcBorders>
              <w:bottom w:val="single" w:sz="8" w:color="auto"/>
            </w:tcBorders>
            <w:gridSpan w:val="4"/>
          </w:tcPr>
          <w:p>
            <w:pPr>
              <w:ind w:left="260"/>
              <w:spacing w:after="0"/>
              <w:rPr>
                <w:sz w:val="20"/>
                <w:szCs w:val="20"/>
                <w:color w:val="auto"/>
              </w:rPr>
            </w:pPr>
            <w:r>
              <w:rPr>
                <w:rFonts w:ascii="Arial" w:cs="Arial" w:eastAsia="Arial" w:hAnsi="Arial"/>
                <w:sz w:val="14"/>
                <w:szCs w:val="14"/>
                <w:b w:val="1"/>
                <w:bCs w:val="1"/>
                <w:color w:val="auto"/>
              </w:rPr>
              <w:t>Nine Months Ended</w:t>
            </w:r>
          </w:p>
        </w:tc>
      </w:tr>
      <w:tr>
        <w:trPr>
          <w:trHeight w:val="129"/>
        </w:trPr>
        <w:tc>
          <w:tcPr>
            <w:tcW w:w="6040" w:type="dxa"/>
            <w:vAlign w:val="bottom"/>
          </w:tcPr>
          <w:p>
            <w:pPr>
              <w:spacing w:after="0"/>
              <w:rPr>
                <w:sz w:val="11"/>
                <w:szCs w:val="11"/>
                <w:color w:val="auto"/>
              </w:rPr>
            </w:pPr>
          </w:p>
        </w:tc>
        <w:tc>
          <w:tcPr>
            <w:tcW w:w="1220" w:type="dxa"/>
            <w:vAlign w:val="bottom"/>
            <w:gridSpan w:val="3"/>
          </w:tcPr>
          <w:p>
            <w:pPr>
              <w:spacing w:after="0" w:line="129" w:lineRule="exact"/>
              <w:rPr>
                <w:sz w:val="20"/>
                <w:szCs w:val="20"/>
                <w:color w:val="auto"/>
              </w:rPr>
            </w:pPr>
            <w:r>
              <w:rPr>
                <w:rFonts w:ascii="Arial" w:cs="Arial" w:eastAsia="Arial" w:hAnsi="Arial"/>
                <w:sz w:val="14"/>
                <w:szCs w:val="14"/>
                <w:b w:val="1"/>
                <w:bCs w:val="1"/>
                <w:color w:val="auto"/>
              </w:rPr>
              <w:t>October 31,</w:t>
            </w:r>
          </w:p>
        </w:tc>
        <w:tc>
          <w:tcPr>
            <w:tcW w:w="740" w:type="dxa"/>
            <w:vAlign w:val="bottom"/>
            <w:gridSpan w:val="2"/>
          </w:tcPr>
          <w:p>
            <w:pPr>
              <w:spacing w:after="0" w:line="129" w:lineRule="exact"/>
              <w:rPr>
                <w:sz w:val="20"/>
                <w:szCs w:val="20"/>
                <w:color w:val="auto"/>
              </w:rPr>
            </w:pPr>
            <w:r>
              <w:rPr>
                <w:rFonts w:ascii="Arial" w:cs="Arial" w:eastAsia="Arial" w:hAnsi="Arial"/>
                <w:sz w:val="14"/>
                <w:szCs w:val="14"/>
                <w:b w:val="1"/>
                <w:bCs w:val="1"/>
                <w:color w:val="auto"/>
                <w:w w:val="85"/>
              </w:rPr>
              <w:t>November 1,</w:t>
            </w:r>
          </w:p>
        </w:tc>
        <w:tc>
          <w:tcPr>
            <w:tcW w:w="540" w:type="dxa"/>
            <w:vAlign w:val="bottom"/>
          </w:tcPr>
          <w:p>
            <w:pPr>
              <w:spacing w:after="0"/>
              <w:rPr>
                <w:sz w:val="11"/>
                <w:szCs w:val="11"/>
                <w:color w:val="auto"/>
              </w:rPr>
            </w:pPr>
          </w:p>
        </w:tc>
        <w:tc>
          <w:tcPr>
            <w:tcW w:w="1220" w:type="dxa"/>
            <w:vAlign w:val="bottom"/>
            <w:gridSpan w:val="3"/>
          </w:tcPr>
          <w:p>
            <w:pPr>
              <w:spacing w:after="0" w:line="129" w:lineRule="exact"/>
              <w:rPr>
                <w:sz w:val="20"/>
                <w:szCs w:val="20"/>
                <w:color w:val="auto"/>
              </w:rPr>
            </w:pPr>
            <w:r>
              <w:rPr>
                <w:rFonts w:ascii="Arial" w:cs="Arial" w:eastAsia="Arial" w:hAnsi="Arial"/>
                <w:sz w:val="14"/>
                <w:szCs w:val="14"/>
                <w:b w:val="1"/>
                <w:bCs w:val="1"/>
                <w:color w:val="auto"/>
              </w:rPr>
              <w:t>October 31,</w:t>
            </w:r>
          </w:p>
        </w:tc>
        <w:tc>
          <w:tcPr>
            <w:tcW w:w="740" w:type="dxa"/>
            <w:vAlign w:val="bottom"/>
            <w:gridSpan w:val="2"/>
          </w:tcPr>
          <w:p>
            <w:pPr>
              <w:spacing w:after="0" w:line="129" w:lineRule="exact"/>
              <w:rPr>
                <w:sz w:val="20"/>
                <w:szCs w:val="20"/>
                <w:color w:val="auto"/>
              </w:rPr>
            </w:pPr>
            <w:r>
              <w:rPr>
                <w:rFonts w:ascii="Arial" w:cs="Arial" w:eastAsia="Arial" w:hAnsi="Arial"/>
                <w:sz w:val="14"/>
                <w:szCs w:val="14"/>
                <w:b w:val="1"/>
                <w:bCs w:val="1"/>
                <w:color w:val="auto"/>
                <w:w w:val="85"/>
              </w:rPr>
              <w:t>November 1,</w:t>
            </w:r>
          </w:p>
        </w:tc>
      </w:tr>
      <w:tr>
        <w:trPr>
          <w:trHeight w:val="161"/>
        </w:trPr>
        <w:tc>
          <w:tcPr>
            <w:tcW w:w="6040" w:type="dxa"/>
            <w:vAlign w:val="bottom"/>
          </w:tcPr>
          <w:p>
            <w:pPr>
              <w:spacing w:after="0"/>
              <w:rPr>
                <w:sz w:val="14"/>
                <w:szCs w:val="14"/>
                <w:color w:val="auto"/>
              </w:rPr>
            </w:pPr>
          </w:p>
        </w:tc>
        <w:tc>
          <w:tcPr>
            <w:tcW w:w="140" w:type="dxa"/>
            <w:vAlign w:val="bottom"/>
            <w:tcBorders>
              <w:bottom w:val="single" w:sz="8" w:color="auto"/>
            </w:tcBorders>
          </w:tcPr>
          <w:p>
            <w:pPr>
              <w:spacing w:after="0"/>
              <w:rPr>
                <w:sz w:val="14"/>
                <w:szCs w:val="14"/>
                <w:color w:val="auto"/>
              </w:rPr>
            </w:pPr>
          </w:p>
        </w:tc>
        <w:tc>
          <w:tcPr>
            <w:tcW w:w="540" w:type="dxa"/>
            <w:vAlign w:val="bottom"/>
            <w:tcBorders>
              <w:bottom w:val="single" w:sz="8" w:color="auto"/>
            </w:tcBorders>
          </w:tcPr>
          <w:p>
            <w:pPr>
              <w:jc w:val="right"/>
              <w:ind w:right="119"/>
              <w:spacing w:after="0"/>
              <w:rPr>
                <w:sz w:val="20"/>
                <w:szCs w:val="20"/>
                <w:color w:val="auto"/>
              </w:rPr>
            </w:pPr>
            <w:r>
              <w:rPr>
                <w:rFonts w:ascii="Arial" w:cs="Arial" w:eastAsia="Arial" w:hAnsi="Arial"/>
                <w:sz w:val="14"/>
                <w:szCs w:val="14"/>
                <w:b w:val="1"/>
                <w:bCs w:val="1"/>
                <w:color w:val="auto"/>
              </w:rPr>
              <w:t>2009</w:t>
            </w:r>
          </w:p>
        </w:tc>
        <w:tc>
          <w:tcPr>
            <w:tcW w:w="540" w:type="dxa"/>
            <w:vAlign w:val="bottom"/>
          </w:tcPr>
          <w:p>
            <w:pPr>
              <w:spacing w:after="0"/>
              <w:rPr>
                <w:sz w:val="14"/>
                <w:szCs w:val="14"/>
                <w:color w:val="auto"/>
              </w:rPr>
            </w:pPr>
          </w:p>
        </w:tc>
        <w:tc>
          <w:tcPr>
            <w:tcW w:w="160" w:type="dxa"/>
            <w:vAlign w:val="bottom"/>
            <w:tcBorders>
              <w:bottom w:val="single" w:sz="8" w:color="auto"/>
            </w:tcBorders>
          </w:tcPr>
          <w:p>
            <w:pPr>
              <w:spacing w:after="0"/>
              <w:rPr>
                <w:sz w:val="14"/>
                <w:szCs w:val="14"/>
                <w:color w:val="auto"/>
              </w:rPr>
            </w:pPr>
          </w:p>
        </w:tc>
        <w:tc>
          <w:tcPr>
            <w:tcW w:w="580" w:type="dxa"/>
            <w:vAlign w:val="bottom"/>
            <w:tcBorders>
              <w:bottom w:val="single" w:sz="8" w:color="auto"/>
            </w:tcBorders>
          </w:tcPr>
          <w:p>
            <w:pPr>
              <w:ind w:left="80"/>
              <w:spacing w:after="0"/>
              <w:rPr>
                <w:sz w:val="20"/>
                <w:szCs w:val="20"/>
                <w:color w:val="auto"/>
              </w:rPr>
            </w:pPr>
            <w:r>
              <w:rPr>
                <w:rFonts w:ascii="Arial" w:cs="Arial" w:eastAsia="Arial" w:hAnsi="Arial"/>
                <w:sz w:val="14"/>
                <w:szCs w:val="14"/>
                <w:b w:val="1"/>
                <w:bCs w:val="1"/>
                <w:color w:val="auto"/>
              </w:rPr>
              <w:t>2008</w:t>
            </w:r>
          </w:p>
        </w:tc>
        <w:tc>
          <w:tcPr>
            <w:tcW w:w="540" w:type="dxa"/>
            <w:vAlign w:val="bottom"/>
          </w:tcPr>
          <w:p>
            <w:pPr>
              <w:spacing w:after="0"/>
              <w:rPr>
                <w:sz w:val="14"/>
                <w:szCs w:val="14"/>
                <w:color w:val="auto"/>
              </w:rPr>
            </w:pPr>
          </w:p>
        </w:tc>
        <w:tc>
          <w:tcPr>
            <w:tcW w:w="140" w:type="dxa"/>
            <w:vAlign w:val="bottom"/>
            <w:tcBorders>
              <w:bottom w:val="single" w:sz="8" w:color="auto"/>
            </w:tcBorders>
          </w:tcPr>
          <w:p>
            <w:pPr>
              <w:spacing w:after="0"/>
              <w:rPr>
                <w:sz w:val="14"/>
                <w:szCs w:val="14"/>
                <w:color w:val="auto"/>
              </w:rPr>
            </w:pPr>
          </w:p>
        </w:tc>
        <w:tc>
          <w:tcPr>
            <w:tcW w:w="540" w:type="dxa"/>
            <w:vAlign w:val="bottom"/>
            <w:tcBorders>
              <w:bottom w:val="single" w:sz="8" w:color="auto"/>
            </w:tcBorders>
          </w:tcPr>
          <w:p>
            <w:pPr>
              <w:jc w:val="right"/>
              <w:ind w:right="119"/>
              <w:spacing w:after="0"/>
              <w:rPr>
                <w:sz w:val="20"/>
                <w:szCs w:val="20"/>
                <w:color w:val="auto"/>
              </w:rPr>
            </w:pPr>
            <w:r>
              <w:rPr>
                <w:rFonts w:ascii="Arial" w:cs="Arial" w:eastAsia="Arial" w:hAnsi="Arial"/>
                <w:sz w:val="14"/>
                <w:szCs w:val="14"/>
                <w:b w:val="1"/>
                <w:bCs w:val="1"/>
                <w:color w:val="auto"/>
              </w:rPr>
              <w:t>2009</w:t>
            </w:r>
          </w:p>
        </w:tc>
        <w:tc>
          <w:tcPr>
            <w:tcW w:w="540" w:type="dxa"/>
            <w:vAlign w:val="bottom"/>
          </w:tcPr>
          <w:p>
            <w:pPr>
              <w:spacing w:after="0"/>
              <w:rPr>
                <w:sz w:val="14"/>
                <w:szCs w:val="14"/>
                <w:color w:val="auto"/>
              </w:rPr>
            </w:pPr>
          </w:p>
        </w:tc>
        <w:tc>
          <w:tcPr>
            <w:tcW w:w="160" w:type="dxa"/>
            <w:vAlign w:val="bottom"/>
            <w:tcBorders>
              <w:bottom w:val="single" w:sz="8" w:color="auto"/>
            </w:tcBorders>
          </w:tcPr>
          <w:p>
            <w:pPr>
              <w:spacing w:after="0"/>
              <w:rPr>
                <w:sz w:val="14"/>
                <w:szCs w:val="14"/>
                <w:color w:val="auto"/>
              </w:rPr>
            </w:pPr>
          </w:p>
        </w:tc>
        <w:tc>
          <w:tcPr>
            <w:tcW w:w="580" w:type="dxa"/>
            <w:vAlign w:val="bottom"/>
            <w:tcBorders>
              <w:bottom w:val="single" w:sz="8" w:color="auto"/>
            </w:tcBorders>
          </w:tcPr>
          <w:p>
            <w:pPr>
              <w:ind w:left="80"/>
              <w:spacing w:after="0"/>
              <w:rPr>
                <w:sz w:val="20"/>
                <w:szCs w:val="20"/>
                <w:color w:val="auto"/>
              </w:rPr>
            </w:pPr>
            <w:r>
              <w:rPr>
                <w:rFonts w:ascii="Arial" w:cs="Arial" w:eastAsia="Arial" w:hAnsi="Arial"/>
                <w:sz w:val="14"/>
                <w:szCs w:val="14"/>
                <w:b w:val="1"/>
                <w:bCs w:val="1"/>
                <w:color w:val="auto"/>
              </w:rPr>
              <w:t>2008</w:t>
            </w:r>
          </w:p>
        </w:tc>
      </w:tr>
      <w:tr>
        <w:trPr>
          <w:trHeight w:val="210"/>
        </w:trPr>
        <w:tc>
          <w:tcPr>
            <w:tcW w:w="6040" w:type="dxa"/>
            <w:vAlign w:val="bottom"/>
            <w:shd w:val="clear" w:color="auto" w:fill="CCEEFF"/>
          </w:tcPr>
          <w:p>
            <w:pPr>
              <w:spacing w:after="0"/>
              <w:rPr>
                <w:sz w:val="20"/>
                <w:szCs w:val="20"/>
                <w:color w:val="auto"/>
              </w:rPr>
            </w:pPr>
            <w:r>
              <w:rPr>
                <w:rFonts w:ascii="Arial" w:cs="Arial" w:eastAsia="Arial" w:hAnsi="Arial"/>
                <w:sz w:val="18"/>
                <w:szCs w:val="18"/>
                <w:color w:val="auto"/>
              </w:rPr>
              <w:t>Research and development</w:t>
            </w:r>
          </w:p>
        </w:tc>
        <w:tc>
          <w:tcPr>
            <w:tcW w:w="140" w:type="dxa"/>
            <w:vAlign w:val="bottom"/>
            <w:shd w:val="clear" w:color="auto" w:fill="CCEEFF"/>
          </w:tcPr>
          <w:p>
            <w:pPr>
              <w:spacing w:after="0"/>
              <w:rPr>
                <w:sz w:val="20"/>
                <w:szCs w:val="20"/>
                <w:color w:val="auto"/>
              </w:rPr>
            </w:pPr>
            <w:r>
              <w:rPr>
                <w:rFonts w:ascii="Arial" w:cs="Arial" w:eastAsia="Arial" w:hAnsi="Arial"/>
                <w:sz w:val="18"/>
                <w:szCs w:val="18"/>
                <w:color w:val="auto"/>
              </w:rPr>
              <w:t>$</w:t>
            </w:r>
          </w:p>
        </w:tc>
        <w:tc>
          <w:tcPr>
            <w:tcW w:w="5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1,338</w:t>
            </w:r>
          </w:p>
        </w:tc>
        <w:tc>
          <w:tcPr>
            <w:tcW w:w="54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20"/>
                <w:szCs w:val="20"/>
                <w:color w:val="auto"/>
              </w:rPr>
            </w:pPr>
            <w:r>
              <w:rPr>
                <w:rFonts w:ascii="Arial" w:cs="Arial" w:eastAsia="Arial" w:hAnsi="Arial"/>
                <w:sz w:val="18"/>
                <w:szCs w:val="18"/>
                <w:color w:val="auto"/>
              </w:rPr>
              <w:t>$</w:t>
            </w:r>
          </w:p>
        </w:tc>
        <w:tc>
          <w:tcPr>
            <w:tcW w:w="580" w:type="dxa"/>
            <w:vAlign w:val="bottom"/>
            <w:shd w:val="clear" w:color="auto" w:fill="CCEEFF"/>
          </w:tcPr>
          <w:p>
            <w:pPr>
              <w:ind w:left="320"/>
              <w:spacing w:after="0"/>
              <w:rPr>
                <w:sz w:val="20"/>
                <w:szCs w:val="20"/>
                <w:color w:val="auto"/>
              </w:rPr>
            </w:pPr>
            <w:r>
              <w:rPr>
                <w:rFonts w:ascii="Arial" w:cs="Arial" w:eastAsia="Arial" w:hAnsi="Arial"/>
                <w:sz w:val="18"/>
                <w:szCs w:val="18"/>
                <w:color w:val="auto"/>
              </w:rPr>
              <w:t>—</w:t>
            </w:r>
          </w:p>
        </w:tc>
        <w:tc>
          <w:tcPr>
            <w:tcW w:w="680" w:type="dxa"/>
            <w:vAlign w:val="bottom"/>
            <w:gridSpan w:val="2"/>
            <w:shd w:val="clear" w:color="auto" w:fill="CCEEFF"/>
          </w:tcPr>
          <w:p>
            <w:pPr>
              <w:ind w:left="540"/>
              <w:spacing w:after="0"/>
              <w:rPr>
                <w:sz w:val="20"/>
                <w:szCs w:val="20"/>
                <w:color w:val="auto"/>
              </w:rPr>
            </w:pPr>
            <w:r>
              <w:rPr>
                <w:rFonts w:ascii="Arial" w:cs="Arial" w:eastAsia="Arial" w:hAnsi="Arial"/>
                <w:sz w:val="18"/>
                <w:szCs w:val="18"/>
                <w:color w:val="auto"/>
              </w:rPr>
              <w:t>$</w:t>
            </w:r>
          </w:p>
        </w:tc>
        <w:tc>
          <w:tcPr>
            <w:tcW w:w="1080" w:type="dxa"/>
            <w:vAlign w:val="bottom"/>
            <w:gridSpan w:val="2"/>
            <w:shd w:val="clear" w:color="auto" w:fill="CCEEFF"/>
          </w:tcPr>
          <w:p>
            <w:pPr>
              <w:jc w:val="right"/>
              <w:ind w:right="540"/>
              <w:spacing w:after="0"/>
              <w:rPr>
                <w:sz w:val="20"/>
                <w:szCs w:val="20"/>
                <w:color w:val="auto"/>
              </w:rPr>
            </w:pPr>
            <w:r>
              <w:rPr>
                <w:rFonts w:ascii="Arial" w:cs="Arial" w:eastAsia="Arial" w:hAnsi="Arial"/>
                <w:sz w:val="18"/>
                <w:szCs w:val="18"/>
                <w:color w:val="auto"/>
                <w:w w:val="94"/>
              </w:rPr>
              <w:t>10,704</w:t>
            </w:r>
          </w:p>
        </w:tc>
        <w:tc>
          <w:tcPr>
            <w:tcW w:w="160" w:type="dxa"/>
            <w:vAlign w:val="bottom"/>
            <w:shd w:val="clear" w:color="auto" w:fill="CCEEFF"/>
          </w:tcPr>
          <w:p>
            <w:pPr>
              <w:spacing w:after="0"/>
              <w:rPr>
                <w:sz w:val="20"/>
                <w:szCs w:val="20"/>
                <w:color w:val="auto"/>
              </w:rPr>
            </w:pPr>
            <w:r>
              <w:rPr>
                <w:rFonts w:ascii="Arial" w:cs="Arial" w:eastAsia="Arial" w:hAnsi="Arial"/>
                <w:sz w:val="18"/>
                <w:szCs w:val="18"/>
                <w:color w:val="auto"/>
              </w:rPr>
              <w:t>$</w:t>
            </w:r>
          </w:p>
        </w:tc>
        <w:tc>
          <w:tcPr>
            <w:tcW w:w="580" w:type="dxa"/>
            <w:vAlign w:val="bottom"/>
            <w:shd w:val="clear" w:color="auto" w:fill="CCEEFF"/>
          </w:tcPr>
          <w:p>
            <w:pPr>
              <w:ind w:left="320"/>
              <w:spacing w:after="0"/>
              <w:rPr>
                <w:sz w:val="20"/>
                <w:szCs w:val="20"/>
                <w:color w:val="auto"/>
              </w:rPr>
            </w:pPr>
            <w:r>
              <w:rPr>
                <w:rFonts w:ascii="Arial" w:cs="Arial" w:eastAsia="Arial" w:hAnsi="Arial"/>
                <w:sz w:val="18"/>
                <w:szCs w:val="18"/>
                <w:color w:val="auto"/>
              </w:rPr>
              <w:t>—</w:t>
            </w:r>
          </w:p>
        </w:tc>
      </w:tr>
      <w:tr>
        <w:trPr>
          <w:trHeight w:val="216"/>
        </w:trPr>
        <w:tc>
          <w:tcPr>
            <w:tcW w:w="6040" w:type="dxa"/>
            <w:vAlign w:val="bottom"/>
          </w:tcPr>
          <w:p>
            <w:pPr>
              <w:spacing w:after="0"/>
              <w:rPr>
                <w:sz w:val="20"/>
                <w:szCs w:val="20"/>
                <w:color w:val="auto"/>
              </w:rPr>
            </w:pPr>
            <w:r>
              <w:rPr>
                <w:rFonts w:ascii="Arial" w:cs="Arial" w:eastAsia="Arial" w:hAnsi="Arial"/>
                <w:sz w:val="18"/>
                <w:szCs w:val="18"/>
                <w:color w:val="auto"/>
              </w:rPr>
              <w:t>Selling and marketing</w:t>
            </w:r>
          </w:p>
        </w:tc>
        <w:tc>
          <w:tcPr>
            <w:tcW w:w="140" w:type="dxa"/>
            <w:vAlign w:val="bottom"/>
          </w:tcPr>
          <w:p>
            <w:pPr>
              <w:spacing w:after="0"/>
              <w:rPr>
                <w:sz w:val="18"/>
                <w:szCs w:val="18"/>
                <w:color w:val="auto"/>
              </w:rPr>
            </w:pPr>
          </w:p>
        </w:tc>
        <w:tc>
          <w:tcPr>
            <w:tcW w:w="540" w:type="dxa"/>
            <w:vAlign w:val="bottom"/>
          </w:tcPr>
          <w:p>
            <w:pPr>
              <w:jc w:val="right"/>
              <w:spacing w:after="0"/>
              <w:rPr>
                <w:sz w:val="20"/>
                <w:szCs w:val="20"/>
                <w:color w:val="auto"/>
              </w:rPr>
            </w:pPr>
            <w:r>
              <w:rPr>
                <w:rFonts w:ascii="Arial" w:cs="Arial" w:eastAsia="Arial" w:hAnsi="Arial"/>
                <w:sz w:val="18"/>
                <w:szCs w:val="18"/>
                <w:color w:val="auto"/>
              </w:rPr>
              <w:t>51</w:t>
            </w:r>
          </w:p>
        </w:tc>
        <w:tc>
          <w:tcPr>
            <w:tcW w:w="54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580" w:type="dxa"/>
            <w:vAlign w:val="bottom"/>
          </w:tcPr>
          <w:p>
            <w:pPr>
              <w:ind w:left="320"/>
              <w:spacing w:after="0"/>
              <w:rPr>
                <w:sz w:val="20"/>
                <w:szCs w:val="20"/>
                <w:color w:val="auto"/>
              </w:rPr>
            </w:pPr>
            <w:r>
              <w:rPr>
                <w:rFonts w:ascii="Arial" w:cs="Arial" w:eastAsia="Arial" w:hAnsi="Arial"/>
                <w:sz w:val="18"/>
                <w:szCs w:val="18"/>
                <w:color w:val="auto"/>
              </w:rPr>
              <w:t>—</w:t>
            </w:r>
          </w:p>
        </w:tc>
        <w:tc>
          <w:tcPr>
            <w:tcW w:w="54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1080" w:type="dxa"/>
            <w:vAlign w:val="bottom"/>
            <w:gridSpan w:val="2"/>
          </w:tcPr>
          <w:p>
            <w:pPr>
              <w:jc w:val="right"/>
              <w:ind w:right="540"/>
              <w:spacing w:after="0"/>
              <w:rPr>
                <w:sz w:val="20"/>
                <w:szCs w:val="20"/>
                <w:color w:val="auto"/>
              </w:rPr>
            </w:pPr>
            <w:r>
              <w:rPr>
                <w:rFonts w:ascii="Arial" w:cs="Arial" w:eastAsia="Arial" w:hAnsi="Arial"/>
                <w:sz w:val="18"/>
                <w:szCs w:val="18"/>
                <w:color w:val="auto"/>
              </w:rPr>
              <w:t>1,839</w:t>
            </w:r>
          </w:p>
        </w:tc>
        <w:tc>
          <w:tcPr>
            <w:tcW w:w="160" w:type="dxa"/>
            <w:vAlign w:val="bottom"/>
          </w:tcPr>
          <w:p>
            <w:pPr>
              <w:spacing w:after="0"/>
              <w:rPr>
                <w:sz w:val="18"/>
                <w:szCs w:val="18"/>
                <w:color w:val="auto"/>
              </w:rPr>
            </w:pPr>
          </w:p>
        </w:tc>
        <w:tc>
          <w:tcPr>
            <w:tcW w:w="580" w:type="dxa"/>
            <w:vAlign w:val="bottom"/>
          </w:tcPr>
          <w:p>
            <w:pPr>
              <w:ind w:left="320"/>
              <w:spacing w:after="0"/>
              <w:rPr>
                <w:sz w:val="20"/>
                <w:szCs w:val="20"/>
                <w:color w:val="auto"/>
              </w:rPr>
            </w:pPr>
            <w:r>
              <w:rPr>
                <w:rFonts w:ascii="Arial" w:cs="Arial" w:eastAsia="Arial" w:hAnsi="Arial"/>
                <w:sz w:val="18"/>
                <w:szCs w:val="18"/>
                <w:color w:val="auto"/>
              </w:rPr>
              <w:t>—</w:t>
            </w:r>
          </w:p>
        </w:tc>
      </w:tr>
      <w:tr>
        <w:trPr>
          <w:trHeight w:val="216"/>
        </w:trPr>
        <w:tc>
          <w:tcPr>
            <w:tcW w:w="6040" w:type="dxa"/>
            <w:vAlign w:val="bottom"/>
            <w:shd w:val="clear" w:color="auto" w:fill="CCEEFF"/>
          </w:tcPr>
          <w:p>
            <w:pPr>
              <w:spacing w:after="0"/>
              <w:rPr>
                <w:sz w:val="20"/>
                <w:szCs w:val="20"/>
                <w:color w:val="auto"/>
              </w:rPr>
            </w:pPr>
            <w:r>
              <w:rPr>
                <w:rFonts w:ascii="Arial" w:cs="Arial" w:eastAsia="Arial" w:hAnsi="Arial"/>
                <w:sz w:val="18"/>
                <w:szCs w:val="18"/>
                <w:color w:val="auto"/>
              </w:rPr>
              <w:t>General and administrative</w:t>
            </w:r>
          </w:p>
        </w:tc>
        <w:tc>
          <w:tcPr>
            <w:tcW w:w="140" w:type="dxa"/>
            <w:vAlign w:val="bottom"/>
            <w:tcBorders>
              <w:bottom w:val="single" w:sz="8" w:color="auto"/>
            </w:tcBorders>
            <w:shd w:val="clear" w:color="auto" w:fill="CCEEFF"/>
          </w:tcPr>
          <w:p>
            <w:pPr>
              <w:spacing w:after="0"/>
              <w:rPr>
                <w:sz w:val="18"/>
                <w:szCs w:val="18"/>
                <w:color w:val="auto"/>
              </w:rPr>
            </w:pPr>
          </w:p>
        </w:tc>
        <w:tc>
          <w:tcPr>
            <w:tcW w:w="54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530</w:t>
            </w:r>
          </w:p>
        </w:tc>
        <w:tc>
          <w:tcPr>
            <w:tcW w:w="540" w:type="dxa"/>
            <w:vAlign w:val="bottom"/>
            <w:shd w:val="clear" w:color="auto" w:fill="CCEEFF"/>
          </w:tcPr>
          <w:p>
            <w:pPr>
              <w:spacing w:after="0"/>
              <w:rPr>
                <w:sz w:val="18"/>
                <w:szCs w:val="18"/>
                <w:color w:val="auto"/>
              </w:rPr>
            </w:pPr>
          </w:p>
        </w:tc>
        <w:tc>
          <w:tcPr>
            <w:tcW w:w="160" w:type="dxa"/>
            <w:vAlign w:val="bottom"/>
            <w:tcBorders>
              <w:bottom w:val="single" w:sz="8" w:color="auto"/>
            </w:tcBorders>
            <w:shd w:val="clear" w:color="auto" w:fill="CCEEFF"/>
          </w:tcPr>
          <w:p>
            <w:pPr>
              <w:spacing w:after="0"/>
              <w:rPr>
                <w:sz w:val="18"/>
                <w:szCs w:val="18"/>
                <w:color w:val="auto"/>
              </w:rPr>
            </w:pPr>
          </w:p>
        </w:tc>
        <w:tc>
          <w:tcPr>
            <w:tcW w:w="580" w:type="dxa"/>
            <w:vAlign w:val="bottom"/>
            <w:tcBorders>
              <w:bottom w:val="single" w:sz="8" w:color="auto"/>
            </w:tcBorders>
            <w:shd w:val="clear" w:color="auto" w:fill="CCEEFF"/>
          </w:tcPr>
          <w:p>
            <w:pPr>
              <w:ind w:left="320"/>
              <w:spacing w:after="0"/>
              <w:rPr>
                <w:sz w:val="20"/>
                <w:szCs w:val="20"/>
                <w:color w:val="auto"/>
              </w:rPr>
            </w:pPr>
            <w:r>
              <w:rPr>
                <w:rFonts w:ascii="Arial" w:cs="Arial" w:eastAsia="Arial" w:hAnsi="Arial"/>
                <w:sz w:val="18"/>
                <w:szCs w:val="18"/>
                <w:color w:val="auto"/>
              </w:rPr>
              <w:t>—</w:t>
            </w:r>
          </w:p>
        </w:tc>
        <w:tc>
          <w:tcPr>
            <w:tcW w:w="540" w:type="dxa"/>
            <w:vAlign w:val="bottom"/>
            <w:shd w:val="clear" w:color="auto" w:fill="CCEEFF"/>
          </w:tcPr>
          <w:p>
            <w:pPr>
              <w:spacing w:after="0"/>
              <w:rPr>
                <w:sz w:val="18"/>
                <w:szCs w:val="18"/>
                <w:color w:val="auto"/>
              </w:rPr>
            </w:pPr>
          </w:p>
        </w:tc>
        <w:tc>
          <w:tcPr>
            <w:tcW w:w="140" w:type="dxa"/>
            <w:vAlign w:val="bottom"/>
            <w:tcBorders>
              <w:bottom w:val="single" w:sz="8" w:color="auto"/>
            </w:tcBorders>
            <w:shd w:val="clear" w:color="auto" w:fill="CCEEFF"/>
          </w:tcPr>
          <w:p>
            <w:pPr>
              <w:spacing w:after="0"/>
              <w:rPr>
                <w:sz w:val="18"/>
                <w:szCs w:val="18"/>
                <w:color w:val="auto"/>
              </w:rPr>
            </w:pPr>
          </w:p>
        </w:tc>
        <w:tc>
          <w:tcPr>
            <w:tcW w:w="54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2,668</w:t>
            </w:r>
          </w:p>
        </w:tc>
        <w:tc>
          <w:tcPr>
            <w:tcW w:w="540" w:type="dxa"/>
            <w:vAlign w:val="bottom"/>
            <w:shd w:val="clear" w:color="auto" w:fill="CCEEFF"/>
          </w:tcPr>
          <w:p>
            <w:pPr>
              <w:spacing w:after="0"/>
              <w:rPr>
                <w:sz w:val="18"/>
                <w:szCs w:val="18"/>
                <w:color w:val="auto"/>
              </w:rPr>
            </w:pPr>
          </w:p>
        </w:tc>
        <w:tc>
          <w:tcPr>
            <w:tcW w:w="160" w:type="dxa"/>
            <w:vAlign w:val="bottom"/>
            <w:tcBorders>
              <w:bottom w:val="single" w:sz="8" w:color="auto"/>
            </w:tcBorders>
            <w:shd w:val="clear" w:color="auto" w:fill="CCEEFF"/>
          </w:tcPr>
          <w:p>
            <w:pPr>
              <w:spacing w:after="0"/>
              <w:rPr>
                <w:sz w:val="18"/>
                <w:szCs w:val="18"/>
                <w:color w:val="auto"/>
              </w:rPr>
            </w:pPr>
          </w:p>
        </w:tc>
        <w:tc>
          <w:tcPr>
            <w:tcW w:w="580" w:type="dxa"/>
            <w:vAlign w:val="bottom"/>
            <w:tcBorders>
              <w:bottom w:val="single" w:sz="8" w:color="auto"/>
            </w:tcBorders>
            <w:shd w:val="clear" w:color="auto" w:fill="CCEEFF"/>
          </w:tcPr>
          <w:p>
            <w:pPr>
              <w:ind w:left="320"/>
              <w:spacing w:after="0"/>
              <w:rPr>
                <w:sz w:val="20"/>
                <w:szCs w:val="20"/>
                <w:color w:val="auto"/>
              </w:rPr>
            </w:pPr>
            <w:r>
              <w:rPr>
                <w:rFonts w:ascii="Arial" w:cs="Arial" w:eastAsia="Arial" w:hAnsi="Arial"/>
                <w:sz w:val="18"/>
                <w:szCs w:val="18"/>
                <w:color w:val="auto"/>
              </w:rPr>
              <w:t>—</w:t>
            </w:r>
          </w:p>
        </w:tc>
      </w:tr>
      <w:tr>
        <w:trPr>
          <w:trHeight w:val="222"/>
        </w:trPr>
        <w:tc>
          <w:tcPr>
            <w:tcW w:w="6040" w:type="dxa"/>
            <w:vAlign w:val="bottom"/>
          </w:tcPr>
          <w:p>
            <w:pPr>
              <w:spacing w:after="0"/>
              <w:rPr>
                <w:sz w:val="19"/>
                <w:szCs w:val="19"/>
                <w:color w:val="auto"/>
              </w:rPr>
            </w:pPr>
          </w:p>
        </w:tc>
        <w:tc>
          <w:tcPr>
            <w:tcW w:w="140" w:type="dxa"/>
            <w:vAlign w:val="bottom"/>
          </w:tcPr>
          <w:p>
            <w:pPr>
              <w:spacing w:after="0"/>
              <w:rPr>
                <w:sz w:val="20"/>
                <w:szCs w:val="20"/>
                <w:color w:val="auto"/>
              </w:rPr>
            </w:pPr>
            <w:r>
              <w:rPr>
                <w:rFonts w:ascii="Arial" w:cs="Arial" w:eastAsia="Arial" w:hAnsi="Arial"/>
                <w:sz w:val="18"/>
                <w:szCs w:val="18"/>
                <w:color w:val="auto"/>
              </w:rPr>
              <w:t>$</w:t>
            </w:r>
          </w:p>
        </w:tc>
        <w:tc>
          <w:tcPr>
            <w:tcW w:w="540" w:type="dxa"/>
            <w:vAlign w:val="bottom"/>
          </w:tcPr>
          <w:p>
            <w:pPr>
              <w:jc w:val="right"/>
              <w:spacing w:after="0"/>
              <w:rPr>
                <w:sz w:val="20"/>
                <w:szCs w:val="20"/>
                <w:color w:val="auto"/>
              </w:rPr>
            </w:pPr>
            <w:r>
              <w:rPr>
                <w:rFonts w:ascii="Arial" w:cs="Arial" w:eastAsia="Arial" w:hAnsi="Arial"/>
                <w:sz w:val="18"/>
                <w:szCs w:val="18"/>
                <w:color w:val="auto"/>
              </w:rPr>
              <w:t>1,919</w:t>
            </w:r>
          </w:p>
        </w:tc>
        <w:tc>
          <w:tcPr>
            <w:tcW w:w="540" w:type="dxa"/>
            <w:vAlign w:val="bottom"/>
          </w:tcPr>
          <w:p>
            <w:pPr>
              <w:spacing w:after="0"/>
              <w:rPr>
                <w:sz w:val="19"/>
                <w:szCs w:val="19"/>
                <w:color w:val="auto"/>
              </w:rPr>
            </w:pPr>
          </w:p>
        </w:tc>
        <w:tc>
          <w:tcPr>
            <w:tcW w:w="160" w:type="dxa"/>
            <w:vAlign w:val="bottom"/>
          </w:tcPr>
          <w:p>
            <w:pPr>
              <w:spacing w:after="0"/>
              <w:rPr>
                <w:sz w:val="20"/>
                <w:szCs w:val="20"/>
                <w:color w:val="auto"/>
              </w:rPr>
            </w:pPr>
            <w:r>
              <w:rPr>
                <w:rFonts w:ascii="Arial" w:cs="Arial" w:eastAsia="Arial" w:hAnsi="Arial"/>
                <w:sz w:val="18"/>
                <w:szCs w:val="18"/>
                <w:color w:val="auto"/>
              </w:rPr>
              <w:t>$</w:t>
            </w:r>
          </w:p>
        </w:tc>
        <w:tc>
          <w:tcPr>
            <w:tcW w:w="580" w:type="dxa"/>
            <w:vAlign w:val="bottom"/>
          </w:tcPr>
          <w:p>
            <w:pPr>
              <w:ind w:left="320"/>
              <w:spacing w:after="0"/>
              <w:rPr>
                <w:sz w:val="20"/>
                <w:szCs w:val="20"/>
                <w:color w:val="auto"/>
              </w:rPr>
            </w:pPr>
            <w:r>
              <w:rPr>
                <w:rFonts w:ascii="Arial" w:cs="Arial" w:eastAsia="Arial" w:hAnsi="Arial"/>
                <w:sz w:val="18"/>
                <w:szCs w:val="18"/>
                <w:color w:val="auto"/>
              </w:rPr>
              <w:t>—</w:t>
            </w:r>
          </w:p>
        </w:tc>
        <w:tc>
          <w:tcPr>
            <w:tcW w:w="680" w:type="dxa"/>
            <w:vAlign w:val="bottom"/>
            <w:gridSpan w:val="2"/>
          </w:tcPr>
          <w:p>
            <w:pPr>
              <w:ind w:left="540"/>
              <w:spacing w:after="0"/>
              <w:rPr>
                <w:sz w:val="20"/>
                <w:szCs w:val="20"/>
                <w:color w:val="auto"/>
              </w:rPr>
            </w:pPr>
            <w:r>
              <w:rPr>
                <w:rFonts w:ascii="Arial" w:cs="Arial" w:eastAsia="Arial" w:hAnsi="Arial"/>
                <w:sz w:val="18"/>
                <w:szCs w:val="18"/>
                <w:color w:val="auto"/>
              </w:rPr>
              <w:t>$</w:t>
            </w:r>
          </w:p>
        </w:tc>
        <w:tc>
          <w:tcPr>
            <w:tcW w:w="1080" w:type="dxa"/>
            <w:vAlign w:val="bottom"/>
            <w:gridSpan w:val="2"/>
          </w:tcPr>
          <w:p>
            <w:pPr>
              <w:jc w:val="right"/>
              <w:ind w:right="540"/>
              <w:spacing w:after="0"/>
              <w:rPr>
                <w:sz w:val="20"/>
                <w:szCs w:val="20"/>
                <w:color w:val="auto"/>
              </w:rPr>
            </w:pPr>
            <w:r>
              <w:rPr>
                <w:rFonts w:ascii="Arial" w:cs="Arial" w:eastAsia="Arial" w:hAnsi="Arial"/>
                <w:sz w:val="18"/>
                <w:szCs w:val="18"/>
                <w:color w:val="auto"/>
                <w:w w:val="94"/>
              </w:rPr>
              <w:t>15,211</w:t>
            </w:r>
          </w:p>
        </w:tc>
        <w:tc>
          <w:tcPr>
            <w:tcW w:w="160" w:type="dxa"/>
            <w:vAlign w:val="bottom"/>
          </w:tcPr>
          <w:p>
            <w:pPr>
              <w:spacing w:after="0"/>
              <w:rPr>
                <w:sz w:val="20"/>
                <w:szCs w:val="20"/>
                <w:color w:val="auto"/>
              </w:rPr>
            </w:pPr>
            <w:r>
              <w:rPr>
                <w:rFonts w:ascii="Arial" w:cs="Arial" w:eastAsia="Arial" w:hAnsi="Arial"/>
                <w:sz w:val="18"/>
                <w:szCs w:val="18"/>
                <w:color w:val="auto"/>
              </w:rPr>
              <w:t>$</w:t>
            </w:r>
          </w:p>
        </w:tc>
        <w:tc>
          <w:tcPr>
            <w:tcW w:w="580" w:type="dxa"/>
            <w:vAlign w:val="bottom"/>
          </w:tcPr>
          <w:p>
            <w:pPr>
              <w:ind w:left="320"/>
              <w:spacing w:after="0"/>
              <w:rPr>
                <w:sz w:val="20"/>
                <w:szCs w:val="20"/>
                <w:color w:val="auto"/>
              </w:rPr>
            </w:pPr>
            <w:r>
              <w:rPr>
                <w:rFonts w:ascii="Arial" w:cs="Arial" w:eastAsia="Arial" w:hAnsi="Arial"/>
                <w:sz w:val="18"/>
                <w:szCs w:val="18"/>
                <w:color w:val="auto"/>
              </w:rPr>
              <w:t>—</w:t>
            </w:r>
          </w:p>
        </w:tc>
      </w:tr>
      <w:tr>
        <w:trPr>
          <w:trHeight w:val="20"/>
        </w:trPr>
        <w:tc>
          <w:tcPr>
            <w:tcW w:w="6040" w:type="dxa"/>
            <w:vAlign w:val="bottom"/>
          </w:tcPr>
          <w:p>
            <w:pPr>
              <w:spacing w:after="0" w:line="20" w:lineRule="exact"/>
              <w:rPr>
                <w:sz w:val="1"/>
                <w:szCs w:val="1"/>
                <w:color w:val="auto"/>
              </w:rPr>
            </w:pPr>
          </w:p>
        </w:tc>
        <w:tc>
          <w:tcPr>
            <w:tcW w:w="140" w:type="dxa"/>
            <w:vAlign w:val="bottom"/>
            <w:tcBorders>
              <w:top w:val="single" w:sz="8" w:color="auto"/>
              <w:bottom w:val="single" w:sz="8" w:color="auto"/>
            </w:tcBorders>
          </w:tcPr>
          <w:p>
            <w:pPr>
              <w:spacing w:after="0" w:line="20" w:lineRule="exact"/>
              <w:rPr>
                <w:sz w:val="1"/>
                <w:szCs w:val="1"/>
                <w:color w:val="auto"/>
              </w:rPr>
            </w:pPr>
          </w:p>
        </w:tc>
        <w:tc>
          <w:tcPr>
            <w:tcW w:w="540" w:type="dxa"/>
            <w:vAlign w:val="bottom"/>
            <w:tcBorders>
              <w:top w:val="single" w:sz="8" w:color="auto"/>
              <w:bottom w:val="single" w:sz="8" w:color="auto"/>
            </w:tcBorders>
          </w:tcPr>
          <w:p>
            <w:pPr>
              <w:spacing w:after="0" w:line="20" w:lineRule="exact"/>
              <w:rPr>
                <w:sz w:val="1"/>
                <w:szCs w:val="1"/>
                <w:color w:val="auto"/>
              </w:rPr>
            </w:pPr>
          </w:p>
        </w:tc>
        <w:tc>
          <w:tcPr>
            <w:tcW w:w="540" w:type="dxa"/>
            <w:vAlign w:val="bottom"/>
          </w:tcPr>
          <w:p>
            <w:pPr>
              <w:spacing w:after="0" w:line="20" w:lineRule="exact"/>
              <w:rPr>
                <w:sz w:val="1"/>
                <w:szCs w:val="1"/>
                <w:color w:val="auto"/>
              </w:rPr>
            </w:pPr>
          </w:p>
        </w:tc>
        <w:tc>
          <w:tcPr>
            <w:tcW w:w="16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540" w:type="dxa"/>
            <w:vAlign w:val="bottom"/>
          </w:tcPr>
          <w:p>
            <w:pPr>
              <w:spacing w:after="0" w:line="20" w:lineRule="exact"/>
              <w:rPr>
                <w:sz w:val="1"/>
                <w:szCs w:val="1"/>
                <w:color w:val="auto"/>
              </w:rPr>
            </w:pPr>
          </w:p>
        </w:tc>
        <w:tc>
          <w:tcPr>
            <w:tcW w:w="140" w:type="dxa"/>
            <w:vAlign w:val="bottom"/>
            <w:tcBorders>
              <w:top w:val="single" w:sz="8" w:color="auto"/>
              <w:bottom w:val="single" w:sz="8" w:color="auto"/>
            </w:tcBorders>
          </w:tcPr>
          <w:p>
            <w:pPr>
              <w:spacing w:after="0" w:line="20" w:lineRule="exact"/>
              <w:rPr>
                <w:sz w:val="1"/>
                <w:szCs w:val="1"/>
                <w:color w:val="auto"/>
              </w:rPr>
            </w:pPr>
          </w:p>
        </w:tc>
        <w:tc>
          <w:tcPr>
            <w:tcW w:w="540" w:type="dxa"/>
            <w:vAlign w:val="bottom"/>
            <w:tcBorders>
              <w:top w:val="single" w:sz="8" w:color="auto"/>
              <w:bottom w:val="single" w:sz="8" w:color="auto"/>
            </w:tcBorders>
          </w:tcPr>
          <w:p>
            <w:pPr>
              <w:spacing w:after="0" w:line="20" w:lineRule="exact"/>
              <w:rPr>
                <w:sz w:val="1"/>
                <w:szCs w:val="1"/>
                <w:color w:val="auto"/>
              </w:rPr>
            </w:pPr>
          </w:p>
        </w:tc>
        <w:tc>
          <w:tcPr>
            <w:tcW w:w="540" w:type="dxa"/>
            <w:vAlign w:val="bottom"/>
          </w:tcPr>
          <w:p>
            <w:pPr>
              <w:spacing w:after="0" w:line="20" w:lineRule="exact"/>
              <w:rPr>
                <w:sz w:val="1"/>
                <w:szCs w:val="1"/>
                <w:color w:val="auto"/>
              </w:rPr>
            </w:pPr>
          </w:p>
        </w:tc>
        <w:tc>
          <w:tcPr>
            <w:tcW w:w="16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r>
    </w:tbl>
    <w:p>
      <w:pPr>
        <w:spacing w:after="0" w:line="167" w:lineRule="exact"/>
        <w:rPr>
          <w:sz w:val="20"/>
          <w:szCs w:val="20"/>
          <w:color w:val="auto"/>
        </w:rPr>
      </w:pPr>
    </w:p>
    <w:p>
      <w:pPr>
        <w:ind w:firstLine="456"/>
        <w:spacing w:after="0" w:line="268" w:lineRule="auto"/>
        <w:rPr>
          <w:sz w:val="20"/>
          <w:szCs w:val="20"/>
          <w:color w:val="auto"/>
        </w:rPr>
      </w:pPr>
      <w:r>
        <w:rPr>
          <w:rFonts w:ascii="Arial" w:cs="Arial" w:eastAsia="Arial" w:hAnsi="Arial"/>
          <w:sz w:val="18"/>
          <w:szCs w:val="18"/>
          <w:color w:val="auto"/>
        </w:rPr>
        <w:t>The Company anticipates that $0.1 million will be paid out in cash for severance and related charges during the three months ending January 30, 2010. The remaining facility lease charges included in the restructuring liabilities will be paid out through fiscal 2018.</w:t>
      </w:r>
    </w:p>
    <w:p>
      <w:pPr>
        <w:spacing w:after="0" w:line="207"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Note 9. Commitments and Contingencies</w:t>
      </w:r>
    </w:p>
    <w:p>
      <w:pPr>
        <w:spacing w:after="0" w:line="96" w:lineRule="exact"/>
        <w:rPr>
          <w:sz w:val="20"/>
          <w:szCs w:val="20"/>
          <w:color w:val="auto"/>
        </w:rPr>
      </w:pPr>
    </w:p>
    <w:p>
      <w:pPr>
        <w:ind w:left="240"/>
        <w:spacing w:after="0"/>
        <w:rPr>
          <w:sz w:val="20"/>
          <w:szCs w:val="20"/>
          <w:color w:val="auto"/>
        </w:rPr>
      </w:pPr>
      <w:r>
        <w:rPr>
          <w:rFonts w:ascii="Arial" w:cs="Arial" w:eastAsia="Arial" w:hAnsi="Arial"/>
          <w:sz w:val="18"/>
          <w:szCs w:val="18"/>
          <w:b w:val="1"/>
          <w:bCs w:val="1"/>
          <w:i w:val="1"/>
          <w:iCs w:val="1"/>
          <w:color w:val="auto"/>
        </w:rPr>
        <w:t>Warranty obligations</w:t>
      </w:r>
    </w:p>
    <w:p>
      <w:pPr>
        <w:spacing w:after="0" w:line="90" w:lineRule="exact"/>
        <w:rPr>
          <w:sz w:val="20"/>
          <w:szCs w:val="20"/>
          <w:color w:val="auto"/>
        </w:rPr>
      </w:pPr>
    </w:p>
    <w:p>
      <w:pPr>
        <w:ind w:left="460"/>
        <w:spacing w:after="0"/>
        <w:rPr>
          <w:sz w:val="20"/>
          <w:szCs w:val="20"/>
          <w:color w:val="auto"/>
        </w:rPr>
      </w:pPr>
      <w:r>
        <w:rPr>
          <w:rFonts w:ascii="Arial" w:cs="Arial" w:eastAsia="Arial" w:hAnsi="Arial"/>
          <w:sz w:val="16"/>
          <w:szCs w:val="16"/>
          <w:color w:val="auto"/>
        </w:rPr>
        <w:t>The following table presents changes in the warranty accrual included in accrued liabilities during the three and nine months ended October 31, 2009 and</w:t>
      </w:r>
    </w:p>
    <w:p>
      <w:pPr>
        <w:spacing w:after="0" w:line="38" w:lineRule="exact"/>
        <w:rPr>
          <w:sz w:val="20"/>
          <w:szCs w:val="20"/>
          <w:color w:val="auto"/>
        </w:rPr>
      </w:pPr>
    </w:p>
    <w:p>
      <w:pPr>
        <w:spacing w:after="0"/>
        <w:rPr>
          <w:sz w:val="20"/>
          <w:szCs w:val="20"/>
          <w:color w:val="auto"/>
        </w:rPr>
      </w:pPr>
      <w:r>
        <w:rPr>
          <w:rFonts w:ascii="Arial" w:cs="Arial" w:eastAsia="Arial" w:hAnsi="Arial"/>
          <w:sz w:val="18"/>
          <w:szCs w:val="18"/>
          <w:color w:val="auto"/>
        </w:rPr>
        <w:t>November 1, 2008 (in thousands):</w:t>
      </w:r>
    </w:p>
    <w:p>
      <w:pPr>
        <w:spacing w:after="0" w:line="201" w:lineRule="exact"/>
        <w:rPr>
          <w:sz w:val="20"/>
          <w:szCs w:val="20"/>
          <w:color w:val="auto"/>
        </w:rPr>
      </w:pPr>
    </w:p>
    <w:tbl>
      <w:tblPr>
        <w:tblLayout w:type="fixed"/>
        <w:tblInd w:w="460" w:type="dxa"/>
        <w:tblCellMar>
          <w:top w:w="0" w:type="dxa"/>
          <w:left w:w="0" w:type="dxa"/>
          <w:bottom w:w="0" w:type="dxa"/>
          <w:right w:w="0" w:type="dxa"/>
        </w:tblCellMar>
      </w:tblPr>
      <w:tr>
        <w:trPr>
          <w:trHeight w:val="161"/>
        </w:trPr>
        <w:tc>
          <w:tcPr>
            <w:tcW w:w="3460" w:type="dxa"/>
            <w:vAlign w:val="bottom"/>
          </w:tcPr>
          <w:p>
            <w:pPr>
              <w:spacing w:after="0"/>
              <w:rPr>
                <w:sz w:val="14"/>
                <w:szCs w:val="14"/>
                <w:color w:val="auto"/>
              </w:rPr>
            </w:pPr>
          </w:p>
        </w:tc>
        <w:tc>
          <w:tcPr>
            <w:tcW w:w="228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2480" w:type="dxa"/>
            <w:vAlign w:val="bottom"/>
            <w:gridSpan w:val="6"/>
          </w:tcPr>
          <w:p>
            <w:pPr>
              <w:jc w:val="right"/>
              <w:ind w:right="1000"/>
              <w:spacing w:after="0"/>
              <w:rPr>
                <w:sz w:val="20"/>
                <w:szCs w:val="20"/>
                <w:color w:val="auto"/>
              </w:rPr>
            </w:pPr>
            <w:r>
              <w:rPr>
                <w:rFonts w:ascii="Arial" w:cs="Arial" w:eastAsia="Arial" w:hAnsi="Arial"/>
                <w:sz w:val="14"/>
                <w:szCs w:val="14"/>
                <w:b w:val="1"/>
                <w:bCs w:val="1"/>
                <w:color w:val="auto"/>
              </w:rPr>
              <w:t>Three Months Ended</w:t>
            </w:r>
          </w:p>
        </w:tc>
        <w:tc>
          <w:tcPr>
            <w:tcW w:w="160" w:type="dxa"/>
            <w:vAlign w:val="bottom"/>
          </w:tcPr>
          <w:p>
            <w:pPr>
              <w:spacing w:after="0"/>
              <w:rPr>
                <w:sz w:val="14"/>
                <w:szCs w:val="14"/>
                <w:color w:val="auto"/>
              </w:rPr>
            </w:pPr>
          </w:p>
        </w:tc>
        <w:tc>
          <w:tcPr>
            <w:tcW w:w="1980" w:type="dxa"/>
            <w:vAlign w:val="bottom"/>
            <w:gridSpan w:val="5"/>
          </w:tcPr>
          <w:p>
            <w:pPr>
              <w:jc w:val="right"/>
              <w:ind w:right="540"/>
              <w:spacing w:after="0"/>
              <w:rPr>
                <w:sz w:val="20"/>
                <w:szCs w:val="20"/>
                <w:color w:val="auto"/>
              </w:rPr>
            </w:pPr>
            <w:r>
              <w:rPr>
                <w:rFonts w:ascii="Arial" w:cs="Arial" w:eastAsia="Arial" w:hAnsi="Arial"/>
                <w:sz w:val="14"/>
                <w:szCs w:val="14"/>
                <w:b w:val="1"/>
                <w:bCs w:val="1"/>
                <w:color w:val="auto"/>
              </w:rPr>
              <w:t>Nine Months Ended</w:t>
            </w:r>
          </w:p>
        </w:tc>
        <w:tc>
          <w:tcPr>
            <w:tcW w:w="0" w:type="dxa"/>
            <w:vAlign w:val="bottom"/>
          </w:tcPr>
          <w:p>
            <w:pPr>
              <w:spacing w:after="0"/>
              <w:rPr>
                <w:sz w:val="1"/>
                <w:szCs w:val="1"/>
                <w:color w:val="auto"/>
              </w:rPr>
            </w:pPr>
          </w:p>
        </w:tc>
      </w:tr>
      <w:tr>
        <w:trPr>
          <w:trHeight w:val="129"/>
        </w:trPr>
        <w:tc>
          <w:tcPr>
            <w:tcW w:w="3460" w:type="dxa"/>
            <w:vAlign w:val="bottom"/>
          </w:tcPr>
          <w:p>
            <w:pPr>
              <w:spacing w:after="0"/>
              <w:rPr>
                <w:sz w:val="11"/>
                <w:szCs w:val="11"/>
                <w:color w:val="auto"/>
              </w:rPr>
            </w:pPr>
          </w:p>
        </w:tc>
        <w:tc>
          <w:tcPr>
            <w:tcW w:w="2280" w:type="dxa"/>
            <w:vAlign w:val="bottom"/>
          </w:tcPr>
          <w:p>
            <w:pPr>
              <w:spacing w:after="0"/>
              <w:rPr>
                <w:sz w:val="11"/>
                <w:szCs w:val="11"/>
                <w:color w:val="auto"/>
              </w:rPr>
            </w:pPr>
          </w:p>
        </w:tc>
        <w:tc>
          <w:tcPr>
            <w:tcW w:w="1000" w:type="dxa"/>
            <w:vAlign w:val="bottom"/>
            <w:tcBorders>
              <w:top w:val="single" w:sz="8" w:color="auto"/>
            </w:tcBorders>
            <w:gridSpan w:val="3"/>
          </w:tcPr>
          <w:p>
            <w:pPr>
              <w:spacing w:after="0" w:line="129" w:lineRule="exact"/>
              <w:rPr>
                <w:sz w:val="20"/>
                <w:szCs w:val="20"/>
                <w:color w:val="auto"/>
              </w:rPr>
            </w:pPr>
            <w:r>
              <w:rPr>
                <w:rFonts w:ascii="Arial" w:cs="Arial" w:eastAsia="Arial" w:hAnsi="Arial"/>
                <w:sz w:val="14"/>
                <w:szCs w:val="14"/>
                <w:b w:val="1"/>
                <w:bCs w:val="1"/>
                <w:color w:val="auto"/>
              </w:rPr>
              <w:t>October 31,</w:t>
            </w:r>
          </w:p>
        </w:tc>
        <w:tc>
          <w:tcPr>
            <w:tcW w:w="280" w:type="dxa"/>
            <w:vAlign w:val="bottom"/>
            <w:tcBorders>
              <w:top w:val="single" w:sz="8" w:color="auto"/>
            </w:tcBorders>
          </w:tcPr>
          <w:p>
            <w:pPr>
              <w:spacing w:after="0"/>
              <w:rPr>
                <w:sz w:val="11"/>
                <w:szCs w:val="11"/>
                <w:color w:val="auto"/>
              </w:rPr>
            </w:pPr>
          </w:p>
        </w:tc>
        <w:tc>
          <w:tcPr>
            <w:tcW w:w="740" w:type="dxa"/>
            <w:vAlign w:val="bottom"/>
            <w:tcBorders>
              <w:top w:val="single" w:sz="8" w:color="auto"/>
            </w:tcBorders>
            <w:gridSpan w:val="2"/>
          </w:tcPr>
          <w:p>
            <w:pPr>
              <w:spacing w:after="0" w:line="129" w:lineRule="exact"/>
              <w:rPr>
                <w:sz w:val="20"/>
                <w:szCs w:val="20"/>
                <w:color w:val="auto"/>
              </w:rPr>
            </w:pPr>
            <w:r>
              <w:rPr>
                <w:rFonts w:ascii="Arial" w:cs="Arial" w:eastAsia="Arial" w:hAnsi="Arial"/>
                <w:sz w:val="14"/>
                <w:szCs w:val="14"/>
                <w:b w:val="1"/>
                <w:bCs w:val="1"/>
                <w:color w:val="auto"/>
                <w:w w:val="85"/>
              </w:rPr>
              <w:t>November 1,</w:t>
            </w:r>
          </w:p>
        </w:tc>
        <w:tc>
          <w:tcPr>
            <w:tcW w:w="600" w:type="dxa"/>
            <w:vAlign w:val="bottom"/>
          </w:tcPr>
          <w:p>
            <w:pPr>
              <w:spacing w:after="0"/>
              <w:rPr>
                <w:sz w:val="11"/>
                <w:szCs w:val="11"/>
                <w:color w:val="auto"/>
              </w:rPr>
            </w:pPr>
          </w:p>
        </w:tc>
        <w:tc>
          <w:tcPr>
            <w:tcW w:w="1280" w:type="dxa"/>
            <w:vAlign w:val="bottom"/>
            <w:tcBorders>
              <w:top w:val="single" w:sz="8" w:color="auto"/>
            </w:tcBorders>
            <w:gridSpan w:val="3"/>
          </w:tcPr>
          <w:p>
            <w:pPr>
              <w:spacing w:after="0" w:line="129" w:lineRule="exact"/>
              <w:rPr>
                <w:sz w:val="20"/>
                <w:szCs w:val="20"/>
                <w:color w:val="auto"/>
              </w:rPr>
            </w:pPr>
            <w:r>
              <w:rPr>
                <w:rFonts w:ascii="Arial" w:cs="Arial" w:eastAsia="Arial" w:hAnsi="Arial"/>
                <w:sz w:val="14"/>
                <w:szCs w:val="14"/>
                <w:b w:val="1"/>
                <w:bCs w:val="1"/>
                <w:color w:val="auto"/>
              </w:rPr>
              <w:t>October 31,</w:t>
            </w:r>
          </w:p>
        </w:tc>
        <w:tc>
          <w:tcPr>
            <w:tcW w:w="760" w:type="dxa"/>
            <w:vAlign w:val="bottom"/>
            <w:tcBorders>
              <w:top w:val="single" w:sz="8" w:color="auto"/>
            </w:tcBorders>
            <w:gridSpan w:val="2"/>
          </w:tcPr>
          <w:p>
            <w:pPr>
              <w:ind w:left="20"/>
              <w:spacing w:after="0" w:line="129" w:lineRule="exact"/>
              <w:rPr>
                <w:sz w:val="20"/>
                <w:szCs w:val="20"/>
                <w:color w:val="auto"/>
              </w:rPr>
            </w:pPr>
            <w:r>
              <w:rPr>
                <w:rFonts w:ascii="Arial" w:cs="Arial" w:eastAsia="Arial" w:hAnsi="Arial"/>
                <w:sz w:val="14"/>
                <w:szCs w:val="14"/>
                <w:b w:val="1"/>
                <w:bCs w:val="1"/>
                <w:color w:val="auto"/>
                <w:w w:val="85"/>
              </w:rPr>
              <w:t>November 1,</w:t>
            </w: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1"/>
        </w:trPr>
        <w:tc>
          <w:tcPr>
            <w:tcW w:w="3460" w:type="dxa"/>
            <w:vAlign w:val="bottom"/>
          </w:tcPr>
          <w:p>
            <w:pPr>
              <w:spacing w:after="0"/>
              <w:rPr>
                <w:sz w:val="14"/>
                <w:szCs w:val="14"/>
                <w:color w:val="auto"/>
              </w:rPr>
            </w:pPr>
          </w:p>
        </w:tc>
        <w:tc>
          <w:tcPr>
            <w:tcW w:w="2280" w:type="dxa"/>
            <w:vAlign w:val="bottom"/>
          </w:tcPr>
          <w:p>
            <w:pPr>
              <w:spacing w:after="0"/>
              <w:rPr>
                <w:sz w:val="14"/>
                <w:szCs w:val="14"/>
                <w:color w:val="auto"/>
              </w:rPr>
            </w:pPr>
          </w:p>
        </w:tc>
        <w:tc>
          <w:tcPr>
            <w:tcW w:w="140" w:type="dxa"/>
            <w:vAlign w:val="bottom"/>
            <w:tcBorders>
              <w:bottom w:val="single" w:sz="8" w:color="auto"/>
            </w:tcBorders>
          </w:tcPr>
          <w:p>
            <w:pPr>
              <w:spacing w:after="0"/>
              <w:rPr>
                <w:sz w:val="14"/>
                <w:szCs w:val="14"/>
                <w:color w:val="auto"/>
              </w:rPr>
            </w:pPr>
          </w:p>
        </w:tc>
        <w:tc>
          <w:tcPr>
            <w:tcW w:w="520" w:type="dxa"/>
            <w:vAlign w:val="bottom"/>
            <w:tcBorders>
              <w:bottom w:val="single" w:sz="8" w:color="auto"/>
            </w:tcBorders>
          </w:tcPr>
          <w:p>
            <w:pPr>
              <w:jc w:val="right"/>
              <w:ind w:right="119"/>
              <w:spacing w:after="0"/>
              <w:rPr>
                <w:sz w:val="20"/>
                <w:szCs w:val="20"/>
                <w:color w:val="auto"/>
              </w:rPr>
            </w:pPr>
            <w:r>
              <w:rPr>
                <w:rFonts w:ascii="Arial" w:cs="Arial" w:eastAsia="Arial" w:hAnsi="Arial"/>
                <w:sz w:val="14"/>
                <w:szCs w:val="14"/>
                <w:b w:val="1"/>
                <w:bCs w:val="1"/>
                <w:color w:val="auto"/>
                <w:w w:val="96"/>
              </w:rPr>
              <w:t>2009</w:t>
            </w:r>
          </w:p>
        </w:tc>
        <w:tc>
          <w:tcPr>
            <w:tcW w:w="340" w:type="dxa"/>
            <w:vAlign w:val="bottom"/>
          </w:tcPr>
          <w:p>
            <w:pPr>
              <w:spacing w:after="0"/>
              <w:rPr>
                <w:sz w:val="14"/>
                <w:szCs w:val="14"/>
                <w:color w:val="auto"/>
              </w:rPr>
            </w:pPr>
          </w:p>
        </w:tc>
        <w:tc>
          <w:tcPr>
            <w:tcW w:w="280" w:type="dxa"/>
            <w:vAlign w:val="bottom"/>
          </w:tcPr>
          <w:p>
            <w:pPr>
              <w:spacing w:after="0"/>
              <w:rPr>
                <w:sz w:val="14"/>
                <w:szCs w:val="14"/>
                <w:color w:val="auto"/>
              </w:rPr>
            </w:pPr>
          </w:p>
        </w:tc>
        <w:tc>
          <w:tcPr>
            <w:tcW w:w="160" w:type="dxa"/>
            <w:vAlign w:val="bottom"/>
            <w:tcBorders>
              <w:bottom w:val="single" w:sz="8" w:color="auto"/>
            </w:tcBorders>
          </w:tcPr>
          <w:p>
            <w:pPr>
              <w:spacing w:after="0"/>
              <w:rPr>
                <w:sz w:val="14"/>
                <w:szCs w:val="14"/>
                <w:color w:val="auto"/>
              </w:rPr>
            </w:pPr>
          </w:p>
        </w:tc>
        <w:tc>
          <w:tcPr>
            <w:tcW w:w="580" w:type="dxa"/>
            <w:vAlign w:val="bottom"/>
            <w:tcBorders>
              <w:bottom w:val="single" w:sz="8" w:color="auto"/>
            </w:tcBorders>
          </w:tcPr>
          <w:p>
            <w:pPr>
              <w:jc w:val="right"/>
              <w:ind w:right="156"/>
              <w:spacing w:after="0"/>
              <w:rPr>
                <w:sz w:val="20"/>
                <w:szCs w:val="20"/>
                <w:color w:val="auto"/>
              </w:rPr>
            </w:pPr>
            <w:r>
              <w:rPr>
                <w:rFonts w:ascii="Arial" w:cs="Arial" w:eastAsia="Arial" w:hAnsi="Arial"/>
                <w:sz w:val="14"/>
                <w:szCs w:val="14"/>
                <w:b w:val="1"/>
                <w:bCs w:val="1"/>
                <w:color w:val="auto"/>
              </w:rPr>
              <w:t>2008</w:t>
            </w:r>
          </w:p>
        </w:tc>
        <w:tc>
          <w:tcPr>
            <w:tcW w:w="600" w:type="dxa"/>
            <w:vAlign w:val="bottom"/>
          </w:tcPr>
          <w:p>
            <w:pPr>
              <w:spacing w:after="0"/>
              <w:rPr>
                <w:sz w:val="14"/>
                <w:szCs w:val="14"/>
                <w:color w:val="auto"/>
              </w:rPr>
            </w:pPr>
          </w:p>
        </w:tc>
        <w:tc>
          <w:tcPr>
            <w:tcW w:w="160" w:type="dxa"/>
            <w:vAlign w:val="bottom"/>
            <w:tcBorders>
              <w:bottom w:val="single" w:sz="8" w:color="auto"/>
            </w:tcBorders>
          </w:tcPr>
          <w:p>
            <w:pPr>
              <w:spacing w:after="0"/>
              <w:rPr>
                <w:sz w:val="14"/>
                <w:szCs w:val="14"/>
                <w:color w:val="auto"/>
              </w:rPr>
            </w:pPr>
          </w:p>
        </w:tc>
        <w:tc>
          <w:tcPr>
            <w:tcW w:w="520" w:type="dxa"/>
            <w:vAlign w:val="bottom"/>
            <w:tcBorders>
              <w:bottom w:val="single" w:sz="8" w:color="auto"/>
            </w:tcBorders>
          </w:tcPr>
          <w:p>
            <w:pPr>
              <w:jc w:val="right"/>
              <w:ind w:right="119"/>
              <w:spacing w:after="0"/>
              <w:rPr>
                <w:sz w:val="20"/>
                <w:szCs w:val="20"/>
                <w:color w:val="auto"/>
              </w:rPr>
            </w:pPr>
            <w:r>
              <w:rPr>
                <w:rFonts w:ascii="Arial" w:cs="Arial" w:eastAsia="Arial" w:hAnsi="Arial"/>
                <w:sz w:val="14"/>
                <w:szCs w:val="14"/>
                <w:b w:val="1"/>
                <w:bCs w:val="1"/>
                <w:color w:val="auto"/>
                <w:w w:val="96"/>
              </w:rPr>
              <w:t>2009</w:t>
            </w:r>
          </w:p>
        </w:tc>
        <w:tc>
          <w:tcPr>
            <w:tcW w:w="600" w:type="dxa"/>
            <w:vAlign w:val="bottom"/>
          </w:tcPr>
          <w:p>
            <w:pPr>
              <w:spacing w:after="0"/>
              <w:rPr>
                <w:sz w:val="14"/>
                <w:szCs w:val="14"/>
                <w:color w:val="auto"/>
              </w:rPr>
            </w:pPr>
          </w:p>
        </w:tc>
        <w:tc>
          <w:tcPr>
            <w:tcW w:w="180" w:type="dxa"/>
            <w:vAlign w:val="bottom"/>
            <w:tcBorders>
              <w:bottom w:val="single" w:sz="8" w:color="auto"/>
            </w:tcBorders>
          </w:tcPr>
          <w:p>
            <w:pPr>
              <w:spacing w:after="0"/>
              <w:rPr>
                <w:sz w:val="14"/>
                <w:szCs w:val="14"/>
                <w:color w:val="auto"/>
              </w:rPr>
            </w:pPr>
          </w:p>
        </w:tc>
        <w:tc>
          <w:tcPr>
            <w:tcW w:w="580" w:type="dxa"/>
            <w:vAlign w:val="bottom"/>
            <w:tcBorders>
              <w:bottom w:val="single" w:sz="8" w:color="auto"/>
            </w:tcBorders>
          </w:tcPr>
          <w:p>
            <w:pPr>
              <w:jc w:val="right"/>
              <w:ind w:right="156"/>
              <w:spacing w:after="0"/>
              <w:rPr>
                <w:sz w:val="20"/>
                <w:szCs w:val="20"/>
                <w:color w:val="auto"/>
              </w:rPr>
            </w:pPr>
            <w:r>
              <w:rPr>
                <w:rFonts w:ascii="Arial" w:cs="Arial" w:eastAsia="Arial" w:hAnsi="Arial"/>
                <w:sz w:val="14"/>
                <w:szCs w:val="14"/>
                <w:b w:val="1"/>
                <w:bCs w:val="1"/>
                <w:color w:val="auto"/>
              </w:rPr>
              <w:t>2008</w:t>
            </w:r>
          </w:p>
        </w:tc>
        <w:tc>
          <w:tcPr>
            <w:tcW w:w="1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210"/>
        </w:trPr>
        <w:tc>
          <w:tcPr>
            <w:tcW w:w="3460" w:type="dxa"/>
            <w:vAlign w:val="bottom"/>
            <w:shd w:val="clear" w:color="auto" w:fill="CCEEFF"/>
          </w:tcPr>
          <w:p>
            <w:pPr>
              <w:spacing w:after="0"/>
              <w:rPr>
                <w:sz w:val="20"/>
                <w:szCs w:val="20"/>
                <w:color w:val="auto"/>
              </w:rPr>
            </w:pPr>
            <w:r>
              <w:rPr>
                <w:rFonts w:ascii="Arial" w:cs="Arial" w:eastAsia="Arial" w:hAnsi="Arial"/>
                <w:sz w:val="18"/>
                <w:szCs w:val="18"/>
                <w:color w:val="auto"/>
              </w:rPr>
              <w:t>Warranty accrual:</w:t>
            </w:r>
          </w:p>
        </w:tc>
        <w:tc>
          <w:tcPr>
            <w:tcW w:w="228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520" w:type="dxa"/>
            <w:vAlign w:val="bottom"/>
            <w:shd w:val="clear" w:color="auto" w:fill="CCEEFF"/>
          </w:tcPr>
          <w:p>
            <w:pPr>
              <w:spacing w:after="0"/>
              <w:rPr>
                <w:sz w:val="18"/>
                <w:szCs w:val="18"/>
                <w:color w:val="auto"/>
              </w:rPr>
            </w:pPr>
          </w:p>
        </w:tc>
        <w:tc>
          <w:tcPr>
            <w:tcW w:w="340" w:type="dxa"/>
            <w:vAlign w:val="bottom"/>
            <w:shd w:val="clear" w:color="auto" w:fill="CCEEFF"/>
          </w:tcPr>
          <w:p>
            <w:pPr>
              <w:spacing w:after="0"/>
              <w:rPr>
                <w:sz w:val="18"/>
                <w:szCs w:val="18"/>
                <w:color w:val="auto"/>
              </w:rPr>
            </w:pPr>
          </w:p>
        </w:tc>
        <w:tc>
          <w:tcPr>
            <w:tcW w:w="28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580" w:type="dxa"/>
            <w:vAlign w:val="bottom"/>
            <w:shd w:val="clear" w:color="auto" w:fill="CCEEFF"/>
          </w:tcPr>
          <w:p>
            <w:pPr>
              <w:spacing w:after="0"/>
              <w:rPr>
                <w:sz w:val="18"/>
                <w:szCs w:val="18"/>
                <w:color w:val="auto"/>
              </w:rPr>
            </w:pPr>
          </w:p>
        </w:tc>
        <w:tc>
          <w:tcPr>
            <w:tcW w:w="60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520" w:type="dxa"/>
            <w:vAlign w:val="bottom"/>
            <w:shd w:val="clear" w:color="auto" w:fill="CCEEFF"/>
          </w:tcPr>
          <w:p>
            <w:pPr>
              <w:spacing w:after="0"/>
              <w:rPr>
                <w:sz w:val="18"/>
                <w:szCs w:val="18"/>
                <w:color w:val="auto"/>
              </w:rPr>
            </w:pPr>
          </w:p>
        </w:tc>
        <w:tc>
          <w:tcPr>
            <w:tcW w:w="60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5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3460" w:type="dxa"/>
            <w:vAlign w:val="bottom"/>
          </w:tcPr>
          <w:p>
            <w:pPr>
              <w:ind w:left="440"/>
              <w:spacing w:after="0"/>
              <w:rPr>
                <w:sz w:val="20"/>
                <w:szCs w:val="20"/>
                <w:color w:val="auto"/>
              </w:rPr>
            </w:pPr>
            <w:r>
              <w:rPr>
                <w:rFonts w:ascii="Arial" w:cs="Arial" w:eastAsia="Arial" w:hAnsi="Arial"/>
                <w:sz w:val="18"/>
                <w:szCs w:val="18"/>
                <w:color w:val="auto"/>
              </w:rPr>
              <w:t>Beginning balance</w:t>
            </w:r>
          </w:p>
        </w:tc>
        <w:tc>
          <w:tcPr>
            <w:tcW w:w="2420" w:type="dxa"/>
            <w:vAlign w:val="bottom"/>
            <w:gridSpan w:val="2"/>
          </w:tcPr>
          <w:p>
            <w:pPr>
              <w:ind w:left="2280"/>
              <w:spacing w:after="0"/>
              <w:rPr>
                <w:sz w:val="20"/>
                <w:szCs w:val="20"/>
                <w:color w:val="auto"/>
              </w:rPr>
            </w:pPr>
            <w:r>
              <w:rPr>
                <w:rFonts w:ascii="Arial" w:cs="Arial" w:eastAsia="Arial" w:hAnsi="Arial"/>
                <w:sz w:val="18"/>
                <w:szCs w:val="18"/>
                <w:color w:val="auto"/>
              </w:rPr>
              <w:t>$</w:t>
            </w:r>
          </w:p>
        </w:tc>
        <w:tc>
          <w:tcPr>
            <w:tcW w:w="520" w:type="dxa"/>
            <w:vAlign w:val="bottom"/>
          </w:tcPr>
          <w:p>
            <w:pPr>
              <w:jc w:val="right"/>
              <w:spacing w:after="0"/>
              <w:rPr>
                <w:sz w:val="20"/>
                <w:szCs w:val="20"/>
                <w:color w:val="auto"/>
              </w:rPr>
            </w:pPr>
            <w:r>
              <w:rPr>
                <w:rFonts w:ascii="Arial" w:cs="Arial" w:eastAsia="Arial" w:hAnsi="Arial"/>
                <w:sz w:val="18"/>
                <w:szCs w:val="18"/>
                <w:color w:val="auto"/>
              </w:rPr>
              <w:t>3,421</w:t>
            </w:r>
          </w:p>
        </w:tc>
        <w:tc>
          <w:tcPr>
            <w:tcW w:w="340" w:type="dxa"/>
            <w:vAlign w:val="bottom"/>
          </w:tcPr>
          <w:p>
            <w:pPr>
              <w:spacing w:after="0"/>
              <w:rPr>
                <w:sz w:val="18"/>
                <w:szCs w:val="18"/>
                <w:color w:val="auto"/>
              </w:rPr>
            </w:pPr>
          </w:p>
        </w:tc>
        <w:tc>
          <w:tcPr>
            <w:tcW w:w="440" w:type="dxa"/>
            <w:vAlign w:val="bottom"/>
            <w:gridSpan w:val="2"/>
          </w:tcPr>
          <w:p>
            <w:pPr>
              <w:ind w:left="280"/>
              <w:spacing w:after="0"/>
              <w:rPr>
                <w:sz w:val="20"/>
                <w:szCs w:val="20"/>
                <w:color w:val="auto"/>
              </w:rPr>
            </w:pPr>
            <w:r>
              <w:rPr>
                <w:rFonts w:ascii="Arial" w:cs="Arial" w:eastAsia="Arial" w:hAnsi="Arial"/>
                <w:sz w:val="18"/>
                <w:szCs w:val="18"/>
                <w:color w:val="auto"/>
              </w:rPr>
              <w:t>$</w:t>
            </w:r>
          </w:p>
        </w:tc>
        <w:tc>
          <w:tcPr>
            <w:tcW w:w="580" w:type="dxa"/>
            <w:vAlign w:val="bottom"/>
          </w:tcPr>
          <w:p>
            <w:pPr>
              <w:jc w:val="right"/>
              <w:spacing w:after="0"/>
              <w:rPr>
                <w:sz w:val="20"/>
                <w:szCs w:val="20"/>
                <w:color w:val="auto"/>
              </w:rPr>
            </w:pPr>
            <w:r>
              <w:rPr>
                <w:rFonts w:ascii="Arial" w:cs="Arial" w:eastAsia="Arial" w:hAnsi="Arial"/>
                <w:sz w:val="18"/>
                <w:szCs w:val="18"/>
                <w:color w:val="auto"/>
              </w:rPr>
              <w:t>2,521</w:t>
            </w:r>
          </w:p>
        </w:tc>
        <w:tc>
          <w:tcPr>
            <w:tcW w:w="600" w:type="dxa"/>
            <w:vAlign w:val="bottom"/>
          </w:tcPr>
          <w:p>
            <w:pPr>
              <w:spacing w:after="0"/>
              <w:rPr>
                <w:sz w:val="18"/>
                <w:szCs w:val="18"/>
                <w:color w:val="auto"/>
              </w:rPr>
            </w:pPr>
          </w:p>
        </w:tc>
        <w:tc>
          <w:tcPr>
            <w:tcW w:w="160" w:type="dxa"/>
            <w:vAlign w:val="bottom"/>
          </w:tcPr>
          <w:p>
            <w:pPr>
              <w:spacing w:after="0"/>
              <w:rPr>
                <w:sz w:val="20"/>
                <w:szCs w:val="20"/>
                <w:color w:val="auto"/>
              </w:rPr>
            </w:pPr>
            <w:r>
              <w:rPr>
                <w:rFonts w:ascii="Arial" w:cs="Arial" w:eastAsia="Arial" w:hAnsi="Arial"/>
                <w:sz w:val="18"/>
                <w:szCs w:val="18"/>
                <w:color w:val="auto"/>
              </w:rPr>
              <w:t>$</w:t>
            </w:r>
          </w:p>
        </w:tc>
        <w:tc>
          <w:tcPr>
            <w:tcW w:w="520" w:type="dxa"/>
            <w:vAlign w:val="bottom"/>
          </w:tcPr>
          <w:p>
            <w:pPr>
              <w:jc w:val="right"/>
              <w:spacing w:after="0"/>
              <w:rPr>
                <w:sz w:val="20"/>
                <w:szCs w:val="20"/>
                <w:color w:val="auto"/>
              </w:rPr>
            </w:pPr>
            <w:r>
              <w:rPr>
                <w:rFonts w:ascii="Arial" w:cs="Arial" w:eastAsia="Arial" w:hAnsi="Arial"/>
                <w:sz w:val="18"/>
                <w:szCs w:val="18"/>
                <w:color w:val="auto"/>
              </w:rPr>
              <w:t>2,094</w:t>
            </w:r>
          </w:p>
        </w:tc>
        <w:tc>
          <w:tcPr>
            <w:tcW w:w="600" w:type="dxa"/>
            <w:vAlign w:val="bottom"/>
          </w:tcPr>
          <w:p>
            <w:pPr>
              <w:spacing w:after="0"/>
              <w:rPr>
                <w:sz w:val="18"/>
                <w:szCs w:val="18"/>
                <w:color w:val="auto"/>
              </w:rPr>
            </w:pPr>
          </w:p>
        </w:tc>
        <w:tc>
          <w:tcPr>
            <w:tcW w:w="180" w:type="dxa"/>
            <w:vAlign w:val="bottom"/>
          </w:tcPr>
          <w:p>
            <w:pPr>
              <w:ind w:left="20"/>
              <w:spacing w:after="0"/>
              <w:rPr>
                <w:sz w:val="20"/>
                <w:szCs w:val="20"/>
                <w:color w:val="auto"/>
              </w:rPr>
            </w:pPr>
            <w:r>
              <w:rPr>
                <w:rFonts w:ascii="Arial" w:cs="Arial" w:eastAsia="Arial" w:hAnsi="Arial"/>
                <w:sz w:val="18"/>
                <w:szCs w:val="18"/>
                <w:color w:val="auto"/>
              </w:rPr>
              <w:t>$</w:t>
            </w:r>
          </w:p>
        </w:tc>
        <w:tc>
          <w:tcPr>
            <w:tcW w:w="680" w:type="dxa"/>
            <w:vAlign w:val="bottom"/>
            <w:gridSpan w:val="2"/>
          </w:tcPr>
          <w:p>
            <w:pPr>
              <w:jc w:val="right"/>
              <w:ind w:right="100"/>
              <w:spacing w:after="0"/>
              <w:rPr>
                <w:sz w:val="20"/>
                <w:szCs w:val="20"/>
                <w:color w:val="auto"/>
              </w:rPr>
            </w:pPr>
            <w:r>
              <w:rPr>
                <w:rFonts w:ascii="Arial" w:cs="Arial" w:eastAsia="Arial" w:hAnsi="Arial"/>
                <w:sz w:val="18"/>
                <w:szCs w:val="18"/>
                <w:color w:val="auto"/>
              </w:rPr>
              <w:t>2,532</w:t>
            </w:r>
          </w:p>
        </w:tc>
        <w:tc>
          <w:tcPr>
            <w:tcW w:w="0" w:type="dxa"/>
            <w:vAlign w:val="bottom"/>
          </w:tcPr>
          <w:p>
            <w:pPr>
              <w:spacing w:after="0"/>
              <w:rPr>
                <w:sz w:val="1"/>
                <w:szCs w:val="1"/>
                <w:color w:val="auto"/>
              </w:rPr>
            </w:pPr>
          </w:p>
        </w:tc>
      </w:tr>
      <w:tr>
        <w:trPr>
          <w:trHeight w:val="216"/>
        </w:trPr>
        <w:tc>
          <w:tcPr>
            <w:tcW w:w="3460" w:type="dxa"/>
            <w:vAlign w:val="bottom"/>
            <w:shd w:val="clear" w:color="auto" w:fill="CCEEFF"/>
          </w:tcPr>
          <w:p>
            <w:pPr>
              <w:ind w:left="880"/>
              <w:spacing w:after="0"/>
              <w:rPr>
                <w:sz w:val="20"/>
                <w:szCs w:val="20"/>
                <w:color w:val="auto"/>
              </w:rPr>
            </w:pPr>
            <w:r>
              <w:rPr>
                <w:rFonts w:ascii="Arial" w:cs="Arial" w:eastAsia="Arial" w:hAnsi="Arial"/>
                <w:sz w:val="18"/>
                <w:szCs w:val="18"/>
                <w:color w:val="auto"/>
              </w:rPr>
              <w:t>Accruals</w:t>
            </w:r>
          </w:p>
        </w:tc>
        <w:tc>
          <w:tcPr>
            <w:tcW w:w="228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860" w:type="dxa"/>
            <w:vAlign w:val="bottom"/>
            <w:gridSpan w:val="2"/>
            <w:shd w:val="clear" w:color="auto" w:fill="CCEEFF"/>
          </w:tcPr>
          <w:p>
            <w:pPr>
              <w:jc w:val="right"/>
              <w:ind w:right="280"/>
              <w:spacing w:after="0"/>
              <w:rPr>
                <w:sz w:val="20"/>
                <w:szCs w:val="20"/>
                <w:color w:val="auto"/>
              </w:rPr>
            </w:pPr>
            <w:r>
              <w:rPr>
                <w:rFonts w:ascii="Arial" w:cs="Arial" w:eastAsia="Arial" w:hAnsi="Arial"/>
                <w:sz w:val="18"/>
                <w:szCs w:val="18"/>
                <w:color w:val="auto"/>
              </w:rPr>
              <w:t>(169)</w:t>
            </w:r>
          </w:p>
        </w:tc>
        <w:tc>
          <w:tcPr>
            <w:tcW w:w="28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286</w:t>
            </w:r>
          </w:p>
        </w:tc>
        <w:tc>
          <w:tcPr>
            <w:tcW w:w="60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5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2,799</w:t>
            </w:r>
          </w:p>
        </w:tc>
        <w:tc>
          <w:tcPr>
            <w:tcW w:w="60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68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1,106</w:t>
            </w:r>
          </w:p>
        </w:tc>
        <w:tc>
          <w:tcPr>
            <w:tcW w:w="0" w:type="dxa"/>
            <w:vAlign w:val="bottom"/>
          </w:tcPr>
          <w:p>
            <w:pPr>
              <w:spacing w:after="0"/>
              <w:rPr>
                <w:sz w:val="1"/>
                <w:szCs w:val="1"/>
                <w:color w:val="auto"/>
              </w:rPr>
            </w:pPr>
          </w:p>
        </w:tc>
      </w:tr>
      <w:tr>
        <w:trPr>
          <w:trHeight w:val="216"/>
        </w:trPr>
        <w:tc>
          <w:tcPr>
            <w:tcW w:w="3460" w:type="dxa"/>
            <w:vAlign w:val="bottom"/>
          </w:tcPr>
          <w:p>
            <w:pPr>
              <w:ind w:left="880"/>
              <w:spacing w:after="0"/>
              <w:rPr>
                <w:sz w:val="20"/>
                <w:szCs w:val="20"/>
                <w:color w:val="auto"/>
              </w:rPr>
            </w:pPr>
            <w:r>
              <w:rPr>
                <w:rFonts w:ascii="Arial" w:cs="Arial" w:eastAsia="Arial" w:hAnsi="Arial"/>
                <w:sz w:val="18"/>
                <w:szCs w:val="18"/>
                <w:color w:val="auto"/>
              </w:rPr>
              <w:t>Settlements</w:t>
            </w:r>
          </w:p>
        </w:tc>
        <w:tc>
          <w:tcPr>
            <w:tcW w:w="228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860" w:type="dxa"/>
            <w:vAlign w:val="bottom"/>
            <w:gridSpan w:val="2"/>
          </w:tcPr>
          <w:p>
            <w:pPr>
              <w:jc w:val="right"/>
              <w:ind w:right="280"/>
              <w:spacing w:after="0"/>
              <w:rPr>
                <w:sz w:val="20"/>
                <w:szCs w:val="20"/>
                <w:color w:val="auto"/>
              </w:rPr>
            </w:pPr>
            <w:r>
              <w:rPr>
                <w:rFonts w:ascii="Arial" w:cs="Arial" w:eastAsia="Arial" w:hAnsi="Arial"/>
                <w:sz w:val="18"/>
                <w:szCs w:val="18"/>
                <w:color w:val="auto"/>
                <w:w w:val="98"/>
              </w:rPr>
              <w:t>(1,308)</w:t>
            </w:r>
          </w:p>
        </w:tc>
        <w:tc>
          <w:tcPr>
            <w:tcW w:w="28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1180" w:type="dxa"/>
            <w:vAlign w:val="bottom"/>
            <w:gridSpan w:val="2"/>
          </w:tcPr>
          <w:p>
            <w:pPr>
              <w:jc w:val="right"/>
              <w:ind w:right="540"/>
              <w:spacing w:after="0"/>
              <w:rPr>
                <w:sz w:val="20"/>
                <w:szCs w:val="20"/>
                <w:color w:val="auto"/>
              </w:rPr>
            </w:pPr>
            <w:r>
              <w:rPr>
                <w:rFonts w:ascii="Arial" w:cs="Arial" w:eastAsia="Arial" w:hAnsi="Arial"/>
                <w:sz w:val="18"/>
                <w:szCs w:val="18"/>
                <w:color w:val="auto"/>
              </w:rPr>
              <w:t>(367)</w:t>
            </w:r>
          </w:p>
        </w:tc>
        <w:tc>
          <w:tcPr>
            <w:tcW w:w="160" w:type="dxa"/>
            <w:vAlign w:val="bottom"/>
          </w:tcPr>
          <w:p>
            <w:pPr>
              <w:spacing w:after="0"/>
              <w:rPr>
                <w:sz w:val="18"/>
                <w:szCs w:val="18"/>
                <w:color w:val="auto"/>
              </w:rPr>
            </w:pPr>
          </w:p>
        </w:tc>
        <w:tc>
          <w:tcPr>
            <w:tcW w:w="1120" w:type="dxa"/>
            <w:vAlign w:val="bottom"/>
            <w:gridSpan w:val="2"/>
          </w:tcPr>
          <w:p>
            <w:pPr>
              <w:jc w:val="right"/>
              <w:ind w:right="540"/>
              <w:spacing w:after="0"/>
              <w:rPr>
                <w:sz w:val="20"/>
                <w:szCs w:val="20"/>
                <w:color w:val="auto"/>
              </w:rPr>
            </w:pPr>
            <w:r>
              <w:rPr>
                <w:rFonts w:ascii="Arial" w:cs="Arial" w:eastAsia="Arial" w:hAnsi="Arial"/>
                <w:sz w:val="18"/>
                <w:szCs w:val="18"/>
                <w:color w:val="auto"/>
                <w:w w:val="98"/>
              </w:rPr>
              <w:t>(2,949)</w:t>
            </w:r>
          </w:p>
        </w:tc>
        <w:tc>
          <w:tcPr>
            <w:tcW w:w="180" w:type="dxa"/>
            <w:vAlign w:val="bottom"/>
          </w:tcPr>
          <w:p>
            <w:pPr>
              <w:spacing w:after="0"/>
              <w:rPr>
                <w:sz w:val="18"/>
                <w:szCs w:val="18"/>
                <w:color w:val="auto"/>
              </w:rPr>
            </w:pPr>
          </w:p>
        </w:tc>
        <w:tc>
          <w:tcPr>
            <w:tcW w:w="680" w:type="dxa"/>
            <w:vAlign w:val="bottom"/>
            <w:gridSpan w:val="2"/>
          </w:tcPr>
          <w:p>
            <w:pPr>
              <w:jc w:val="right"/>
              <w:ind w:right="40"/>
              <w:spacing w:after="0"/>
              <w:rPr>
                <w:sz w:val="20"/>
                <w:szCs w:val="20"/>
                <w:color w:val="auto"/>
              </w:rPr>
            </w:pPr>
            <w:r>
              <w:rPr>
                <w:rFonts w:ascii="Arial" w:cs="Arial" w:eastAsia="Arial" w:hAnsi="Arial"/>
                <w:sz w:val="18"/>
                <w:szCs w:val="18"/>
                <w:color w:val="auto"/>
              </w:rPr>
              <w:t>(1,198)</w:t>
            </w:r>
          </w:p>
        </w:tc>
        <w:tc>
          <w:tcPr>
            <w:tcW w:w="0" w:type="dxa"/>
            <w:vAlign w:val="bottom"/>
          </w:tcPr>
          <w:p>
            <w:pPr>
              <w:spacing w:after="0"/>
              <w:rPr>
                <w:sz w:val="1"/>
                <w:szCs w:val="1"/>
                <w:color w:val="auto"/>
              </w:rPr>
            </w:pPr>
          </w:p>
        </w:tc>
      </w:tr>
      <w:tr>
        <w:trPr>
          <w:trHeight w:val="27"/>
        </w:trPr>
        <w:tc>
          <w:tcPr>
            <w:tcW w:w="3460" w:type="dxa"/>
            <w:vAlign w:val="bottom"/>
          </w:tcPr>
          <w:p>
            <w:pPr>
              <w:spacing w:after="0"/>
              <w:rPr>
                <w:sz w:val="2"/>
                <w:szCs w:val="2"/>
                <w:color w:val="auto"/>
              </w:rPr>
            </w:pPr>
          </w:p>
        </w:tc>
        <w:tc>
          <w:tcPr>
            <w:tcW w:w="2280" w:type="dxa"/>
            <w:vAlign w:val="bottom"/>
          </w:tcPr>
          <w:p>
            <w:pPr>
              <w:spacing w:after="0"/>
              <w:rPr>
                <w:sz w:val="2"/>
                <w:szCs w:val="2"/>
                <w:color w:val="auto"/>
              </w:rPr>
            </w:pPr>
          </w:p>
        </w:tc>
        <w:tc>
          <w:tcPr>
            <w:tcW w:w="140" w:type="dxa"/>
            <w:vAlign w:val="bottom"/>
            <w:shd w:val="clear" w:color="auto" w:fill="000000"/>
          </w:tcPr>
          <w:p>
            <w:pPr>
              <w:spacing w:after="0"/>
              <w:rPr>
                <w:sz w:val="2"/>
                <w:szCs w:val="2"/>
                <w:color w:val="auto"/>
              </w:rPr>
            </w:pPr>
          </w:p>
        </w:tc>
        <w:tc>
          <w:tcPr>
            <w:tcW w:w="520" w:type="dxa"/>
            <w:vAlign w:val="bottom"/>
            <w:shd w:val="clear" w:color="auto" w:fill="000000"/>
          </w:tcPr>
          <w:p>
            <w:pPr>
              <w:spacing w:after="0"/>
              <w:rPr>
                <w:sz w:val="2"/>
                <w:szCs w:val="2"/>
                <w:color w:val="auto"/>
              </w:rPr>
            </w:pPr>
          </w:p>
        </w:tc>
        <w:tc>
          <w:tcPr>
            <w:tcW w:w="340" w:type="dxa"/>
            <w:vAlign w:val="bottom"/>
          </w:tcPr>
          <w:p>
            <w:pPr>
              <w:spacing w:after="0"/>
              <w:rPr>
                <w:sz w:val="2"/>
                <w:szCs w:val="2"/>
                <w:color w:val="auto"/>
              </w:rPr>
            </w:pPr>
          </w:p>
        </w:tc>
        <w:tc>
          <w:tcPr>
            <w:tcW w:w="280" w:type="dxa"/>
            <w:vAlign w:val="bottom"/>
          </w:tcPr>
          <w:p>
            <w:pPr>
              <w:spacing w:after="0"/>
              <w:rPr>
                <w:sz w:val="2"/>
                <w:szCs w:val="2"/>
                <w:color w:val="auto"/>
              </w:rPr>
            </w:pPr>
          </w:p>
        </w:tc>
        <w:tc>
          <w:tcPr>
            <w:tcW w:w="160" w:type="dxa"/>
            <w:vAlign w:val="bottom"/>
            <w:shd w:val="clear" w:color="auto" w:fill="000000"/>
          </w:tcPr>
          <w:p>
            <w:pPr>
              <w:spacing w:after="0"/>
              <w:rPr>
                <w:sz w:val="2"/>
                <w:szCs w:val="2"/>
                <w:color w:val="auto"/>
              </w:rPr>
            </w:pPr>
          </w:p>
        </w:tc>
        <w:tc>
          <w:tcPr>
            <w:tcW w:w="580" w:type="dxa"/>
            <w:vAlign w:val="bottom"/>
            <w:shd w:val="clear" w:color="auto" w:fill="000000"/>
          </w:tcPr>
          <w:p>
            <w:pPr>
              <w:spacing w:after="0"/>
              <w:rPr>
                <w:sz w:val="2"/>
                <w:szCs w:val="2"/>
                <w:color w:val="auto"/>
              </w:rPr>
            </w:pPr>
          </w:p>
        </w:tc>
        <w:tc>
          <w:tcPr>
            <w:tcW w:w="600" w:type="dxa"/>
            <w:vAlign w:val="bottom"/>
          </w:tcPr>
          <w:p>
            <w:pPr>
              <w:spacing w:after="0"/>
              <w:rPr>
                <w:sz w:val="2"/>
                <w:szCs w:val="2"/>
                <w:color w:val="auto"/>
              </w:rPr>
            </w:pPr>
          </w:p>
        </w:tc>
        <w:tc>
          <w:tcPr>
            <w:tcW w:w="160" w:type="dxa"/>
            <w:vAlign w:val="bottom"/>
            <w:shd w:val="clear" w:color="auto" w:fill="000000"/>
          </w:tcPr>
          <w:p>
            <w:pPr>
              <w:spacing w:after="0"/>
              <w:rPr>
                <w:sz w:val="2"/>
                <w:szCs w:val="2"/>
                <w:color w:val="auto"/>
              </w:rPr>
            </w:pPr>
          </w:p>
        </w:tc>
        <w:tc>
          <w:tcPr>
            <w:tcW w:w="520" w:type="dxa"/>
            <w:vAlign w:val="bottom"/>
            <w:shd w:val="clear" w:color="auto" w:fill="000000"/>
          </w:tcPr>
          <w:p>
            <w:pPr>
              <w:spacing w:after="0"/>
              <w:rPr>
                <w:sz w:val="2"/>
                <w:szCs w:val="2"/>
                <w:color w:val="auto"/>
              </w:rPr>
            </w:pPr>
          </w:p>
        </w:tc>
        <w:tc>
          <w:tcPr>
            <w:tcW w:w="600" w:type="dxa"/>
            <w:vAlign w:val="bottom"/>
          </w:tcPr>
          <w:p>
            <w:pPr>
              <w:spacing w:after="0"/>
              <w:rPr>
                <w:sz w:val="2"/>
                <w:szCs w:val="2"/>
                <w:color w:val="auto"/>
              </w:rPr>
            </w:pPr>
          </w:p>
        </w:tc>
        <w:tc>
          <w:tcPr>
            <w:tcW w:w="180" w:type="dxa"/>
            <w:vAlign w:val="bottom"/>
            <w:shd w:val="clear" w:color="auto" w:fill="000000"/>
          </w:tcPr>
          <w:p>
            <w:pPr>
              <w:spacing w:after="0"/>
              <w:rPr>
                <w:sz w:val="2"/>
                <w:szCs w:val="2"/>
                <w:color w:val="auto"/>
              </w:rPr>
            </w:pPr>
          </w:p>
        </w:tc>
        <w:tc>
          <w:tcPr>
            <w:tcW w:w="580" w:type="dxa"/>
            <w:vAlign w:val="bottom"/>
            <w:shd w:val="clear" w:color="auto" w:fill="000000"/>
          </w:tcPr>
          <w:p>
            <w:pPr>
              <w:spacing w:after="0"/>
              <w:rPr>
                <w:sz w:val="2"/>
                <w:szCs w:val="2"/>
                <w:color w:val="auto"/>
              </w:rPr>
            </w:pPr>
          </w:p>
        </w:tc>
        <w:tc>
          <w:tcPr>
            <w:tcW w:w="10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16"/>
        </w:trPr>
        <w:tc>
          <w:tcPr>
            <w:tcW w:w="3460" w:type="dxa"/>
            <w:vAlign w:val="bottom"/>
            <w:shd w:val="clear" w:color="auto" w:fill="CCEEFF"/>
          </w:tcPr>
          <w:p>
            <w:pPr>
              <w:ind w:left="440"/>
              <w:spacing w:after="0"/>
              <w:rPr>
                <w:sz w:val="20"/>
                <w:szCs w:val="20"/>
                <w:color w:val="auto"/>
              </w:rPr>
            </w:pPr>
            <w:r>
              <w:rPr>
                <w:rFonts w:ascii="Arial" w:cs="Arial" w:eastAsia="Arial" w:hAnsi="Arial"/>
                <w:sz w:val="18"/>
                <w:szCs w:val="18"/>
                <w:color w:val="auto"/>
              </w:rPr>
              <w:t>Ending balance</w:t>
            </w:r>
          </w:p>
        </w:tc>
        <w:tc>
          <w:tcPr>
            <w:tcW w:w="2420" w:type="dxa"/>
            <w:vAlign w:val="bottom"/>
            <w:gridSpan w:val="2"/>
            <w:shd w:val="clear" w:color="auto" w:fill="CCEEFF"/>
          </w:tcPr>
          <w:p>
            <w:pPr>
              <w:ind w:left="2280"/>
              <w:spacing w:after="0"/>
              <w:rPr>
                <w:sz w:val="20"/>
                <w:szCs w:val="20"/>
                <w:color w:val="auto"/>
              </w:rPr>
            </w:pPr>
            <w:r>
              <w:rPr>
                <w:rFonts w:ascii="Arial" w:cs="Arial" w:eastAsia="Arial" w:hAnsi="Arial"/>
                <w:sz w:val="18"/>
                <w:szCs w:val="18"/>
                <w:color w:val="auto"/>
              </w:rPr>
              <w:t>$</w:t>
            </w:r>
          </w:p>
        </w:tc>
        <w:tc>
          <w:tcPr>
            <w:tcW w:w="5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1,944</w:t>
            </w:r>
          </w:p>
        </w:tc>
        <w:tc>
          <w:tcPr>
            <w:tcW w:w="340" w:type="dxa"/>
            <w:vAlign w:val="bottom"/>
            <w:shd w:val="clear" w:color="auto" w:fill="CCEEFF"/>
          </w:tcPr>
          <w:p>
            <w:pPr>
              <w:spacing w:after="0"/>
              <w:rPr>
                <w:sz w:val="18"/>
                <w:szCs w:val="18"/>
                <w:color w:val="auto"/>
              </w:rPr>
            </w:pPr>
          </w:p>
        </w:tc>
        <w:tc>
          <w:tcPr>
            <w:tcW w:w="440" w:type="dxa"/>
            <w:vAlign w:val="bottom"/>
            <w:gridSpan w:val="2"/>
            <w:shd w:val="clear" w:color="auto" w:fill="CCEEFF"/>
          </w:tcPr>
          <w:p>
            <w:pPr>
              <w:ind w:left="280"/>
              <w:spacing w:after="0"/>
              <w:rPr>
                <w:sz w:val="20"/>
                <w:szCs w:val="20"/>
                <w:color w:val="auto"/>
              </w:rPr>
            </w:pPr>
            <w:r>
              <w:rPr>
                <w:rFonts w:ascii="Arial" w:cs="Arial" w:eastAsia="Arial" w:hAnsi="Arial"/>
                <w:sz w:val="18"/>
                <w:szCs w:val="18"/>
                <w:color w:val="auto"/>
              </w:rPr>
              <w:t>$</w:t>
            </w: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2,440</w:t>
            </w:r>
          </w:p>
        </w:tc>
        <w:tc>
          <w:tcPr>
            <w:tcW w:w="60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20"/>
                <w:szCs w:val="20"/>
                <w:color w:val="auto"/>
              </w:rPr>
            </w:pPr>
            <w:r>
              <w:rPr>
                <w:rFonts w:ascii="Arial" w:cs="Arial" w:eastAsia="Arial" w:hAnsi="Arial"/>
                <w:sz w:val="18"/>
                <w:szCs w:val="18"/>
                <w:color w:val="auto"/>
              </w:rPr>
              <w:t>$</w:t>
            </w:r>
          </w:p>
        </w:tc>
        <w:tc>
          <w:tcPr>
            <w:tcW w:w="5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1,944</w:t>
            </w:r>
          </w:p>
        </w:tc>
        <w:tc>
          <w:tcPr>
            <w:tcW w:w="600" w:type="dxa"/>
            <w:vAlign w:val="bottom"/>
            <w:shd w:val="clear" w:color="auto" w:fill="CCEEFF"/>
          </w:tcPr>
          <w:p>
            <w:pPr>
              <w:spacing w:after="0"/>
              <w:rPr>
                <w:sz w:val="18"/>
                <w:szCs w:val="18"/>
                <w:color w:val="auto"/>
              </w:rPr>
            </w:pPr>
          </w:p>
        </w:tc>
        <w:tc>
          <w:tcPr>
            <w:tcW w:w="180" w:type="dxa"/>
            <w:vAlign w:val="bottom"/>
            <w:shd w:val="clear" w:color="auto" w:fill="CCEEFF"/>
          </w:tcPr>
          <w:p>
            <w:pPr>
              <w:ind w:left="20"/>
              <w:spacing w:after="0"/>
              <w:rPr>
                <w:sz w:val="20"/>
                <w:szCs w:val="20"/>
                <w:color w:val="auto"/>
              </w:rPr>
            </w:pPr>
            <w:r>
              <w:rPr>
                <w:rFonts w:ascii="Arial" w:cs="Arial" w:eastAsia="Arial" w:hAnsi="Arial"/>
                <w:sz w:val="18"/>
                <w:szCs w:val="18"/>
                <w:color w:val="auto"/>
              </w:rPr>
              <w:t>$</w:t>
            </w:r>
          </w:p>
        </w:tc>
        <w:tc>
          <w:tcPr>
            <w:tcW w:w="68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2,440</w:t>
            </w:r>
          </w:p>
        </w:tc>
        <w:tc>
          <w:tcPr>
            <w:tcW w:w="0" w:type="dxa"/>
            <w:vAlign w:val="bottom"/>
          </w:tcPr>
          <w:p>
            <w:pPr>
              <w:spacing w:after="0"/>
              <w:rPr>
                <w:sz w:val="1"/>
                <w:szCs w:val="1"/>
                <w:color w:val="auto"/>
              </w:rPr>
            </w:pPr>
          </w:p>
        </w:tc>
      </w:tr>
      <w:tr>
        <w:trPr>
          <w:trHeight w:val="20"/>
        </w:trPr>
        <w:tc>
          <w:tcPr>
            <w:tcW w:w="3460" w:type="dxa"/>
            <w:vAlign w:val="bottom"/>
          </w:tcPr>
          <w:p>
            <w:pPr>
              <w:spacing w:after="0" w:line="20" w:lineRule="exact"/>
              <w:rPr>
                <w:sz w:val="1"/>
                <w:szCs w:val="1"/>
                <w:color w:val="auto"/>
              </w:rPr>
            </w:pPr>
          </w:p>
        </w:tc>
        <w:tc>
          <w:tcPr>
            <w:tcW w:w="2280" w:type="dxa"/>
            <w:vAlign w:val="bottom"/>
            <w:vMerge w:val="restart"/>
          </w:tcPr>
          <w:p>
            <w:pPr>
              <w:jc w:val="right"/>
              <w:ind w:right="312"/>
              <w:spacing w:after="0"/>
              <w:rPr>
                <w:sz w:val="20"/>
                <w:szCs w:val="20"/>
                <w:color w:val="auto"/>
              </w:rPr>
            </w:pPr>
            <w:r>
              <w:rPr>
                <w:rFonts w:ascii="Arial" w:cs="Arial" w:eastAsia="Arial" w:hAnsi="Arial"/>
                <w:sz w:val="18"/>
                <w:szCs w:val="18"/>
                <w:color w:val="auto"/>
              </w:rPr>
              <w:t>18</w:t>
            </w:r>
          </w:p>
        </w:tc>
        <w:tc>
          <w:tcPr>
            <w:tcW w:w="140" w:type="dxa"/>
            <w:vAlign w:val="bottom"/>
            <w:tcBorders>
              <w:top w:val="single" w:sz="8" w:color="auto"/>
              <w:bottom w:val="single" w:sz="8" w:color="auto"/>
            </w:tcBorders>
          </w:tcPr>
          <w:p>
            <w:pPr>
              <w:spacing w:after="0" w:line="20" w:lineRule="exact"/>
              <w:rPr>
                <w:sz w:val="1"/>
                <w:szCs w:val="1"/>
                <w:color w:val="auto"/>
              </w:rPr>
            </w:pPr>
          </w:p>
        </w:tc>
        <w:tc>
          <w:tcPr>
            <w:tcW w:w="520" w:type="dxa"/>
            <w:vAlign w:val="bottom"/>
            <w:tcBorders>
              <w:top w:val="single" w:sz="8" w:color="auto"/>
              <w:bottom w:val="single" w:sz="8" w:color="auto"/>
            </w:tcBorders>
          </w:tcPr>
          <w:p>
            <w:pPr>
              <w:spacing w:after="0" w:line="20" w:lineRule="exact"/>
              <w:rPr>
                <w:sz w:val="1"/>
                <w:szCs w:val="1"/>
                <w:color w:val="auto"/>
              </w:rPr>
            </w:pPr>
          </w:p>
        </w:tc>
        <w:tc>
          <w:tcPr>
            <w:tcW w:w="340" w:type="dxa"/>
            <w:vAlign w:val="bottom"/>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16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600" w:type="dxa"/>
            <w:vAlign w:val="bottom"/>
          </w:tcPr>
          <w:p>
            <w:pPr>
              <w:spacing w:after="0" w:line="20" w:lineRule="exact"/>
              <w:rPr>
                <w:sz w:val="1"/>
                <w:szCs w:val="1"/>
                <w:color w:val="auto"/>
              </w:rPr>
            </w:pPr>
          </w:p>
        </w:tc>
        <w:tc>
          <w:tcPr>
            <w:tcW w:w="160" w:type="dxa"/>
            <w:vAlign w:val="bottom"/>
            <w:tcBorders>
              <w:top w:val="single" w:sz="8" w:color="auto"/>
              <w:bottom w:val="single" w:sz="8" w:color="auto"/>
            </w:tcBorders>
          </w:tcPr>
          <w:p>
            <w:pPr>
              <w:spacing w:after="0" w:line="20" w:lineRule="exact"/>
              <w:rPr>
                <w:sz w:val="1"/>
                <w:szCs w:val="1"/>
                <w:color w:val="auto"/>
              </w:rPr>
            </w:pPr>
          </w:p>
        </w:tc>
        <w:tc>
          <w:tcPr>
            <w:tcW w:w="520" w:type="dxa"/>
            <w:vAlign w:val="bottom"/>
            <w:tcBorders>
              <w:top w:val="single" w:sz="8" w:color="auto"/>
              <w:bottom w:val="single" w:sz="8" w:color="auto"/>
            </w:tcBorders>
          </w:tcPr>
          <w:p>
            <w:pPr>
              <w:spacing w:after="0" w:line="20" w:lineRule="exact"/>
              <w:rPr>
                <w:sz w:val="1"/>
                <w:szCs w:val="1"/>
                <w:color w:val="auto"/>
              </w:rPr>
            </w:pPr>
          </w:p>
        </w:tc>
        <w:tc>
          <w:tcPr>
            <w:tcW w:w="600" w:type="dxa"/>
            <w:vAlign w:val="bottom"/>
          </w:tcPr>
          <w:p>
            <w:pPr>
              <w:spacing w:after="0" w:line="20" w:lineRule="exact"/>
              <w:rPr>
                <w:sz w:val="1"/>
                <w:szCs w:val="1"/>
                <w:color w:val="auto"/>
              </w:rPr>
            </w:pPr>
          </w:p>
        </w:tc>
        <w:tc>
          <w:tcPr>
            <w:tcW w:w="18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357"/>
        </w:trPr>
        <w:tc>
          <w:tcPr>
            <w:tcW w:w="3460" w:type="dxa"/>
            <w:vAlign w:val="bottom"/>
          </w:tcPr>
          <w:p>
            <w:pPr>
              <w:spacing w:after="0"/>
              <w:rPr>
                <w:sz w:val="24"/>
                <w:szCs w:val="24"/>
                <w:color w:val="auto"/>
              </w:rPr>
            </w:pPr>
          </w:p>
        </w:tc>
        <w:tc>
          <w:tcPr>
            <w:tcW w:w="2280" w:type="dxa"/>
            <w:vAlign w:val="bottom"/>
            <w:vMerge w:val="continue"/>
          </w:tcPr>
          <w:p>
            <w:pPr>
              <w:spacing w:after="0"/>
              <w:rPr>
                <w:sz w:val="24"/>
                <w:szCs w:val="24"/>
                <w:color w:val="auto"/>
              </w:rPr>
            </w:pPr>
          </w:p>
        </w:tc>
        <w:tc>
          <w:tcPr>
            <w:tcW w:w="140" w:type="dxa"/>
            <w:vAlign w:val="bottom"/>
          </w:tcPr>
          <w:p>
            <w:pPr>
              <w:spacing w:after="0"/>
              <w:rPr>
                <w:sz w:val="24"/>
                <w:szCs w:val="24"/>
                <w:color w:val="auto"/>
              </w:rPr>
            </w:pPr>
          </w:p>
        </w:tc>
        <w:tc>
          <w:tcPr>
            <w:tcW w:w="520" w:type="dxa"/>
            <w:vAlign w:val="bottom"/>
          </w:tcPr>
          <w:p>
            <w:pPr>
              <w:spacing w:after="0"/>
              <w:rPr>
                <w:sz w:val="24"/>
                <w:szCs w:val="24"/>
                <w:color w:val="auto"/>
              </w:rPr>
            </w:pPr>
          </w:p>
        </w:tc>
        <w:tc>
          <w:tcPr>
            <w:tcW w:w="340" w:type="dxa"/>
            <w:vAlign w:val="bottom"/>
          </w:tcPr>
          <w:p>
            <w:pPr>
              <w:spacing w:after="0"/>
              <w:rPr>
                <w:sz w:val="24"/>
                <w:szCs w:val="24"/>
                <w:color w:val="auto"/>
              </w:rPr>
            </w:pPr>
          </w:p>
        </w:tc>
        <w:tc>
          <w:tcPr>
            <w:tcW w:w="280" w:type="dxa"/>
            <w:vAlign w:val="bottom"/>
          </w:tcPr>
          <w:p>
            <w:pPr>
              <w:spacing w:after="0"/>
              <w:rPr>
                <w:sz w:val="24"/>
                <w:szCs w:val="24"/>
                <w:color w:val="auto"/>
              </w:rPr>
            </w:pPr>
          </w:p>
        </w:tc>
        <w:tc>
          <w:tcPr>
            <w:tcW w:w="160" w:type="dxa"/>
            <w:vAlign w:val="bottom"/>
          </w:tcPr>
          <w:p>
            <w:pPr>
              <w:spacing w:after="0"/>
              <w:rPr>
                <w:sz w:val="24"/>
                <w:szCs w:val="24"/>
                <w:color w:val="auto"/>
              </w:rPr>
            </w:pPr>
          </w:p>
        </w:tc>
        <w:tc>
          <w:tcPr>
            <w:tcW w:w="580" w:type="dxa"/>
            <w:vAlign w:val="bottom"/>
          </w:tcPr>
          <w:p>
            <w:pPr>
              <w:spacing w:after="0"/>
              <w:rPr>
                <w:sz w:val="24"/>
                <w:szCs w:val="24"/>
                <w:color w:val="auto"/>
              </w:rPr>
            </w:pPr>
          </w:p>
        </w:tc>
        <w:tc>
          <w:tcPr>
            <w:tcW w:w="600" w:type="dxa"/>
            <w:vAlign w:val="bottom"/>
          </w:tcPr>
          <w:p>
            <w:pPr>
              <w:spacing w:after="0"/>
              <w:rPr>
                <w:sz w:val="24"/>
                <w:szCs w:val="24"/>
                <w:color w:val="auto"/>
              </w:rPr>
            </w:pPr>
          </w:p>
        </w:tc>
        <w:tc>
          <w:tcPr>
            <w:tcW w:w="160" w:type="dxa"/>
            <w:vAlign w:val="bottom"/>
          </w:tcPr>
          <w:p>
            <w:pPr>
              <w:spacing w:after="0"/>
              <w:rPr>
                <w:sz w:val="24"/>
                <w:szCs w:val="24"/>
                <w:color w:val="auto"/>
              </w:rPr>
            </w:pPr>
          </w:p>
        </w:tc>
        <w:tc>
          <w:tcPr>
            <w:tcW w:w="520" w:type="dxa"/>
            <w:vAlign w:val="bottom"/>
          </w:tcPr>
          <w:p>
            <w:pPr>
              <w:spacing w:after="0"/>
              <w:rPr>
                <w:sz w:val="24"/>
                <w:szCs w:val="24"/>
                <w:color w:val="auto"/>
              </w:rPr>
            </w:pPr>
          </w:p>
        </w:tc>
        <w:tc>
          <w:tcPr>
            <w:tcW w:w="600" w:type="dxa"/>
            <w:vAlign w:val="bottom"/>
          </w:tcPr>
          <w:p>
            <w:pPr>
              <w:spacing w:after="0"/>
              <w:rPr>
                <w:sz w:val="24"/>
                <w:szCs w:val="24"/>
                <w:color w:val="auto"/>
              </w:rPr>
            </w:pPr>
          </w:p>
        </w:tc>
        <w:tc>
          <w:tcPr>
            <w:tcW w:w="180" w:type="dxa"/>
            <w:vAlign w:val="bottom"/>
          </w:tcPr>
          <w:p>
            <w:pPr>
              <w:spacing w:after="0"/>
              <w:rPr>
                <w:sz w:val="24"/>
                <w:szCs w:val="24"/>
                <w:color w:val="auto"/>
              </w:rPr>
            </w:pPr>
          </w:p>
        </w:tc>
        <w:tc>
          <w:tcPr>
            <w:tcW w:w="58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0" w:type="dxa"/>
            <w:vAlign w:val="bottom"/>
          </w:tcPr>
          <w:p>
            <w:pPr>
              <w:spacing w:after="0"/>
              <w:rPr>
                <w:sz w:val="1"/>
                <w:szCs w:val="1"/>
                <w:color w:val="auto"/>
              </w:rPr>
            </w:pPr>
          </w:p>
        </w:tc>
      </w:tr>
    </w:tbl>
    <w:p>
      <w:pPr>
        <w:sectPr>
          <w:pgSz w:w="11900" w:h="16838" w:orient="portrait"/>
          <w:cols w:equalWidth="0" w:num="1">
            <w:col w:w="11380"/>
          </w:cols>
          <w:pgMar w:left="240" w:top="459" w:right="279" w:bottom="1440" w:gutter="0" w:footer="0" w:header="0"/>
        </w:sectPr>
      </w:pPr>
    </w:p>
    <w:bookmarkStart w:id="18" w:name="page19"/>
    <w:bookmarkEnd w:id="18"/>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33">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MARVELL TECHNOLOGY GROUP LTD.</w:t>
      </w:r>
    </w:p>
    <w:p>
      <w:pPr>
        <w:spacing w:after="0" w:line="90"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NOTES TO UNAUDITED CONDENSED CONSOLIDATED FINANCIAL STATEMENTS—(Continued)</w:t>
      </w:r>
    </w:p>
    <w:p>
      <w:pPr>
        <w:spacing w:after="0" w:line="164" w:lineRule="exact"/>
        <w:rPr>
          <w:sz w:val="20"/>
          <w:szCs w:val="20"/>
          <w:color w:val="auto"/>
        </w:rPr>
      </w:pPr>
    </w:p>
    <w:p>
      <w:pPr>
        <w:ind w:left="240"/>
        <w:spacing w:after="0"/>
        <w:rPr>
          <w:sz w:val="20"/>
          <w:szCs w:val="20"/>
          <w:color w:val="auto"/>
        </w:rPr>
      </w:pPr>
      <w:r>
        <w:rPr>
          <w:rFonts w:ascii="Arial" w:cs="Arial" w:eastAsia="Arial" w:hAnsi="Arial"/>
          <w:sz w:val="18"/>
          <w:szCs w:val="18"/>
          <w:b w:val="1"/>
          <w:bCs w:val="1"/>
          <w:i w:val="1"/>
          <w:iCs w:val="1"/>
          <w:color w:val="auto"/>
        </w:rPr>
        <w:t>Intellectual property indemnification</w:t>
      </w:r>
    </w:p>
    <w:p>
      <w:pPr>
        <w:spacing w:after="0" w:line="90" w:lineRule="exact"/>
        <w:rPr>
          <w:sz w:val="20"/>
          <w:szCs w:val="20"/>
          <w:color w:val="auto"/>
        </w:rPr>
      </w:pPr>
    </w:p>
    <w:p>
      <w:pPr>
        <w:ind w:right="100" w:firstLine="456"/>
        <w:spacing w:after="0" w:line="289" w:lineRule="auto"/>
        <w:rPr>
          <w:sz w:val="20"/>
          <w:szCs w:val="20"/>
          <w:color w:val="auto"/>
        </w:rPr>
      </w:pPr>
      <w:r>
        <w:rPr>
          <w:rFonts w:ascii="Arial" w:cs="Arial" w:eastAsia="Arial" w:hAnsi="Arial"/>
          <w:sz w:val="16"/>
          <w:szCs w:val="16"/>
          <w:color w:val="auto"/>
        </w:rPr>
        <w:t>The Company has agreed to indemnify certain customers for claims made against the Company’s products, where such claims allege infringement of third party intellectual property rights, including, but not limited to, patents, registered trademarks and/or copyrights. Under the aforementioned indemnification clauses, the Company may be obligated to defend the customer and pay for the damages awarded against the customer under an infringement claim, including paying for the customer’s attorneys’ fees and costs. The Company’s indemnification obligations generally do not expire after termination or expiration of the agreement containing the indemnification obligation. In certain cases, there are limits on and exceptions to the Company’s potential liability for indemnification. Although historically the Company has not made significant payments under these indemnification obligations, the Company cannot estimate the amount of potential future payments, if any, that it might be required to make as a result of these agreements. However, the maximum potential amount of any future payments that the Company could be required to make under these indemnification obligations could be significant.</w:t>
      </w:r>
    </w:p>
    <w:p>
      <w:pPr>
        <w:spacing w:after="0" w:line="199" w:lineRule="exact"/>
        <w:rPr>
          <w:sz w:val="20"/>
          <w:szCs w:val="20"/>
          <w:color w:val="auto"/>
        </w:rPr>
      </w:pPr>
    </w:p>
    <w:p>
      <w:pPr>
        <w:ind w:left="240"/>
        <w:spacing w:after="0"/>
        <w:rPr>
          <w:sz w:val="20"/>
          <w:szCs w:val="20"/>
          <w:color w:val="auto"/>
        </w:rPr>
      </w:pPr>
      <w:r>
        <w:rPr>
          <w:rFonts w:ascii="Arial" w:cs="Arial" w:eastAsia="Arial" w:hAnsi="Arial"/>
          <w:sz w:val="18"/>
          <w:szCs w:val="18"/>
          <w:b w:val="1"/>
          <w:bCs w:val="1"/>
          <w:i w:val="1"/>
          <w:iCs w:val="1"/>
          <w:color w:val="auto"/>
        </w:rPr>
        <w:t>Purchase commitments</w:t>
      </w:r>
    </w:p>
    <w:p>
      <w:pPr>
        <w:spacing w:after="0" w:line="90" w:lineRule="exact"/>
        <w:rPr>
          <w:sz w:val="20"/>
          <w:szCs w:val="20"/>
          <w:color w:val="auto"/>
        </w:rPr>
      </w:pPr>
    </w:p>
    <w:p>
      <w:pPr>
        <w:ind w:right="20" w:firstLine="456"/>
        <w:spacing w:after="0" w:line="254" w:lineRule="auto"/>
        <w:rPr>
          <w:sz w:val="20"/>
          <w:szCs w:val="20"/>
          <w:color w:val="auto"/>
        </w:rPr>
      </w:pPr>
      <w:r>
        <w:rPr>
          <w:rFonts w:ascii="Arial" w:cs="Arial" w:eastAsia="Arial" w:hAnsi="Arial"/>
          <w:sz w:val="18"/>
          <w:szCs w:val="18"/>
          <w:color w:val="auto"/>
        </w:rPr>
        <w:t>On February 28, 2005 and as amended on March 31, 2005, the Company entered into an agreement with a foundry to reserve and secure foundry fabrication capacity for a fixed number of wafers at agreed upon prices for a period of five and a half years beginning on October 1, 2005. In return, the Company agreed to pay the foundry $174.2 million over a period of 18 months. The amendment extended the term of the agreement and the agreed upon pricing terms until December 31, 2015. As of October 31, 2009, payments totaling $174.2 million (included in prepaids and other current assets and other non-current assets) had been made and approximately $162.2 million of the prepayment had been utilized as of October 31, 2009. At October 31, 2009, there were no outstanding commitments under the agreement.</w:t>
      </w:r>
    </w:p>
    <w:p>
      <w:pPr>
        <w:spacing w:after="0" w:line="144" w:lineRule="exact"/>
        <w:rPr>
          <w:sz w:val="20"/>
          <w:szCs w:val="20"/>
          <w:color w:val="auto"/>
        </w:rPr>
      </w:pPr>
    </w:p>
    <w:p>
      <w:pPr>
        <w:ind w:right="100" w:firstLine="456"/>
        <w:spacing w:after="0" w:line="259" w:lineRule="auto"/>
        <w:rPr>
          <w:sz w:val="20"/>
          <w:szCs w:val="20"/>
          <w:color w:val="auto"/>
        </w:rPr>
      </w:pPr>
      <w:r>
        <w:rPr>
          <w:rFonts w:ascii="Arial" w:cs="Arial" w:eastAsia="Arial" w:hAnsi="Arial"/>
          <w:sz w:val="18"/>
          <w:szCs w:val="18"/>
          <w:color w:val="auto"/>
        </w:rPr>
        <w:t>Under the Company’s manufacturing relationships with foundries, cancellation of all outstanding purchase orders are allowed but require repayment of all expenses incurred through the date of cancellation. As of October 31, 2009, the amount of open purchase orders to these foundries was approximately $139.7 million.</w:t>
      </w:r>
    </w:p>
    <w:p>
      <w:pPr>
        <w:spacing w:after="0" w:line="140" w:lineRule="exact"/>
        <w:rPr>
          <w:sz w:val="20"/>
          <w:szCs w:val="20"/>
          <w:color w:val="auto"/>
        </w:rPr>
      </w:pPr>
    </w:p>
    <w:p>
      <w:pPr>
        <w:ind w:right="760" w:firstLine="456"/>
        <w:spacing w:after="0" w:line="268" w:lineRule="auto"/>
        <w:rPr>
          <w:sz w:val="20"/>
          <w:szCs w:val="20"/>
          <w:color w:val="auto"/>
        </w:rPr>
      </w:pPr>
      <w:r>
        <w:rPr>
          <w:rFonts w:ascii="Arial" w:cs="Arial" w:eastAsia="Arial" w:hAnsi="Arial"/>
          <w:sz w:val="18"/>
          <w:szCs w:val="18"/>
          <w:color w:val="auto"/>
        </w:rPr>
        <w:t>As of October 31, 2009, the Company had approximately $21.2 million of other outstanding non-cancelable purchase orders for capital purchase obligations.</w:t>
      </w:r>
    </w:p>
    <w:p>
      <w:pPr>
        <w:spacing w:after="0" w:line="213" w:lineRule="exact"/>
        <w:rPr>
          <w:sz w:val="20"/>
          <w:szCs w:val="20"/>
          <w:color w:val="auto"/>
        </w:rPr>
      </w:pPr>
    </w:p>
    <w:p>
      <w:pPr>
        <w:ind w:left="240"/>
        <w:spacing w:after="0"/>
        <w:rPr>
          <w:sz w:val="20"/>
          <w:szCs w:val="20"/>
          <w:color w:val="auto"/>
        </w:rPr>
      </w:pPr>
      <w:r>
        <w:rPr>
          <w:rFonts w:ascii="Arial" w:cs="Arial" w:eastAsia="Arial" w:hAnsi="Arial"/>
          <w:sz w:val="18"/>
          <w:szCs w:val="18"/>
          <w:b w:val="1"/>
          <w:bCs w:val="1"/>
          <w:i w:val="1"/>
          <w:iCs w:val="1"/>
          <w:color w:val="auto"/>
        </w:rPr>
        <w:t>Contingencies</w:t>
      </w:r>
    </w:p>
    <w:p>
      <w:pPr>
        <w:spacing w:after="0" w:line="90" w:lineRule="exact"/>
        <w:rPr>
          <w:sz w:val="20"/>
          <w:szCs w:val="20"/>
          <w:color w:val="auto"/>
        </w:rPr>
      </w:pPr>
    </w:p>
    <w:p>
      <w:pPr>
        <w:ind w:firstLine="456"/>
        <w:spacing w:after="0" w:line="284" w:lineRule="auto"/>
        <w:rPr>
          <w:sz w:val="20"/>
          <w:szCs w:val="20"/>
          <w:color w:val="auto"/>
        </w:rPr>
      </w:pPr>
      <w:r>
        <w:rPr>
          <w:rFonts w:ascii="Arial" w:cs="Arial" w:eastAsia="Arial" w:hAnsi="Arial"/>
          <w:sz w:val="16"/>
          <w:szCs w:val="16"/>
          <w:i w:val="1"/>
          <w:iCs w:val="1"/>
          <w:color w:val="auto"/>
        </w:rPr>
        <w:t xml:space="preserve">IPO Securities Litigation. </w:t>
      </w:r>
      <w:r>
        <w:rPr>
          <w:rFonts w:ascii="Arial" w:cs="Arial" w:eastAsia="Arial" w:hAnsi="Arial"/>
          <w:sz w:val="16"/>
          <w:szCs w:val="16"/>
          <w:color w:val="auto"/>
        </w:rPr>
        <w:t>On July 31, 2001, a putative class action suit was filed against two investment banks that participated in the underwriting of the</w:t>
      </w:r>
      <w:r>
        <w:rPr>
          <w:rFonts w:ascii="Arial" w:cs="Arial" w:eastAsia="Arial" w:hAnsi="Arial"/>
          <w:sz w:val="16"/>
          <w:szCs w:val="16"/>
          <w:i w:val="1"/>
          <w:iCs w:val="1"/>
          <w:color w:val="auto"/>
        </w:rPr>
        <w:t xml:space="preserve"> </w:t>
      </w:r>
      <w:r>
        <w:rPr>
          <w:rFonts w:ascii="Arial" w:cs="Arial" w:eastAsia="Arial" w:hAnsi="Arial"/>
          <w:sz w:val="16"/>
          <w:szCs w:val="16"/>
          <w:color w:val="auto"/>
        </w:rPr>
        <w:t>Company’s initial public offering (the “IPO”) on June 29, 2000. That lawsuit, which did not name the Company or any of its officers or directors as defendants, was filed in the United States District Court for the Southern District of New York. Plaintiffs allege that the underwriters received “excessive” and undisclosed commissions and entered into unlawful “tie-in” agreements with certain of their clients in violation of Section 10(b) of the Securities Exchange Act of 1934, as amended (the “Exchange Act”). Thereafter, on September 5, 2001, a second putative class action was filed in the Southern District of New York relating to the Company’s IPO. In this second action, plaintiffs named three underwriters as defendants and also named as defendants the Company and two of its officers, one of whom is also a director. Relying on many of the same allegations contained in the initial complaint, plaintiffs allege that the defendants violated various provisions of the Securities Act of 1933, as amended, and the Exchange Act. In both actions, plaintiffs seek, among other items, unspecified damages, pre-judgment interest and reimbursement of attorneys’ and experts’ fees. These two actions have been consolidated and coordinated with hundreds of other lawsuits filed by plaintiffs against approximately 40 underwriters and approximately 300 issuers across the United States. Defendants in the coordinated proceedings moved to dismiss the actions. In February 2003, the trial court granted the motions in part and denied them in part, thus allowing the case to proceed against the Company and the underwriters. Claims against the individual officers have been voluntarily dismissed with prejudice by agreement with plaintiffs. In June 2004, a stipulation of settlement and release of claims against the issuer defendants, including the Company, was submitted to the Court for approval. On August 31, 2005, the Court preliminarily approved the settlement. In December 2006, the appellate court overturned the certification of classes in the six focus cases that were selected by the underwriter defendants and plaintiffs in the coordinated proceedings (the action involving the Company is not one of the six cases). Because class certification was a condition of the settlement, it was unlikely that the settlement would receive final Court approval. On June 25, 2007, the Court entered an order terminating the proposed settlement based upon a stipulation among the parties to the settlement. Plaintiffs filed amended master allegations and amended complaints in the six focus cases. Defendants’ motions to dismiss those new complaints were denied in part and granted in part.</w:t>
      </w:r>
    </w:p>
    <w:p>
      <w:pPr>
        <w:spacing w:after="0" w:line="119"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19</w:t>
      </w:r>
    </w:p>
    <w:p>
      <w:pPr>
        <w:sectPr>
          <w:pgSz w:w="11900" w:h="16838" w:orient="portrait"/>
          <w:cols w:equalWidth="0" w:num="1">
            <w:col w:w="11400"/>
          </w:cols>
          <w:pgMar w:left="240" w:top="459" w:right="259" w:bottom="1440" w:gutter="0" w:footer="0" w:header="0"/>
        </w:sectPr>
      </w:pPr>
    </w:p>
    <w:bookmarkStart w:id="19" w:name="page20"/>
    <w:bookmarkEnd w:id="19"/>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34">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MARVELL TECHNOLOGY GROUP LTD.</w:t>
      </w:r>
    </w:p>
    <w:p>
      <w:pPr>
        <w:spacing w:after="0" w:line="90"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NOTES TO UNAUDITED CONDENSED CONSOLIDATED FINANCIAL STATEMENTS—(Continued)</w:t>
      </w:r>
    </w:p>
    <w:p>
      <w:pPr>
        <w:spacing w:after="0" w:line="164" w:lineRule="exact"/>
        <w:rPr>
          <w:sz w:val="20"/>
          <w:szCs w:val="20"/>
          <w:color w:val="auto"/>
        </w:rPr>
      </w:pPr>
    </w:p>
    <w:p>
      <w:pPr>
        <w:ind w:right="180" w:firstLine="456"/>
        <w:spacing w:after="0" w:line="294" w:lineRule="auto"/>
        <w:rPr>
          <w:sz w:val="20"/>
          <w:szCs w:val="20"/>
          <w:color w:val="auto"/>
        </w:rPr>
      </w:pPr>
      <w:r>
        <w:rPr>
          <w:rFonts w:ascii="Arial" w:cs="Arial" w:eastAsia="Arial" w:hAnsi="Arial"/>
          <w:sz w:val="16"/>
          <w:szCs w:val="16"/>
          <w:color w:val="auto"/>
        </w:rPr>
        <w:t>The parties have reached a global settlement of the coordinated litigation. Under the settlement, the insurers will pay the full amount of settlement share allocated to the Company, and the Company will bear no financial liability. The Company, as well as the officer and director defendants who were previously dismissed from the action pursuant to tolling agreements, will receive complete dismissals from the case. On October 5, 2009, the Court issued an order of final approval of the settlement. Certain objectors are seeking to appeal. If for any reason the settlement does not become effective, the Company believes it has meritorious defenses to the claims against it and intends to defend the action vigorously.</w:t>
      </w:r>
    </w:p>
    <w:p>
      <w:pPr>
        <w:spacing w:after="0" w:line="116" w:lineRule="exact"/>
        <w:rPr>
          <w:sz w:val="20"/>
          <w:szCs w:val="20"/>
          <w:color w:val="auto"/>
        </w:rPr>
      </w:pPr>
    </w:p>
    <w:p>
      <w:pPr>
        <w:ind w:firstLine="456"/>
        <w:spacing w:after="0" w:line="286" w:lineRule="auto"/>
        <w:rPr>
          <w:sz w:val="20"/>
          <w:szCs w:val="20"/>
          <w:color w:val="auto"/>
        </w:rPr>
      </w:pPr>
      <w:r>
        <w:rPr>
          <w:rFonts w:ascii="Arial" w:cs="Arial" w:eastAsia="Arial" w:hAnsi="Arial"/>
          <w:sz w:val="16"/>
          <w:szCs w:val="16"/>
          <w:i w:val="1"/>
          <w:iCs w:val="1"/>
          <w:color w:val="auto"/>
        </w:rPr>
        <w:t xml:space="preserve">Section 16(b) Litigation. </w:t>
      </w:r>
      <w:r>
        <w:rPr>
          <w:rFonts w:ascii="Arial" w:cs="Arial" w:eastAsia="Arial" w:hAnsi="Arial"/>
          <w:sz w:val="16"/>
          <w:szCs w:val="16"/>
          <w:color w:val="auto"/>
        </w:rPr>
        <w:t>On October 9, 2007, a purported shareholder of the Company filed a complaint for violation of Section 16(b) of the Exchange Act,</w:t>
      </w:r>
      <w:r>
        <w:rPr>
          <w:rFonts w:ascii="Arial" w:cs="Arial" w:eastAsia="Arial" w:hAnsi="Arial"/>
          <w:sz w:val="16"/>
          <w:szCs w:val="16"/>
          <w:i w:val="1"/>
          <w:iCs w:val="1"/>
          <w:color w:val="auto"/>
        </w:rPr>
        <w:t xml:space="preserve"> </w:t>
      </w:r>
      <w:r>
        <w:rPr>
          <w:rFonts w:ascii="Arial" w:cs="Arial" w:eastAsia="Arial" w:hAnsi="Arial"/>
          <w:sz w:val="16"/>
          <w:szCs w:val="16"/>
          <w:color w:val="auto"/>
        </w:rPr>
        <w:t xml:space="preserve">which prohibits short swing trading, against the Company’s IPO underwriters. The complaint </w:t>
      </w:r>
      <w:r>
        <w:rPr>
          <w:rFonts w:ascii="Arial" w:cs="Arial" w:eastAsia="Arial" w:hAnsi="Arial"/>
          <w:sz w:val="16"/>
          <w:szCs w:val="16"/>
          <w:i w:val="1"/>
          <w:iCs w:val="1"/>
          <w:color w:val="auto"/>
        </w:rPr>
        <w:t>Vanessa Simmonds v. The Goldman Sachs Group, et al.</w:t>
      </w:r>
      <w:r>
        <w:rPr>
          <w:rFonts w:ascii="Arial" w:cs="Arial" w:eastAsia="Arial" w:hAnsi="Arial"/>
          <w:sz w:val="16"/>
          <w:szCs w:val="16"/>
          <w:color w:val="auto"/>
        </w:rPr>
        <w:t>, Case</w:t>
      </w:r>
    </w:p>
    <w:p>
      <w:pPr>
        <w:ind w:right="120"/>
        <w:spacing w:after="0" w:line="287" w:lineRule="auto"/>
        <w:rPr>
          <w:sz w:val="20"/>
          <w:szCs w:val="20"/>
          <w:color w:val="auto"/>
        </w:rPr>
      </w:pPr>
      <w:r>
        <w:rPr>
          <w:rFonts w:ascii="Arial" w:cs="Arial" w:eastAsia="Arial" w:hAnsi="Arial"/>
          <w:sz w:val="16"/>
          <w:szCs w:val="16"/>
          <w:color w:val="auto"/>
        </w:rPr>
        <w:t>No. C07-1632 filed in District Court for the Western District of Washington, seeks the recovery of short-swing profits. The Company is named as a nominal defendant. No recovery is sought from the Company. Numerous similar suits were filed by the same plaintiff against other underwriters relating to other issuers. The underwriter defendants and some of the issuer defendants (excluding the Company) filed a motion to dismiss, and on March 12, 2009, the district court ordered dismissal of all claims against the moving issuer defendants without prejudice. The court also ordered dismissal of all claims against the underwriter defendants with prejudice. On April 10, 2009, the plaintiffs filed their notice of appeal to those dismissal orders. In accordance with the briefing schedule set by the Ninth Circuit Court of Appeals on August 18, 2009, plaintiff filed her opening brief on August 26, 2009. On October 2, 2009, the underwriter defendants/appellees/cross-appellants filed their answering brief, and the moving issuers/appellees filed their principal brief as well. Plaintiff/appellant/cross-appellee filed her response and reply briefs on November 2, 2009. The underwriter defendants/appellees/cross-appellants filed their reply brief on November 17, 2009. The Ninth Circuit Court of Appeals has not set a hearing date. No discovery has taken place.</w:t>
      </w:r>
    </w:p>
    <w:p>
      <w:pPr>
        <w:spacing w:after="0" w:line="120" w:lineRule="exact"/>
        <w:rPr>
          <w:sz w:val="20"/>
          <w:szCs w:val="20"/>
          <w:color w:val="auto"/>
        </w:rPr>
      </w:pPr>
    </w:p>
    <w:p>
      <w:pPr>
        <w:ind w:right="80" w:firstLine="456"/>
        <w:spacing w:after="0" w:line="294" w:lineRule="auto"/>
        <w:rPr>
          <w:sz w:val="20"/>
          <w:szCs w:val="20"/>
          <w:color w:val="auto"/>
        </w:rPr>
      </w:pPr>
      <w:r>
        <w:rPr>
          <w:rFonts w:ascii="Arial" w:cs="Arial" w:eastAsia="Arial" w:hAnsi="Arial"/>
          <w:sz w:val="16"/>
          <w:szCs w:val="16"/>
          <w:i w:val="1"/>
          <w:iCs w:val="1"/>
          <w:color w:val="auto"/>
        </w:rPr>
        <w:t xml:space="preserve">Jasmine Networks Litigation. </w:t>
      </w:r>
      <w:r>
        <w:rPr>
          <w:rFonts w:ascii="Arial" w:cs="Arial" w:eastAsia="Arial" w:hAnsi="Arial"/>
          <w:sz w:val="16"/>
          <w:szCs w:val="16"/>
          <w:color w:val="auto"/>
        </w:rPr>
        <w:t>On September 12, 2001, Jasmine Networks, Inc. (“Jasmine”) filed a lawsuit in the Santa Clara County Superior Court</w:t>
      </w:r>
      <w:r>
        <w:rPr>
          <w:rFonts w:ascii="Arial" w:cs="Arial" w:eastAsia="Arial" w:hAnsi="Arial"/>
          <w:sz w:val="16"/>
          <w:szCs w:val="16"/>
          <w:i w:val="1"/>
          <w:iCs w:val="1"/>
          <w:color w:val="auto"/>
        </w:rPr>
        <w:t xml:space="preserve"> </w:t>
      </w:r>
      <w:r>
        <w:rPr>
          <w:rFonts w:ascii="Arial" w:cs="Arial" w:eastAsia="Arial" w:hAnsi="Arial"/>
          <w:sz w:val="16"/>
          <w:szCs w:val="16"/>
          <w:color w:val="auto"/>
        </w:rPr>
        <w:t>alleging claims against the Company and three of its officers for allegedly improperly obtaining and using information and technologies during the course of the negotiations with its personnel regarding the potential acquisition of certain Jasmine assets by the Company. The lawsuit claims that the Company’s officers used such information and technologies after the Company signed a nondisclosure agreement with Jasmine. The Company believes the claims asserted against its officers and the Company are without merit and the Company intends to defend all claims vigorously.</w:t>
      </w:r>
    </w:p>
    <w:p>
      <w:pPr>
        <w:spacing w:after="0" w:line="116" w:lineRule="exact"/>
        <w:rPr>
          <w:sz w:val="20"/>
          <w:szCs w:val="20"/>
          <w:color w:val="auto"/>
        </w:rPr>
      </w:pPr>
    </w:p>
    <w:p>
      <w:pPr>
        <w:ind w:right="40" w:firstLine="456"/>
        <w:spacing w:after="0" w:line="286" w:lineRule="auto"/>
        <w:rPr>
          <w:sz w:val="20"/>
          <w:szCs w:val="20"/>
          <w:color w:val="auto"/>
        </w:rPr>
      </w:pPr>
      <w:r>
        <w:rPr>
          <w:rFonts w:ascii="Arial" w:cs="Arial" w:eastAsia="Arial" w:hAnsi="Arial"/>
          <w:sz w:val="16"/>
          <w:szCs w:val="16"/>
          <w:color w:val="auto"/>
        </w:rPr>
        <w:t>On June 21, 2005, the Company filed a cross complaint in the above disclosed action in the Santa Clara County Superior Court asserting claims against Jasmine and unnamed Jasmine officers and employees. The cross complaint was later amended to name two individual officers of Jasmine and a second amended cross complaint was filed in May 2007 adding additional causes of action for declaratory relief against Jasmine. The second amended cross complaint alleges that Jasmine and its personnel engaged in fraud in connection with their effort to sell the Company technology that Jasmine and its personnel wrongfully obtained from a third party in violation of such third party’s rights, and that such technology does not constitute trade secrets or property of Jasmine. The cross complaint seeks a declaratory judgment that the Company’s technology does not incorporate any of Jasmine’s alleged technology. The cross complaint seeks further a declaratory judgment that Jasmine and its personnel misappropriated certain aspects of Jasmine’s allegedly proprietary technology. The Company defeated Jasmine’s demurrer to certain of the causes of action in the cross complaint and Jasmine filed its answer. The Company thereafter filed its motion for summary adjudication on its fifth and sixth causes of action for declaratory relief seeking, among other things, a determination that Jasmine held no proprietary interest in the “JSLIP” algorithm, which was one of the core technologies Jasmine asserts was misappropriated by the Company. The motion was denied on November 14, 2007. However, in its opposition, Jasmine admitted that JSLIP had been taken from the work of a third party and is embodied in patents held by the University of California and Cisco Systems. These admissions are significant with respect to both Jasmine’s assertion of trade secret rights and any damages claimed by Jasmine.</w:t>
      </w:r>
    </w:p>
    <w:p>
      <w:pPr>
        <w:spacing w:after="0" w:line="121" w:lineRule="exact"/>
        <w:rPr>
          <w:sz w:val="20"/>
          <w:szCs w:val="20"/>
          <w:color w:val="auto"/>
        </w:rPr>
      </w:pPr>
    </w:p>
    <w:p>
      <w:pPr>
        <w:ind w:right="40" w:firstLine="456"/>
        <w:spacing w:after="0" w:line="287" w:lineRule="auto"/>
        <w:rPr>
          <w:sz w:val="20"/>
          <w:szCs w:val="20"/>
          <w:color w:val="auto"/>
        </w:rPr>
      </w:pPr>
      <w:r>
        <w:rPr>
          <w:rFonts w:ascii="Arial" w:cs="Arial" w:eastAsia="Arial" w:hAnsi="Arial"/>
          <w:sz w:val="16"/>
          <w:szCs w:val="16"/>
          <w:color w:val="auto"/>
        </w:rPr>
        <w:t xml:space="preserve">In addition, on December 28, 2001 and January 7, 2002, the trial court issued a preliminary injunction precluding Jasmine from using, disclosing or disseminating the contents of a privileged communication between certain officers of the Company and its counsel. The order granting injunctive relief was reversed by the California Court of Appeal, but review was granted by the California Supreme Court on a “grant and hold” basis pending the Court’s decision on a case involving closely related issues, </w:t>
      </w:r>
      <w:r>
        <w:rPr>
          <w:rFonts w:ascii="Arial" w:cs="Arial" w:eastAsia="Arial" w:hAnsi="Arial"/>
          <w:sz w:val="16"/>
          <w:szCs w:val="16"/>
          <w:i w:val="1"/>
          <w:iCs w:val="1"/>
          <w:color w:val="auto"/>
        </w:rPr>
        <w:t>Rico v. Mitsubishi Motors Corp</w:t>
      </w:r>
      <w:r>
        <w:rPr>
          <w:rFonts w:ascii="Arial" w:cs="Arial" w:eastAsia="Arial" w:hAnsi="Arial"/>
          <w:sz w:val="16"/>
          <w:szCs w:val="16"/>
          <w:color w:val="auto"/>
        </w:rPr>
        <w:t xml:space="preserve">. (2004) 116 Cal.App.4th 51. The effect of the California Supreme Court’s grant of review was to depublish the Court of Appeal’s decision. On December 13, 2007, the California Supreme Court ruled in the </w:t>
      </w:r>
      <w:r>
        <w:rPr>
          <w:rFonts w:ascii="Arial" w:cs="Arial" w:eastAsia="Arial" w:hAnsi="Arial"/>
          <w:sz w:val="16"/>
          <w:szCs w:val="16"/>
          <w:i w:val="1"/>
          <w:iCs w:val="1"/>
          <w:color w:val="auto"/>
        </w:rPr>
        <w:t>Rico v. Mitsubishi</w:t>
      </w:r>
      <w:r>
        <w:rPr>
          <w:rFonts w:ascii="Arial" w:cs="Arial" w:eastAsia="Arial" w:hAnsi="Arial"/>
          <w:sz w:val="16"/>
          <w:szCs w:val="16"/>
          <w:color w:val="auto"/>
        </w:rPr>
        <w:t xml:space="preserve"> case in a manner consistent with the position asserted by the Company that attorney work product and attorney-client privileges are not waived by inadvertent disclosure of a privileged communication, and that any party receiving such information (i) is required to notify opposing counsel immediately; and (ii) may not read such document more closely than is necessary to determine it is privileged. </w:t>
      </w:r>
      <w:r>
        <w:rPr>
          <w:rFonts w:ascii="Arial" w:cs="Arial" w:eastAsia="Arial" w:hAnsi="Arial"/>
          <w:sz w:val="16"/>
          <w:szCs w:val="16"/>
          <w:i w:val="1"/>
          <w:iCs w:val="1"/>
          <w:color w:val="auto"/>
        </w:rPr>
        <w:t>Rico v. Mitsubishi Motors Corp.</w:t>
      </w:r>
      <w:r>
        <w:rPr>
          <w:rFonts w:ascii="Arial" w:cs="Arial" w:eastAsia="Arial" w:hAnsi="Arial"/>
          <w:sz w:val="16"/>
          <w:szCs w:val="16"/>
          <w:color w:val="auto"/>
        </w:rPr>
        <w:t xml:space="preserve"> (2007) 42 Cal.4</w:t>
      </w:r>
      <w:r>
        <w:rPr>
          <w:rFonts w:ascii="Arial" w:cs="Arial" w:eastAsia="Arial" w:hAnsi="Arial"/>
          <w:sz w:val="10"/>
          <w:szCs w:val="10"/>
          <w:color w:val="auto"/>
        </w:rPr>
        <w:t>th</w:t>
      </w:r>
      <w:r>
        <w:rPr>
          <w:rFonts w:ascii="Arial" w:cs="Arial" w:eastAsia="Arial" w:hAnsi="Arial"/>
          <w:sz w:val="16"/>
          <w:szCs w:val="16"/>
          <w:color w:val="auto"/>
        </w:rPr>
        <w:t xml:space="preserve"> 807. Following its decision in </w:t>
      </w:r>
      <w:r>
        <w:rPr>
          <w:rFonts w:ascii="Arial" w:cs="Arial" w:eastAsia="Arial" w:hAnsi="Arial"/>
          <w:sz w:val="16"/>
          <w:szCs w:val="16"/>
          <w:i w:val="1"/>
          <w:iCs w:val="1"/>
          <w:color w:val="auto"/>
        </w:rPr>
        <w:t>Rico v. Mitsubishi</w:t>
      </w:r>
      <w:r>
        <w:rPr>
          <w:rFonts w:ascii="Arial" w:cs="Arial" w:eastAsia="Arial" w:hAnsi="Arial"/>
          <w:sz w:val="16"/>
          <w:szCs w:val="16"/>
          <w:color w:val="auto"/>
        </w:rPr>
        <w:t>, on April 23, 2008, the California Supreme Court issued an order dismissing the Company’s petition for review. As a result the decision of the Court of Appeal, which remains unpublished, became final.</w:t>
      </w:r>
    </w:p>
    <w:p>
      <w:pPr>
        <w:spacing w:after="0" w:line="150"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20</w:t>
      </w:r>
    </w:p>
    <w:p>
      <w:pPr>
        <w:sectPr>
          <w:pgSz w:w="11900" w:h="16838" w:orient="portrait"/>
          <w:cols w:equalWidth="0" w:num="1">
            <w:col w:w="11420"/>
          </w:cols>
          <w:pgMar w:left="240" w:top="459" w:right="239" w:bottom="1440" w:gutter="0" w:footer="0" w:header="0"/>
        </w:sectPr>
      </w:pPr>
    </w:p>
    <w:bookmarkStart w:id="20" w:name="page21"/>
    <w:bookmarkEnd w:id="20"/>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35">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MARVELL TECHNOLOGY GROUP LTD.</w:t>
      </w:r>
    </w:p>
    <w:p>
      <w:pPr>
        <w:spacing w:after="0" w:line="90"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NOTES TO UNAUDITED CONDENSED CONSOLIDATED FINANCIAL STATEMENTS—(Continued)</w:t>
      </w:r>
    </w:p>
    <w:p>
      <w:pPr>
        <w:spacing w:after="0" w:line="164" w:lineRule="exact"/>
        <w:rPr>
          <w:sz w:val="20"/>
          <w:szCs w:val="20"/>
          <w:color w:val="auto"/>
        </w:rPr>
      </w:pPr>
    </w:p>
    <w:p>
      <w:pPr>
        <w:ind w:right="20" w:firstLine="456"/>
        <w:spacing w:after="0" w:line="290" w:lineRule="auto"/>
        <w:rPr>
          <w:sz w:val="20"/>
          <w:szCs w:val="20"/>
          <w:color w:val="auto"/>
        </w:rPr>
      </w:pPr>
      <w:r>
        <w:rPr>
          <w:rFonts w:ascii="Arial" w:cs="Arial" w:eastAsia="Arial" w:hAnsi="Arial"/>
          <w:sz w:val="16"/>
          <w:szCs w:val="16"/>
          <w:color w:val="auto"/>
        </w:rPr>
        <w:t>The case then proceeded in the trial court. On January 13, 2009, the Court granted a motion disqualifying the Company’s counsel and the Company engaged new counsel. The trial date was continued from March 2, 2009 to May 4, 2009. The claims against the three Company officers were dropped. The parties engaged in extensive discovery. Motions for summary judgment and/or summary adjudication filed by the parties were heard on February 3, 2009 and were all denied except for Jasmine’s motions directed to the Company’s declaratory judgment claims, which were granted. On June 3, 2009, the Court granted the Company’s motion to dismiss Jasmine’s Second Amended Complaint with prejudice, for lack of standing. The Court also entered a 60-day stay of the cross claims to allow Jasmine to seek appellate review. The matter was fully briefed before the Court of Appeal, Sixth Appellate District and oral argument was heard on December 1, 2009. There is no deadline for when a decision will issue.</w:t>
      </w:r>
    </w:p>
    <w:p>
      <w:pPr>
        <w:spacing w:after="0" w:line="118" w:lineRule="exact"/>
        <w:rPr>
          <w:sz w:val="20"/>
          <w:szCs w:val="20"/>
          <w:color w:val="auto"/>
        </w:rPr>
      </w:pPr>
    </w:p>
    <w:p>
      <w:pPr>
        <w:ind w:right="160" w:firstLine="456"/>
        <w:spacing w:after="0" w:line="254" w:lineRule="auto"/>
        <w:rPr>
          <w:sz w:val="20"/>
          <w:szCs w:val="20"/>
          <w:color w:val="auto"/>
        </w:rPr>
      </w:pPr>
      <w:r>
        <w:rPr>
          <w:rFonts w:ascii="Arial" w:cs="Arial" w:eastAsia="Arial" w:hAnsi="Arial"/>
          <w:sz w:val="18"/>
          <w:szCs w:val="18"/>
          <w:i w:val="1"/>
          <w:iCs w:val="1"/>
          <w:color w:val="auto"/>
        </w:rPr>
        <w:t xml:space="preserve">CSIRO Litigation. </w:t>
      </w:r>
      <w:r>
        <w:rPr>
          <w:rFonts w:ascii="Arial" w:cs="Arial" w:eastAsia="Arial" w:hAnsi="Arial"/>
          <w:sz w:val="18"/>
          <w:szCs w:val="18"/>
          <w:color w:val="auto"/>
        </w:rPr>
        <w:t>As of January 2007, Australia’s Commonwealth Scientific and Industrial Research Organisation (“CSIRO”) was involved in several</w:t>
      </w:r>
      <w:r>
        <w:rPr>
          <w:rFonts w:ascii="Arial" w:cs="Arial" w:eastAsia="Arial" w:hAnsi="Arial"/>
          <w:sz w:val="18"/>
          <w:szCs w:val="18"/>
          <w:i w:val="1"/>
          <w:iCs w:val="1"/>
          <w:color w:val="auto"/>
        </w:rPr>
        <w:t xml:space="preserve"> </w:t>
      </w:r>
      <w:r>
        <w:rPr>
          <w:rFonts w:ascii="Arial" w:cs="Arial" w:eastAsia="Arial" w:hAnsi="Arial"/>
          <w:sz w:val="18"/>
          <w:szCs w:val="18"/>
          <w:color w:val="auto"/>
        </w:rPr>
        <w:t>patent litigations in the Eastern District of Texas, in which it has accused a number of wireless LAN system manufacturers, including some of the Company’s customers, of infringing CSIRO’s patent, U.S. Patent No. 5,487,069 (the “069 Patent”). CSIRO’s claims of infringement relate to wireless standards known as IEEE 802.11a, 802.11g and 802.11n. As a result of CSIRO’s claims for patent infringement, a number of the Company’s customers have sought indemnification from the Company. In response to these demands for indemnification, the Company has acknowledged certain of the demands and incurred costs in response to them.</w:t>
      </w:r>
    </w:p>
    <w:p>
      <w:pPr>
        <w:spacing w:after="0" w:line="144" w:lineRule="exact"/>
        <w:rPr>
          <w:sz w:val="20"/>
          <w:szCs w:val="20"/>
          <w:color w:val="auto"/>
        </w:rPr>
      </w:pPr>
    </w:p>
    <w:p>
      <w:pPr>
        <w:ind w:right="120" w:firstLine="456"/>
        <w:spacing w:after="0" w:line="294" w:lineRule="auto"/>
        <w:rPr>
          <w:sz w:val="20"/>
          <w:szCs w:val="20"/>
          <w:color w:val="auto"/>
        </w:rPr>
      </w:pPr>
      <w:r>
        <w:rPr>
          <w:rFonts w:ascii="Arial" w:cs="Arial" w:eastAsia="Arial" w:hAnsi="Arial"/>
          <w:sz w:val="16"/>
          <w:szCs w:val="16"/>
          <w:color w:val="auto"/>
        </w:rPr>
        <w:t>On May 4, 2007, Marvell Semiconductor, Inc., (“MSI”), Marvell Asia Pte., Ltd. (“MAPL”), and Marvell International Ltd. (“MIL”) (collectively, the “Company’s Subsidiaries”) filed an action in the United States District Court for the Eastern District of Texas (the “Marvell CSIRO Litigation”) seeking a declaratory judgment against CSIRO that the ‘069 Patent is invalid and unenforceable and that the Company’s Subsidiaries and the Company’s customers do not infringe the ‘069 Patent. The complaint also seeks damages and a license that also covers the Company’s customers on reasonable and non-discriminatory terms in the event the Company’s 802.11a/g/n wireless LAN products are found to infringe and the ‘069 Patent is found to be valid and enforceable.</w:t>
      </w:r>
    </w:p>
    <w:p>
      <w:pPr>
        <w:spacing w:after="0" w:line="116" w:lineRule="exact"/>
        <w:rPr>
          <w:sz w:val="20"/>
          <w:szCs w:val="20"/>
          <w:color w:val="auto"/>
        </w:rPr>
      </w:pPr>
    </w:p>
    <w:p>
      <w:pPr>
        <w:ind w:right="20" w:firstLine="456"/>
        <w:spacing w:after="0" w:line="294" w:lineRule="auto"/>
        <w:rPr>
          <w:sz w:val="20"/>
          <w:szCs w:val="20"/>
          <w:color w:val="auto"/>
        </w:rPr>
      </w:pPr>
      <w:r>
        <w:rPr>
          <w:rFonts w:ascii="Arial" w:cs="Arial" w:eastAsia="Arial" w:hAnsi="Arial"/>
          <w:sz w:val="16"/>
          <w:szCs w:val="16"/>
          <w:color w:val="auto"/>
        </w:rPr>
        <w:t>On December 5, 2007, CSIRO filed its answer to the complaint filed by the Company’s Subsidiaries, as well as counterclaims for willful and deliberate infringement of the ‘069 Patent. CSIRO’s counterclaims included a claim for monetary damages, including treble damages based on its allegation of willful and deliberate infringement, attorneys’ fees and injunctive relief. On April 10, 2008, the Company’s Subsidiaries filed a First Amended Complaint and First Amended Reply to CSIRO’s Answer and Counterclaims. On April 23, 2008, CSIRO filed its Answer and Counterclaims to the First Amended Complaint. On May 12, 2008, the Company’s Subsidiaries filed a Reply and Affirmative Defenses to CSIRO’s amended counterclaims.</w:t>
      </w:r>
    </w:p>
    <w:p>
      <w:pPr>
        <w:spacing w:after="0" w:line="116" w:lineRule="exact"/>
        <w:rPr>
          <w:sz w:val="20"/>
          <w:szCs w:val="20"/>
          <w:color w:val="auto"/>
        </w:rPr>
      </w:pPr>
    </w:p>
    <w:p>
      <w:pPr>
        <w:ind w:right="180" w:firstLine="456"/>
        <w:spacing w:after="0" w:line="294" w:lineRule="auto"/>
        <w:rPr>
          <w:sz w:val="20"/>
          <w:szCs w:val="20"/>
          <w:color w:val="auto"/>
        </w:rPr>
      </w:pPr>
      <w:r>
        <w:rPr>
          <w:rFonts w:ascii="Arial" w:cs="Arial" w:eastAsia="Arial" w:hAnsi="Arial"/>
          <w:sz w:val="16"/>
          <w:szCs w:val="16"/>
          <w:color w:val="auto"/>
        </w:rPr>
        <w:t>On May 22, 2008, the Company’s Subsidiaries filed a motion for summary judgment seeking to invalidate the ‘069 Patent on indefiniteness grounds. The motion was denied on August 14, 2008. The claim construction hearing was held on June 26, 2008 and the claim construction order was issued on August 14, 2008. On September 25, 2009, the Company’s subsidiaries filed a motion to stay pending reexamination of the ‘069 Patent, and the issue has been fully briefed. The trial for the Marvell CSIRO Litigation is scheduled to commence on May 10, 2010. The Company’s Subsidiaries believe that they do not infringe any valid and enforceable claims of the ‘069 Patent and intend to litigate this action vigorously.</w:t>
      </w:r>
    </w:p>
    <w:p>
      <w:pPr>
        <w:spacing w:after="0" w:line="116" w:lineRule="exact"/>
        <w:rPr>
          <w:sz w:val="20"/>
          <w:szCs w:val="20"/>
          <w:color w:val="auto"/>
        </w:rPr>
      </w:pPr>
    </w:p>
    <w:p>
      <w:pPr>
        <w:ind w:firstLine="456"/>
        <w:spacing w:after="0" w:line="286" w:lineRule="auto"/>
        <w:rPr>
          <w:sz w:val="20"/>
          <w:szCs w:val="20"/>
          <w:color w:val="auto"/>
        </w:rPr>
      </w:pPr>
      <w:r>
        <w:rPr>
          <w:rFonts w:ascii="Arial" w:cs="Arial" w:eastAsia="Arial" w:hAnsi="Arial"/>
          <w:sz w:val="16"/>
          <w:szCs w:val="16"/>
          <w:i w:val="1"/>
          <w:iCs w:val="1"/>
          <w:color w:val="auto"/>
        </w:rPr>
        <w:t xml:space="preserve">Shareholder Derivative Litigation. </w:t>
      </w:r>
      <w:r>
        <w:rPr>
          <w:rFonts w:ascii="Arial" w:cs="Arial" w:eastAsia="Arial" w:hAnsi="Arial"/>
          <w:sz w:val="16"/>
          <w:szCs w:val="16"/>
          <w:color w:val="auto"/>
        </w:rPr>
        <w:t>Between June 22, 2006 and August 2, 2006, three purported shareholder derivative actions were filed in the United</w:t>
      </w:r>
      <w:r>
        <w:rPr>
          <w:rFonts w:ascii="Arial" w:cs="Arial" w:eastAsia="Arial" w:hAnsi="Arial"/>
          <w:sz w:val="16"/>
          <w:szCs w:val="16"/>
          <w:i w:val="1"/>
          <w:iCs w:val="1"/>
          <w:color w:val="auto"/>
        </w:rPr>
        <w:t xml:space="preserve"> </w:t>
      </w:r>
      <w:r>
        <w:rPr>
          <w:rFonts w:ascii="Arial" w:cs="Arial" w:eastAsia="Arial" w:hAnsi="Arial"/>
          <w:sz w:val="16"/>
          <w:szCs w:val="16"/>
          <w:color w:val="auto"/>
        </w:rPr>
        <w:t xml:space="preserve">States District Court for the Northern District of California. Each of these lawsuits named the Company as a nominal defendant and a number of the Company’s current and former directors and officers as defendants. Each lawsuit sought to recover damages purportedly sustained by the Company in connection with its option granting processes, and sought certain corporate governance and internal control changes. Pursuant to orders of the court dated August 17, 2006 and October 17, 2006, the three actions were consolidated as a single action, entitled </w:t>
      </w:r>
      <w:r>
        <w:rPr>
          <w:rFonts w:ascii="Arial" w:cs="Arial" w:eastAsia="Arial" w:hAnsi="Arial"/>
          <w:sz w:val="16"/>
          <w:szCs w:val="16"/>
          <w:i w:val="1"/>
          <w:iCs w:val="1"/>
          <w:color w:val="auto"/>
        </w:rPr>
        <w:t>In re Marvell Technology Group Ltd. Derivative Litigation</w:t>
      </w:r>
      <w:r>
        <w:rPr>
          <w:rFonts w:ascii="Arial" w:cs="Arial" w:eastAsia="Arial" w:hAnsi="Arial"/>
          <w:sz w:val="16"/>
          <w:szCs w:val="16"/>
          <w:color w:val="auto"/>
        </w:rPr>
        <w:t>. The plaintiffs filed an amended and consolidated complaint on November 1, 2006. On or about March 5, 2008, the parties entered into a memorandum of understanding to resolve the lawsuit. The terms of the settlement included certain corporate governance enhancements and an agreement by the Company to pay up to $16 million in plaintiffs’ attorneys’ fees. The Company accrued the $16 million settlement amount in the fourth quarter of fiscal 2008. On March 20, 2009, the parties submitted formal settlement documentation to the Court seeking preliminary and thereafter final approval for the settlement. After a hearing held on May 8, 2009, the Court granted preliminary approval of the settlement by written order on May 21, 2009. The hearing for the final court approval was held on July 17, 2009, and the Court granted final approval of the settlement by written order on August 12, 2009, and the settlement amount was paid shortly thereafter.</w:t>
      </w:r>
    </w:p>
    <w:p>
      <w:pPr>
        <w:spacing w:after="0" w:line="127" w:lineRule="exact"/>
        <w:rPr>
          <w:sz w:val="20"/>
          <w:szCs w:val="20"/>
          <w:color w:val="auto"/>
        </w:rPr>
      </w:pPr>
    </w:p>
    <w:p>
      <w:pPr>
        <w:ind w:right="40" w:firstLine="456"/>
        <w:spacing w:after="0" w:line="256" w:lineRule="auto"/>
        <w:rPr>
          <w:sz w:val="20"/>
          <w:szCs w:val="20"/>
          <w:color w:val="auto"/>
        </w:rPr>
      </w:pPr>
      <w:r>
        <w:rPr>
          <w:rFonts w:ascii="Arial" w:cs="Arial" w:eastAsia="Arial" w:hAnsi="Arial"/>
          <w:sz w:val="18"/>
          <w:szCs w:val="18"/>
          <w:i w:val="1"/>
          <w:iCs w:val="1"/>
          <w:color w:val="auto"/>
        </w:rPr>
        <w:t xml:space="preserve">Class Action Securities Litigation. </w:t>
      </w:r>
      <w:r>
        <w:rPr>
          <w:rFonts w:ascii="Arial" w:cs="Arial" w:eastAsia="Arial" w:hAnsi="Arial"/>
          <w:sz w:val="18"/>
          <w:szCs w:val="18"/>
          <w:color w:val="auto"/>
        </w:rPr>
        <w:t>Between October 5, 2006 and November 13, 2006, four putative class actions were filed in the United States District</w:t>
      </w:r>
      <w:r>
        <w:rPr>
          <w:rFonts w:ascii="Arial" w:cs="Arial" w:eastAsia="Arial" w:hAnsi="Arial"/>
          <w:sz w:val="18"/>
          <w:szCs w:val="18"/>
          <w:i w:val="1"/>
          <w:iCs w:val="1"/>
          <w:color w:val="auto"/>
        </w:rPr>
        <w:t xml:space="preserve"> </w:t>
      </w:r>
      <w:r>
        <w:rPr>
          <w:rFonts w:ascii="Arial" w:cs="Arial" w:eastAsia="Arial" w:hAnsi="Arial"/>
          <w:sz w:val="18"/>
          <w:szCs w:val="18"/>
          <w:color w:val="auto"/>
        </w:rPr>
        <w:t>Court for the Northern District of California against the Company and certain of its current and former officers and directors. The complaints allege that the Company and certain of its current and former officers and directors violated the federal securities laws by making false and misleading statements and omissions relating to the grants of stock options. On February 2,</w:t>
      </w:r>
    </w:p>
    <w:p>
      <w:pPr>
        <w:spacing w:after="0" w:line="130"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21</w:t>
      </w:r>
    </w:p>
    <w:p>
      <w:pPr>
        <w:sectPr>
          <w:pgSz w:w="11900" w:h="16838" w:orient="portrait"/>
          <w:cols w:equalWidth="0" w:num="1">
            <w:col w:w="11420"/>
          </w:cols>
          <w:pgMar w:left="240" w:top="459" w:right="239" w:bottom="1440" w:gutter="0" w:footer="0" w:header="0"/>
        </w:sectPr>
      </w:pPr>
    </w:p>
    <w:bookmarkStart w:id="21" w:name="page22"/>
    <w:bookmarkEnd w:id="21"/>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36">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MARVELL TECHNOLOGY GROUP LTD.</w:t>
      </w:r>
    </w:p>
    <w:p>
      <w:pPr>
        <w:spacing w:after="0" w:line="90"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NOTES TO UNAUDITED CONDENSED CONSOLIDATED FINANCIAL STATEMENTS—(Continued)</w:t>
      </w:r>
    </w:p>
    <w:p>
      <w:pPr>
        <w:spacing w:after="0" w:line="164" w:lineRule="exact"/>
        <w:rPr>
          <w:sz w:val="20"/>
          <w:szCs w:val="20"/>
          <w:color w:val="auto"/>
        </w:rPr>
      </w:pPr>
    </w:p>
    <w:p>
      <w:pPr>
        <w:ind w:right="20"/>
        <w:spacing w:after="0" w:line="290" w:lineRule="auto"/>
        <w:rPr>
          <w:sz w:val="20"/>
          <w:szCs w:val="20"/>
          <w:color w:val="auto"/>
        </w:rPr>
      </w:pPr>
      <w:r>
        <w:rPr>
          <w:rFonts w:ascii="Arial" w:cs="Arial" w:eastAsia="Arial" w:hAnsi="Arial"/>
          <w:sz w:val="16"/>
          <w:szCs w:val="16"/>
          <w:color w:val="auto"/>
        </w:rPr>
        <w:t xml:space="preserve">2007, these four putative class actions were consolidated as a single action entitled </w:t>
      </w:r>
      <w:r>
        <w:rPr>
          <w:rFonts w:ascii="Arial" w:cs="Arial" w:eastAsia="Arial" w:hAnsi="Arial"/>
          <w:sz w:val="16"/>
          <w:szCs w:val="16"/>
          <w:i w:val="1"/>
          <w:iCs w:val="1"/>
          <w:color w:val="auto"/>
        </w:rPr>
        <w:t>In re Marvell Technology Group Ltd. Securities Litigation</w:t>
      </w:r>
      <w:r>
        <w:rPr>
          <w:rFonts w:ascii="Arial" w:cs="Arial" w:eastAsia="Arial" w:hAnsi="Arial"/>
          <w:sz w:val="16"/>
          <w:szCs w:val="16"/>
          <w:color w:val="auto"/>
        </w:rPr>
        <w:t>. On August 16, 2007, plaintiffs filed a consolidated class action complaint. The consolidated complaint seeks, on behalf of persons who purchased the Company’s common shares during the period from February 27, 2003 to October 2, 2006, inclusive, unspecified damages, interest, costs and expenses, including attorneys’ fees and disbursements. The Company filed its answer to the complaint on January 12, 2009. On June 9, 2009, the parties entered into a stipulation of settlement to resolve the lawsuit. The settlement provides for a payment by the Company to the class of $72 million. On July 31, 2009, the Court granted preliminary approval of the proposed settlement. The hearing for the final Court approval was held on November 6, 2009, and the Court granted final approval of the settlement by written order on November 13, 2009. The Company accrued $72 million in the first quarter of fiscal 2010 and paid the amount into escrow in August 2009.</w:t>
      </w:r>
    </w:p>
    <w:p>
      <w:pPr>
        <w:spacing w:after="0" w:line="118" w:lineRule="exact"/>
        <w:rPr>
          <w:sz w:val="20"/>
          <w:szCs w:val="20"/>
          <w:color w:val="auto"/>
        </w:rPr>
      </w:pPr>
    </w:p>
    <w:p>
      <w:pPr>
        <w:ind w:right="40" w:firstLine="456"/>
        <w:spacing w:after="0" w:line="290" w:lineRule="auto"/>
        <w:rPr>
          <w:sz w:val="20"/>
          <w:szCs w:val="20"/>
          <w:color w:val="auto"/>
        </w:rPr>
      </w:pPr>
      <w:r>
        <w:rPr>
          <w:rFonts w:ascii="Arial" w:cs="Arial" w:eastAsia="Arial" w:hAnsi="Arial"/>
          <w:sz w:val="16"/>
          <w:szCs w:val="16"/>
          <w:i w:val="1"/>
          <w:iCs w:val="1"/>
          <w:color w:val="auto"/>
        </w:rPr>
        <w:t xml:space="preserve">Wi-LAN Litigation. </w:t>
      </w:r>
      <w:r>
        <w:rPr>
          <w:rFonts w:ascii="Arial" w:cs="Arial" w:eastAsia="Arial" w:hAnsi="Arial"/>
          <w:sz w:val="16"/>
          <w:szCs w:val="16"/>
          <w:color w:val="auto"/>
        </w:rPr>
        <w:t>On December 21, 2006, MSI received a letter from Wi-LAN, Inc. (“Wi-LAN”) accusing MSI of infringing five United States patents</w:t>
      </w:r>
      <w:r>
        <w:rPr>
          <w:rFonts w:ascii="Arial" w:cs="Arial" w:eastAsia="Arial" w:hAnsi="Arial"/>
          <w:sz w:val="16"/>
          <w:szCs w:val="16"/>
          <w:i w:val="1"/>
          <w:iCs w:val="1"/>
          <w:color w:val="auto"/>
        </w:rPr>
        <w:t xml:space="preserve"> </w:t>
      </w:r>
      <w:r>
        <w:rPr>
          <w:rFonts w:ascii="Arial" w:cs="Arial" w:eastAsia="Arial" w:hAnsi="Arial"/>
          <w:sz w:val="16"/>
          <w:szCs w:val="16"/>
          <w:color w:val="auto"/>
        </w:rPr>
        <w:t>and one Canadian patent allegedly owned by Wi-LAN. On October 31, 2007, Wi-LAN sued two groups of system and chip manufacturers in the United States District Court for the Eastern District of Texas, in both cases naming MSI as a defendant and alleging patent infringement. The complaints seek unspecified damages and an injunction. In the first case, Wi-LAN alleges that defendants infringe U.S. Patent Nos. 5,282,222 and RE 37,802 (“the ‘222 and ‘802 patents”) that allegedly relate to the 802.11 wireless standards. In the second case, Wi-LAN alleges that defendants infringe the same ‘222 and ‘802 patents, and in addition Wi-LAN alleges that some of the defendants in the second case infringe a third patent that allegedly relates to Asymmetric Digital Subscriber Line (“ADSL”) technology. In the second case, MSI is not accused of infringing the ADSL patent.</w:t>
      </w:r>
    </w:p>
    <w:p>
      <w:pPr>
        <w:spacing w:after="0" w:line="118" w:lineRule="exact"/>
        <w:rPr>
          <w:sz w:val="20"/>
          <w:szCs w:val="20"/>
          <w:color w:val="auto"/>
        </w:rPr>
      </w:pPr>
    </w:p>
    <w:p>
      <w:pPr>
        <w:ind w:right="40" w:firstLine="456"/>
        <w:spacing w:after="0" w:line="253" w:lineRule="auto"/>
        <w:rPr>
          <w:sz w:val="20"/>
          <w:szCs w:val="20"/>
          <w:color w:val="auto"/>
        </w:rPr>
      </w:pPr>
      <w:r>
        <w:rPr>
          <w:rFonts w:ascii="Arial" w:cs="Arial" w:eastAsia="Arial" w:hAnsi="Arial"/>
          <w:sz w:val="18"/>
          <w:szCs w:val="18"/>
          <w:color w:val="auto"/>
        </w:rPr>
        <w:t>On May 27, 2008, defendants in both cases jointly moved to consolidate the co-pending related cases and permit claims involving suppliers of the products to be litigated first. Wi-LAN filed its opposition on June 18, 2008. On September 10, 2008, the Court granted the defendant’s motion to consolidate both actions but denied as premature having the defendant suppliers’ case proceed first. On December 12, 2008, Wi-LAN filed a motion for leave to file a supplemental first amended complaint to add a fourth patent, U.S. Pat. No. 6,549,759 (the “759 Patent”) allegedly relating to the Bluetooth standard. Defendants opposed this motion on January 23, 2009. The Court issued an order on February 3, 2009, granting Wi-LAN’s motion to add the ‘759 Patent. The Claim Construction Hearing is scheduled for March 11, 2010, for the ‘222 and ‘802 patents, and September 1, 2010, for the ‘759 patent, and the trial for all three patents is set to begin on January 4, 2011. MSI believes it does not infringe any valid and enforceable claims of the asserted Wi-LAN patents and will vigorously defend itself in these matters.</w:t>
      </w:r>
    </w:p>
    <w:p>
      <w:pPr>
        <w:spacing w:after="0" w:line="145" w:lineRule="exact"/>
        <w:rPr>
          <w:sz w:val="20"/>
          <w:szCs w:val="20"/>
          <w:color w:val="auto"/>
        </w:rPr>
      </w:pPr>
    </w:p>
    <w:p>
      <w:pPr>
        <w:ind w:firstLine="456"/>
        <w:spacing w:after="0" w:line="254" w:lineRule="auto"/>
        <w:rPr>
          <w:sz w:val="20"/>
          <w:szCs w:val="20"/>
          <w:color w:val="auto"/>
        </w:rPr>
      </w:pPr>
      <w:r>
        <w:rPr>
          <w:rFonts w:ascii="Arial" w:cs="Arial" w:eastAsia="Arial" w:hAnsi="Arial"/>
          <w:sz w:val="18"/>
          <w:szCs w:val="18"/>
          <w:color w:val="auto"/>
        </w:rPr>
        <w:t>On November 5, 2007, MSI filed a complaint against Wi-LAN in the United States District Court for the Northern District of California asking the Court to find that it does not infringe three patents that Wi-LAN asserted against MSI in its December 21, 2006 letter. Two of these patents were not asserted against MSI in either of the two Texas litigations. These patents allegedly relate to Wideband Code Division Multiple Access technology. MSI also asked in the alternative that the Court find the patents invalid. Wi-LAN has filed a motion to dismiss, and the Company filed its opposition to that motion on June 9, 2008. On June 19, 2008, Marvell settled this declaratory judgment action. This settlement does not affect or in any way involve the ongoing litigations brought by Wi-LAN in the Eastern District of Texas.</w:t>
      </w:r>
    </w:p>
    <w:p>
      <w:pPr>
        <w:spacing w:after="0" w:line="144" w:lineRule="exact"/>
        <w:rPr>
          <w:sz w:val="20"/>
          <w:szCs w:val="20"/>
          <w:color w:val="auto"/>
        </w:rPr>
      </w:pPr>
    </w:p>
    <w:p>
      <w:pPr>
        <w:ind w:firstLine="456"/>
        <w:spacing w:after="0" w:line="288" w:lineRule="auto"/>
        <w:rPr>
          <w:sz w:val="20"/>
          <w:szCs w:val="20"/>
          <w:color w:val="auto"/>
        </w:rPr>
      </w:pPr>
      <w:r>
        <w:rPr>
          <w:rFonts w:ascii="Arial" w:cs="Arial" w:eastAsia="Arial" w:hAnsi="Arial"/>
          <w:sz w:val="16"/>
          <w:szCs w:val="16"/>
          <w:color w:val="auto"/>
        </w:rPr>
        <w:t>On December 10, 2008, MSI and MAPL filed a complaint against Wi-LAN in the United States District Court for the Northern District of California asking the Court to find that MSI and MAPL do not infringe the ‘759 Patent that Wi-LAN asserted against the Company’s products. The ‘759 Patent allegedly relates to products compliant with IEEE 802.11, 802.16 and/or Bluetooth standards. MSI and MAPL also asked, in the alternative, that the Court find the patents are invalid and unenforceable. On January 15, 2009, Wi-LAN filed a motion to dismiss a related complaint by Intel Corporation for lack of personal jurisdiction, subject matter jurisdiction and improper venue and to transfer to first filed forum (E.D. of Texas). On May 4, 2009, the Court held a hearing on Wi-LAN’s motion. On June 4, 2009, the Court denied the motion to dismiss and granted in-part Wi-LAN’s request to transfer the Intel action, ordering that the part of the action relating to the “759 Patent be transferred to the Eastern District of Texas. On September 1, 2009, Wi-LAN filed a motion to transfer MSI and MAPL’s complaint to the Eastern District of Texas. On September 28, 2009, the Court held a hearing on Wi-LAN’s motion to transfer MSI and MAPL’s complaint to the Eastern District of Texas. On October 15, 2009, the Court granted the motion to transfer.</w:t>
      </w:r>
    </w:p>
    <w:p>
      <w:pPr>
        <w:spacing w:after="0" w:line="120" w:lineRule="exact"/>
        <w:rPr>
          <w:sz w:val="20"/>
          <w:szCs w:val="20"/>
          <w:color w:val="auto"/>
        </w:rPr>
      </w:pPr>
    </w:p>
    <w:p>
      <w:pPr>
        <w:ind w:right="20" w:firstLine="456"/>
        <w:spacing w:after="0" w:line="253" w:lineRule="auto"/>
        <w:rPr>
          <w:sz w:val="20"/>
          <w:szCs w:val="20"/>
          <w:color w:val="auto"/>
        </w:rPr>
      </w:pPr>
      <w:r>
        <w:rPr>
          <w:rFonts w:ascii="Arial" w:cs="Arial" w:eastAsia="Arial" w:hAnsi="Arial"/>
          <w:sz w:val="18"/>
          <w:szCs w:val="18"/>
          <w:i w:val="1"/>
          <w:iCs w:val="1"/>
          <w:color w:val="auto"/>
        </w:rPr>
        <w:t xml:space="preserve">Carnegie Mellon Litigation. </w:t>
      </w:r>
      <w:r>
        <w:rPr>
          <w:rFonts w:ascii="Arial" w:cs="Arial" w:eastAsia="Arial" w:hAnsi="Arial"/>
          <w:sz w:val="18"/>
          <w:szCs w:val="18"/>
          <w:color w:val="auto"/>
        </w:rPr>
        <w:t>On March 6, 2009, Carnegie Mellon University (“CMU”) filed a complaint in the United States District Court for the Western</w:t>
      </w:r>
      <w:r>
        <w:rPr>
          <w:rFonts w:ascii="Arial" w:cs="Arial" w:eastAsia="Arial" w:hAnsi="Arial"/>
          <w:sz w:val="18"/>
          <w:szCs w:val="18"/>
          <w:i w:val="1"/>
          <w:iCs w:val="1"/>
          <w:color w:val="auto"/>
        </w:rPr>
        <w:t xml:space="preserve"> </w:t>
      </w:r>
      <w:r>
        <w:rPr>
          <w:rFonts w:ascii="Arial" w:cs="Arial" w:eastAsia="Arial" w:hAnsi="Arial"/>
          <w:sz w:val="18"/>
          <w:szCs w:val="18"/>
          <w:color w:val="auto"/>
        </w:rPr>
        <w:t>District of Pennsylvania naming MSI and the Company as defendants and alleging patent infringement. CMU has asserted two patents (U.S. Patent Nos. 6,201,839 and 6,438,180) purportedly relating to read-channel integrated circuit devices and the hard disk drive products incorporating such devices. The complaint seeks unspecified damages and an injunction. On June 1, 2009, MSI and the Company filed their answers and MSI filed counterclaims to the complaint seeking declaratory judgments of non-infringement and invalidity as to both of the asserted patents. The Court has scheduled a claim construction hearing for April 12, 2010. The Court has not yet scheduled a trial date. MSI and the Company believe that they do not infringe any valid and enforceable claims of the asserted CMU patents and intend to contest this action vigorously. Because this action is in the early stages, the Company is unable to predict the outcome of this litigation at this time.</w:t>
      </w:r>
    </w:p>
    <w:p>
      <w:pPr>
        <w:spacing w:after="0" w:line="132"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22</w:t>
      </w:r>
    </w:p>
    <w:p>
      <w:pPr>
        <w:sectPr>
          <w:pgSz w:w="11900" w:h="16838" w:orient="portrait"/>
          <w:cols w:equalWidth="0" w:num="1">
            <w:col w:w="11420"/>
          </w:cols>
          <w:pgMar w:left="240" w:top="459" w:right="239" w:bottom="1440" w:gutter="0" w:footer="0" w:header="0"/>
        </w:sectPr>
      </w:pPr>
    </w:p>
    <w:bookmarkStart w:id="22" w:name="page23"/>
    <w:bookmarkEnd w:id="22"/>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37">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MARVELL TECHNOLOGY GROUP LTD.</w:t>
      </w:r>
    </w:p>
    <w:p>
      <w:pPr>
        <w:spacing w:after="0" w:line="90"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NOTES TO UNAUDITED CONDENSED CONSOLIDATED FINANCIAL STATEMENTS—(Continued)</w:t>
      </w:r>
    </w:p>
    <w:p>
      <w:pPr>
        <w:spacing w:after="0" w:line="164" w:lineRule="exact"/>
        <w:rPr>
          <w:sz w:val="20"/>
          <w:szCs w:val="20"/>
          <w:color w:val="auto"/>
        </w:rPr>
      </w:pPr>
    </w:p>
    <w:p>
      <w:pPr>
        <w:ind w:right="20" w:firstLine="456"/>
        <w:spacing w:after="0" w:line="290" w:lineRule="auto"/>
        <w:rPr>
          <w:sz w:val="20"/>
          <w:szCs w:val="20"/>
          <w:color w:val="auto"/>
        </w:rPr>
      </w:pPr>
      <w:r>
        <w:rPr>
          <w:rFonts w:ascii="Arial" w:cs="Arial" w:eastAsia="Arial" w:hAnsi="Arial"/>
          <w:sz w:val="16"/>
          <w:szCs w:val="16"/>
          <w:i w:val="1"/>
          <w:iCs w:val="1"/>
          <w:color w:val="auto"/>
        </w:rPr>
        <w:t xml:space="preserve">PACid Patent Litigation. </w:t>
      </w:r>
      <w:r>
        <w:rPr>
          <w:rFonts w:ascii="Arial" w:cs="Arial" w:eastAsia="Arial" w:hAnsi="Arial"/>
          <w:sz w:val="16"/>
          <w:szCs w:val="16"/>
          <w:color w:val="auto"/>
        </w:rPr>
        <w:t>On March 30, 2009, The PACid Group, LLC filed a complaint in the United States District Court for the Eastern District of Texas,</w:t>
      </w:r>
      <w:r>
        <w:rPr>
          <w:rFonts w:ascii="Arial" w:cs="Arial" w:eastAsia="Arial" w:hAnsi="Arial"/>
          <w:sz w:val="16"/>
          <w:szCs w:val="16"/>
          <w:i w:val="1"/>
          <w:iCs w:val="1"/>
          <w:color w:val="auto"/>
        </w:rPr>
        <w:t xml:space="preserve"> </w:t>
      </w:r>
      <w:r>
        <w:rPr>
          <w:rFonts w:ascii="Arial" w:cs="Arial" w:eastAsia="Arial" w:hAnsi="Arial"/>
          <w:sz w:val="16"/>
          <w:szCs w:val="16"/>
          <w:color w:val="auto"/>
        </w:rPr>
        <w:t>case no. 6:09-cv-00143 LED, which named MSI, Marvell Technology, Inc. (“MTI”), Marvell Semiconductor, Ltd. (“MSL”), the Company and 15 other companies as defendants. The complaint alleged infringement of two patents purportedly relating to encryption: U.S. Patent Nos. 5,963,646 and 6,049,612. The complaint seeks unspecified damages and an injunction. On May 22, 2009, MSI filed its answer and counterclaims to the complaint. On June 1, 2009, MTI, MSL and the Company were dismissed without prejudice. MSI believes that it does not infringe any valid and enforceable claims of the asserted PACid patents and intends to contest this action vigorously. Because this action is in the early stages, the Company is unable to predict the outcome of this litigation at this time. The Court has scheduled a Markman hearing (to interpret the claims of the patents-in-suit) for March 25, 2010 and has scheduled trial for February 14, 2011.</w:t>
      </w:r>
    </w:p>
    <w:p>
      <w:pPr>
        <w:spacing w:after="0" w:line="118" w:lineRule="exact"/>
        <w:rPr>
          <w:sz w:val="20"/>
          <w:szCs w:val="20"/>
          <w:color w:val="auto"/>
        </w:rPr>
      </w:pPr>
    </w:p>
    <w:p>
      <w:pPr>
        <w:ind w:right="80" w:firstLine="456"/>
        <w:spacing w:after="0" w:line="294" w:lineRule="auto"/>
        <w:rPr>
          <w:sz w:val="20"/>
          <w:szCs w:val="20"/>
          <w:color w:val="auto"/>
        </w:rPr>
      </w:pPr>
      <w:r>
        <w:rPr>
          <w:rFonts w:ascii="Arial" w:cs="Arial" w:eastAsia="Arial" w:hAnsi="Arial"/>
          <w:sz w:val="16"/>
          <w:szCs w:val="16"/>
          <w:i w:val="1"/>
          <w:iCs w:val="1"/>
          <w:color w:val="auto"/>
        </w:rPr>
        <w:t>Xpoint Patent Litigation</w:t>
      </w:r>
      <w:r>
        <w:rPr>
          <w:rFonts w:ascii="Arial" w:cs="Arial" w:eastAsia="Arial" w:hAnsi="Arial"/>
          <w:sz w:val="16"/>
          <w:szCs w:val="16"/>
          <w:color w:val="auto"/>
        </w:rPr>
        <w:t>. On August 21, 2009, Xpoint Technologies, Inc. filed a complaint in the United States District of Delaware, which names the</w:t>
      </w:r>
      <w:r>
        <w:rPr>
          <w:rFonts w:ascii="Arial" w:cs="Arial" w:eastAsia="Arial" w:hAnsi="Arial"/>
          <w:sz w:val="16"/>
          <w:szCs w:val="16"/>
          <w:i w:val="1"/>
          <w:iCs w:val="1"/>
          <w:color w:val="auto"/>
        </w:rPr>
        <w:t xml:space="preserve"> </w:t>
      </w:r>
      <w:r>
        <w:rPr>
          <w:rFonts w:ascii="Arial" w:cs="Arial" w:eastAsia="Arial" w:hAnsi="Arial"/>
          <w:sz w:val="16"/>
          <w:szCs w:val="16"/>
          <w:color w:val="auto"/>
        </w:rPr>
        <w:t>Company, MSI and thirty-six other companies as defendants. The complaint alleged infringement of U.S. Patent No. 5,913,028 which purportedly relates to data traffic delivery. The complaint seeks unspecified damages and an injunction. On September 18, 2009 an amended complaint was filed. On October 28, 2009, the Company was dismissed from the lawsuit, although MSI remains a defendant. An answer to the complaint is due December 18, 2009. MSI intends to contest this action vigorously. Because this action is in the very early stages, the Company is unable to predict the outcome of this litigation at this time.</w:t>
      </w:r>
    </w:p>
    <w:p>
      <w:pPr>
        <w:spacing w:after="0" w:line="116" w:lineRule="exact"/>
        <w:rPr>
          <w:sz w:val="20"/>
          <w:szCs w:val="20"/>
          <w:color w:val="auto"/>
        </w:rPr>
      </w:pPr>
    </w:p>
    <w:p>
      <w:pPr>
        <w:ind w:firstLine="456"/>
        <w:spacing w:after="0" w:line="289" w:lineRule="auto"/>
        <w:rPr>
          <w:sz w:val="20"/>
          <w:szCs w:val="20"/>
          <w:color w:val="auto"/>
        </w:rPr>
      </w:pPr>
      <w:r>
        <w:rPr>
          <w:rFonts w:ascii="Arial" w:cs="Arial" w:eastAsia="Arial" w:hAnsi="Arial"/>
          <w:sz w:val="16"/>
          <w:szCs w:val="16"/>
          <w:i w:val="1"/>
          <w:iCs w:val="1"/>
          <w:color w:val="auto"/>
        </w:rPr>
        <w:t xml:space="preserve">General. </w:t>
      </w:r>
      <w:r>
        <w:rPr>
          <w:rFonts w:ascii="Arial" w:cs="Arial" w:eastAsia="Arial" w:hAnsi="Arial"/>
          <w:sz w:val="16"/>
          <w:szCs w:val="16"/>
          <w:color w:val="auto"/>
        </w:rPr>
        <w:t>The Company is also party to other legal proceedings and claims arising in the normal course of business. The legal proceedings and claims</w:t>
      </w:r>
      <w:r>
        <w:rPr>
          <w:rFonts w:ascii="Arial" w:cs="Arial" w:eastAsia="Arial" w:hAnsi="Arial"/>
          <w:sz w:val="16"/>
          <w:szCs w:val="16"/>
          <w:i w:val="1"/>
          <w:iCs w:val="1"/>
          <w:color w:val="auto"/>
        </w:rPr>
        <w:t xml:space="preserve"> </w:t>
      </w:r>
      <w:r>
        <w:rPr>
          <w:rFonts w:ascii="Arial" w:cs="Arial" w:eastAsia="Arial" w:hAnsi="Arial"/>
          <w:sz w:val="16"/>
          <w:szCs w:val="16"/>
          <w:color w:val="auto"/>
        </w:rPr>
        <w:t>described above could result in substantial costs and could divert the attention and resources of the Company’s management. Although the legal responsibility and financial impact with respect to these proceedings and claims cannot currently be ascertained, an unfavorable outcome in such actions could have a material adverse effect on the Company’s cash flows. Litigation is subject to inherent uncertainties and unfavorable rulings could occur. An unfavorable ruling in litigation could require the Company to pay damages or one-time license fees or royalty payments, which could adversely impact gross margins in future periods, or could prevent the Company from manufacturing or selling some of its products or limit or restrict the type of work that employees involved in such litigation may perform for the Company. There can be no assurance that these matters will be resolved in a manner that is not adverse to the Company’s business, financial condition, results of operations or cash flows.</w:t>
      </w:r>
    </w:p>
    <w:p>
      <w:pPr>
        <w:spacing w:after="0" w:line="193"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Note 10. Stock-Based Compensation</w:t>
      </w:r>
    </w:p>
    <w:p>
      <w:pPr>
        <w:spacing w:after="0" w:line="96" w:lineRule="exact"/>
        <w:rPr>
          <w:sz w:val="20"/>
          <w:szCs w:val="20"/>
          <w:color w:val="auto"/>
        </w:rPr>
      </w:pPr>
    </w:p>
    <w:p>
      <w:pPr>
        <w:ind w:left="460"/>
        <w:spacing w:after="0"/>
        <w:rPr>
          <w:sz w:val="20"/>
          <w:szCs w:val="20"/>
          <w:color w:val="auto"/>
        </w:rPr>
      </w:pPr>
      <w:r>
        <w:rPr>
          <w:rFonts w:ascii="Arial" w:cs="Arial" w:eastAsia="Arial" w:hAnsi="Arial"/>
          <w:sz w:val="18"/>
          <w:szCs w:val="18"/>
          <w:color w:val="auto"/>
        </w:rPr>
        <w:t>The following table presents details of stock-based compensation expenses by functional line item (in thousands):</w:t>
      </w:r>
    </w:p>
    <w:p>
      <w:pPr>
        <w:spacing w:after="0" w:line="207" w:lineRule="exact"/>
        <w:rPr>
          <w:sz w:val="20"/>
          <w:szCs w:val="20"/>
          <w:color w:val="auto"/>
        </w:rPr>
      </w:pPr>
    </w:p>
    <w:tbl>
      <w:tblPr>
        <w:tblLayout w:type="fixed"/>
        <w:tblInd w:w="460" w:type="dxa"/>
        <w:tblCellMar>
          <w:top w:w="0" w:type="dxa"/>
          <w:left w:w="0" w:type="dxa"/>
          <w:bottom w:w="0" w:type="dxa"/>
          <w:right w:w="0" w:type="dxa"/>
        </w:tblCellMar>
      </w:tblPr>
      <w:tr>
        <w:trPr>
          <w:trHeight w:val="161"/>
        </w:trPr>
        <w:tc>
          <w:tcPr>
            <w:tcW w:w="620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2260" w:type="dxa"/>
            <w:vAlign w:val="bottom"/>
            <w:gridSpan w:val="5"/>
          </w:tcPr>
          <w:p>
            <w:pPr>
              <w:ind w:left="200"/>
              <w:spacing w:after="0"/>
              <w:rPr>
                <w:sz w:val="20"/>
                <w:szCs w:val="20"/>
                <w:color w:val="auto"/>
              </w:rPr>
            </w:pPr>
            <w:r>
              <w:rPr>
                <w:rFonts w:ascii="Arial" w:cs="Arial" w:eastAsia="Arial" w:hAnsi="Arial"/>
                <w:sz w:val="14"/>
                <w:szCs w:val="14"/>
                <w:b w:val="1"/>
                <w:bCs w:val="1"/>
                <w:color w:val="auto"/>
              </w:rPr>
              <w:t>Three Months Ended</w:t>
            </w:r>
          </w:p>
        </w:tc>
        <w:tc>
          <w:tcPr>
            <w:tcW w:w="140" w:type="dxa"/>
            <w:vAlign w:val="bottom"/>
          </w:tcPr>
          <w:p>
            <w:pPr>
              <w:spacing w:after="0"/>
              <w:rPr>
                <w:sz w:val="14"/>
                <w:szCs w:val="14"/>
                <w:color w:val="auto"/>
              </w:rPr>
            </w:pPr>
          </w:p>
        </w:tc>
        <w:tc>
          <w:tcPr>
            <w:tcW w:w="1780" w:type="dxa"/>
            <w:vAlign w:val="bottom"/>
            <w:gridSpan w:val="5"/>
          </w:tcPr>
          <w:p>
            <w:pPr>
              <w:ind w:left="240"/>
              <w:spacing w:after="0"/>
              <w:rPr>
                <w:sz w:val="20"/>
                <w:szCs w:val="20"/>
                <w:color w:val="auto"/>
              </w:rPr>
            </w:pPr>
            <w:r>
              <w:rPr>
                <w:rFonts w:ascii="Arial" w:cs="Arial" w:eastAsia="Arial" w:hAnsi="Arial"/>
                <w:sz w:val="14"/>
                <w:szCs w:val="14"/>
                <w:b w:val="1"/>
                <w:bCs w:val="1"/>
                <w:color w:val="auto"/>
              </w:rPr>
              <w:t>Nine Months Ended</w:t>
            </w:r>
          </w:p>
        </w:tc>
        <w:tc>
          <w:tcPr>
            <w:tcW w:w="0" w:type="dxa"/>
            <w:vAlign w:val="bottom"/>
          </w:tcPr>
          <w:p>
            <w:pPr>
              <w:spacing w:after="0"/>
              <w:rPr>
                <w:sz w:val="1"/>
                <w:szCs w:val="1"/>
                <w:color w:val="auto"/>
              </w:rPr>
            </w:pPr>
          </w:p>
        </w:tc>
      </w:tr>
      <w:tr>
        <w:trPr>
          <w:trHeight w:val="129"/>
        </w:trPr>
        <w:tc>
          <w:tcPr>
            <w:tcW w:w="6200" w:type="dxa"/>
            <w:vAlign w:val="bottom"/>
          </w:tcPr>
          <w:p>
            <w:pPr>
              <w:spacing w:after="0"/>
              <w:rPr>
                <w:sz w:val="11"/>
                <w:szCs w:val="11"/>
                <w:color w:val="auto"/>
              </w:rPr>
            </w:pPr>
          </w:p>
        </w:tc>
        <w:tc>
          <w:tcPr>
            <w:tcW w:w="1160" w:type="dxa"/>
            <w:vAlign w:val="bottom"/>
            <w:tcBorders>
              <w:top w:val="single" w:sz="8" w:color="auto"/>
            </w:tcBorders>
            <w:gridSpan w:val="3"/>
          </w:tcPr>
          <w:p>
            <w:pPr>
              <w:spacing w:after="0" w:line="129" w:lineRule="exact"/>
              <w:rPr>
                <w:sz w:val="20"/>
                <w:szCs w:val="20"/>
                <w:color w:val="auto"/>
              </w:rPr>
            </w:pPr>
            <w:r>
              <w:rPr>
                <w:rFonts w:ascii="Arial" w:cs="Arial" w:eastAsia="Arial" w:hAnsi="Arial"/>
                <w:sz w:val="14"/>
                <w:szCs w:val="14"/>
                <w:b w:val="1"/>
                <w:bCs w:val="1"/>
                <w:color w:val="auto"/>
              </w:rPr>
              <w:t>October 31,</w:t>
            </w:r>
          </w:p>
        </w:tc>
        <w:tc>
          <w:tcPr>
            <w:tcW w:w="760" w:type="dxa"/>
            <w:vAlign w:val="bottom"/>
            <w:tcBorders>
              <w:top w:val="single" w:sz="8" w:color="auto"/>
            </w:tcBorders>
            <w:gridSpan w:val="2"/>
          </w:tcPr>
          <w:p>
            <w:pPr>
              <w:ind w:left="20"/>
              <w:spacing w:after="0" w:line="129" w:lineRule="exact"/>
              <w:rPr>
                <w:sz w:val="20"/>
                <w:szCs w:val="20"/>
                <w:color w:val="auto"/>
              </w:rPr>
            </w:pPr>
            <w:r>
              <w:rPr>
                <w:rFonts w:ascii="Arial" w:cs="Arial" w:eastAsia="Arial" w:hAnsi="Arial"/>
                <w:sz w:val="14"/>
                <w:szCs w:val="14"/>
                <w:b w:val="1"/>
                <w:bCs w:val="1"/>
                <w:color w:val="auto"/>
                <w:w w:val="85"/>
              </w:rPr>
              <w:t>November 1,</w:t>
            </w:r>
          </w:p>
        </w:tc>
        <w:tc>
          <w:tcPr>
            <w:tcW w:w="480" w:type="dxa"/>
            <w:vAlign w:val="bottom"/>
          </w:tcPr>
          <w:p>
            <w:pPr>
              <w:spacing w:after="0"/>
              <w:rPr>
                <w:sz w:val="11"/>
                <w:szCs w:val="11"/>
                <w:color w:val="auto"/>
              </w:rPr>
            </w:pPr>
          </w:p>
        </w:tc>
        <w:tc>
          <w:tcPr>
            <w:tcW w:w="680" w:type="dxa"/>
            <w:vAlign w:val="bottom"/>
            <w:tcBorders>
              <w:top w:val="single" w:sz="8" w:color="auto"/>
            </w:tcBorders>
            <w:gridSpan w:val="2"/>
          </w:tcPr>
          <w:p>
            <w:pPr>
              <w:spacing w:after="0" w:line="129" w:lineRule="exact"/>
              <w:rPr>
                <w:sz w:val="20"/>
                <w:szCs w:val="20"/>
                <w:color w:val="auto"/>
              </w:rPr>
            </w:pPr>
            <w:r>
              <w:rPr>
                <w:rFonts w:ascii="Arial" w:cs="Arial" w:eastAsia="Arial" w:hAnsi="Arial"/>
                <w:sz w:val="14"/>
                <w:szCs w:val="14"/>
                <w:b w:val="1"/>
                <w:bCs w:val="1"/>
                <w:color w:val="auto"/>
                <w:w w:val="85"/>
              </w:rPr>
              <w:t>October 31,</w:t>
            </w:r>
          </w:p>
        </w:tc>
        <w:tc>
          <w:tcPr>
            <w:tcW w:w="480" w:type="dxa"/>
            <w:vAlign w:val="bottom"/>
            <w:tcBorders>
              <w:top w:val="single" w:sz="8" w:color="auto"/>
            </w:tcBorders>
          </w:tcPr>
          <w:p>
            <w:pPr>
              <w:spacing w:after="0"/>
              <w:rPr>
                <w:sz w:val="11"/>
                <w:szCs w:val="11"/>
                <w:color w:val="auto"/>
              </w:rPr>
            </w:pPr>
          </w:p>
        </w:tc>
        <w:tc>
          <w:tcPr>
            <w:tcW w:w="740" w:type="dxa"/>
            <w:vAlign w:val="bottom"/>
            <w:tcBorders>
              <w:top w:val="single" w:sz="8" w:color="auto"/>
            </w:tcBorders>
            <w:gridSpan w:val="2"/>
          </w:tcPr>
          <w:p>
            <w:pPr>
              <w:spacing w:after="0" w:line="129" w:lineRule="exact"/>
              <w:rPr>
                <w:sz w:val="20"/>
                <w:szCs w:val="20"/>
                <w:color w:val="auto"/>
              </w:rPr>
            </w:pPr>
            <w:r>
              <w:rPr>
                <w:rFonts w:ascii="Arial" w:cs="Arial" w:eastAsia="Arial" w:hAnsi="Arial"/>
                <w:sz w:val="14"/>
                <w:szCs w:val="14"/>
                <w:b w:val="1"/>
                <w:bCs w:val="1"/>
                <w:color w:val="auto"/>
                <w:w w:val="85"/>
              </w:rPr>
              <w:t>November 1,</w:t>
            </w: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1"/>
        </w:trPr>
        <w:tc>
          <w:tcPr>
            <w:tcW w:w="6200" w:type="dxa"/>
            <w:vAlign w:val="bottom"/>
          </w:tcPr>
          <w:p>
            <w:pPr>
              <w:spacing w:after="0"/>
              <w:rPr>
                <w:sz w:val="14"/>
                <w:szCs w:val="14"/>
                <w:color w:val="auto"/>
              </w:rPr>
            </w:pPr>
          </w:p>
        </w:tc>
        <w:tc>
          <w:tcPr>
            <w:tcW w:w="140" w:type="dxa"/>
            <w:vAlign w:val="bottom"/>
            <w:tcBorders>
              <w:bottom w:val="single" w:sz="8" w:color="auto"/>
            </w:tcBorders>
          </w:tcPr>
          <w:p>
            <w:pPr>
              <w:spacing w:after="0"/>
              <w:rPr>
                <w:sz w:val="14"/>
                <w:szCs w:val="14"/>
                <w:color w:val="auto"/>
              </w:rPr>
            </w:pPr>
          </w:p>
        </w:tc>
        <w:tc>
          <w:tcPr>
            <w:tcW w:w="540" w:type="dxa"/>
            <w:vAlign w:val="bottom"/>
            <w:tcBorders>
              <w:bottom w:val="single" w:sz="8" w:color="auto"/>
            </w:tcBorders>
          </w:tcPr>
          <w:p>
            <w:pPr>
              <w:jc w:val="right"/>
              <w:ind w:right="118"/>
              <w:spacing w:after="0"/>
              <w:rPr>
                <w:sz w:val="20"/>
                <w:szCs w:val="20"/>
                <w:color w:val="auto"/>
              </w:rPr>
            </w:pPr>
            <w:r>
              <w:rPr>
                <w:rFonts w:ascii="Arial" w:cs="Arial" w:eastAsia="Arial" w:hAnsi="Arial"/>
                <w:sz w:val="14"/>
                <w:szCs w:val="14"/>
                <w:b w:val="1"/>
                <w:bCs w:val="1"/>
                <w:color w:val="auto"/>
              </w:rPr>
              <w:t>2009</w:t>
            </w:r>
          </w:p>
        </w:tc>
        <w:tc>
          <w:tcPr>
            <w:tcW w:w="480" w:type="dxa"/>
            <w:vAlign w:val="bottom"/>
          </w:tcPr>
          <w:p>
            <w:pPr>
              <w:spacing w:after="0"/>
              <w:rPr>
                <w:sz w:val="14"/>
                <w:szCs w:val="14"/>
                <w:color w:val="auto"/>
              </w:rPr>
            </w:pPr>
          </w:p>
        </w:tc>
        <w:tc>
          <w:tcPr>
            <w:tcW w:w="160" w:type="dxa"/>
            <w:vAlign w:val="bottom"/>
            <w:tcBorders>
              <w:bottom w:val="single" w:sz="8" w:color="auto"/>
            </w:tcBorders>
          </w:tcPr>
          <w:p>
            <w:pPr>
              <w:spacing w:after="0"/>
              <w:rPr>
                <w:sz w:val="14"/>
                <w:szCs w:val="14"/>
                <w:color w:val="auto"/>
              </w:rPr>
            </w:pPr>
          </w:p>
        </w:tc>
        <w:tc>
          <w:tcPr>
            <w:tcW w:w="600" w:type="dxa"/>
            <w:vAlign w:val="bottom"/>
            <w:tcBorders>
              <w:bottom w:val="single" w:sz="8" w:color="auto"/>
            </w:tcBorders>
          </w:tcPr>
          <w:p>
            <w:pPr>
              <w:jc w:val="right"/>
              <w:ind w:right="156"/>
              <w:spacing w:after="0"/>
              <w:rPr>
                <w:sz w:val="20"/>
                <w:szCs w:val="20"/>
                <w:color w:val="auto"/>
              </w:rPr>
            </w:pPr>
            <w:r>
              <w:rPr>
                <w:rFonts w:ascii="Arial" w:cs="Arial" w:eastAsia="Arial" w:hAnsi="Arial"/>
                <w:sz w:val="14"/>
                <w:szCs w:val="14"/>
                <w:b w:val="1"/>
                <w:bCs w:val="1"/>
                <w:color w:val="auto"/>
              </w:rPr>
              <w:t>2008</w:t>
            </w:r>
          </w:p>
        </w:tc>
        <w:tc>
          <w:tcPr>
            <w:tcW w:w="480" w:type="dxa"/>
            <w:vAlign w:val="bottom"/>
          </w:tcPr>
          <w:p>
            <w:pPr>
              <w:spacing w:after="0"/>
              <w:rPr>
                <w:sz w:val="14"/>
                <w:szCs w:val="14"/>
                <w:color w:val="auto"/>
              </w:rPr>
            </w:pPr>
          </w:p>
        </w:tc>
        <w:tc>
          <w:tcPr>
            <w:tcW w:w="140" w:type="dxa"/>
            <w:vAlign w:val="bottom"/>
            <w:tcBorders>
              <w:bottom w:val="single" w:sz="8" w:color="auto"/>
            </w:tcBorders>
          </w:tcPr>
          <w:p>
            <w:pPr>
              <w:spacing w:after="0"/>
              <w:rPr>
                <w:sz w:val="14"/>
                <w:szCs w:val="14"/>
                <w:color w:val="auto"/>
              </w:rPr>
            </w:pPr>
          </w:p>
        </w:tc>
        <w:tc>
          <w:tcPr>
            <w:tcW w:w="540" w:type="dxa"/>
            <w:vAlign w:val="bottom"/>
            <w:tcBorders>
              <w:bottom w:val="single" w:sz="8" w:color="auto"/>
            </w:tcBorders>
          </w:tcPr>
          <w:p>
            <w:pPr>
              <w:jc w:val="right"/>
              <w:ind w:right="138"/>
              <w:spacing w:after="0"/>
              <w:rPr>
                <w:sz w:val="20"/>
                <w:szCs w:val="20"/>
                <w:color w:val="auto"/>
              </w:rPr>
            </w:pPr>
            <w:r>
              <w:rPr>
                <w:rFonts w:ascii="Arial" w:cs="Arial" w:eastAsia="Arial" w:hAnsi="Arial"/>
                <w:sz w:val="14"/>
                <w:szCs w:val="14"/>
                <w:b w:val="1"/>
                <w:bCs w:val="1"/>
                <w:color w:val="auto"/>
                <w:w w:val="96"/>
              </w:rPr>
              <w:t>2009</w:t>
            </w:r>
          </w:p>
        </w:tc>
        <w:tc>
          <w:tcPr>
            <w:tcW w:w="480" w:type="dxa"/>
            <w:vAlign w:val="bottom"/>
          </w:tcPr>
          <w:p>
            <w:pPr>
              <w:spacing w:after="0"/>
              <w:rPr>
                <w:sz w:val="14"/>
                <w:szCs w:val="14"/>
                <w:color w:val="auto"/>
              </w:rPr>
            </w:pPr>
          </w:p>
        </w:tc>
        <w:tc>
          <w:tcPr>
            <w:tcW w:w="120" w:type="dxa"/>
            <w:vAlign w:val="bottom"/>
            <w:tcBorders>
              <w:bottom w:val="single" w:sz="8" w:color="auto"/>
            </w:tcBorders>
          </w:tcPr>
          <w:p>
            <w:pPr>
              <w:spacing w:after="0"/>
              <w:rPr>
                <w:sz w:val="14"/>
                <w:szCs w:val="14"/>
                <w:color w:val="auto"/>
              </w:rPr>
            </w:pPr>
          </w:p>
        </w:tc>
        <w:tc>
          <w:tcPr>
            <w:tcW w:w="620" w:type="dxa"/>
            <w:vAlign w:val="bottom"/>
            <w:tcBorders>
              <w:bottom w:val="single" w:sz="8" w:color="auto"/>
            </w:tcBorders>
          </w:tcPr>
          <w:p>
            <w:pPr>
              <w:jc w:val="right"/>
              <w:ind w:right="156"/>
              <w:spacing w:after="0"/>
              <w:rPr>
                <w:sz w:val="20"/>
                <w:szCs w:val="20"/>
                <w:color w:val="auto"/>
              </w:rPr>
            </w:pPr>
            <w:r>
              <w:rPr>
                <w:rFonts w:ascii="Arial" w:cs="Arial" w:eastAsia="Arial" w:hAnsi="Arial"/>
                <w:sz w:val="14"/>
                <w:szCs w:val="14"/>
                <w:b w:val="1"/>
                <w:bCs w:val="1"/>
                <w:color w:val="auto"/>
              </w:rPr>
              <w:t>2008</w:t>
            </w:r>
          </w:p>
        </w:tc>
        <w:tc>
          <w:tcPr>
            <w:tcW w:w="2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210"/>
        </w:trPr>
        <w:tc>
          <w:tcPr>
            <w:tcW w:w="6200" w:type="dxa"/>
            <w:vAlign w:val="bottom"/>
            <w:shd w:val="clear" w:color="auto" w:fill="CCEEFF"/>
          </w:tcPr>
          <w:p>
            <w:pPr>
              <w:spacing w:after="0"/>
              <w:rPr>
                <w:sz w:val="20"/>
                <w:szCs w:val="20"/>
                <w:color w:val="auto"/>
              </w:rPr>
            </w:pPr>
            <w:r>
              <w:rPr>
                <w:rFonts w:ascii="Arial" w:cs="Arial" w:eastAsia="Arial" w:hAnsi="Arial"/>
                <w:sz w:val="18"/>
                <w:szCs w:val="18"/>
                <w:color w:val="auto"/>
              </w:rPr>
              <w:t>Cost of goods sold</w:t>
            </w:r>
          </w:p>
        </w:tc>
        <w:tc>
          <w:tcPr>
            <w:tcW w:w="140" w:type="dxa"/>
            <w:vAlign w:val="bottom"/>
            <w:shd w:val="clear" w:color="auto" w:fill="CCEEFF"/>
          </w:tcPr>
          <w:p>
            <w:pPr>
              <w:spacing w:after="0"/>
              <w:rPr>
                <w:sz w:val="20"/>
                <w:szCs w:val="20"/>
                <w:color w:val="auto"/>
              </w:rPr>
            </w:pPr>
            <w:r>
              <w:rPr>
                <w:rFonts w:ascii="Arial" w:cs="Arial" w:eastAsia="Arial" w:hAnsi="Arial"/>
                <w:sz w:val="18"/>
                <w:szCs w:val="18"/>
                <w:color w:val="auto"/>
              </w:rPr>
              <w:t>$</w:t>
            </w:r>
          </w:p>
        </w:tc>
        <w:tc>
          <w:tcPr>
            <w:tcW w:w="1020" w:type="dxa"/>
            <w:vAlign w:val="bottom"/>
            <w:gridSpan w:val="2"/>
            <w:shd w:val="clear" w:color="auto" w:fill="CCEEFF"/>
          </w:tcPr>
          <w:p>
            <w:pPr>
              <w:jc w:val="right"/>
              <w:ind w:right="480"/>
              <w:spacing w:after="0"/>
              <w:rPr>
                <w:sz w:val="20"/>
                <w:szCs w:val="20"/>
                <w:color w:val="auto"/>
              </w:rPr>
            </w:pPr>
            <w:r>
              <w:rPr>
                <w:rFonts w:ascii="Arial" w:cs="Arial" w:eastAsia="Arial" w:hAnsi="Arial"/>
                <w:sz w:val="18"/>
                <w:szCs w:val="18"/>
                <w:color w:val="auto"/>
              </w:rPr>
              <w:t>2,389</w:t>
            </w:r>
          </w:p>
        </w:tc>
        <w:tc>
          <w:tcPr>
            <w:tcW w:w="160" w:type="dxa"/>
            <w:vAlign w:val="bottom"/>
            <w:shd w:val="clear" w:color="auto" w:fill="CCEEFF"/>
          </w:tcPr>
          <w:p>
            <w:pPr>
              <w:spacing w:after="0"/>
              <w:rPr>
                <w:sz w:val="20"/>
                <w:szCs w:val="20"/>
                <w:color w:val="auto"/>
              </w:rPr>
            </w:pPr>
            <w:r>
              <w:rPr>
                <w:rFonts w:ascii="Arial" w:cs="Arial" w:eastAsia="Arial" w:hAnsi="Arial"/>
                <w:sz w:val="18"/>
                <w:szCs w:val="18"/>
                <w:color w:val="auto"/>
              </w:rPr>
              <w:t>$</w:t>
            </w:r>
          </w:p>
        </w:tc>
        <w:tc>
          <w:tcPr>
            <w:tcW w:w="1080" w:type="dxa"/>
            <w:vAlign w:val="bottom"/>
            <w:gridSpan w:val="2"/>
            <w:shd w:val="clear" w:color="auto" w:fill="CCEEFF"/>
          </w:tcPr>
          <w:p>
            <w:pPr>
              <w:jc w:val="right"/>
              <w:ind w:right="480"/>
              <w:spacing w:after="0"/>
              <w:rPr>
                <w:sz w:val="20"/>
                <w:szCs w:val="20"/>
                <w:color w:val="auto"/>
              </w:rPr>
            </w:pPr>
            <w:r>
              <w:rPr>
                <w:rFonts w:ascii="Arial" w:cs="Arial" w:eastAsia="Arial" w:hAnsi="Arial"/>
                <w:sz w:val="18"/>
                <w:szCs w:val="18"/>
                <w:color w:val="auto"/>
              </w:rPr>
              <w:t>1,795</w:t>
            </w:r>
          </w:p>
        </w:tc>
        <w:tc>
          <w:tcPr>
            <w:tcW w:w="140" w:type="dxa"/>
            <w:vAlign w:val="bottom"/>
            <w:shd w:val="clear" w:color="auto" w:fill="CCEEFF"/>
          </w:tcPr>
          <w:p>
            <w:pPr>
              <w:spacing w:after="0"/>
              <w:rPr>
                <w:sz w:val="20"/>
                <w:szCs w:val="20"/>
                <w:color w:val="auto"/>
              </w:rPr>
            </w:pPr>
            <w:r>
              <w:rPr>
                <w:rFonts w:ascii="Arial" w:cs="Arial" w:eastAsia="Arial" w:hAnsi="Arial"/>
                <w:sz w:val="18"/>
                <w:szCs w:val="18"/>
                <w:color w:val="auto"/>
              </w:rPr>
              <w:t>$</w:t>
            </w:r>
          </w:p>
        </w:tc>
        <w:tc>
          <w:tcPr>
            <w:tcW w:w="5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8,315</w:t>
            </w:r>
          </w:p>
        </w:tc>
        <w:tc>
          <w:tcPr>
            <w:tcW w:w="600" w:type="dxa"/>
            <w:vAlign w:val="bottom"/>
            <w:gridSpan w:val="2"/>
            <w:shd w:val="clear" w:color="auto" w:fill="CCEEFF"/>
          </w:tcPr>
          <w:p>
            <w:pPr>
              <w:ind w:left="480"/>
              <w:spacing w:after="0"/>
              <w:rPr>
                <w:sz w:val="20"/>
                <w:szCs w:val="20"/>
                <w:color w:val="auto"/>
              </w:rPr>
            </w:pPr>
            <w:r>
              <w:rPr>
                <w:rFonts w:ascii="Arial" w:cs="Arial" w:eastAsia="Arial" w:hAnsi="Arial"/>
                <w:sz w:val="18"/>
                <w:szCs w:val="18"/>
                <w:color w:val="auto"/>
                <w:w w:val="99"/>
              </w:rPr>
              <w:t>$</w:t>
            </w:r>
          </w:p>
        </w:tc>
        <w:tc>
          <w:tcPr>
            <w:tcW w:w="6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8,623</w:t>
            </w: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6200" w:type="dxa"/>
            <w:vAlign w:val="bottom"/>
          </w:tcPr>
          <w:p>
            <w:pPr>
              <w:spacing w:after="0"/>
              <w:rPr>
                <w:sz w:val="20"/>
                <w:szCs w:val="20"/>
                <w:color w:val="auto"/>
              </w:rPr>
            </w:pPr>
            <w:r>
              <w:rPr>
                <w:rFonts w:ascii="Arial" w:cs="Arial" w:eastAsia="Arial" w:hAnsi="Arial"/>
                <w:sz w:val="18"/>
                <w:szCs w:val="18"/>
                <w:color w:val="auto"/>
              </w:rPr>
              <w:t>Research and development</w:t>
            </w:r>
          </w:p>
        </w:tc>
        <w:tc>
          <w:tcPr>
            <w:tcW w:w="140" w:type="dxa"/>
            <w:vAlign w:val="bottom"/>
          </w:tcPr>
          <w:p>
            <w:pPr>
              <w:spacing w:after="0"/>
              <w:rPr>
                <w:sz w:val="18"/>
                <w:szCs w:val="18"/>
                <w:color w:val="auto"/>
              </w:rPr>
            </w:pPr>
          </w:p>
        </w:tc>
        <w:tc>
          <w:tcPr>
            <w:tcW w:w="1020" w:type="dxa"/>
            <w:vAlign w:val="bottom"/>
            <w:gridSpan w:val="2"/>
          </w:tcPr>
          <w:p>
            <w:pPr>
              <w:jc w:val="right"/>
              <w:ind w:right="480"/>
              <w:spacing w:after="0"/>
              <w:rPr>
                <w:sz w:val="20"/>
                <w:szCs w:val="20"/>
                <w:color w:val="auto"/>
              </w:rPr>
            </w:pPr>
            <w:r>
              <w:rPr>
                <w:rFonts w:ascii="Arial" w:cs="Arial" w:eastAsia="Arial" w:hAnsi="Arial"/>
                <w:sz w:val="18"/>
                <w:szCs w:val="18"/>
                <w:color w:val="auto"/>
                <w:w w:val="94"/>
              </w:rPr>
              <w:t>24,134</w:t>
            </w:r>
          </w:p>
        </w:tc>
        <w:tc>
          <w:tcPr>
            <w:tcW w:w="160" w:type="dxa"/>
            <w:vAlign w:val="bottom"/>
          </w:tcPr>
          <w:p>
            <w:pPr>
              <w:spacing w:after="0"/>
              <w:rPr>
                <w:sz w:val="18"/>
                <w:szCs w:val="18"/>
                <w:color w:val="auto"/>
              </w:rPr>
            </w:pPr>
          </w:p>
        </w:tc>
        <w:tc>
          <w:tcPr>
            <w:tcW w:w="1080" w:type="dxa"/>
            <w:vAlign w:val="bottom"/>
            <w:gridSpan w:val="2"/>
          </w:tcPr>
          <w:p>
            <w:pPr>
              <w:jc w:val="right"/>
              <w:ind w:right="480"/>
              <w:spacing w:after="0"/>
              <w:rPr>
                <w:sz w:val="20"/>
                <w:szCs w:val="20"/>
                <w:color w:val="auto"/>
              </w:rPr>
            </w:pPr>
            <w:r>
              <w:rPr>
                <w:rFonts w:ascii="Arial" w:cs="Arial" w:eastAsia="Arial" w:hAnsi="Arial"/>
                <w:sz w:val="18"/>
                <w:szCs w:val="18"/>
                <w:color w:val="auto"/>
              </w:rPr>
              <w:t>30,607</w:t>
            </w:r>
          </w:p>
        </w:tc>
        <w:tc>
          <w:tcPr>
            <w:tcW w:w="140" w:type="dxa"/>
            <w:vAlign w:val="bottom"/>
          </w:tcPr>
          <w:p>
            <w:pPr>
              <w:spacing w:after="0"/>
              <w:rPr>
                <w:sz w:val="18"/>
                <w:szCs w:val="18"/>
                <w:color w:val="auto"/>
              </w:rPr>
            </w:pPr>
          </w:p>
        </w:tc>
        <w:tc>
          <w:tcPr>
            <w:tcW w:w="540" w:type="dxa"/>
            <w:vAlign w:val="bottom"/>
          </w:tcPr>
          <w:p>
            <w:pPr>
              <w:jc w:val="right"/>
              <w:spacing w:after="0"/>
              <w:rPr>
                <w:sz w:val="20"/>
                <w:szCs w:val="20"/>
                <w:color w:val="auto"/>
              </w:rPr>
            </w:pPr>
            <w:r>
              <w:rPr>
                <w:rFonts w:ascii="Arial" w:cs="Arial" w:eastAsia="Arial" w:hAnsi="Arial"/>
                <w:sz w:val="18"/>
                <w:szCs w:val="18"/>
                <w:color w:val="auto"/>
                <w:w w:val="94"/>
              </w:rPr>
              <w:t>68,064</w:t>
            </w:r>
          </w:p>
        </w:tc>
        <w:tc>
          <w:tcPr>
            <w:tcW w:w="48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620" w:type="dxa"/>
            <w:vAlign w:val="bottom"/>
          </w:tcPr>
          <w:p>
            <w:pPr>
              <w:jc w:val="right"/>
              <w:spacing w:after="0"/>
              <w:rPr>
                <w:sz w:val="20"/>
                <w:szCs w:val="20"/>
                <w:color w:val="auto"/>
              </w:rPr>
            </w:pPr>
            <w:r>
              <w:rPr>
                <w:rFonts w:ascii="Arial" w:cs="Arial" w:eastAsia="Arial" w:hAnsi="Arial"/>
                <w:sz w:val="18"/>
                <w:szCs w:val="18"/>
                <w:color w:val="auto"/>
              </w:rPr>
              <w:t>93,537</w:t>
            </w: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6200" w:type="dxa"/>
            <w:vAlign w:val="bottom"/>
            <w:shd w:val="clear" w:color="auto" w:fill="CCEEFF"/>
          </w:tcPr>
          <w:p>
            <w:pPr>
              <w:spacing w:after="0"/>
              <w:rPr>
                <w:sz w:val="20"/>
                <w:szCs w:val="20"/>
                <w:color w:val="auto"/>
              </w:rPr>
            </w:pPr>
            <w:r>
              <w:rPr>
                <w:rFonts w:ascii="Arial" w:cs="Arial" w:eastAsia="Arial" w:hAnsi="Arial"/>
                <w:sz w:val="18"/>
                <w:szCs w:val="18"/>
                <w:color w:val="auto"/>
              </w:rPr>
              <w:t>Selling and marketing</w:t>
            </w:r>
          </w:p>
        </w:tc>
        <w:tc>
          <w:tcPr>
            <w:tcW w:w="140" w:type="dxa"/>
            <w:vAlign w:val="bottom"/>
            <w:shd w:val="clear" w:color="auto" w:fill="CCEEFF"/>
          </w:tcPr>
          <w:p>
            <w:pPr>
              <w:spacing w:after="0"/>
              <w:rPr>
                <w:sz w:val="18"/>
                <w:szCs w:val="18"/>
                <w:color w:val="auto"/>
              </w:rPr>
            </w:pPr>
          </w:p>
        </w:tc>
        <w:tc>
          <w:tcPr>
            <w:tcW w:w="1020" w:type="dxa"/>
            <w:vAlign w:val="bottom"/>
            <w:gridSpan w:val="2"/>
            <w:shd w:val="clear" w:color="auto" w:fill="CCEEFF"/>
          </w:tcPr>
          <w:p>
            <w:pPr>
              <w:jc w:val="right"/>
              <w:ind w:right="480"/>
              <w:spacing w:after="0"/>
              <w:rPr>
                <w:sz w:val="20"/>
                <w:szCs w:val="20"/>
                <w:color w:val="auto"/>
              </w:rPr>
            </w:pPr>
            <w:r>
              <w:rPr>
                <w:rFonts w:ascii="Arial" w:cs="Arial" w:eastAsia="Arial" w:hAnsi="Arial"/>
                <w:sz w:val="18"/>
                <w:szCs w:val="18"/>
                <w:color w:val="auto"/>
              </w:rPr>
              <w:t>4,087</w:t>
            </w:r>
          </w:p>
        </w:tc>
        <w:tc>
          <w:tcPr>
            <w:tcW w:w="160" w:type="dxa"/>
            <w:vAlign w:val="bottom"/>
            <w:shd w:val="clear" w:color="auto" w:fill="CCEEFF"/>
          </w:tcPr>
          <w:p>
            <w:pPr>
              <w:spacing w:after="0"/>
              <w:rPr>
                <w:sz w:val="18"/>
                <w:szCs w:val="18"/>
                <w:color w:val="auto"/>
              </w:rPr>
            </w:pPr>
          </w:p>
        </w:tc>
        <w:tc>
          <w:tcPr>
            <w:tcW w:w="1080" w:type="dxa"/>
            <w:vAlign w:val="bottom"/>
            <w:gridSpan w:val="2"/>
            <w:shd w:val="clear" w:color="auto" w:fill="CCEEFF"/>
          </w:tcPr>
          <w:p>
            <w:pPr>
              <w:jc w:val="right"/>
              <w:ind w:right="480"/>
              <w:spacing w:after="0"/>
              <w:rPr>
                <w:sz w:val="20"/>
                <w:szCs w:val="20"/>
                <w:color w:val="auto"/>
              </w:rPr>
            </w:pPr>
            <w:r>
              <w:rPr>
                <w:rFonts w:ascii="Arial" w:cs="Arial" w:eastAsia="Arial" w:hAnsi="Arial"/>
                <w:sz w:val="18"/>
                <w:szCs w:val="18"/>
                <w:color w:val="auto"/>
              </w:rPr>
              <w:t>6,896</w:t>
            </w:r>
          </w:p>
        </w:tc>
        <w:tc>
          <w:tcPr>
            <w:tcW w:w="140" w:type="dxa"/>
            <w:vAlign w:val="bottom"/>
            <w:shd w:val="clear" w:color="auto" w:fill="CCEEFF"/>
          </w:tcPr>
          <w:p>
            <w:pPr>
              <w:spacing w:after="0"/>
              <w:rPr>
                <w:sz w:val="18"/>
                <w:szCs w:val="18"/>
                <w:color w:val="auto"/>
              </w:rPr>
            </w:pPr>
          </w:p>
        </w:tc>
        <w:tc>
          <w:tcPr>
            <w:tcW w:w="540" w:type="dxa"/>
            <w:vAlign w:val="bottom"/>
            <w:shd w:val="clear" w:color="auto" w:fill="CCEEFF"/>
          </w:tcPr>
          <w:p>
            <w:pPr>
              <w:jc w:val="right"/>
              <w:spacing w:after="0"/>
              <w:rPr>
                <w:sz w:val="20"/>
                <w:szCs w:val="20"/>
                <w:color w:val="auto"/>
              </w:rPr>
            </w:pPr>
            <w:r>
              <w:rPr>
                <w:rFonts w:ascii="Arial" w:cs="Arial" w:eastAsia="Arial" w:hAnsi="Arial"/>
                <w:sz w:val="18"/>
                <w:szCs w:val="18"/>
                <w:color w:val="auto"/>
                <w:w w:val="94"/>
              </w:rPr>
              <w:t>11,457</w:t>
            </w:r>
          </w:p>
        </w:tc>
        <w:tc>
          <w:tcPr>
            <w:tcW w:w="48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6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20,403</w:t>
            </w: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6200" w:type="dxa"/>
            <w:vAlign w:val="bottom"/>
          </w:tcPr>
          <w:p>
            <w:pPr>
              <w:spacing w:after="0"/>
              <w:rPr>
                <w:sz w:val="20"/>
                <w:szCs w:val="20"/>
                <w:color w:val="auto"/>
              </w:rPr>
            </w:pPr>
            <w:r>
              <w:rPr>
                <w:rFonts w:ascii="Arial" w:cs="Arial" w:eastAsia="Arial" w:hAnsi="Arial"/>
                <w:sz w:val="18"/>
                <w:szCs w:val="18"/>
                <w:color w:val="auto"/>
              </w:rPr>
              <w:t>General and administrative</w:t>
            </w:r>
          </w:p>
        </w:tc>
        <w:tc>
          <w:tcPr>
            <w:tcW w:w="140" w:type="dxa"/>
            <w:vAlign w:val="bottom"/>
          </w:tcPr>
          <w:p>
            <w:pPr>
              <w:spacing w:after="0"/>
              <w:rPr>
                <w:sz w:val="18"/>
                <w:szCs w:val="18"/>
                <w:color w:val="auto"/>
              </w:rPr>
            </w:pPr>
          </w:p>
        </w:tc>
        <w:tc>
          <w:tcPr>
            <w:tcW w:w="1020" w:type="dxa"/>
            <w:vAlign w:val="bottom"/>
            <w:gridSpan w:val="2"/>
          </w:tcPr>
          <w:p>
            <w:pPr>
              <w:jc w:val="right"/>
              <w:ind w:right="480"/>
              <w:spacing w:after="0"/>
              <w:rPr>
                <w:sz w:val="20"/>
                <w:szCs w:val="20"/>
                <w:color w:val="auto"/>
              </w:rPr>
            </w:pPr>
            <w:r>
              <w:rPr>
                <w:rFonts w:ascii="Arial" w:cs="Arial" w:eastAsia="Arial" w:hAnsi="Arial"/>
                <w:sz w:val="18"/>
                <w:szCs w:val="18"/>
                <w:color w:val="auto"/>
              </w:rPr>
              <w:t>3,767</w:t>
            </w:r>
          </w:p>
        </w:tc>
        <w:tc>
          <w:tcPr>
            <w:tcW w:w="160" w:type="dxa"/>
            <w:vAlign w:val="bottom"/>
          </w:tcPr>
          <w:p>
            <w:pPr>
              <w:spacing w:after="0"/>
              <w:rPr>
                <w:sz w:val="18"/>
                <w:szCs w:val="18"/>
                <w:color w:val="auto"/>
              </w:rPr>
            </w:pPr>
          </w:p>
        </w:tc>
        <w:tc>
          <w:tcPr>
            <w:tcW w:w="1080" w:type="dxa"/>
            <w:vAlign w:val="bottom"/>
            <w:gridSpan w:val="2"/>
          </w:tcPr>
          <w:p>
            <w:pPr>
              <w:jc w:val="right"/>
              <w:ind w:right="480"/>
              <w:spacing w:after="0"/>
              <w:rPr>
                <w:sz w:val="20"/>
                <w:szCs w:val="20"/>
                <w:color w:val="auto"/>
              </w:rPr>
            </w:pPr>
            <w:r>
              <w:rPr>
                <w:rFonts w:ascii="Arial" w:cs="Arial" w:eastAsia="Arial" w:hAnsi="Arial"/>
                <w:sz w:val="18"/>
                <w:szCs w:val="18"/>
                <w:color w:val="auto"/>
              </w:rPr>
              <w:t>280</w:t>
            </w:r>
          </w:p>
        </w:tc>
        <w:tc>
          <w:tcPr>
            <w:tcW w:w="140" w:type="dxa"/>
            <w:vAlign w:val="bottom"/>
          </w:tcPr>
          <w:p>
            <w:pPr>
              <w:spacing w:after="0"/>
              <w:rPr>
                <w:sz w:val="18"/>
                <w:szCs w:val="18"/>
                <w:color w:val="auto"/>
              </w:rPr>
            </w:pPr>
          </w:p>
        </w:tc>
        <w:tc>
          <w:tcPr>
            <w:tcW w:w="540" w:type="dxa"/>
            <w:vAlign w:val="bottom"/>
          </w:tcPr>
          <w:p>
            <w:pPr>
              <w:jc w:val="right"/>
              <w:spacing w:after="0"/>
              <w:rPr>
                <w:sz w:val="20"/>
                <w:szCs w:val="20"/>
                <w:color w:val="auto"/>
              </w:rPr>
            </w:pPr>
            <w:r>
              <w:rPr>
                <w:rFonts w:ascii="Arial" w:cs="Arial" w:eastAsia="Arial" w:hAnsi="Arial"/>
                <w:sz w:val="18"/>
                <w:szCs w:val="18"/>
                <w:color w:val="auto"/>
              </w:rPr>
              <w:t>8,204</w:t>
            </w:r>
          </w:p>
        </w:tc>
        <w:tc>
          <w:tcPr>
            <w:tcW w:w="48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620" w:type="dxa"/>
            <w:vAlign w:val="bottom"/>
          </w:tcPr>
          <w:p>
            <w:pPr>
              <w:jc w:val="right"/>
              <w:spacing w:after="0"/>
              <w:rPr>
                <w:sz w:val="20"/>
                <w:szCs w:val="20"/>
                <w:color w:val="auto"/>
              </w:rPr>
            </w:pPr>
            <w:r>
              <w:rPr>
                <w:rFonts w:ascii="Arial" w:cs="Arial" w:eastAsia="Arial" w:hAnsi="Arial"/>
                <w:sz w:val="18"/>
                <w:szCs w:val="18"/>
                <w:color w:val="auto"/>
              </w:rPr>
              <w:t>9,868</w:t>
            </w: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7"/>
        </w:trPr>
        <w:tc>
          <w:tcPr>
            <w:tcW w:w="6200" w:type="dxa"/>
            <w:vAlign w:val="bottom"/>
          </w:tcPr>
          <w:p>
            <w:pPr>
              <w:spacing w:after="0"/>
              <w:rPr>
                <w:sz w:val="2"/>
                <w:szCs w:val="2"/>
                <w:color w:val="auto"/>
              </w:rPr>
            </w:pPr>
          </w:p>
        </w:tc>
        <w:tc>
          <w:tcPr>
            <w:tcW w:w="140" w:type="dxa"/>
            <w:vAlign w:val="bottom"/>
            <w:shd w:val="clear" w:color="auto" w:fill="000000"/>
          </w:tcPr>
          <w:p>
            <w:pPr>
              <w:spacing w:after="0"/>
              <w:rPr>
                <w:sz w:val="2"/>
                <w:szCs w:val="2"/>
                <w:color w:val="auto"/>
              </w:rPr>
            </w:pPr>
          </w:p>
        </w:tc>
        <w:tc>
          <w:tcPr>
            <w:tcW w:w="540" w:type="dxa"/>
            <w:vAlign w:val="bottom"/>
            <w:shd w:val="clear" w:color="auto" w:fill="000000"/>
          </w:tcPr>
          <w:p>
            <w:pPr>
              <w:spacing w:after="0"/>
              <w:rPr>
                <w:sz w:val="2"/>
                <w:szCs w:val="2"/>
                <w:color w:val="auto"/>
              </w:rPr>
            </w:pPr>
          </w:p>
        </w:tc>
        <w:tc>
          <w:tcPr>
            <w:tcW w:w="480" w:type="dxa"/>
            <w:vAlign w:val="bottom"/>
          </w:tcPr>
          <w:p>
            <w:pPr>
              <w:spacing w:after="0"/>
              <w:rPr>
                <w:sz w:val="2"/>
                <w:szCs w:val="2"/>
                <w:color w:val="auto"/>
              </w:rPr>
            </w:pPr>
          </w:p>
        </w:tc>
        <w:tc>
          <w:tcPr>
            <w:tcW w:w="160" w:type="dxa"/>
            <w:vAlign w:val="bottom"/>
            <w:shd w:val="clear" w:color="auto" w:fill="000000"/>
          </w:tcPr>
          <w:p>
            <w:pPr>
              <w:spacing w:after="0"/>
              <w:rPr>
                <w:sz w:val="2"/>
                <w:szCs w:val="2"/>
                <w:color w:val="auto"/>
              </w:rPr>
            </w:pPr>
          </w:p>
        </w:tc>
        <w:tc>
          <w:tcPr>
            <w:tcW w:w="600" w:type="dxa"/>
            <w:vAlign w:val="bottom"/>
            <w:shd w:val="clear" w:color="auto" w:fill="000000"/>
          </w:tcPr>
          <w:p>
            <w:pPr>
              <w:spacing w:after="0"/>
              <w:rPr>
                <w:sz w:val="2"/>
                <w:szCs w:val="2"/>
                <w:color w:val="auto"/>
              </w:rPr>
            </w:pPr>
          </w:p>
        </w:tc>
        <w:tc>
          <w:tcPr>
            <w:tcW w:w="480" w:type="dxa"/>
            <w:vAlign w:val="bottom"/>
          </w:tcPr>
          <w:p>
            <w:pPr>
              <w:spacing w:after="0"/>
              <w:rPr>
                <w:sz w:val="2"/>
                <w:szCs w:val="2"/>
                <w:color w:val="auto"/>
              </w:rPr>
            </w:pPr>
          </w:p>
        </w:tc>
        <w:tc>
          <w:tcPr>
            <w:tcW w:w="140" w:type="dxa"/>
            <w:vAlign w:val="bottom"/>
            <w:shd w:val="clear" w:color="auto" w:fill="000000"/>
          </w:tcPr>
          <w:p>
            <w:pPr>
              <w:spacing w:after="0"/>
              <w:rPr>
                <w:sz w:val="2"/>
                <w:szCs w:val="2"/>
                <w:color w:val="auto"/>
              </w:rPr>
            </w:pPr>
          </w:p>
        </w:tc>
        <w:tc>
          <w:tcPr>
            <w:tcW w:w="540" w:type="dxa"/>
            <w:vAlign w:val="bottom"/>
            <w:shd w:val="clear" w:color="auto" w:fill="000000"/>
          </w:tcPr>
          <w:p>
            <w:pPr>
              <w:spacing w:after="0"/>
              <w:rPr>
                <w:sz w:val="2"/>
                <w:szCs w:val="2"/>
                <w:color w:val="auto"/>
              </w:rPr>
            </w:pPr>
          </w:p>
        </w:tc>
        <w:tc>
          <w:tcPr>
            <w:tcW w:w="480" w:type="dxa"/>
            <w:vAlign w:val="bottom"/>
          </w:tcPr>
          <w:p>
            <w:pPr>
              <w:spacing w:after="0"/>
              <w:rPr>
                <w:sz w:val="2"/>
                <w:szCs w:val="2"/>
                <w:color w:val="auto"/>
              </w:rPr>
            </w:pPr>
          </w:p>
        </w:tc>
        <w:tc>
          <w:tcPr>
            <w:tcW w:w="120" w:type="dxa"/>
            <w:vAlign w:val="bottom"/>
            <w:shd w:val="clear" w:color="auto" w:fill="000000"/>
          </w:tcPr>
          <w:p>
            <w:pPr>
              <w:spacing w:after="0"/>
              <w:rPr>
                <w:sz w:val="2"/>
                <w:szCs w:val="2"/>
                <w:color w:val="auto"/>
              </w:rPr>
            </w:pPr>
          </w:p>
        </w:tc>
        <w:tc>
          <w:tcPr>
            <w:tcW w:w="620" w:type="dxa"/>
            <w:vAlign w:val="bottom"/>
            <w:shd w:val="clear" w:color="auto" w:fill="000000"/>
          </w:tcPr>
          <w:p>
            <w:pPr>
              <w:spacing w:after="0"/>
              <w:rPr>
                <w:sz w:val="2"/>
                <w:szCs w:val="2"/>
                <w:color w:val="auto"/>
              </w:rPr>
            </w:pPr>
          </w:p>
        </w:tc>
        <w:tc>
          <w:tcPr>
            <w:tcW w:w="20" w:type="dxa"/>
            <w:vAlign w:val="bottom"/>
            <w:vMerge w:val="restart"/>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16"/>
        </w:trPr>
        <w:tc>
          <w:tcPr>
            <w:tcW w:w="620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20"/>
                <w:szCs w:val="20"/>
                <w:color w:val="auto"/>
              </w:rPr>
            </w:pPr>
            <w:r>
              <w:rPr>
                <w:rFonts w:ascii="Arial" w:cs="Arial" w:eastAsia="Arial" w:hAnsi="Arial"/>
                <w:sz w:val="18"/>
                <w:szCs w:val="18"/>
                <w:color w:val="auto"/>
              </w:rPr>
              <w:t>$</w:t>
            </w:r>
          </w:p>
        </w:tc>
        <w:tc>
          <w:tcPr>
            <w:tcW w:w="1020" w:type="dxa"/>
            <w:vAlign w:val="bottom"/>
            <w:gridSpan w:val="2"/>
            <w:shd w:val="clear" w:color="auto" w:fill="CCEEFF"/>
          </w:tcPr>
          <w:p>
            <w:pPr>
              <w:jc w:val="right"/>
              <w:ind w:right="480"/>
              <w:spacing w:after="0"/>
              <w:rPr>
                <w:sz w:val="20"/>
                <w:szCs w:val="20"/>
                <w:color w:val="auto"/>
              </w:rPr>
            </w:pPr>
            <w:r>
              <w:rPr>
                <w:rFonts w:ascii="Arial" w:cs="Arial" w:eastAsia="Arial" w:hAnsi="Arial"/>
                <w:sz w:val="18"/>
                <w:szCs w:val="18"/>
                <w:color w:val="auto"/>
                <w:w w:val="94"/>
              </w:rPr>
              <w:t>34,377</w:t>
            </w:r>
          </w:p>
        </w:tc>
        <w:tc>
          <w:tcPr>
            <w:tcW w:w="160" w:type="dxa"/>
            <w:vAlign w:val="bottom"/>
            <w:shd w:val="clear" w:color="auto" w:fill="CCEEFF"/>
          </w:tcPr>
          <w:p>
            <w:pPr>
              <w:spacing w:after="0"/>
              <w:rPr>
                <w:sz w:val="20"/>
                <w:szCs w:val="20"/>
                <w:color w:val="auto"/>
              </w:rPr>
            </w:pPr>
            <w:r>
              <w:rPr>
                <w:rFonts w:ascii="Arial" w:cs="Arial" w:eastAsia="Arial" w:hAnsi="Arial"/>
                <w:sz w:val="18"/>
                <w:szCs w:val="18"/>
                <w:color w:val="auto"/>
              </w:rPr>
              <w:t>$</w:t>
            </w:r>
          </w:p>
        </w:tc>
        <w:tc>
          <w:tcPr>
            <w:tcW w:w="1080" w:type="dxa"/>
            <w:vAlign w:val="bottom"/>
            <w:gridSpan w:val="2"/>
            <w:shd w:val="clear" w:color="auto" w:fill="CCEEFF"/>
          </w:tcPr>
          <w:p>
            <w:pPr>
              <w:jc w:val="right"/>
              <w:ind w:right="480"/>
              <w:spacing w:after="0"/>
              <w:rPr>
                <w:sz w:val="20"/>
                <w:szCs w:val="20"/>
                <w:color w:val="auto"/>
              </w:rPr>
            </w:pPr>
            <w:r>
              <w:rPr>
                <w:rFonts w:ascii="Arial" w:cs="Arial" w:eastAsia="Arial" w:hAnsi="Arial"/>
                <w:sz w:val="18"/>
                <w:szCs w:val="18"/>
                <w:color w:val="auto"/>
              </w:rPr>
              <w:t>39,578</w:t>
            </w:r>
          </w:p>
        </w:tc>
        <w:tc>
          <w:tcPr>
            <w:tcW w:w="140" w:type="dxa"/>
            <w:vAlign w:val="bottom"/>
            <w:shd w:val="clear" w:color="auto" w:fill="CCEEFF"/>
          </w:tcPr>
          <w:p>
            <w:pPr>
              <w:spacing w:after="0"/>
              <w:rPr>
                <w:sz w:val="20"/>
                <w:szCs w:val="20"/>
                <w:color w:val="auto"/>
              </w:rPr>
            </w:pPr>
            <w:r>
              <w:rPr>
                <w:rFonts w:ascii="Arial" w:cs="Arial" w:eastAsia="Arial" w:hAnsi="Arial"/>
                <w:sz w:val="18"/>
                <w:szCs w:val="18"/>
                <w:color w:val="auto"/>
              </w:rPr>
              <w:t>$</w:t>
            </w:r>
          </w:p>
        </w:tc>
        <w:tc>
          <w:tcPr>
            <w:tcW w:w="540" w:type="dxa"/>
            <w:vAlign w:val="bottom"/>
            <w:shd w:val="clear" w:color="auto" w:fill="CCEEFF"/>
          </w:tcPr>
          <w:p>
            <w:pPr>
              <w:jc w:val="right"/>
              <w:spacing w:after="0"/>
              <w:rPr>
                <w:sz w:val="20"/>
                <w:szCs w:val="20"/>
                <w:color w:val="auto"/>
              </w:rPr>
            </w:pPr>
            <w:r>
              <w:rPr>
                <w:rFonts w:ascii="Arial" w:cs="Arial" w:eastAsia="Arial" w:hAnsi="Arial"/>
                <w:sz w:val="18"/>
                <w:szCs w:val="18"/>
                <w:color w:val="auto"/>
                <w:w w:val="94"/>
              </w:rPr>
              <w:t>96,040</w:t>
            </w:r>
          </w:p>
        </w:tc>
        <w:tc>
          <w:tcPr>
            <w:tcW w:w="600" w:type="dxa"/>
            <w:vAlign w:val="bottom"/>
            <w:gridSpan w:val="2"/>
            <w:shd w:val="clear" w:color="auto" w:fill="CCEEFF"/>
          </w:tcPr>
          <w:p>
            <w:pPr>
              <w:ind w:left="480"/>
              <w:spacing w:after="0"/>
              <w:rPr>
                <w:sz w:val="20"/>
                <w:szCs w:val="20"/>
                <w:color w:val="auto"/>
              </w:rPr>
            </w:pPr>
            <w:r>
              <w:rPr>
                <w:rFonts w:ascii="Arial" w:cs="Arial" w:eastAsia="Arial" w:hAnsi="Arial"/>
                <w:sz w:val="18"/>
                <w:szCs w:val="18"/>
                <w:color w:val="auto"/>
                <w:w w:val="99"/>
              </w:rPr>
              <w:t>$</w:t>
            </w:r>
          </w:p>
        </w:tc>
        <w:tc>
          <w:tcPr>
            <w:tcW w:w="620" w:type="dxa"/>
            <w:vAlign w:val="bottom"/>
            <w:shd w:val="clear" w:color="auto" w:fill="CCEEFF"/>
          </w:tcPr>
          <w:p>
            <w:pPr>
              <w:jc w:val="right"/>
              <w:spacing w:after="0"/>
              <w:rPr>
                <w:sz w:val="20"/>
                <w:szCs w:val="20"/>
                <w:color w:val="auto"/>
              </w:rPr>
            </w:pPr>
            <w:r>
              <w:rPr>
                <w:rFonts w:ascii="Arial" w:cs="Arial" w:eastAsia="Arial" w:hAnsi="Arial"/>
                <w:sz w:val="18"/>
                <w:szCs w:val="18"/>
                <w:color w:val="auto"/>
                <w:w w:val="92"/>
              </w:rPr>
              <w:t>132,431</w:t>
            </w:r>
          </w:p>
        </w:tc>
        <w:tc>
          <w:tcPr>
            <w:tcW w:w="20" w:type="dxa"/>
            <w:vAlign w:val="bottom"/>
            <w:vMerge w:val="continue"/>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6200" w:type="dxa"/>
            <w:vAlign w:val="bottom"/>
          </w:tcPr>
          <w:p>
            <w:pPr>
              <w:spacing w:after="0" w:line="20" w:lineRule="exact"/>
              <w:rPr>
                <w:sz w:val="1"/>
                <w:szCs w:val="1"/>
                <w:color w:val="auto"/>
              </w:rPr>
            </w:pPr>
          </w:p>
        </w:tc>
        <w:tc>
          <w:tcPr>
            <w:tcW w:w="140" w:type="dxa"/>
            <w:vAlign w:val="bottom"/>
            <w:tcBorders>
              <w:top w:val="single" w:sz="8" w:color="auto"/>
              <w:bottom w:val="single" w:sz="8" w:color="auto"/>
            </w:tcBorders>
          </w:tcPr>
          <w:p>
            <w:pPr>
              <w:spacing w:after="0" w:line="20" w:lineRule="exact"/>
              <w:rPr>
                <w:sz w:val="1"/>
                <w:szCs w:val="1"/>
                <w:color w:val="auto"/>
              </w:rPr>
            </w:pPr>
          </w:p>
        </w:tc>
        <w:tc>
          <w:tcPr>
            <w:tcW w:w="540" w:type="dxa"/>
            <w:vAlign w:val="bottom"/>
            <w:tcBorders>
              <w:top w:val="single" w:sz="8" w:color="auto"/>
              <w:bottom w:val="single" w:sz="8" w:color="auto"/>
            </w:tcBorders>
          </w:tcPr>
          <w:p>
            <w:pPr>
              <w:spacing w:after="0" w:line="20" w:lineRule="exact"/>
              <w:rPr>
                <w:sz w:val="1"/>
                <w:szCs w:val="1"/>
                <w:color w:val="auto"/>
              </w:rPr>
            </w:pPr>
          </w:p>
        </w:tc>
        <w:tc>
          <w:tcPr>
            <w:tcW w:w="480" w:type="dxa"/>
            <w:vAlign w:val="bottom"/>
          </w:tcPr>
          <w:p>
            <w:pPr>
              <w:spacing w:after="0" w:line="20" w:lineRule="exact"/>
              <w:rPr>
                <w:sz w:val="1"/>
                <w:szCs w:val="1"/>
                <w:color w:val="auto"/>
              </w:rPr>
            </w:pPr>
          </w:p>
        </w:tc>
        <w:tc>
          <w:tcPr>
            <w:tcW w:w="160" w:type="dxa"/>
            <w:vAlign w:val="bottom"/>
            <w:tcBorders>
              <w:top w:val="single" w:sz="8" w:color="auto"/>
              <w:bottom w:val="single" w:sz="8" w:color="auto"/>
            </w:tcBorders>
          </w:tcPr>
          <w:p>
            <w:pPr>
              <w:spacing w:after="0" w:line="20" w:lineRule="exact"/>
              <w:rPr>
                <w:sz w:val="1"/>
                <w:szCs w:val="1"/>
                <w:color w:val="auto"/>
              </w:rPr>
            </w:pPr>
          </w:p>
        </w:tc>
        <w:tc>
          <w:tcPr>
            <w:tcW w:w="600" w:type="dxa"/>
            <w:vAlign w:val="bottom"/>
            <w:tcBorders>
              <w:top w:val="single" w:sz="8" w:color="auto"/>
              <w:bottom w:val="single" w:sz="8" w:color="auto"/>
            </w:tcBorders>
          </w:tcPr>
          <w:p>
            <w:pPr>
              <w:spacing w:after="0" w:line="20" w:lineRule="exact"/>
              <w:rPr>
                <w:sz w:val="1"/>
                <w:szCs w:val="1"/>
                <w:color w:val="auto"/>
              </w:rPr>
            </w:pPr>
          </w:p>
        </w:tc>
        <w:tc>
          <w:tcPr>
            <w:tcW w:w="480" w:type="dxa"/>
            <w:vAlign w:val="bottom"/>
          </w:tcPr>
          <w:p>
            <w:pPr>
              <w:spacing w:after="0" w:line="20" w:lineRule="exact"/>
              <w:rPr>
                <w:sz w:val="1"/>
                <w:szCs w:val="1"/>
                <w:color w:val="auto"/>
              </w:rPr>
            </w:pPr>
          </w:p>
        </w:tc>
        <w:tc>
          <w:tcPr>
            <w:tcW w:w="140" w:type="dxa"/>
            <w:vAlign w:val="bottom"/>
            <w:tcBorders>
              <w:top w:val="single" w:sz="8" w:color="auto"/>
              <w:bottom w:val="single" w:sz="8" w:color="auto"/>
            </w:tcBorders>
          </w:tcPr>
          <w:p>
            <w:pPr>
              <w:spacing w:after="0" w:line="20" w:lineRule="exact"/>
              <w:rPr>
                <w:sz w:val="1"/>
                <w:szCs w:val="1"/>
                <w:color w:val="auto"/>
              </w:rPr>
            </w:pPr>
          </w:p>
        </w:tc>
        <w:tc>
          <w:tcPr>
            <w:tcW w:w="540" w:type="dxa"/>
            <w:vAlign w:val="bottom"/>
            <w:tcBorders>
              <w:top w:val="single" w:sz="8" w:color="auto"/>
              <w:bottom w:val="single" w:sz="8" w:color="auto"/>
            </w:tcBorders>
          </w:tcPr>
          <w:p>
            <w:pPr>
              <w:spacing w:after="0" w:line="20" w:lineRule="exact"/>
              <w:rPr>
                <w:sz w:val="1"/>
                <w:szCs w:val="1"/>
                <w:color w:val="auto"/>
              </w:rPr>
            </w:pPr>
          </w:p>
        </w:tc>
        <w:tc>
          <w:tcPr>
            <w:tcW w:w="480" w:type="dxa"/>
            <w:vAlign w:val="bottom"/>
          </w:tcPr>
          <w:p>
            <w:pPr>
              <w:spacing w:after="0" w:line="20" w:lineRule="exact"/>
              <w:rPr>
                <w:sz w:val="1"/>
                <w:szCs w:val="1"/>
                <w:color w:val="auto"/>
              </w:rPr>
            </w:pPr>
          </w:p>
        </w:tc>
        <w:tc>
          <w:tcPr>
            <w:tcW w:w="120" w:type="dxa"/>
            <w:vAlign w:val="bottom"/>
            <w:tcBorders>
              <w:top w:val="single" w:sz="8" w:color="auto"/>
              <w:bottom w:val="single" w:sz="8" w:color="auto"/>
            </w:tcBorders>
          </w:tcPr>
          <w:p>
            <w:pPr>
              <w:spacing w:after="0" w:line="20" w:lineRule="exact"/>
              <w:rPr>
                <w:sz w:val="1"/>
                <w:szCs w:val="1"/>
                <w:color w:val="auto"/>
              </w:rPr>
            </w:pPr>
          </w:p>
        </w:tc>
        <w:tc>
          <w:tcPr>
            <w:tcW w:w="620" w:type="dxa"/>
            <w:vAlign w:val="bottom"/>
            <w:tcBorders>
              <w:top w:val="single" w:sz="8" w:color="auto"/>
              <w:bottom w:val="single" w:sz="8" w:color="auto"/>
            </w:tcBorders>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167" w:lineRule="exact"/>
        <w:rPr>
          <w:sz w:val="20"/>
          <w:szCs w:val="20"/>
          <w:color w:val="auto"/>
        </w:rPr>
      </w:pPr>
    </w:p>
    <w:p>
      <w:pPr>
        <w:ind w:left="460"/>
        <w:spacing w:after="0"/>
        <w:rPr>
          <w:sz w:val="20"/>
          <w:szCs w:val="20"/>
          <w:color w:val="auto"/>
        </w:rPr>
      </w:pPr>
      <w:r>
        <w:rPr>
          <w:rFonts w:ascii="Arial" w:cs="Arial" w:eastAsia="Arial" w:hAnsi="Arial"/>
          <w:sz w:val="16"/>
          <w:szCs w:val="16"/>
          <w:color w:val="auto"/>
        </w:rPr>
        <w:t>Stock-based compensation of $1.8 million and $3.6 million was capitalized in inventory as of October 31, 2009 and January 31, 2009, respectively.</w:t>
      </w:r>
    </w:p>
    <w:p>
      <w:pPr>
        <w:spacing w:after="0" w:line="194" w:lineRule="exact"/>
        <w:rPr>
          <w:sz w:val="20"/>
          <w:szCs w:val="20"/>
          <w:color w:val="auto"/>
        </w:rPr>
      </w:pPr>
    </w:p>
    <w:p>
      <w:pPr>
        <w:ind w:right="400" w:firstLine="456"/>
        <w:spacing w:after="0" w:line="268" w:lineRule="auto"/>
        <w:rPr>
          <w:sz w:val="20"/>
          <w:szCs w:val="20"/>
          <w:color w:val="auto"/>
        </w:rPr>
      </w:pPr>
      <w:r>
        <w:rPr>
          <w:rFonts w:ascii="Arial" w:cs="Arial" w:eastAsia="Arial" w:hAnsi="Arial"/>
          <w:sz w:val="18"/>
          <w:szCs w:val="18"/>
          <w:color w:val="auto"/>
        </w:rPr>
        <w:t>The following assumptions were used for each respective period to calculate the weighted average fair value of each option award on the date of grant using the Black-Scholes option pricing model:</w:t>
      </w:r>
    </w:p>
    <w:p>
      <w:pPr>
        <w:spacing w:after="0" w:line="168" w:lineRule="exact"/>
        <w:rPr>
          <w:sz w:val="20"/>
          <w:szCs w:val="20"/>
          <w:color w:val="auto"/>
        </w:rPr>
      </w:pPr>
    </w:p>
    <w:tbl>
      <w:tblPr>
        <w:tblLayout w:type="fixed"/>
        <w:tblInd w:w="460" w:type="dxa"/>
        <w:tblCellMar>
          <w:top w:w="0" w:type="dxa"/>
          <w:left w:w="0" w:type="dxa"/>
          <w:bottom w:w="0" w:type="dxa"/>
          <w:right w:w="0" w:type="dxa"/>
        </w:tblCellMar>
      </w:tblPr>
      <w:tr>
        <w:trPr>
          <w:trHeight w:val="161"/>
        </w:trPr>
        <w:tc>
          <w:tcPr>
            <w:tcW w:w="3500" w:type="dxa"/>
            <w:vAlign w:val="bottom"/>
          </w:tcPr>
          <w:p>
            <w:pPr>
              <w:spacing w:after="0"/>
              <w:rPr>
                <w:sz w:val="14"/>
                <w:szCs w:val="14"/>
                <w:color w:val="auto"/>
              </w:rPr>
            </w:pPr>
          </w:p>
        </w:tc>
        <w:tc>
          <w:tcPr>
            <w:tcW w:w="152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1540" w:type="dxa"/>
            <w:vAlign w:val="bottom"/>
            <w:gridSpan w:val="3"/>
          </w:tcPr>
          <w:p>
            <w:pPr>
              <w:ind w:left="420"/>
              <w:spacing w:after="0"/>
              <w:rPr>
                <w:sz w:val="20"/>
                <w:szCs w:val="20"/>
                <w:color w:val="auto"/>
              </w:rPr>
            </w:pPr>
            <w:r>
              <w:rPr>
                <w:rFonts w:ascii="Arial" w:cs="Arial" w:eastAsia="Arial" w:hAnsi="Arial"/>
                <w:sz w:val="14"/>
                <w:szCs w:val="14"/>
                <w:b w:val="1"/>
                <w:bCs w:val="1"/>
                <w:color w:val="auto"/>
                <w:w w:val="85"/>
              </w:rPr>
              <w:t>Stock Option Plans</w:t>
            </w:r>
          </w:p>
        </w:tc>
        <w:tc>
          <w:tcPr>
            <w:tcW w:w="520" w:type="dxa"/>
            <w:vAlign w:val="bottom"/>
          </w:tcPr>
          <w:p>
            <w:pPr>
              <w:spacing w:after="0"/>
              <w:rPr>
                <w:sz w:val="14"/>
                <w:szCs w:val="14"/>
                <w:color w:val="auto"/>
              </w:rPr>
            </w:pPr>
          </w:p>
        </w:tc>
        <w:tc>
          <w:tcPr>
            <w:tcW w:w="780" w:type="dxa"/>
            <w:vAlign w:val="bottom"/>
          </w:tcPr>
          <w:p>
            <w:pPr>
              <w:spacing w:after="0"/>
              <w:rPr>
                <w:sz w:val="14"/>
                <w:szCs w:val="14"/>
                <w:color w:val="auto"/>
              </w:rPr>
            </w:pPr>
          </w:p>
        </w:tc>
        <w:tc>
          <w:tcPr>
            <w:tcW w:w="160" w:type="dxa"/>
            <w:vAlign w:val="bottom"/>
          </w:tcPr>
          <w:p>
            <w:pPr>
              <w:spacing w:after="0"/>
              <w:rPr>
                <w:sz w:val="14"/>
                <w:szCs w:val="14"/>
                <w:color w:val="auto"/>
              </w:rPr>
            </w:pPr>
          </w:p>
        </w:tc>
        <w:tc>
          <w:tcPr>
            <w:tcW w:w="2360" w:type="dxa"/>
            <w:vAlign w:val="bottom"/>
            <w:gridSpan w:val="5"/>
          </w:tcPr>
          <w:p>
            <w:pPr>
              <w:jc w:val="center"/>
              <w:ind w:right="360"/>
              <w:spacing w:after="0"/>
              <w:rPr>
                <w:sz w:val="20"/>
                <w:szCs w:val="20"/>
                <w:color w:val="auto"/>
              </w:rPr>
            </w:pPr>
            <w:r>
              <w:rPr>
                <w:rFonts w:ascii="Arial" w:cs="Arial" w:eastAsia="Arial" w:hAnsi="Arial"/>
                <w:sz w:val="14"/>
                <w:szCs w:val="14"/>
                <w:b w:val="1"/>
                <w:bCs w:val="1"/>
                <w:color w:val="auto"/>
                <w:w w:val="86"/>
              </w:rPr>
              <w:t>Employee Stock Purchase Plan</w:t>
            </w:r>
          </w:p>
        </w:tc>
      </w:tr>
      <w:tr>
        <w:trPr>
          <w:trHeight w:val="142"/>
        </w:trPr>
        <w:tc>
          <w:tcPr>
            <w:tcW w:w="3500" w:type="dxa"/>
            <w:vAlign w:val="bottom"/>
          </w:tcPr>
          <w:p>
            <w:pPr>
              <w:spacing w:after="0"/>
              <w:rPr>
                <w:sz w:val="12"/>
                <w:szCs w:val="12"/>
                <w:color w:val="auto"/>
              </w:rPr>
            </w:pPr>
          </w:p>
        </w:tc>
        <w:tc>
          <w:tcPr>
            <w:tcW w:w="1520" w:type="dxa"/>
            <w:vAlign w:val="bottom"/>
          </w:tcPr>
          <w:p>
            <w:pPr>
              <w:spacing w:after="0"/>
              <w:rPr>
                <w:sz w:val="12"/>
                <w:szCs w:val="12"/>
                <w:color w:val="auto"/>
              </w:rPr>
            </w:pPr>
          </w:p>
        </w:tc>
        <w:tc>
          <w:tcPr>
            <w:tcW w:w="120" w:type="dxa"/>
            <w:vAlign w:val="bottom"/>
            <w:tcBorders>
              <w:top w:val="single" w:sz="8" w:color="auto"/>
              <w:bottom w:val="single" w:sz="8" w:color="auto"/>
            </w:tcBorders>
          </w:tcPr>
          <w:p>
            <w:pPr>
              <w:spacing w:after="0"/>
              <w:rPr>
                <w:sz w:val="12"/>
                <w:szCs w:val="12"/>
                <w:color w:val="auto"/>
              </w:rPr>
            </w:pPr>
          </w:p>
        </w:tc>
        <w:tc>
          <w:tcPr>
            <w:tcW w:w="2060" w:type="dxa"/>
            <w:vAlign w:val="bottom"/>
            <w:tcBorders>
              <w:top w:val="single" w:sz="8" w:color="auto"/>
              <w:bottom w:val="single" w:sz="8" w:color="auto"/>
            </w:tcBorders>
            <w:gridSpan w:val="4"/>
          </w:tcPr>
          <w:p>
            <w:pPr>
              <w:jc w:val="right"/>
              <w:ind w:right="396"/>
              <w:spacing w:after="0" w:line="142" w:lineRule="exact"/>
              <w:rPr>
                <w:sz w:val="20"/>
                <w:szCs w:val="20"/>
                <w:color w:val="auto"/>
              </w:rPr>
            </w:pPr>
            <w:r>
              <w:rPr>
                <w:rFonts w:ascii="Arial" w:cs="Arial" w:eastAsia="Arial" w:hAnsi="Arial"/>
                <w:sz w:val="14"/>
                <w:szCs w:val="14"/>
                <w:b w:val="1"/>
                <w:bCs w:val="1"/>
                <w:color w:val="auto"/>
              </w:rPr>
              <w:t>Three Months Ended</w:t>
            </w:r>
          </w:p>
        </w:tc>
        <w:tc>
          <w:tcPr>
            <w:tcW w:w="780" w:type="dxa"/>
            <w:vAlign w:val="bottom"/>
          </w:tcPr>
          <w:p>
            <w:pPr>
              <w:spacing w:after="0"/>
              <w:rPr>
                <w:sz w:val="12"/>
                <w:szCs w:val="12"/>
                <w:color w:val="auto"/>
              </w:rPr>
            </w:pPr>
          </w:p>
        </w:tc>
        <w:tc>
          <w:tcPr>
            <w:tcW w:w="160" w:type="dxa"/>
            <w:vAlign w:val="bottom"/>
            <w:tcBorders>
              <w:top w:val="single" w:sz="8" w:color="auto"/>
              <w:bottom w:val="single" w:sz="8" w:color="auto"/>
            </w:tcBorders>
          </w:tcPr>
          <w:p>
            <w:pPr>
              <w:spacing w:after="0"/>
              <w:rPr>
                <w:sz w:val="12"/>
                <w:szCs w:val="12"/>
                <w:color w:val="auto"/>
              </w:rPr>
            </w:pPr>
          </w:p>
        </w:tc>
        <w:tc>
          <w:tcPr>
            <w:tcW w:w="1620" w:type="dxa"/>
            <w:vAlign w:val="bottom"/>
            <w:tcBorders>
              <w:top w:val="single" w:sz="8" w:color="auto"/>
              <w:bottom w:val="single" w:sz="8" w:color="auto"/>
            </w:tcBorders>
            <w:gridSpan w:val="3"/>
          </w:tcPr>
          <w:p>
            <w:pPr>
              <w:jc w:val="center"/>
              <w:ind w:left="300"/>
              <w:spacing w:after="0" w:line="142" w:lineRule="exact"/>
              <w:rPr>
                <w:sz w:val="20"/>
                <w:szCs w:val="20"/>
                <w:color w:val="auto"/>
              </w:rPr>
            </w:pPr>
            <w:r>
              <w:rPr>
                <w:rFonts w:ascii="Arial" w:cs="Arial" w:eastAsia="Arial" w:hAnsi="Arial"/>
                <w:sz w:val="14"/>
                <w:szCs w:val="14"/>
                <w:b w:val="1"/>
                <w:bCs w:val="1"/>
                <w:color w:val="auto"/>
                <w:w w:val="89"/>
              </w:rPr>
              <w:t>Three Months Ended</w:t>
            </w:r>
          </w:p>
        </w:tc>
        <w:tc>
          <w:tcPr>
            <w:tcW w:w="540" w:type="dxa"/>
            <w:vAlign w:val="bottom"/>
            <w:tcBorders>
              <w:top w:val="single" w:sz="8" w:color="auto"/>
              <w:bottom w:val="single" w:sz="8" w:color="auto"/>
            </w:tcBorders>
          </w:tcPr>
          <w:p>
            <w:pPr>
              <w:spacing w:after="0"/>
              <w:rPr>
                <w:sz w:val="12"/>
                <w:szCs w:val="12"/>
                <w:color w:val="auto"/>
              </w:rPr>
            </w:pPr>
          </w:p>
        </w:tc>
        <w:tc>
          <w:tcPr>
            <w:tcW w:w="200" w:type="dxa"/>
            <w:vAlign w:val="bottom"/>
          </w:tcPr>
          <w:p>
            <w:pPr>
              <w:spacing w:after="0"/>
              <w:rPr>
                <w:sz w:val="12"/>
                <w:szCs w:val="12"/>
                <w:color w:val="auto"/>
              </w:rPr>
            </w:pPr>
          </w:p>
        </w:tc>
      </w:tr>
      <w:tr>
        <w:trPr>
          <w:trHeight w:val="129"/>
        </w:trPr>
        <w:tc>
          <w:tcPr>
            <w:tcW w:w="3500" w:type="dxa"/>
            <w:vAlign w:val="bottom"/>
          </w:tcPr>
          <w:p>
            <w:pPr>
              <w:spacing w:after="0"/>
              <w:rPr>
                <w:sz w:val="11"/>
                <w:szCs w:val="11"/>
                <w:color w:val="auto"/>
              </w:rPr>
            </w:pPr>
          </w:p>
        </w:tc>
        <w:tc>
          <w:tcPr>
            <w:tcW w:w="1520" w:type="dxa"/>
            <w:vAlign w:val="bottom"/>
          </w:tcPr>
          <w:p>
            <w:pPr>
              <w:spacing w:after="0"/>
              <w:rPr>
                <w:sz w:val="11"/>
                <w:szCs w:val="11"/>
                <w:color w:val="auto"/>
              </w:rPr>
            </w:pPr>
          </w:p>
        </w:tc>
        <w:tc>
          <w:tcPr>
            <w:tcW w:w="1440" w:type="dxa"/>
            <w:vAlign w:val="bottom"/>
            <w:gridSpan w:val="3"/>
          </w:tcPr>
          <w:p>
            <w:pPr>
              <w:spacing w:after="0" w:line="129" w:lineRule="exact"/>
              <w:rPr>
                <w:sz w:val="20"/>
                <w:szCs w:val="20"/>
                <w:color w:val="auto"/>
              </w:rPr>
            </w:pPr>
            <w:r>
              <w:rPr>
                <w:rFonts w:ascii="Arial" w:cs="Arial" w:eastAsia="Arial" w:hAnsi="Arial"/>
                <w:sz w:val="14"/>
                <w:szCs w:val="14"/>
                <w:b w:val="1"/>
                <w:bCs w:val="1"/>
                <w:color w:val="auto"/>
              </w:rPr>
              <w:t>October 31,</w:t>
            </w:r>
          </w:p>
        </w:tc>
        <w:tc>
          <w:tcPr>
            <w:tcW w:w="740" w:type="dxa"/>
            <w:vAlign w:val="bottom"/>
            <w:gridSpan w:val="2"/>
          </w:tcPr>
          <w:p>
            <w:pPr>
              <w:spacing w:after="0" w:line="129" w:lineRule="exact"/>
              <w:rPr>
                <w:sz w:val="20"/>
                <w:szCs w:val="20"/>
                <w:color w:val="auto"/>
              </w:rPr>
            </w:pPr>
            <w:r>
              <w:rPr>
                <w:rFonts w:ascii="Arial" w:cs="Arial" w:eastAsia="Arial" w:hAnsi="Arial"/>
                <w:sz w:val="14"/>
                <w:szCs w:val="14"/>
                <w:b w:val="1"/>
                <w:bCs w:val="1"/>
                <w:color w:val="auto"/>
                <w:w w:val="85"/>
              </w:rPr>
              <w:t>November 1,</w:t>
            </w:r>
          </w:p>
        </w:tc>
        <w:tc>
          <w:tcPr>
            <w:tcW w:w="780" w:type="dxa"/>
            <w:vAlign w:val="bottom"/>
          </w:tcPr>
          <w:p>
            <w:pPr>
              <w:spacing w:after="0"/>
              <w:rPr>
                <w:sz w:val="11"/>
                <w:szCs w:val="11"/>
                <w:color w:val="auto"/>
              </w:rPr>
            </w:pPr>
          </w:p>
        </w:tc>
        <w:tc>
          <w:tcPr>
            <w:tcW w:w="1500" w:type="dxa"/>
            <w:vAlign w:val="bottom"/>
            <w:gridSpan w:val="3"/>
          </w:tcPr>
          <w:p>
            <w:pPr>
              <w:ind w:left="20"/>
              <w:spacing w:after="0" w:line="129" w:lineRule="exact"/>
              <w:rPr>
                <w:sz w:val="20"/>
                <w:szCs w:val="20"/>
                <w:color w:val="auto"/>
              </w:rPr>
            </w:pPr>
            <w:r>
              <w:rPr>
                <w:rFonts w:ascii="Arial" w:cs="Arial" w:eastAsia="Arial" w:hAnsi="Arial"/>
                <w:sz w:val="14"/>
                <w:szCs w:val="14"/>
                <w:b w:val="1"/>
                <w:bCs w:val="1"/>
                <w:color w:val="auto"/>
              </w:rPr>
              <w:t>October 31,</w:t>
            </w:r>
          </w:p>
        </w:tc>
        <w:tc>
          <w:tcPr>
            <w:tcW w:w="820" w:type="dxa"/>
            <w:vAlign w:val="bottom"/>
            <w:gridSpan w:val="2"/>
          </w:tcPr>
          <w:p>
            <w:pPr>
              <w:jc w:val="right"/>
              <w:spacing w:after="0" w:line="129" w:lineRule="exact"/>
              <w:rPr>
                <w:sz w:val="20"/>
                <w:szCs w:val="20"/>
                <w:color w:val="auto"/>
              </w:rPr>
            </w:pPr>
            <w:r>
              <w:rPr>
                <w:rFonts w:ascii="Arial" w:cs="Arial" w:eastAsia="Arial" w:hAnsi="Arial"/>
                <w:sz w:val="14"/>
                <w:szCs w:val="14"/>
                <w:b w:val="1"/>
                <w:bCs w:val="1"/>
                <w:color w:val="auto"/>
                <w:w w:val="90"/>
              </w:rPr>
              <w:t>November 1,</w:t>
            </w:r>
          </w:p>
        </w:tc>
        <w:tc>
          <w:tcPr>
            <w:tcW w:w="200" w:type="dxa"/>
            <w:vAlign w:val="bottom"/>
          </w:tcPr>
          <w:p>
            <w:pPr>
              <w:spacing w:after="0"/>
              <w:rPr>
                <w:sz w:val="11"/>
                <w:szCs w:val="11"/>
                <w:color w:val="auto"/>
              </w:rPr>
            </w:pPr>
          </w:p>
        </w:tc>
      </w:tr>
      <w:tr>
        <w:trPr>
          <w:trHeight w:val="161"/>
        </w:trPr>
        <w:tc>
          <w:tcPr>
            <w:tcW w:w="3500" w:type="dxa"/>
            <w:vAlign w:val="bottom"/>
          </w:tcPr>
          <w:p>
            <w:pPr>
              <w:spacing w:after="0"/>
              <w:rPr>
                <w:sz w:val="14"/>
                <w:szCs w:val="14"/>
                <w:color w:val="auto"/>
              </w:rPr>
            </w:pPr>
          </w:p>
        </w:tc>
        <w:tc>
          <w:tcPr>
            <w:tcW w:w="1520" w:type="dxa"/>
            <w:vAlign w:val="bottom"/>
          </w:tcPr>
          <w:p>
            <w:pPr>
              <w:spacing w:after="0"/>
              <w:rPr>
                <w:sz w:val="14"/>
                <w:szCs w:val="14"/>
                <w:color w:val="auto"/>
              </w:rPr>
            </w:pPr>
          </w:p>
        </w:tc>
        <w:tc>
          <w:tcPr>
            <w:tcW w:w="120" w:type="dxa"/>
            <w:vAlign w:val="bottom"/>
            <w:tcBorders>
              <w:bottom w:val="single" w:sz="8" w:color="auto"/>
            </w:tcBorders>
          </w:tcPr>
          <w:p>
            <w:pPr>
              <w:spacing w:after="0"/>
              <w:rPr>
                <w:sz w:val="14"/>
                <w:szCs w:val="14"/>
                <w:color w:val="auto"/>
              </w:rPr>
            </w:pPr>
          </w:p>
        </w:tc>
        <w:tc>
          <w:tcPr>
            <w:tcW w:w="560" w:type="dxa"/>
            <w:vAlign w:val="bottom"/>
            <w:tcBorders>
              <w:bottom w:val="single" w:sz="8" w:color="auto"/>
            </w:tcBorders>
          </w:tcPr>
          <w:p>
            <w:pPr>
              <w:jc w:val="right"/>
              <w:ind w:right="119"/>
              <w:spacing w:after="0"/>
              <w:rPr>
                <w:sz w:val="20"/>
                <w:szCs w:val="20"/>
                <w:color w:val="auto"/>
              </w:rPr>
            </w:pPr>
            <w:r>
              <w:rPr>
                <w:rFonts w:ascii="Arial" w:cs="Arial" w:eastAsia="Arial" w:hAnsi="Arial"/>
                <w:sz w:val="14"/>
                <w:szCs w:val="14"/>
                <w:b w:val="1"/>
                <w:bCs w:val="1"/>
                <w:color w:val="auto"/>
              </w:rPr>
              <w:t>2009</w:t>
            </w:r>
          </w:p>
        </w:tc>
        <w:tc>
          <w:tcPr>
            <w:tcW w:w="760" w:type="dxa"/>
            <w:vAlign w:val="bottom"/>
          </w:tcPr>
          <w:p>
            <w:pPr>
              <w:spacing w:after="0"/>
              <w:rPr>
                <w:sz w:val="14"/>
                <w:szCs w:val="14"/>
                <w:color w:val="auto"/>
              </w:rPr>
            </w:pPr>
          </w:p>
        </w:tc>
        <w:tc>
          <w:tcPr>
            <w:tcW w:w="220" w:type="dxa"/>
            <w:vAlign w:val="bottom"/>
            <w:tcBorders>
              <w:bottom w:val="single" w:sz="8" w:color="auto"/>
            </w:tcBorders>
          </w:tcPr>
          <w:p>
            <w:pPr>
              <w:spacing w:after="0"/>
              <w:rPr>
                <w:sz w:val="14"/>
                <w:szCs w:val="14"/>
                <w:color w:val="auto"/>
              </w:rPr>
            </w:pPr>
          </w:p>
        </w:tc>
        <w:tc>
          <w:tcPr>
            <w:tcW w:w="520" w:type="dxa"/>
            <w:vAlign w:val="bottom"/>
            <w:tcBorders>
              <w:bottom w:val="single" w:sz="8" w:color="auto"/>
            </w:tcBorders>
          </w:tcPr>
          <w:p>
            <w:pPr>
              <w:jc w:val="right"/>
              <w:ind w:right="156"/>
              <w:spacing w:after="0"/>
              <w:rPr>
                <w:sz w:val="20"/>
                <w:szCs w:val="20"/>
                <w:color w:val="auto"/>
              </w:rPr>
            </w:pPr>
            <w:r>
              <w:rPr>
                <w:rFonts w:ascii="Arial" w:cs="Arial" w:eastAsia="Arial" w:hAnsi="Arial"/>
                <w:sz w:val="14"/>
                <w:szCs w:val="14"/>
                <w:b w:val="1"/>
                <w:bCs w:val="1"/>
                <w:color w:val="auto"/>
                <w:w w:val="83"/>
              </w:rPr>
              <w:t>2008</w:t>
            </w:r>
          </w:p>
        </w:tc>
        <w:tc>
          <w:tcPr>
            <w:tcW w:w="780" w:type="dxa"/>
            <w:vAlign w:val="bottom"/>
          </w:tcPr>
          <w:p>
            <w:pPr>
              <w:spacing w:after="0"/>
              <w:rPr>
                <w:sz w:val="14"/>
                <w:szCs w:val="14"/>
                <w:color w:val="auto"/>
              </w:rPr>
            </w:pPr>
          </w:p>
        </w:tc>
        <w:tc>
          <w:tcPr>
            <w:tcW w:w="160" w:type="dxa"/>
            <w:vAlign w:val="bottom"/>
            <w:tcBorders>
              <w:bottom w:val="single" w:sz="8" w:color="auto"/>
            </w:tcBorders>
          </w:tcPr>
          <w:p>
            <w:pPr>
              <w:spacing w:after="0"/>
              <w:rPr>
                <w:sz w:val="14"/>
                <w:szCs w:val="14"/>
                <w:color w:val="auto"/>
              </w:rPr>
            </w:pPr>
          </w:p>
        </w:tc>
        <w:tc>
          <w:tcPr>
            <w:tcW w:w="560" w:type="dxa"/>
            <w:vAlign w:val="bottom"/>
            <w:tcBorders>
              <w:bottom w:val="single" w:sz="8" w:color="auto"/>
            </w:tcBorders>
          </w:tcPr>
          <w:p>
            <w:pPr>
              <w:jc w:val="right"/>
              <w:ind w:right="160"/>
              <w:spacing w:after="0"/>
              <w:rPr>
                <w:sz w:val="20"/>
                <w:szCs w:val="20"/>
                <w:color w:val="auto"/>
              </w:rPr>
            </w:pPr>
            <w:r>
              <w:rPr>
                <w:rFonts w:ascii="Arial" w:cs="Arial" w:eastAsia="Arial" w:hAnsi="Arial"/>
                <w:sz w:val="14"/>
                <w:szCs w:val="14"/>
                <w:b w:val="1"/>
                <w:bCs w:val="1"/>
                <w:color w:val="auto"/>
                <w:w w:val="96"/>
              </w:rPr>
              <w:t>2009</w:t>
            </w:r>
          </w:p>
        </w:tc>
        <w:tc>
          <w:tcPr>
            <w:tcW w:w="780" w:type="dxa"/>
            <w:vAlign w:val="bottom"/>
          </w:tcPr>
          <w:p>
            <w:pPr>
              <w:spacing w:after="0"/>
              <w:rPr>
                <w:sz w:val="14"/>
                <w:szCs w:val="14"/>
                <w:color w:val="auto"/>
              </w:rPr>
            </w:pPr>
          </w:p>
        </w:tc>
        <w:tc>
          <w:tcPr>
            <w:tcW w:w="280" w:type="dxa"/>
            <w:vAlign w:val="bottom"/>
            <w:tcBorders>
              <w:bottom w:val="single" w:sz="8" w:color="auto"/>
            </w:tcBorders>
          </w:tcPr>
          <w:p>
            <w:pPr>
              <w:spacing w:after="0"/>
              <w:rPr>
                <w:sz w:val="14"/>
                <w:szCs w:val="14"/>
                <w:color w:val="auto"/>
              </w:rPr>
            </w:pPr>
          </w:p>
        </w:tc>
        <w:tc>
          <w:tcPr>
            <w:tcW w:w="540" w:type="dxa"/>
            <w:vAlign w:val="bottom"/>
            <w:tcBorders>
              <w:bottom w:val="single" w:sz="8" w:color="auto"/>
            </w:tcBorders>
          </w:tcPr>
          <w:p>
            <w:pPr>
              <w:jc w:val="right"/>
              <w:ind w:right="196"/>
              <w:spacing w:after="0"/>
              <w:rPr>
                <w:sz w:val="20"/>
                <w:szCs w:val="20"/>
                <w:color w:val="auto"/>
              </w:rPr>
            </w:pPr>
            <w:r>
              <w:rPr>
                <w:rFonts w:ascii="Arial" w:cs="Arial" w:eastAsia="Arial" w:hAnsi="Arial"/>
                <w:sz w:val="14"/>
                <w:szCs w:val="14"/>
                <w:b w:val="1"/>
                <w:bCs w:val="1"/>
                <w:color w:val="auto"/>
                <w:w w:val="76"/>
              </w:rPr>
              <w:t>2008</w:t>
            </w:r>
          </w:p>
        </w:tc>
        <w:tc>
          <w:tcPr>
            <w:tcW w:w="200" w:type="dxa"/>
            <w:vAlign w:val="bottom"/>
          </w:tcPr>
          <w:p>
            <w:pPr>
              <w:spacing w:after="0"/>
              <w:rPr>
                <w:sz w:val="14"/>
                <w:szCs w:val="14"/>
                <w:color w:val="auto"/>
              </w:rPr>
            </w:pPr>
          </w:p>
        </w:tc>
      </w:tr>
      <w:tr>
        <w:trPr>
          <w:trHeight w:val="210"/>
        </w:trPr>
        <w:tc>
          <w:tcPr>
            <w:tcW w:w="3500" w:type="dxa"/>
            <w:vAlign w:val="bottom"/>
            <w:shd w:val="clear" w:color="auto" w:fill="CCEEFF"/>
          </w:tcPr>
          <w:p>
            <w:pPr>
              <w:spacing w:after="0"/>
              <w:rPr>
                <w:sz w:val="20"/>
                <w:szCs w:val="20"/>
                <w:color w:val="auto"/>
              </w:rPr>
            </w:pPr>
            <w:r>
              <w:rPr>
                <w:rFonts w:ascii="Arial" w:cs="Arial" w:eastAsia="Arial" w:hAnsi="Arial"/>
                <w:sz w:val="18"/>
                <w:szCs w:val="18"/>
                <w:color w:val="auto"/>
              </w:rPr>
              <w:t>Volatility</w:t>
            </w:r>
          </w:p>
        </w:tc>
        <w:tc>
          <w:tcPr>
            <w:tcW w:w="152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1320" w:type="dxa"/>
            <w:vAlign w:val="bottom"/>
            <w:gridSpan w:val="2"/>
            <w:shd w:val="clear" w:color="auto" w:fill="CCEEFF"/>
          </w:tcPr>
          <w:p>
            <w:pPr>
              <w:jc w:val="right"/>
              <w:ind w:right="620"/>
              <w:spacing w:after="0"/>
              <w:rPr>
                <w:sz w:val="20"/>
                <w:szCs w:val="20"/>
                <w:color w:val="auto"/>
              </w:rPr>
            </w:pPr>
            <w:r>
              <w:rPr>
                <w:rFonts w:ascii="Arial" w:cs="Arial" w:eastAsia="Arial" w:hAnsi="Arial"/>
                <w:sz w:val="18"/>
                <w:szCs w:val="18"/>
                <w:color w:val="auto"/>
              </w:rPr>
              <w:t>53%</w:t>
            </w:r>
          </w:p>
        </w:tc>
        <w:tc>
          <w:tcPr>
            <w:tcW w:w="220" w:type="dxa"/>
            <w:vAlign w:val="bottom"/>
            <w:shd w:val="clear" w:color="auto" w:fill="CCEEFF"/>
          </w:tcPr>
          <w:p>
            <w:pPr>
              <w:spacing w:after="0"/>
              <w:rPr>
                <w:sz w:val="18"/>
                <w:szCs w:val="18"/>
                <w:color w:val="auto"/>
              </w:rPr>
            </w:pPr>
          </w:p>
        </w:tc>
        <w:tc>
          <w:tcPr>
            <w:tcW w:w="1300" w:type="dxa"/>
            <w:vAlign w:val="bottom"/>
            <w:gridSpan w:val="2"/>
            <w:shd w:val="clear" w:color="auto" w:fill="CCEEFF"/>
          </w:tcPr>
          <w:p>
            <w:pPr>
              <w:jc w:val="right"/>
              <w:ind w:right="620"/>
              <w:spacing w:after="0"/>
              <w:rPr>
                <w:sz w:val="20"/>
                <w:szCs w:val="20"/>
                <w:color w:val="auto"/>
              </w:rPr>
            </w:pPr>
            <w:r>
              <w:rPr>
                <w:rFonts w:ascii="Arial" w:cs="Arial" w:eastAsia="Arial" w:hAnsi="Arial"/>
                <w:sz w:val="18"/>
                <w:szCs w:val="18"/>
                <w:color w:val="auto"/>
              </w:rPr>
              <w:t>44%</w:t>
            </w:r>
          </w:p>
        </w:tc>
        <w:tc>
          <w:tcPr>
            <w:tcW w:w="160" w:type="dxa"/>
            <w:vAlign w:val="bottom"/>
            <w:shd w:val="clear" w:color="auto" w:fill="CCEEFF"/>
          </w:tcPr>
          <w:p>
            <w:pPr>
              <w:spacing w:after="0"/>
              <w:rPr>
                <w:sz w:val="18"/>
                <w:szCs w:val="18"/>
                <w:color w:val="auto"/>
              </w:rPr>
            </w:pPr>
          </w:p>
        </w:tc>
        <w:tc>
          <w:tcPr>
            <w:tcW w:w="1340" w:type="dxa"/>
            <w:vAlign w:val="bottom"/>
            <w:gridSpan w:val="2"/>
            <w:shd w:val="clear" w:color="auto" w:fill="CCEEFF"/>
          </w:tcPr>
          <w:p>
            <w:pPr>
              <w:jc w:val="right"/>
              <w:ind w:right="640"/>
              <w:spacing w:after="0"/>
              <w:rPr>
                <w:sz w:val="20"/>
                <w:szCs w:val="20"/>
                <w:color w:val="auto"/>
              </w:rPr>
            </w:pPr>
            <w:r>
              <w:rPr>
                <w:rFonts w:ascii="Arial" w:cs="Arial" w:eastAsia="Arial" w:hAnsi="Arial"/>
                <w:sz w:val="18"/>
                <w:szCs w:val="18"/>
                <w:color w:val="auto"/>
              </w:rPr>
              <w:t>51%</w:t>
            </w:r>
          </w:p>
        </w:tc>
        <w:tc>
          <w:tcPr>
            <w:tcW w:w="280" w:type="dxa"/>
            <w:vAlign w:val="bottom"/>
            <w:shd w:val="clear" w:color="auto" w:fill="CCEEFF"/>
          </w:tcPr>
          <w:p>
            <w:pPr>
              <w:spacing w:after="0"/>
              <w:rPr>
                <w:sz w:val="18"/>
                <w:szCs w:val="18"/>
                <w:color w:val="auto"/>
              </w:rPr>
            </w:pPr>
          </w:p>
        </w:tc>
        <w:tc>
          <w:tcPr>
            <w:tcW w:w="74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45%</w:t>
            </w:r>
          </w:p>
        </w:tc>
      </w:tr>
      <w:tr>
        <w:trPr>
          <w:trHeight w:val="216"/>
        </w:trPr>
        <w:tc>
          <w:tcPr>
            <w:tcW w:w="3500" w:type="dxa"/>
            <w:vAlign w:val="bottom"/>
          </w:tcPr>
          <w:p>
            <w:pPr>
              <w:spacing w:after="0"/>
              <w:rPr>
                <w:sz w:val="20"/>
                <w:szCs w:val="20"/>
                <w:color w:val="auto"/>
              </w:rPr>
            </w:pPr>
            <w:r>
              <w:rPr>
                <w:rFonts w:ascii="Arial" w:cs="Arial" w:eastAsia="Arial" w:hAnsi="Arial"/>
                <w:sz w:val="18"/>
                <w:szCs w:val="18"/>
                <w:color w:val="auto"/>
              </w:rPr>
              <w:t>Expected life (in years)</w:t>
            </w:r>
          </w:p>
        </w:tc>
        <w:tc>
          <w:tcPr>
            <w:tcW w:w="152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1320" w:type="dxa"/>
            <w:vAlign w:val="bottom"/>
            <w:gridSpan w:val="2"/>
          </w:tcPr>
          <w:p>
            <w:pPr>
              <w:jc w:val="right"/>
              <w:ind w:right="760"/>
              <w:spacing w:after="0"/>
              <w:rPr>
                <w:sz w:val="20"/>
                <w:szCs w:val="20"/>
                <w:color w:val="auto"/>
              </w:rPr>
            </w:pPr>
            <w:r>
              <w:rPr>
                <w:rFonts w:ascii="Arial" w:cs="Arial" w:eastAsia="Arial" w:hAnsi="Arial"/>
                <w:sz w:val="18"/>
                <w:szCs w:val="18"/>
                <w:color w:val="auto"/>
              </w:rPr>
              <w:t>4.6</w:t>
            </w:r>
          </w:p>
        </w:tc>
        <w:tc>
          <w:tcPr>
            <w:tcW w:w="220" w:type="dxa"/>
            <w:vAlign w:val="bottom"/>
          </w:tcPr>
          <w:p>
            <w:pPr>
              <w:spacing w:after="0"/>
              <w:rPr>
                <w:sz w:val="18"/>
                <w:szCs w:val="18"/>
                <w:color w:val="auto"/>
              </w:rPr>
            </w:pPr>
          </w:p>
        </w:tc>
        <w:tc>
          <w:tcPr>
            <w:tcW w:w="1300" w:type="dxa"/>
            <w:vAlign w:val="bottom"/>
            <w:gridSpan w:val="2"/>
          </w:tcPr>
          <w:p>
            <w:pPr>
              <w:jc w:val="right"/>
              <w:ind w:right="780"/>
              <w:spacing w:after="0"/>
              <w:rPr>
                <w:sz w:val="20"/>
                <w:szCs w:val="20"/>
                <w:color w:val="auto"/>
              </w:rPr>
            </w:pPr>
            <w:r>
              <w:rPr>
                <w:rFonts w:ascii="Arial" w:cs="Arial" w:eastAsia="Arial" w:hAnsi="Arial"/>
                <w:sz w:val="18"/>
                <w:szCs w:val="18"/>
                <w:color w:val="auto"/>
              </w:rPr>
              <w:t>5.3</w:t>
            </w:r>
          </w:p>
        </w:tc>
        <w:tc>
          <w:tcPr>
            <w:tcW w:w="160" w:type="dxa"/>
            <w:vAlign w:val="bottom"/>
          </w:tcPr>
          <w:p>
            <w:pPr>
              <w:spacing w:after="0"/>
              <w:rPr>
                <w:sz w:val="18"/>
                <w:szCs w:val="18"/>
                <w:color w:val="auto"/>
              </w:rPr>
            </w:pPr>
          </w:p>
        </w:tc>
        <w:tc>
          <w:tcPr>
            <w:tcW w:w="560" w:type="dxa"/>
            <w:vAlign w:val="bottom"/>
          </w:tcPr>
          <w:p>
            <w:pPr>
              <w:jc w:val="right"/>
              <w:spacing w:after="0"/>
              <w:rPr>
                <w:sz w:val="20"/>
                <w:szCs w:val="20"/>
                <w:color w:val="auto"/>
              </w:rPr>
            </w:pPr>
            <w:r>
              <w:rPr>
                <w:rFonts w:ascii="Arial" w:cs="Arial" w:eastAsia="Arial" w:hAnsi="Arial"/>
                <w:sz w:val="18"/>
                <w:szCs w:val="18"/>
                <w:color w:val="auto"/>
              </w:rPr>
              <w:t>1.3</w:t>
            </w:r>
          </w:p>
        </w:tc>
        <w:tc>
          <w:tcPr>
            <w:tcW w:w="78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540" w:type="dxa"/>
            <w:vAlign w:val="bottom"/>
          </w:tcPr>
          <w:p>
            <w:pPr>
              <w:jc w:val="right"/>
              <w:spacing w:after="0"/>
              <w:rPr>
                <w:sz w:val="20"/>
                <w:szCs w:val="20"/>
                <w:color w:val="auto"/>
              </w:rPr>
            </w:pPr>
            <w:r>
              <w:rPr>
                <w:rFonts w:ascii="Arial" w:cs="Arial" w:eastAsia="Arial" w:hAnsi="Arial"/>
                <w:sz w:val="18"/>
                <w:szCs w:val="18"/>
                <w:color w:val="auto"/>
              </w:rPr>
              <w:t>1.3</w:t>
            </w:r>
          </w:p>
        </w:tc>
        <w:tc>
          <w:tcPr>
            <w:tcW w:w="200" w:type="dxa"/>
            <w:vAlign w:val="bottom"/>
          </w:tcPr>
          <w:p>
            <w:pPr>
              <w:spacing w:after="0"/>
              <w:rPr>
                <w:sz w:val="18"/>
                <w:szCs w:val="18"/>
                <w:color w:val="auto"/>
              </w:rPr>
            </w:pPr>
          </w:p>
        </w:tc>
      </w:tr>
      <w:tr>
        <w:trPr>
          <w:trHeight w:val="216"/>
        </w:trPr>
        <w:tc>
          <w:tcPr>
            <w:tcW w:w="3500" w:type="dxa"/>
            <w:vAlign w:val="bottom"/>
            <w:shd w:val="clear" w:color="auto" w:fill="CCEEFF"/>
          </w:tcPr>
          <w:p>
            <w:pPr>
              <w:spacing w:after="0"/>
              <w:rPr>
                <w:sz w:val="20"/>
                <w:szCs w:val="20"/>
                <w:color w:val="auto"/>
              </w:rPr>
            </w:pPr>
            <w:r>
              <w:rPr>
                <w:rFonts w:ascii="Arial" w:cs="Arial" w:eastAsia="Arial" w:hAnsi="Arial"/>
                <w:sz w:val="18"/>
                <w:szCs w:val="18"/>
                <w:color w:val="auto"/>
              </w:rPr>
              <w:t>Risk-free interest rate</w:t>
            </w:r>
          </w:p>
        </w:tc>
        <w:tc>
          <w:tcPr>
            <w:tcW w:w="152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1320" w:type="dxa"/>
            <w:vAlign w:val="bottom"/>
            <w:gridSpan w:val="2"/>
            <w:shd w:val="clear" w:color="auto" w:fill="CCEEFF"/>
          </w:tcPr>
          <w:p>
            <w:pPr>
              <w:jc w:val="right"/>
              <w:ind w:right="620"/>
              <w:spacing w:after="0"/>
              <w:rPr>
                <w:sz w:val="20"/>
                <w:szCs w:val="20"/>
                <w:color w:val="auto"/>
              </w:rPr>
            </w:pPr>
            <w:r>
              <w:rPr>
                <w:rFonts w:ascii="Arial" w:cs="Arial" w:eastAsia="Arial" w:hAnsi="Arial"/>
                <w:sz w:val="18"/>
                <w:szCs w:val="18"/>
                <w:color w:val="auto"/>
              </w:rPr>
              <w:t>2.5%</w:t>
            </w:r>
          </w:p>
        </w:tc>
        <w:tc>
          <w:tcPr>
            <w:tcW w:w="220" w:type="dxa"/>
            <w:vAlign w:val="bottom"/>
            <w:shd w:val="clear" w:color="auto" w:fill="CCEEFF"/>
          </w:tcPr>
          <w:p>
            <w:pPr>
              <w:spacing w:after="0"/>
              <w:rPr>
                <w:sz w:val="18"/>
                <w:szCs w:val="18"/>
                <w:color w:val="auto"/>
              </w:rPr>
            </w:pPr>
          </w:p>
        </w:tc>
        <w:tc>
          <w:tcPr>
            <w:tcW w:w="1300" w:type="dxa"/>
            <w:vAlign w:val="bottom"/>
            <w:gridSpan w:val="2"/>
            <w:shd w:val="clear" w:color="auto" w:fill="CCEEFF"/>
          </w:tcPr>
          <w:p>
            <w:pPr>
              <w:jc w:val="right"/>
              <w:ind w:right="620"/>
              <w:spacing w:after="0"/>
              <w:rPr>
                <w:sz w:val="20"/>
                <w:szCs w:val="20"/>
                <w:color w:val="auto"/>
              </w:rPr>
            </w:pPr>
            <w:r>
              <w:rPr>
                <w:rFonts w:ascii="Arial" w:cs="Arial" w:eastAsia="Arial" w:hAnsi="Arial"/>
                <w:sz w:val="18"/>
                <w:szCs w:val="18"/>
                <w:color w:val="auto"/>
              </w:rPr>
              <w:t>3.3%</w:t>
            </w:r>
          </w:p>
        </w:tc>
        <w:tc>
          <w:tcPr>
            <w:tcW w:w="160" w:type="dxa"/>
            <w:vAlign w:val="bottom"/>
            <w:shd w:val="clear" w:color="auto" w:fill="CCEEFF"/>
          </w:tcPr>
          <w:p>
            <w:pPr>
              <w:spacing w:after="0"/>
              <w:rPr>
                <w:sz w:val="18"/>
                <w:szCs w:val="18"/>
                <w:color w:val="auto"/>
              </w:rPr>
            </w:pPr>
          </w:p>
        </w:tc>
        <w:tc>
          <w:tcPr>
            <w:tcW w:w="1340" w:type="dxa"/>
            <w:vAlign w:val="bottom"/>
            <w:gridSpan w:val="2"/>
            <w:shd w:val="clear" w:color="auto" w:fill="CCEEFF"/>
          </w:tcPr>
          <w:p>
            <w:pPr>
              <w:jc w:val="right"/>
              <w:ind w:right="640"/>
              <w:spacing w:after="0"/>
              <w:rPr>
                <w:sz w:val="20"/>
                <w:szCs w:val="20"/>
                <w:color w:val="auto"/>
              </w:rPr>
            </w:pPr>
            <w:r>
              <w:rPr>
                <w:rFonts w:ascii="Arial" w:cs="Arial" w:eastAsia="Arial" w:hAnsi="Arial"/>
                <w:sz w:val="18"/>
                <w:szCs w:val="18"/>
                <w:color w:val="auto"/>
              </w:rPr>
              <w:t>0.7%</w:t>
            </w:r>
          </w:p>
        </w:tc>
        <w:tc>
          <w:tcPr>
            <w:tcW w:w="280" w:type="dxa"/>
            <w:vAlign w:val="bottom"/>
            <w:shd w:val="clear" w:color="auto" w:fill="CCEEFF"/>
          </w:tcPr>
          <w:p>
            <w:pPr>
              <w:spacing w:after="0"/>
              <w:rPr>
                <w:sz w:val="18"/>
                <w:szCs w:val="18"/>
                <w:color w:val="auto"/>
              </w:rPr>
            </w:pPr>
          </w:p>
        </w:tc>
        <w:tc>
          <w:tcPr>
            <w:tcW w:w="74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4.3%</w:t>
            </w:r>
          </w:p>
        </w:tc>
      </w:tr>
      <w:tr>
        <w:trPr>
          <w:trHeight w:val="216"/>
        </w:trPr>
        <w:tc>
          <w:tcPr>
            <w:tcW w:w="3500" w:type="dxa"/>
            <w:vAlign w:val="bottom"/>
          </w:tcPr>
          <w:p>
            <w:pPr>
              <w:spacing w:after="0"/>
              <w:rPr>
                <w:sz w:val="20"/>
                <w:szCs w:val="20"/>
                <w:color w:val="auto"/>
              </w:rPr>
            </w:pPr>
            <w:r>
              <w:rPr>
                <w:rFonts w:ascii="Arial" w:cs="Arial" w:eastAsia="Arial" w:hAnsi="Arial"/>
                <w:sz w:val="18"/>
                <w:szCs w:val="18"/>
                <w:color w:val="auto"/>
              </w:rPr>
              <w:t>Dividend yield</w:t>
            </w:r>
          </w:p>
        </w:tc>
        <w:tc>
          <w:tcPr>
            <w:tcW w:w="152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1320" w:type="dxa"/>
            <w:vAlign w:val="bottom"/>
            <w:gridSpan w:val="2"/>
          </w:tcPr>
          <w:p>
            <w:pPr>
              <w:jc w:val="right"/>
              <w:ind w:right="860"/>
              <w:spacing w:after="0"/>
              <w:rPr>
                <w:sz w:val="20"/>
                <w:szCs w:val="20"/>
                <w:color w:val="auto"/>
              </w:rPr>
            </w:pPr>
            <w:r>
              <w:rPr>
                <w:rFonts w:ascii="Arial" w:cs="Arial" w:eastAsia="Arial" w:hAnsi="Arial"/>
                <w:sz w:val="18"/>
                <w:szCs w:val="18"/>
                <w:color w:val="auto"/>
              </w:rPr>
              <w:t>—</w:t>
            </w:r>
          </w:p>
        </w:tc>
        <w:tc>
          <w:tcPr>
            <w:tcW w:w="220" w:type="dxa"/>
            <w:vAlign w:val="bottom"/>
          </w:tcPr>
          <w:p>
            <w:pPr>
              <w:spacing w:after="0"/>
              <w:rPr>
                <w:sz w:val="18"/>
                <w:szCs w:val="18"/>
                <w:color w:val="auto"/>
              </w:rPr>
            </w:pPr>
          </w:p>
        </w:tc>
        <w:tc>
          <w:tcPr>
            <w:tcW w:w="1300" w:type="dxa"/>
            <w:vAlign w:val="bottom"/>
            <w:gridSpan w:val="2"/>
          </w:tcPr>
          <w:p>
            <w:pPr>
              <w:jc w:val="right"/>
              <w:ind w:right="860"/>
              <w:spacing w:after="0"/>
              <w:rPr>
                <w:sz w:val="20"/>
                <w:szCs w:val="20"/>
                <w:color w:val="auto"/>
              </w:rPr>
            </w:pPr>
            <w:r>
              <w:rPr>
                <w:rFonts w:ascii="Arial" w:cs="Arial" w:eastAsia="Arial" w:hAnsi="Arial"/>
                <w:sz w:val="18"/>
                <w:szCs w:val="18"/>
                <w:color w:val="auto"/>
              </w:rPr>
              <w:t>—</w:t>
            </w:r>
          </w:p>
        </w:tc>
        <w:tc>
          <w:tcPr>
            <w:tcW w:w="160" w:type="dxa"/>
            <w:vAlign w:val="bottom"/>
          </w:tcPr>
          <w:p>
            <w:pPr>
              <w:spacing w:after="0"/>
              <w:rPr>
                <w:sz w:val="18"/>
                <w:szCs w:val="18"/>
                <w:color w:val="auto"/>
              </w:rPr>
            </w:pPr>
          </w:p>
        </w:tc>
        <w:tc>
          <w:tcPr>
            <w:tcW w:w="1340" w:type="dxa"/>
            <w:vAlign w:val="bottom"/>
            <w:gridSpan w:val="2"/>
          </w:tcPr>
          <w:p>
            <w:pPr>
              <w:jc w:val="right"/>
              <w:ind w:right="880"/>
              <w:spacing w:after="0"/>
              <w:rPr>
                <w:sz w:val="20"/>
                <w:szCs w:val="20"/>
                <w:color w:val="auto"/>
              </w:rPr>
            </w:pPr>
            <w:r>
              <w:rPr>
                <w:rFonts w:ascii="Arial" w:cs="Arial" w:eastAsia="Arial" w:hAnsi="Arial"/>
                <w:sz w:val="18"/>
                <w:szCs w:val="18"/>
                <w:color w:val="auto"/>
              </w:rPr>
              <w:t>—</w:t>
            </w:r>
          </w:p>
        </w:tc>
        <w:tc>
          <w:tcPr>
            <w:tcW w:w="280" w:type="dxa"/>
            <w:vAlign w:val="bottom"/>
          </w:tcPr>
          <w:p>
            <w:pPr>
              <w:spacing w:after="0"/>
              <w:rPr>
                <w:sz w:val="18"/>
                <w:szCs w:val="18"/>
                <w:color w:val="auto"/>
              </w:rPr>
            </w:pPr>
          </w:p>
        </w:tc>
        <w:tc>
          <w:tcPr>
            <w:tcW w:w="740" w:type="dxa"/>
            <w:vAlign w:val="bottom"/>
            <w:gridSpan w:val="2"/>
          </w:tcPr>
          <w:p>
            <w:pPr>
              <w:jc w:val="right"/>
              <w:ind w:right="280"/>
              <w:spacing w:after="0"/>
              <w:rPr>
                <w:sz w:val="20"/>
                <w:szCs w:val="20"/>
                <w:color w:val="auto"/>
              </w:rPr>
            </w:pPr>
            <w:r>
              <w:rPr>
                <w:rFonts w:ascii="Arial" w:cs="Arial" w:eastAsia="Arial" w:hAnsi="Arial"/>
                <w:sz w:val="18"/>
                <w:szCs w:val="18"/>
                <w:color w:val="auto"/>
              </w:rPr>
              <w:t>—</w:t>
            </w:r>
          </w:p>
        </w:tc>
      </w:tr>
      <w:tr>
        <w:trPr>
          <w:trHeight w:val="216"/>
        </w:trPr>
        <w:tc>
          <w:tcPr>
            <w:tcW w:w="3500" w:type="dxa"/>
            <w:vAlign w:val="bottom"/>
            <w:shd w:val="clear" w:color="auto" w:fill="CCEEFF"/>
          </w:tcPr>
          <w:p>
            <w:pPr>
              <w:spacing w:after="0"/>
              <w:rPr>
                <w:sz w:val="20"/>
                <w:szCs w:val="20"/>
                <w:color w:val="auto"/>
              </w:rPr>
            </w:pPr>
            <w:r>
              <w:rPr>
                <w:rFonts w:ascii="Arial" w:cs="Arial" w:eastAsia="Arial" w:hAnsi="Arial"/>
                <w:sz w:val="18"/>
                <w:szCs w:val="18"/>
                <w:color w:val="auto"/>
              </w:rPr>
              <w:t>Weighted average fair value</w:t>
            </w:r>
          </w:p>
        </w:tc>
        <w:tc>
          <w:tcPr>
            <w:tcW w:w="1640" w:type="dxa"/>
            <w:vAlign w:val="bottom"/>
            <w:gridSpan w:val="2"/>
            <w:shd w:val="clear" w:color="auto" w:fill="CCEEFF"/>
          </w:tcPr>
          <w:p>
            <w:pPr>
              <w:ind w:left="1520"/>
              <w:spacing w:after="0"/>
              <w:rPr>
                <w:sz w:val="20"/>
                <w:szCs w:val="20"/>
                <w:color w:val="auto"/>
              </w:rPr>
            </w:pPr>
            <w:r>
              <w:rPr>
                <w:rFonts w:ascii="Arial" w:cs="Arial" w:eastAsia="Arial" w:hAnsi="Arial"/>
                <w:sz w:val="18"/>
                <w:szCs w:val="18"/>
                <w:color w:val="auto"/>
                <w:w w:val="99"/>
              </w:rPr>
              <w:t>$</w:t>
            </w:r>
          </w:p>
        </w:tc>
        <w:tc>
          <w:tcPr>
            <w:tcW w:w="1320" w:type="dxa"/>
            <w:vAlign w:val="bottom"/>
            <w:gridSpan w:val="2"/>
            <w:shd w:val="clear" w:color="auto" w:fill="CCEEFF"/>
          </w:tcPr>
          <w:p>
            <w:pPr>
              <w:jc w:val="right"/>
              <w:ind w:right="760"/>
              <w:spacing w:after="0"/>
              <w:rPr>
                <w:sz w:val="20"/>
                <w:szCs w:val="20"/>
                <w:color w:val="auto"/>
              </w:rPr>
            </w:pPr>
            <w:r>
              <w:rPr>
                <w:rFonts w:ascii="Arial" w:cs="Arial" w:eastAsia="Arial" w:hAnsi="Arial"/>
                <w:sz w:val="18"/>
                <w:szCs w:val="18"/>
                <w:color w:val="auto"/>
              </w:rPr>
              <w:t>6.98</w:t>
            </w:r>
          </w:p>
        </w:tc>
        <w:tc>
          <w:tcPr>
            <w:tcW w:w="220" w:type="dxa"/>
            <w:vAlign w:val="bottom"/>
            <w:shd w:val="clear" w:color="auto" w:fill="CCEEFF"/>
          </w:tcPr>
          <w:p>
            <w:pPr>
              <w:spacing w:after="0"/>
              <w:rPr>
                <w:sz w:val="20"/>
                <w:szCs w:val="20"/>
                <w:color w:val="auto"/>
              </w:rPr>
            </w:pPr>
            <w:r>
              <w:rPr>
                <w:rFonts w:ascii="Arial" w:cs="Arial" w:eastAsia="Arial" w:hAnsi="Arial"/>
                <w:sz w:val="18"/>
                <w:szCs w:val="18"/>
                <w:color w:val="auto"/>
              </w:rPr>
              <w:t>$</w:t>
            </w:r>
          </w:p>
        </w:tc>
        <w:tc>
          <w:tcPr>
            <w:tcW w:w="1300" w:type="dxa"/>
            <w:vAlign w:val="bottom"/>
            <w:gridSpan w:val="2"/>
            <w:shd w:val="clear" w:color="auto" w:fill="CCEEFF"/>
          </w:tcPr>
          <w:p>
            <w:pPr>
              <w:jc w:val="right"/>
              <w:ind w:right="780"/>
              <w:spacing w:after="0"/>
              <w:rPr>
                <w:sz w:val="20"/>
                <w:szCs w:val="20"/>
                <w:color w:val="auto"/>
              </w:rPr>
            </w:pPr>
            <w:r>
              <w:rPr>
                <w:rFonts w:ascii="Arial" w:cs="Arial" w:eastAsia="Arial" w:hAnsi="Arial"/>
                <w:sz w:val="18"/>
                <w:szCs w:val="18"/>
                <w:color w:val="auto"/>
              </w:rPr>
              <w:t>4.99</w:t>
            </w:r>
          </w:p>
        </w:tc>
        <w:tc>
          <w:tcPr>
            <w:tcW w:w="160" w:type="dxa"/>
            <w:vAlign w:val="bottom"/>
            <w:shd w:val="clear" w:color="auto" w:fill="CCEEFF"/>
          </w:tcPr>
          <w:p>
            <w:pPr>
              <w:spacing w:after="0"/>
              <w:rPr>
                <w:sz w:val="20"/>
                <w:szCs w:val="20"/>
                <w:color w:val="auto"/>
              </w:rPr>
            </w:pPr>
            <w:r>
              <w:rPr>
                <w:rFonts w:ascii="Arial" w:cs="Arial" w:eastAsia="Arial" w:hAnsi="Arial"/>
                <w:sz w:val="18"/>
                <w:szCs w:val="18"/>
                <w:color w:val="auto"/>
              </w:rPr>
              <w:t>$</w:t>
            </w:r>
          </w:p>
        </w:tc>
        <w:tc>
          <w:tcPr>
            <w:tcW w:w="5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4.14</w:t>
            </w:r>
          </w:p>
        </w:tc>
        <w:tc>
          <w:tcPr>
            <w:tcW w:w="780" w:type="dxa"/>
            <w:vAlign w:val="bottom"/>
            <w:shd w:val="clear" w:color="auto" w:fill="CCEEFF"/>
          </w:tcPr>
          <w:p>
            <w:pPr>
              <w:spacing w:after="0"/>
              <w:rPr>
                <w:sz w:val="18"/>
                <w:szCs w:val="18"/>
                <w:color w:val="auto"/>
              </w:rPr>
            </w:pPr>
          </w:p>
        </w:tc>
        <w:tc>
          <w:tcPr>
            <w:tcW w:w="280" w:type="dxa"/>
            <w:vAlign w:val="bottom"/>
            <w:shd w:val="clear" w:color="auto" w:fill="CCEEFF"/>
          </w:tcPr>
          <w:p>
            <w:pPr>
              <w:jc w:val="right"/>
              <w:ind w:right="128"/>
              <w:spacing w:after="0"/>
              <w:rPr>
                <w:sz w:val="20"/>
                <w:szCs w:val="20"/>
                <w:color w:val="auto"/>
              </w:rPr>
            </w:pPr>
            <w:r>
              <w:rPr>
                <w:rFonts w:ascii="Arial" w:cs="Arial" w:eastAsia="Arial" w:hAnsi="Arial"/>
                <w:sz w:val="15"/>
                <w:szCs w:val="15"/>
                <w:color w:val="auto"/>
                <w:w w:val="71"/>
              </w:rPr>
              <w:t>$</w:t>
            </w:r>
          </w:p>
        </w:tc>
        <w:tc>
          <w:tcPr>
            <w:tcW w:w="5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6.05</w:t>
            </w:r>
          </w:p>
        </w:tc>
        <w:tc>
          <w:tcPr>
            <w:tcW w:w="200" w:type="dxa"/>
            <w:vAlign w:val="bottom"/>
            <w:shd w:val="clear" w:color="auto" w:fill="CCEEFF"/>
          </w:tcPr>
          <w:p>
            <w:pPr>
              <w:spacing w:after="0"/>
              <w:rPr>
                <w:sz w:val="18"/>
                <w:szCs w:val="18"/>
                <w:color w:val="auto"/>
              </w:rPr>
            </w:pPr>
          </w:p>
        </w:tc>
      </w:tr>
      <w:tr>
        <w:trPr>
          <w:trHeight w:val="363"/>
        </w:trPr>
        <w:tc>
          <w:tcPr>
            <w:tcW w:w="3500" w:type="dxa"/>
            <w:vAlign w:val="bottom"/>
          </w:tcPr>
          <w:p>
            <w:pPr>
              <w:spacing w:after="0"/>
              <w:rPr>
                <w:sz w:val="24"/>
                <w:szCs w:val="24"/>
                <w:color w:val="auto"/>
              </w:rPr>
            </w:pPr>
          </w:p>
        </w:tc>
        <w:tc>
          <w:tcPr>
            <w:tcW w:w="152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560" w:type="dxa"/>
            <w:vAlign w:val="bottom"/>
          </w:tcPr>
          <w:p>
            <w:pPr>
              <w:jc w:val="right"/>
              <w:ind w:right="279"/>
              <w:spacing w:after="0"/>
              <w:rPr>
                <w:sz w:val="20"/>
                <w:szCs w:val="20"/>
                <w:color w:val="auto"/>
              </w:rPr>
            </w:pPr>
            <w:r>
              <w:rPr>
                <w:rFonts w:ascii="Arial" w:cs="Arial" w:eastAsia="Arial" w:hAnsi="Arial"/>
                <w:sz w:val="18"/>
                <w:szCs w:val="18"/>
                <w:color w:val="auto"/>
                <w:w w:val="89"/>
              </w:rPr>
              <w:t>23</w:t>
            </w:r>
          </w:p>
        </w:tc>
        <w:tc>
          <w:tcPr>
            <w:tcW w:w="76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520" w:type="dxa"/>
            <w:vAlign w:val="bottom"/>
          </w:tcPr>
          <w:p>
            <w:pPr>
              <w:spacing w:after="0"/>
              <w:rPr>
                <w:sz w:val="24"/>
                <w:szCs w:val="24"/>
                <w:color w:val="auto"/>
              </w:rPr>
            </w:pPr>
          </w:p>
        </w:tc>
        <w:tc>
          <w:tcPr>
            <w:tcW w:w="780" w:type="dxa"/>
            <w:vAlign w:val="bottom"/>
          </w:tcPr>
          <w:p>
            <w:pPr>
              <w:spacing w:after="0"/>
              <w:rPr>
                <w:sz w:val="24"/>
                <w:szCs w:val="24"/>
                <w:color w:val="auto"/>
              </w:rPr>
            </w:pPr>
          </w:p>
        </w:tc>
        <w:tc>
          <w:tcPr>
            <w:tcW w:w="160" w:type="dxa"/>
            <w:vAlign w:val="bottom"/>
          </w:tcPr>
          <w:p>
            <w:pPr>
              <w:spacing w:after="0"/>
              <w:rPr>
                <w:sz w:val="24"/>
                <w:szCs w:val="24"/>
                <w:color w:val="auto"/>
              </w:rPr>
            </w:pPr>
          </w:p>
        </w:tc>
        <w:tc>
          <w:tcPr>
            <w:tcW w:w="560" w:type="dxa"/>
            <w:vAlign w:val="bottom"/>
          </w:tcPr>
          <w:p>
            <w:pPr>
              <w:spacing w:after="0"/>
              <w:rPr>
                <w:sz w:val="24"/>
                <w:szCs w:val="24"/>
                <w:color w:val="auto"/>
              </w:rPr>
            </w:pPr>
          </w:p>
        </w:tc>
        <w:tc>
          <w:tcPr>
            <w:tcW w:w="780" w:type="dxa"/>
            <w:vAlign w:val="bottom"/>
          </w:tcPr>
          <w:p>
            <w:pPr>
              <w:spacing w:after="0"/>
              <w:rPr>
                <w:sz w:val="24"/>
                <w:szCs w:val="24"/>
                <w:color w:val="auto"/>
              </w:rPr>
            </w:pPr>
          </w:p>
        </w:tc>
        <w:tc>
          <w:tcPr>
            <w:tcW w:w="280" w:type="dxa"/>
            <w:vAlign w:val="bottom"/>
          </w:tcPr>
          <w:p>
            <w:pPr>
              <w:spacing w:after="0"/>
              <w:rPr>
                <w:sz w:val="24"/>
                <w:szCs w:val="24"/>
                <w:color w:val="auto"/>
              </w:rPr>
            </w:pPr>
          </w:p>
        </w:tc>
        <w:tc>
          <w:tcPr>
            <w:tcW w:w="540" w:type="dxa"/>
            <w:vAlign w:val="bottom"/>
          </w:tcPr>
          <w:p>
            <w:pPr>
              <w:spacing w:after="0"/>
              <w:rPr>
                <w:sz w:val="24"/>
                <w:szCs w:val="24"/>
                <w:color w:val="auto"/>
              </w:rPr>
            </w:pPr>
          </w:p>
        </w:tc>
        <w:tc>
          <w:tcPr>
            <w:tcW w:w="200" w:type="dxa"/>
            <w:vAlign w:val="bottom"/>
          </w:tcPr>
          <w:p>
            <w:pPr>
              <w:spacing w:after="0"/>
              <w:rPr>
                <w:sz w:val="24"/>
                <w:szCs w:val="24"/>
                <w:color w:val="auto"/>
              </w:rPr>
            </w:pPr>
          </w:p>
        </w:tc>
      </w:tr>
    </w:tbl>
    <w:p>
      <w:pPr>
        <w:sectPr>
          <w:pgSz w:w="11900" w:h="16838" w:orient="portrait"/>
          <w:cols w:equalWidth="0" w:num="1">
            <w:col w:w="11420"/>
          </w:cols>
          <w:pgMar w:left="240" w:top="459" w:right="239" w:bottom="1440" w:gutter="0" w:footer="0" w:header="0"/>
        </w:sectPr>
      </w:pPr>
    </w:p>
    <w:bookmarkStart w:id="23" w:name="page24"/>
    <w:bookmarkEnd w:id="23"/>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38">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MARVELL TECHNOLOGY GROUP LTD.</w:t>
      </w:r>
    </w:p>
    <w:p>
      <w:pPr>
        <w:spacing w:after="0" w:line="90"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NOTES TO UNAUDITED CONDENSED CONSOLIDATED FINANCIAL STATEMENTS—(Continued)</w:t>
      </w:r>
    </w:p>
    <w:p>
      <w:pPr>
        <w:spacing w:after="0" w:line="159" w:lineRule="exact"/>
        <w:rPr>
          <w:sz w:val="20"/>
          <w:szCs w:val="20"/>
          <w:color w:val="auto"/>
        </w:rPr>
      </w:pPr>
    </w:p>
    <w:tbl>
      <w:tblPr>
        <w:tblLayout w:type="fixed"/>
        <w:tblInd w:w="460" w:type="dxa"/>
        <w:tblCellMar>
          <w:top w:w="0" w:type="dxa"/>
          <w:left w:w="0" w:type="dxa"/>
          <w:bottom w:w="0" w:type="dxa"/>
          <w:right w:w="0" w:type="dxa"/>
        </w:tblCellMar>
      </w:tblPr>
      <w:tr>
        <w:trPr>
          <w:trHeight w:val="161"/>
        </w:trPr>
        <w:tc>
          <w:tcPr>
            <w:tcW w:w="3500" w:type="dxa"/>
            <w:vAlign w:val="bottom"/>
          </w:tcPr>
          <w:p>
            <w:pPr>
              <w:spacing w:after="0"/>
              <w:rPr>
                <w:sz w:val="14"/>
                <w:szCs w:val="14"/>
                <w:color w:val="auto"/>
              </w:rPr>
            </w:pPr>
          </w:p>
        </w:tc>
        <w:tc>
          <w:tcPr>
            <w:tcW w:w="152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1540" w:type="dxa"/>
            <w:vAlign w:val="bottom"/>
            <w:gridSpan w:val="3"/>
          </w:tcPr>
          <w:p>
            <w:pPr>
              <w:jc w:val="center"/>
              <w:ind w:left="280"/>
              <w:spacing w:after="0"/>
              <w:rPr>
                <w:sz w:val="20"/>
                <w:szCs w:val="20"/>
                <w:color w:val="auto"/>
              </w:rPr>
            </w:pPr>
            <w:r>
              <w:rPr>
                <w:rFonts w:ascii="Arial" w:cs="Arial" w:eastAsia="Arial" w:hAnsi="Arial"/>
                <w:sz w:val="14"/>
                <w:szCs w:val="14"/>
                <w:b w:val="1"/>
                <w:bCs w:val="1"/>
                <w:color w:val="auto"/>
                <w:w w:val="85"/>
              </w:rPr>
              <w:t>Stock Option Plans</w:t>
            </w:r>
          </w:p>
        </w:tc>
        <w:tc>
          <w:tcPr>
            <w:tcW w:w="500" w:type="dxa"/>
            <w:vAlign w:val="bottom"/>
          </w:tcPr>
          <w:p>
            <w:pPr>
              <w:spacing w:after="0"/>
              <w:rPr>
                <w:sz w:val="14"/>
                <w:szCs w:val="14"/>
                <w:color w:val="auto"/>
              </w:rPr>
            </w:pPr>
          </w:p>
        </w:tc>
        <w:tc>
          <w:tcPr>
            <w:tcW w:w="780" w:type="dxa"/>
            <w:vAlign w:val="bottom"/>
          </w:tcPr>
          <w:p>
            <w:pPr>
              <w:spacing w:after="0"/>
              <w:rPr>
                <w:sz w:val="14"/>
                <w:szCs w:val="14"/>
                <w:color w:val="auto"/>
              </w:rPr>
            </w:pPr>
          </w:p>
        </w:tc>
        <w:tc>
          <w:tcPr>
            <w:tcW w:w="160" w:type="dxa"/>
            <w:vAlign w:val="bottom"/>
          </w:tcPr>
          <w:p>
            <w:pPr>
              <w:spacing w:after="0"/>
              <w:rPr>
                <w:sz w:val="14"/>
                <w:szCs w:val="14"/>
                <w:color w:val="auto"/>
              </w:rPr>
            </w:pPr>
          </w:p>
        </w:tc>
        <w:tc>
          <w:tcPr>
            <w:tcW w:w="2360" w:type="dxa"/>
            <w:vAlign w:val="bottom"/>
            <w:gridSpan w:val="5"/>
          </w:tcPr>
          <w:p>
            <w:pPr>
              <w:jc w:val="center"/>
              <w:ind w:right="360"/>
              <w:spacing w:after="0"/>
              <w:rPr>
                <w:sz w:val="20"/>
                <w:szCs w:val="20"/>
                <w:color w:val="auto"/>
              </w:rPr>
            </w:pPr>
            <w:r>
              <w:rPr>
                <w:rFonts w:ascii="Arial" w:cs="Arial" w:eastAsia="Arial" w:hAnsi="Arial"/>
                <w:sz w:val="14"/>
                <w:szCs w:val="14"/>
                <w:b w:val="1"/>
                <w:bCs w:val="1"/>
                <w:color w:val="auto"/>
                <w:w w:val="86"/>
              </w:rPr>
              <w:t>Employee Stock Purchase Plan</w:t>
            </w:r>
          </w:p>
        </w:tc>
      </w:tr>
      <w:tr>
        <w:trPr>
          <w:trHeight w:val="142"/>
        </w:trPr>
        <w:tc>
          <w:tcPr>
            <w:tcW w:w="3500" w:type="dxa"/>
            <w:vAlign w:val="bottom"/>
          </w:tcPr>
          <w:p>
            <w:pPr>
              <w:spacing w:after="0"/>
              <w:rPr>
                <w:sz w:val="12"/>
                <w:szCs w:val="12"/>
                <w:color w:val="auto"/>
              </w:rPr>
            </w:pPr>
          </w:p>
        </w:tc>
        <w:tc>
          <w:tcPr>
            <w:tcW w:w="1520" w:type="dxa"/>
            <w:vAlign w:val="bottom"/>
          </w:tcPr>
          <w:p>
            <w:pPr>
              <w:spacing w:after="0"/>
              <w:rPr>
                <w:sz w:val="12"/>
                <w:szCs w:val="12"/>
                <w:color w:val="auto"/>
              </w:rPr>
            </w:pPr>
          </w:p>
        </w:tc>
        <w:tc>
          <w:tcPr>
            <w:tcW w:w="140" w:type="dxa"/>
            <w:vAlign w:val="bottom"/>
            <w:tcBorders>
              <w:top w:val="single" w:sz="8" w:color="auto"/>
              <w:bottom w:val="single" w:sz="8" w:color="auto"/>
            </w:tcBorders>
          </w:tcPr>
          <w:p>
            <w:pPr>
              <w:spacing w:after="0"/>
              <w:rPr>
                <w:sz w:val="12"/>
                <w:szCs w:val="12"/>
                <w:color w:val="auto"/>
              </w:rPr>
            </w:pPr>
          </w:p>
        </w:tc>
        <w:tc>
          <w:tcPr>
            <w:tcW w:w="1540" w:type="dxa"/>
            <w:vAlign w:val="bottom"/>
            <w:tcBorders>
              <w:top w:val="single" w:sz="8" w:color="auto"/>
              <w:bottom w:val="single" w:sz="8" w:color="auto"/>
            </w:tcBorders>
            <w:gridSpan w:val="3"/>
          </w:tcPr>
          <w:p>
            <w:pPr>
              <w:jc w:val="center"/>
              <w:ind w:left="280"/>
              <w:spacing w:after="0" w:line="142" w:lineRule="exact"/>
              <w:rPr>
                <w:sz w:val="20"/>
                <w:szCs w:val="20"/>
                <w:color w:val="auto"/>
              </w:rPr>
            </w:pPr>
            <w:r>
              <w:rPr>
                <w:rFonts w:ascii="Arial" w:cs="Arial" w:eastAsia="Arial" w:hAnsi="Arial"/>
                <w:sz w:val="14"/>
                <w:szCs w:val="14"/>
                <w:b w:val="1"/>
                <w:bCs w:val="1"/>
                <w:color w:val="auto"/>
                <w:w w:val="87"/>
              </w:rPr>
              <w:t>Nine Months Ended</w:t>
            </w:r>
          </w:p>
        </w:tc>
        <w:tc>
          <w:tcPr>
            <w:tcW w:w="500" w:type="dxa"/>
            <w:vAlign w:val="bottom"/>
            <w:tcBorders>
              <w:top w:val="single" w:sz="8" w:color="auto"/>
              <w:bottom w:val="single" w:sz="8" w:color="auto"/>
            </w:tcBorders>
          </w:tcPr>
          <w:p>
            <w:pPr>
              <w:spacing w:after="0"/>
              <w:rPr>
                <w:sz w:val="12"/>
                <w:szCs w:val="12"/>
                <w:color w:val="auto"/>
              </w:rPr>
            </w:pPr>
          </w:p>
        </w:tc>
        <w:tc>
          <w:tcPr>
            <w:tcW w:w="780" w:type="dxa"/>
            <w:vAlign w:val="bottom"/>
          </w:tcPr>
          <w:p>
            <w:pPr>
              <w:spacing w:after="0"/>
              <w:rPr>
                <w:sz w:val="12"/>
                <w:szCs w:val="12"/>
                <w:color w:val="auto"/>
              </w:rPr>
            </w:pPr>
          </w:p>
        </w:tc>
        <w:tc>
          <w:tcPr>
            <w:tcW w:w="160" w:type="dxa"/>
            <w:vAlign w:val="bottom"/>
            <w:tcBorders>
              <w:top w:val="single" w:sz="8" w:color="auto"/>
              <w:bottom w:val="single" w:sz="8" w:color="auto"/>
            </w:tcBorders>
          </w:tcPr>
          <w:p>
            <w:pPr>
              <w:spacing w:after="0"/>
              <w:rPr>
                <w:sz w:val="12"/>
                <w:szCs w:val="12"/>
                <w:color w:val="auto"/>
              </w:rPr>
            </w:pPr>
          </w:p>
        </w:tc>
        <w:tc>
          <w:tcPr>
            <w:tcW w:w="1600" w:type="dxa"/>
            <w:vAlign w:val="bottom"/>
            <w:tcBorders>
              <w:top w:val="single" w:sz="8" w:color="auto"/>
              <w:bottom w:val="single" w:sz="8" w:color="auto"/>
            </w:tcBorders>
            <w:gridSpan w:val="3"/>
          </w:tcPr>
          <w:p>
            <w:pPr>
              <w:jc w:val="center"/>
              <w:ind w:left="320"/>
              <w:spacing w:after="0" w:line="142" w:lineRule="exact"/>
              <w:rPr>
                <w:sz w:val="20"/>
                <w:szCs w:val="20"/>
                <w:color w:val="auto"/>
              </w:rPr>
            </w:pPr>
            <w:r>
              <w:rPr>
                <w:rFonts w:ascii="Arial" w:cs="Arial" w:eastAsia="Arial" w:hAnsi="Arial"/>
                <w:sz w:val="14"/>
                <w:szCs w:val="14"/>
                <w:b w:val="1"/>
                <w:bCs w:val="1"/>
                <w:color w:val="auto"/>
                <w:w w:val="88"/>
              </w:rPr>
              <w:t>Nine Months Ended</w:t>
            </w:r>
          </w:p>
        </w:tc>
        <w:tc>
          <w:tcPr>
            <w:tcW w:w="560" w:type="dxa"/>
            <w:vAlign w:val="bottom"/>
            <w:tcBorders>
              <w:top w:val="single" w:sz="8" w:color="auto"/>
              <w:bottom w:val="single" w:sz="8" w:color="auto"/>
            </w:tcBorders>
          </w:tcPr>
          <w:p>
            <w:pPr>
              <w:spacing w:after="0"/>
              <w:rPr>
                <w:sz w:val="12"/>
                <w:szCs w:val="12"/>
                <w:color w:val="auto"/>
              </w:rPr>
            </w:pPr>
          </w:p>
        </w:tc>
        <w:tc>
          <w:tcPr>
            <w:tcW w:w="200" w:type="dxa"/>
            <w:vAlign w:val="bottom"/>
          </w:tcPr>
          <w:p>
            <w:pPr>
              <w:spacing w:after="0"/>
              <w:rPr>
                <w:sz w:val="12"/>
                <w:szCs w:val="12"/>
                <w:color w:val="auto"/>
              </w:rPr>
            </w:pPr>
          </w:p>
        </w:tc>
      </w:tr>
      <w:tr>
        <w:trPr>
          <w:trHeight w:val="129"/>
        </w:trPr>
        <w:tc>
          <w:tcPr>
            <w:tcW w:w="3500" w:type="dxa"/>
            <w:vAlign w:val="bottom"/>
          </w:tcPr>
          <w:p>
            <w:pPr>
              <w:spacing w:after="0"/>
              <w:rPr>
                <w:sz w:val="11"/>
                <w:szCs w:val="11"/>
                <w:color w:val="auto"/>
              </w:rPr>
            </w:pPr>
          </w:p>
        </w:tc>
        <w:tc>
          <w:tcPr>
            <w:tcW w:w="1520" w:type="dxa"/>
            <w:vAlign w:val="bottom"/>
          </w:tcPr>
          <w:p>
            <w:pPr>
              <w:spacing w:after="0"/>
              <w:rPr>
                <w:sz w:val="11"/>
                <w:szCs w:val="11"/>
                <w:color w:val="auto"/>
              </w:rPr>
            </w:pPr>
          </w:p>
        </w:tc>
        <w:tc>
          <w:tcPr>
            <w:tcW w:w="1440" w:type="dxa"/>
            <w:vAlign w:val="bottom"/>
            <w:gridSpan w:val="3"/>
          </w:tcPr>
          <w:p>
            <w:pPr>
              <w:spacing w:after="0" w:line="129" w:lineRule="exact"/>
              <w:rPr>
                <w:sz w:val="20"/>
                <w:szCs w:val="20"/>
                <w:color w:val="auto"/>
              </w:rPr>
            </w:pPr>
            <w:r>
              <w:rPr>
                <w:rFonts w:ascii="Arial" w:cs="Arial" w:eastAsia="Arial" w:hAnsi="Arial"/>
                <w:sz w:val="14"/>
                <w:szCs w:val="14"/>
                <w:b w:val="1"/>
                <w:bCs w:val="1"/>
                <w:color w:val="auto"/>
              </w:rPr>
              <w:t>October 31,</w:t>
            </w:r>
          </w:p>
        </w:tc>
        <w:tc>
          <w:tcPr>
            <w:tcW w:w="740" w:type="dxa"/>
            <w:vAlign w:val="bottom"/>
            <w:gridSpan w:val="2"/>
          </w:tcPr>
          <w:p>
            <w:pPr>
              <w:spacing w:after="0" w:line="129" w:lineRule="exact"/>
              <w:rPr>
                <w:sz w:val="20"/>
                <w:szCs w:val="20"/>
                <w:color w:val="auto"/>
              </w:rPr>
            </w:pPr>
            <w:r>
              <w:rPr>
                <w:rFonts w:ascii="Arial" w:cs="Arial" w:eastAsia="Arial" w:hAnsi="Arial"/>
                <w:sz w:val="14"/>
                <w:szCs w:val="14"/>
                <w:b w:val="1"/>
                <w:bCs w:val="1"/>
                <w:color w:val="auto"/>
                <w:w w:val="85"/>
              </w:rPr>
              <w:t>November 1,</w:t>
            </w:r>
          </w:p>
        </w:tc>
        <w:tc>
          <w:tcPr>
            <w:tcW w:w="780" w:type="dxa"/>
            <w:vAlign w:val="bottom"/>
          </w:tcPr>
          <w:p>
            <w:pPr>
              <w:spacing w:after="0"/>
              <w:rPr>
                <w:sz w:val="11"/>
                <w:szCs w:val="11"/>
                <w:color w:val="auto"/>
              </w:rPr>
            </w:pPr>
          </w:p>
        </w:tc>
        <w:tc>
          <w:tcPr>
            <w:tcW w:w="1500" w:type="dxa"/>
            <w:vAlign w:val="bottom"/>
            <w:gridSpan w:val="3"/>
          </w:tcPr>
          <w:p>
            <w:pPr>
              <w:ind w:left="20"/>
              <w:spacing w:after="0" w:line="129" w:lineRule="exact"/>
              <w:rPr>
                <w:sz w:val="20"/>
                <w:szCs w:val="20"/>
                <w:color w:val="auto"/>
              </w:rPr>
            </w:pPr>
            <w:r>
              <w:rPr>
                <w:rFonts w:ascii="Arial" w:cs="Arial" w:eastAsia="Arial" w:hAnsi="Arial"/>
                <w:sz w:val="14"/>
                <w:szCs w:val="14"/>
                <w:b w:val="1"/>
                <w:bCs w:val="1"/>
                <w:color w:val="auto"/>
              </w:rPr>
              <w:t>October 31,</w:t>
            </w:r>
          </w:p>
        </w:tc>
        <w:tc>
          <w:tcPr>
            <w:tcW w:w="820" w:type="dxa"/>
            <w:vAlign w:val="bottom"/>
            <w:gridSpan w:val="2"/>
          </w:tcPr>
          <w:p>
            <w:pPr>
              <w:jc w:val="right"/>
              <w:spacing w:after="0" w:line="129" w:lineRule="exact"/>
              <w:rPr>
                <w:sz w:val="20"/>
                <w:szCs w:val="20"/>
                <w:color w:val="auto"/>
              </w:rPr>
            </w:pPr>
            <w:r>
              <w:rPr>
                <w:rFonts w:ascii="Arial" w:cs="Arial" w:eastAsia="Arial" w:hAnsi="Arial"/>
                <w:sz w:val="14"/>
                <w:szCs w:val="14"/>
                <w:b w:val="1"/>
                <w:bCs w:val="1"/>
                <w:color w:val="auto"/>
                <w:w w:val="90"/>
              </w:rPr>
              <w:t>November 1,</w:t>
            </w:r>
          </w:p>
        </w:tc>
        <w:tc>
          <w:tcPr>
            <w:tcW w:w="200" w:type="dxa"/>
            <w:vAlign w:val="bottom"/>
          </w:tcPr>
          <w:p>
            <w:pPr>
              <w:spacing w:after="0"/>
              <w:rPr>
                <w:sz w:val="11"/>
                <w:szCs w:val="11"/>
                <w:color w:val="auto"/>
              </w:rPr>
            </w:pPr>
          </w:p>
        </w:tc>
      </w:tr>
      <w:tr>
        <w:trPr>
          <w:trHeight w:val="161"/>
        </w:trPr>
        <w:tc>
          <w:tcPr>
            <w:tcW w:w="3500" w:type="dxa"/>
            <w:vAlign w:val="bottom"/>
          </w:tcPr>
          <w:p>
            <w:pPr>
              <w:spacing w:after="0"/>
              <w:rPr>
                <w:sz w:val="14"/>
                <w:szCs w:val="14"/>
                <w:color w:val="auto"/>
              </w:rPr>
            </w:pPr>
          </w:p>
        </w:tc>
        <w:tc>
          <w:tcPr>
            <w:tcW w:w="1520" w:type="dxa"/>
            <w:vAlign w:val="bottom"/>
          </w:tcPr>
          <w:p>
            <w:pPr>
              <w:spacing w:after="0"/>
              <w:rPr>
                <w:sz w:val="14"/>
                <w:szCs w:val="14"/>
                <w:color w:val="auto"/>
              </w:rPr>
            </w:pPr>
          </w:p>
        </w:tc>
        <w:tc>
          <w:tcPr>
            <w:tcW w:w="140" w:type="dxa"/>
            <w:vAlign w:val="bottom"/>
            <w:tcBorders>
              <w:bottom w:val="single" w:sz="8" w:color="auto"/>
            </w:tcBorders>
          </w:tcPr>
          <w:p>
            <w:pPr>
              <w:spacing w:after="0"/>
              <w:rPr>
                <w:sz w:val="14"/>
                <w:szCs w:val="14"/>
                <w:color w:val="auto"/>
              </w:rPr>
            </w:pPr>
          </w:p>
        </w:tc>
        <w:tc>
          <w:tcPr>
            <w:tcW w:w="540" w:type="dxa"/>
            <w:vAlign w:val="bottom"/>
            <w:tcBorders>
              <w:bottom w:val="single" w:sz="8" w:color="auto"/>
            </w:tcBorders>
          </w:tcPr>
          <w:p>
            <w:pPr>
              <w:jc w:val="right"/>
              <w:ind w:right="120"/>
              <w:spacing w:after="0"/>
              <w:rPr>
                <w:sz w:val="20"/>
                <w:szCs w:val="20"/>
                <w:color w:val="auto"/>
              </w:rPr>
            </w:pPr>
            <w:r>
              <w:rPr>
                <w:rFonts w:ascii="Arial" w:cs="Arial" w:eastAsia="Arial" w:hAnsi="Arial"/>
                <w:sz w:val="14"/>
                <w:szCs w:val="14"/>
                <w:b w:val="1"/>
                <w:bCs w:val="1"/>
                <w:color w:val="auto"/>
              </w:rPr>
              <w:t>2009</w:t>
            </w:r>
          </w:p>
        </w:tc>
        <w:tc>
          <w:tcPr>
            <w:tcW w:w="760" w:type="dxa"/>
            <w:vAlign w:val="bottom"/>
          </w:tcPr>
          <w:p>
            <w:pPr>
              <w:spacing w:after="0"/>
              <w:rPr>
                <w:sz w:val="14"/>
                <w:szCs w:val="14"/>
                <w:color w:val="auto"/>
              </w:rPr>
            </w:pPr>
          </w:p>
        </w:tc>
        <w:tc>
          <w:tcPr>
            <w:tcW w:w="240" w:type="dxa"/>
            <w:vAlign w:val="bottom"/>
            <w:tcBorders>
              <w:bottom w:val="single" w:sz="8" w:color="auto"/>
            </w:tcBorders>
          </w:tcPr>
          <w:p>
            <w:pPr>
              <w:spacing w:after="0"/>
              <w:rPr>
                <w:sz w:val="14"/>
                <w:szCs w:val="14"/>
                <w:color w:val="auto"/>
              </w:rPr>
            </w:pPr>
          </w:p>
        </w:tc>
        <w:tc>
          <w:tcPr>
            <w:tcW w:w="500" w:type="dxa"/>
            <w:vAlign w:val="bottom"/>
            <w:tcBorders>
              <w:bottom w:val="single" w:sz="8" w:color="auto"/>
            </w:tcBorders>
          </w:tcPr>
          <w:p>
            <w:pPr>
              <w:jc w:val="right"/>
              <w:ind w:right="156"/>
              <w:spacing w:after="0"/>
              <w:rPr>
                <w:sz w:val="20"/>
                <w:szCs w:val="20"/>
                <w:color w:val="auto"/>
              </w:rPr>
            </w:pPr>
            <w:r>
              <w:rPr>
                <w:rFonts w:ascii="Arial" w:cs="Arial" w:eastAsia="Arial" w:hAnsi="Arial"/>
                <w:sz w:val="14"/>
                <w:szCs w:val="14"/>
                <w:b w:val="1"/>
                <w:bCs w:val="1"/>
                <w:color w:val="auto"/>
                <w:w w:val="76"/>
              </w:rPr>
              <w:t>2008</w:t>
            </w:r>
          </w:p>
        </w:tc>
        <w:tc>
          <w:tcPr>
            <w:tcW w:w="780" w:type="dxa"/>
            <w:vAlign w:val="bottom"/>
          </w:tcPr>
          <w:p>
            <w:pPr>
              <w:spacing w:after="0"/>
              <w:rPr>
                <w:sz w:val="14"/>
                <w:szCs w:val="14"/>
                <w:color w:val="auto"/>
              </w:rPr>
            </w:pPr>
          </w:p>
        </w:tc>
        <w:tc>
          <w:tcPr>
            <w:tcW w:w="160" w:type="dxa"/>
            <w:vAlign w:val="bottom"/>
            <w:tcBorders>
              <w:bottom w:val="single" w:sz="8" w:color="auto"/>
            </w:tcBorders>
          </w:tcPr>
          <w:p>
            <w:pPr>
              <w:spacing w:after="0"/>
              <w:rPr>
                <w:sz w:val="14"/>
                <w:szCs w:val="14"/>
                <w:color w:val="auto"/>
              </w:rPr>
            </w:pPr>
          </w:p>
        </w:tc>
        <w:tc>
          <w:tcPr>
            <w:tcW w:w="560" w:type="dxa"/>
            <w:vAlign w:val="bottom"/>
            <w:tcBorders>
              <w:bottom w:val="single" w:sz="8" w:color="auto"/>
            </w:tcBorders>
          </w:tcPr>
          <w:p>
            <w:pPr>
              <w:jc w:val="right"/>
              <w:ind w:right="160"/>
              <w:spacing w:after="0"/>
              <w:rPr>
                <w:sz w:val="20"/>
                <w:szCs w:val="20"/>
                <w:color w:val="auto"/>
              </w:rPr>
            </w:pPr>
            <w:r>
              <w:rPr>
                <w:rFonts w:ascii="Arial" w:cs="Arial" w:eastAsia="Arial" w:hAnsi="Arial"/>
                <w:sz w:val="14"/>
                <w:szCs w:val="14"/>
                <w:b w:val="1"/>
                <w:bCs w:val="1"/>
                <w:color w:val="auto"/>
                <w:w w:val="96"/>
              </w:rPr>
              <w:t>2009</w:t>
            </w:r>
          </w:p>
        </w:tc>
        <w:tc>
          <w:tcPr>
            <w:tcW w:w="780" w:type="dxa"/>
            <w:vAlign w:val="bottom"/>
          </w:tcPr>
          <w:p>
            <w:pPr>
              <w:spacing w:after="0"/>
              <w:rPr>
                <w:sz w:val="14"/>
                <w:szCs w:val="14"/>
                <w:color w:val="auto"/>
              </w:rPr>
            </w:pPr>
          </w:p>
        </w:tc>
        <w:tc>
          <w:tcPr>
            <w:tcW w:w="260" w:type="dxa"/>
            <w:vAlign w:val="bottom"/>
            <w:tcBorders>
              <w:bottom w:val="single" w:sz="8" w:color="auto"/>
            </w:tcBorders>
          </w:tcPr>
          <w:p>
            <w:pPr>
              <w:spacing w:after="0"/>
              <w:rPr>
                <w:sz w:val="14"/>
                <w:szCs w:val="14"/>
                <w:color w:val="auto"/>
              </w:rPr>
            </w:pPr>
          </w:p>
        </w:tc>
        <w:tc>
          <w:tcPr>
            <w:tcW w:w="560" w:type="dxa"/>
            <w:vAlign w:val="bottom"/>
            <w:tcBorders>
              <w:bottom w:val="single" w:sz="8" w:color="auto"/>
            </w:tcBorders>
          </w:tcPr>
          <w:p>
            <w:pPr>
              <w:jc w:val="right"/>
              <w:ind w:right="196"/>
              <w:spacing w:after="0"/>
              <w:rPr>
                <w:sz w:val="20"/>
                <w:szCs w:val="20"/>
                <w:color w:val="auto"/>
              </w:rPr>
            </w:pPr>
            <w:r>
              <w:rPr>
                <w:rFonts w:ascii="Arial" w:cs="Arial" w:eastAsia="Arial" w:hAnsi="Arial"/>
                <w:sz w:val="14"/>
                <w:szCs w:val="14"/>
                <w:b w:val="1"/>
                <w:bCs w:val="1"/>
                <w:color w:val="auto"/>
                <w:w w:val="83"/>
              </w:rPr>
              <w:t>2008</w:t>
            </w:r>
          </w:p>
        </w:tc>
        <w:tc>
          <w:tcPr>
            <w:tcW w:w="200" w:type="dxa"/>
            <w:vAlign w:val="bottom"/>
          </w:tcPr>
          <w:p>
            <w:pPr>
              <w:spacing w:after="0"/>
              <w:rPr>
                <w:sz w:val="14"/>
                <w:szCs w:val="14"/>
                <w:color w:val="auto"/>
              </w:rPr>
            </w:pPr>
          </w:p>
        </w:tc>
      </w:tr>
      <w:tr>
        <w:trPr>
          <w:trHeight w:val="210"/>
        </w:trPr>
        <w:tc>
          <w:tcPr>
            <w:tcW w:w="3500" w:type="dxa"/>
            <w:vAlign w:val="bottom"/>
            <w:shd w:val="clear" w:color="auto" w:fill="CCEEFF"/>
          </w:tcPr>
          <w:p>
            <w:pPr>
              <w:spacing w:after="0"/>
              <w:rPr>
                <w:sz w:val="20"/>
                <w:szCs w:val="20"/>
                <w:color w:val="auto"/>
              </w:rPr>
            </w:pPr>
            <w:r>
              <w:rPr>
                <w:rFonts w:ascii="Arial" w:cs="Arial" w:eastAsia="Arial" w:hAnsi="Arial"/>
                <w:sz w:val="18"/>
                <w:szCs w:val="18"/>
                <w:color w:val="auto"/>
              </w:rPr>
              <w:t>Volatility</w:t>
            </w:r>
          </w:p>
        </w:tc>
        <w:tc>
          <w:tcPr>
            <w:tcW w:w="152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1300" w:type="dxa"/>
            <w:vAlign w:val="bottom"/>
            <w:gridSpan w:val="2"/>
            <w:shd w:val="clear" w:color="auto" w:fill="CCEEFF"/>
          </w:tcPr>
          <w:p>
            <w:pPr>
              <w:jc w:val="right"/>
              <w:ind w:right="620"/>
              <w:spacing w:after="0"/>
              <w:rPr>
                <w:sz w:val="20"/>
                <w:szCs w:val="20"/>
                <w:color w:val="auto"/>
              </w:rPr>
            </w:pPr>
            <w:r>
              <w:rPr>
                <w:rFonts w:ascii="Arial" w:cs="Arial" w:eastAsia="Arial" w:hAnsi="Arial"/>
                <w:sz w:val="18"/>
                <w:szCs w:val="18"/>
                <w:color w:val="auto"/>
              </w:rPr>
              <w:t>53%</w:t>
            </w:r>
          </w:p>
        </w:tc>
        <w:tc>
          <w:tcPr>
            <w:tcW w:w="240" w:type="dxa"/>
            <w:vAlign w:val="bottom"/>
            <w:shd w:val="clear" w:color="auto" w:fill="CCEEFF"/>
          </w:tcPr>
          <w:p>
            <w:pPr>
              <w:spacing w:after="0"/>
              <w:rPr>
                <w:sz w:val="18"/>
                <w:szCs w:val="18"/>
                <w:color w:val="auto"/>
              </w:rPr>
            </w:pPr>
          </w:p>
        </w:tc>
        <w:tc>
          <w:tcPr>
            <w:tcW w:w="1280" w:type="dxa"/>
            <w:vAlign w:val="bottom"/>
            <w:gridSpan w:val="2"/>
            <w:shd w:val="clear" w:color="auto" w:fill="CCEEFF"/>
          </w:tcPr>
          <w:p>
            <w:pPr>
              <w:jc w:val="right"/>
              <w:ind w:right="620"/>
              <w:spacing w:after="0"/>
              <w:rPr>
                <w:sz w:val="20"/>
                <w:szCs w:val="20"/>
                <w:color w:val="auto"/>
              </w:rPr>
            </w:pPr>
            <w:r>
              <w:rPr>
                <w:rFonts w:ascii="Arial" w:cs="Arial" w:eastAsia="Arial" w:hAnsi="Arial"/>
                <w:sz w:val="18"/>
                <w:szCs w:val="18"/>
                <w:color w:val="auto"/>
              </w:rPr>
              <w:t>44%</w:t>
            </w:r>
          </w:p>
        </w:tc>
        <w:tc>
          <w:tcPr>
            <w:tcW w:w="160" w:type="dxa"/>
            <w:vAlign w:val="bottom"/>
            <w:shd w:val="clear" w:color="auto" w:fill="CCEEFF"/>
          </w:tcPr>
          <w:p>
            <w:pPr>
              <w:spacing w:after="0"/>
              <w:rPr>
                <w:sz w:val="18"/>
                <w:szCs w:val="18"/>
                <w:color w:val="auto"/>
              </w:rPr>
            </w:pPr>
          </w:p>
        </w:tc>
        <w:tc>
          <w:tcPr>
            <w:tcW w:w="1340" w:type="dxa"/>
            <w:vAlign w:val="bottom"/>
            <w:gridSpan w:val="2"/>
            <w:shd w:val="clear" w:color="auto" w:fill="CCEEFF"/>
          </w:tcPr>
          <w:p>
            <w:pPr>
              <w:jc w:val="right"/>
              <w:ind w:right="640"/>
              <w:spacing w:after="0"/>
              <w:rPr>
                <w:sz w:val="20"/>
                <w:szCs w:val="20"/>
                <w:color w:val="auto"/>
              </w:rPr>
            </w:pPr>
            <w:r>
              <w:rPr>
                <w:rFonts w:ascii="Arial" w:cs="Arial" w:eastAsia="Arial" w:hAnsi="Arial"/>
                <w:sz w:val="18"/>
                <w:szCs w:val="18"/>
                <w:color w:val="auto"/>
              </w:rPr>
              <w:t>51%</w:t>
            </w:r>
          </w:p>
        </w:tc>
        <w:tc>
          <w:tcPr>
            <w:tcW w:w="260" w:type="dxa"/>
            <w:vAlign w:val="bottom"/>
            <w:shd w:val="clear" w:color="auto" w:fill="CCEEFF"/>
          </w:tcPr>
          <w:p>
            <w:pPr>
              <w:spacing w:after="0"/>
              <w:rPr>
                <w:sz w:val="18"/>
                <w:szCs w:val="18"/>
                <w:color w:val="auto"/>
              </w:rPr>
            </w:pPr>
          </w:p>
        </w:tc>
        <w:tc>
          <w:tcPr>
            <w:tcW w:w="76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45%</w:t>
            </w:r>
          </w:p>
        </w:tc>
      </w:tr>
      <w:tr>
        <w:trPr>
          <w:trHeight w:val="216"/>
        </w:trPr>
        <w:tc>
          <w:tcPr>
            <w:tcW w:w="3500" w:type="dxa"/>
            <w:vAlign w:val="bottom"/>
          </w:tcPr>
          <w:p>
            <w:pPr>
              <w:spacing w:after="0"/>
              <w:rPr>
                <w:sz w:val="20"/>
                <w:szCs w:val="20"/>
                <w:color w:val="auto"/>
              </w:rPr>
            </w:pPr>
            <w:r>
              <w:rPr>
                <w:rFonts w:ascii="Arial" w:cs="Arial" w:eastAsia="Arial" w:hAnsi="Arial"/>
                <w:sz w:val="18"/>
                <w:szCs w:val="18"/>
                <w:color w:val="auto"/>
              </w:rPr>
              <w:t>Expected life (in years)</w:t>
            </w:r>
          </w:p>
        </w:tc>
        <w:tc>
          <w:tcPr>
            <w:tcW w:w="152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1300" w:type="dxa"/>
            <w:vAlign w:val="bottom"/>
            <w:gridSpan w:val="2"/>
          </w:tcPr>
          <w:p>
            <w:pPr>
              <w:jc w:val="right"/>
              <w:ind w:right="760"/>
              <w:spacing w:after="0"/>
              <w:rPr>
                <w:sz w:val="20"/>
                <w:szCs w:val="20"/>
                <w:color w:val="auto"/>
              </w:rPr>
            </w:pPr>
            <w:r>
              <w:rPr>
                <w:rFonts w:ascii="Arial" w:cs="Arial" w:eastAsia="Arial" w:hAnsi="Arial"/>
                <w:sz w:val="18"/>
                <w:szCs w:val="18"/>
                <w:color w:val="auto"/>
              </w:rPr>
              <w:t>4.6</w:t>
            </w:r>
          </w:p>
        </w:tc>
        <w:tc>
          <w:tcPr>
            <w:tcW w:w="240" w:type="dxa"/>
            <w:vAlign w:val="bottom"/>
          </w:tcPr>
          <w:p>
            <w:pPr>
              <w:spacing w:after="0"/>
              <w:rPr>
                <w:sz w:val="18"/>
                <w:szCs w:val="18"/>
                <w:color w:val="auto"/>
              </w:rPr>
            </w:pPr>
          </w:p>
        </w:tc>
        <w:tc>
          <w:tcPr>
            <w:tcW w:w="1280" w:type="dxa"/>
            <w:vAlign w:val="bottom"/>
            <w:gridSpan w:val="2"/>
          </w:tcPr>
          <w:p>
            <w:pPr>
              <w:jc w:val="right"/>
              <w:ind w:right="780"/>
              <w:spacing w:after="0"/>
              <w:rPr>
                <w:sz w:val="20"/>
                <w:szCs w:val="20"/>
                <w:color w:val="auto"/>
              </w:rPr>
            </w:pPr>
            <w:r>
              <w:rPr>
                <w:rFonts w:ascii="Arial" w:cs="Arial" w:eastAsia="Arial" w:hAnsi="Arial"/>
                <w:sz w:val="18"/>
                <w:szCs w:val="18"/>
                <w:color w:val="auto"/>
              </w:rPr>
              <w:t>5.2</w:t>
            </w:r>
          </w:p>
        </w:tc>
        <w:tc>
          <w:tcPr>
            <w:tcW w:w="160" w:type="dxa"/>
            <w:vAlign w:val="bottom"/>
          </w:tcPr>
          <w:p>
            <w:pPr>
              <w:spacing w:after="0"/>
              <w:rPr>
                <w:sz w:val="18"/>
                <w:szCs w:val="18"/>
                <w:color w:val="auto"/>
              </w:rPr>
            </w:pPr>
          </w:p>
        </w:tc>
        <w:tc>
          <w:tcPr>
            <w:tcW w:w="560" w:type="dxa"/>
            <w:vAlign w:val="bottom"/>
          </w:tcPr>
          <w:p>
            <w:pPr>
              <w:jc w:val="right"/>
              <w:spacing w:after="0"/>
              <w:rPr>
                <w:sz w:val="20"/>
                <w:szCs w:val="20"/>
                <w:color w:val="auto"/>
              </w:rPr>
            </w:pPr>
            <w:r>
              <w:rPr>
                <w:rFonts w:ascii="Arial" w:cs="Arial" w:eastAsia="Arial" w:hAnsi="Arial"/>
                <w:sz w:val="18"/>
                <w:szCs w:val="18"/>
                <w:color w:val="auto"/>
              </w:rPr>
              <w:t>1.3</w:t>
            </w:r>
          </w:p>
        </w:tc>
        <w:tc>
          <w:tcPr>
            <w:tcW w:w="78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560" w:type="dxa"/>
            <w:vAlign w:val="bottom"/>
          </w:tcPr>
          <w:p>
            <w:pPr>
              <w:jc w:val="right"/>
              <w:spacing w:after="0"/>
              <w:rPr>
                <w:sz w:val="20"/>
                <w:szCs w:val="20"/>
                <w:color w:val="auto"/>
              </w:rPr>
            </w:pPr>
            <w:r>
              <w:rPr>
                <w:rFonts w:ascii="Arial" w:cs="Arial" w:eastAsia="Arial" w:hAnsi="Arial"/>
                <w:sz w:val="18"/>
                <w:szCs w:val="18"/>
                <w:color w:val="auto"/>
              </w:rPr>
              <w:t>1.3</w:t>
            </w:r>
          </w:p>
        </w:tc>
        <w:tc>
          <w:tcPr>
            <w:tcW w:w="200" w:type="dxa"/>
            <w:vAlign w:val="bottom"/>
          </w:tcPr>
          <w:p>
            <w:pPr>
              <w:spacing w:after="0"/>
              <w:rPr>
                <w:sz w:val="18"/>
                <w:szCs w:val="18"/>
                <w:color w:val="auto"/>
              </w:rPr>
            </w:pPr>
          </w:p>
        </w:tc>
      </w:tr>
      <w:tr>
        <w:trPr>
          <w:trHeight w:val="216"/>
        </w:trPr>
        <w:tc>
          <w:tcPr>
            <w:tcW w:w="3500" w:type="dxa"/>
            <w:vAlign w:val="bottom"/>
            <w:shd w:val="clear" w:color="auto" w:fill="CCEEFF"/>
          </w:tcPr>
          <w:p>
            <w:pPr>
              <w:spacing w:after="0"/>
              <w:rPr>
                <w:sz w:val="20"/>
                <w:szCs w:val="20"/>
                <w:color w:val="auto"/>
              </w:rPr>
            </w:pPr>
            <w:r>
              <w:rPr>
                <w:rFonts w:ascii="Arial" w:cs="Arial" w:eastAsia="Arial" w:hAnsi="Arial"/>
                <w:sz w:val="18"/>
                <w:szCs w:val="18"/>
                <w:color w:val="auto"/>
              </w:rPr>
              <w:t>Risk-free interest rate</w:t>
            </w:r>
          </w:p>
        </w:tc>
        <w:tc>
          <w:tcPr>
            <w:tcW w:w="152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1300" w:type="dxa"/>
            <w:vAlign w:val="bottom"/>
            <w:gridSpan w:val="2"/>
            <w:shd w:val="clear" w:color="auto" w:fill="CCEEFF"/>
          </w:tcPr>
          <w:p>
            <w:pPr>
              <w:jc w:val="right"/>
              <w:ind w:right="620"/>
              <w:spacing w:after="0"/>
              <w:rPr>
                <w:sz w:val="20"/>
                <w:szCs w:val="20"/>
                <w:color w:val="auto"/>
              </w:rPr>
            </w:pPr>
            <w:r>
              <w:rPr>
                <w:rFonts w:ascii="Arial" w:cs="Arial" w:eastAsia="Arial" w:hAnsi="Arial"/>
                <w:sz w:val="18"/>
                <w:szCs w:val="18"/>
                <w:color w:val="auto"/>
              </w:rPr>
              <w:t>2.1%</w:t>
            </w:r>
          </w:p>
        </w:tc>
        <w:tc>
          <w:tcPr>
            <w:tcW w:w="240" w:type="dxa"/>
            <w:vAlign w:val="bottom"/>
            <w:shd w:val="clear" w:color="auto" w:fill="CCEEFF"/>
          </w:tcPr>
          <w:p>
            <w:pPr>
              <w:spacing w:after="0"/>
              <w:rPr>
                <w:sz w:val="18"/>
                <w:szCs w:val="18"/>
                <w:color w:val="auto"/>
              </w:rPr>
            </w:pPr>
          </w:p>
        </w:tc>
        <w:tc>
          <w:tcPr>
            <w:tcW w:w="1280" w:type="dxa"/>
            <w:vAlign w:val="bottom"/>
            <w:gridSpan w:val="2"/>
            <w:shd w:val="clear" w:color="auto" w:fill="CCEEFF"/>
          </w:tcPr>
          <w:p>
            <w:pPr>
              <w:jc w:val="right"/>
              <w:ind w:right="620"/>
              <w:spacing w:after="0"/>
              <w:rPr>
                <w:sz w:val="20"/>
                <w:szCs w:val="20"/>
                <w:color w:val="auto"/>
              </w:rPr>
            </w:pPr>
            <w:r>
              <w:rPr>
                <w:rFonts w:ascii="Arial" w:cs="Arial" w:eastAsia="Arial" w:hAnsi="Arial"/>
                <w:sz w:val="18"/>
                <w:szCs w:val="18"/>
                <w:color w:val="auto"/>
              </w:rPr>
              <w:t>3.3%</w:t>
            </w:r>
          </w:p>
        </w:tc>
        <w:tc>
          <w:tcPr>
            <w:tcW w:w="160" w:type="dxa"/>
            <w:vAlign w:val="bottom"/>
            <w:shd w:val="clear" w:color="auto" w:fill="CCEEFF"/>
          </w:tcPr>
          <w:p>
            <w:pPr>
              <w:spacing w:after="0"/>
              <w:rPr>
                <w:sz w:val="18"/>
                <w:szCs w:val="18"/>
                <w:color w:val="auto"/>
              </w:rPr>
            </w:pPr>
          </w:p>
        </w:tc>
        <w:tc>
          <w:tcPr>
            <w:tcW w:w="1340" w:type="dxa"/>
            <w:vAlign w:val="bottom"/>
            <w:gridSpan w:val="2"/>
            <w:shd w:val="clear" w:color="auto" w:fill="CCEEFF"/>
          </w:tcPr>
          <w:p>
            <w:pPr>
              <w:jc w:val="right"/>
              <w:ind w:right="640"/>
              <w:spacing w:after="0"/>
              <w:rPr>
                <w:sz w:val="20"/>
                <w:szCs w:val="20"/>
                <w:color w:val="auto"/>
              </w:rPr>
            </w:pPr>
            <w:r>
              <w:rPr>
                <w:rFonts w:ascii="Arial" w:cs="Arial" w:eastAsia="Arial" w:hAnsi="Arial"/>
                <w:sz w:val="18"/>
                <w:szCs w:val="18"/>
                <w:color w:val="auto"/>
              </w:rPr>
              <w:t>0.7%</w:t>
            </w:r>
          </w:p>
        </w:tc>
        <w:tc>
          <w:tcPr>
            <w:tcW w:w="260" w:type="dxa"/>
            <w:vAlign w:val="bottom"/>
            <w:shd w:val="clear" w:color="auto" w:fill="CCEEFF"/>
          </w:tcPr>
          <w:p>
            <w:pPr>
              <w:spacing w:after="0"/>
              <w:rPr>
                <w:sz w:val="18"/>
                <w:szCs w:val="18"/>
                <w:color w:val="auto"/>
              </w:rPr>
            </w:pPr>
          </w:p>
        </w:tc>
        <w:tc>
          <w:tcPr>
            <w:tcW w:w="76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4.3%</w:t>
            </w:r>
          </w:p>
        </w:tc>
      </w:tr>
      <w:tr>
        <w:trPr>
          <w:trHeight w:val="216"/>
        </w:trPr>
        <w:tc>
          <w:tcPr>
            <w:tcW w:w="3500" w:type="dxa"/>
            <w:vAlign w:val="bottom"/>
          </w:tcPr>
          <w:p>
            <w:pPr>
              <w:spacing w:after="0"/>
              <w:rPr>
                <w:sz w:val="20"/>
                <w:szCs w:val="20"/>
                <w:color w:val="auto"/>
              </w:rPr>
            </w:pPr>
            <w:r>
              <w:rPr>
                <w:rFonts w:ascii="Arial" w:cs="Arial" w:eastAsia="Arial" w:hAnsi="Arial"/>
                <w:sz w:val="18"/>
                <w:szCs w:val="18"/>
                <w:color w:val="auto"/>
              </w:rPr>
              <w:t>Dividend yield</w:t>
            </w:r>
          </w:p>
        </w:tc>
        <w:tc>
          <w:tcPr>
            <w:tcW w:w="152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1300" w:type="dxa"/>
            <w:vAlign w:val="bottom"/>
            <w:gridSpan w:val="2"/>
          </w:tcPr>
          <w:p>
            <w:pPr>
              <w:jc w:val="right"/>
              <w:ind w:right="860"/>
              <w:spacing w:after="0"/>
              <w:rPr>
                <w:sz w:val="20"/>
                <w:szCs w:val="20"/>
                <w:color w:val="auto"/>
              </w:rPr>
            </w:pPr>
            <w:r>
              <w:rPr>
                <w:rFonts w:ascii="Arial" w:cs="Arial" w:eastAsia="Arial" w:hAnsi="Arial"/>
                <w:sz w:val="18"/>
                <w:szCs w:val="18"/>
                <w:color w:val="auto"/>
              </w:rPr>
              <w:t>—</w:t>
            </w:r>
          </w:p>
        </w:tc>
        <w:tc>
          <w:tcPr>
            <w:tcW w:w="240" w:type="dxa"/>
            <w:vAlign w:val="bottom"/>
          </w:tcPr>
          <w:p>
            <w:pPr>
              <w:spacing w:after="0"/>
              <w:rPr>
                <w:sz w:val="18"/>
                <w:szCs w:val="18"/>
                <w:color w:val="auto"/>
              </w:rPr>
            </w:pPr>
          </w:p>
        </w:tc>
        <w:tc>
          <w:tcPr>
            <w:tcW w:w="1280" w:type="dxa"/>
            <w:vAlign w:val="bottom"/>
            <w:gridSpan w:val="2"/>
          </w:tcPr>
          <w:p>
            <w:pPr>
              <w:jc w:val="right"/>
              <w:ind w:right="860"/>
              <w:spacing w:after="0"/>
              <w:rPr>
                <w:sz w:val="20"/>
                <w:szCs w:val="20"/>
                <w:color w:val="auto"/>
              </w:rPr>
            </w:pPr>
            <w:r>
              <w:rPr>
                <w:rFonts w:ascii="Arial" w:cs="Arial" w:eastAsia="Arial" w:hAnsi="Arial"/>
                <w:sz w:val="18"/>
                <w:szCs w:val="18"/>
                <w:color w:val="auto"/>
              </w:rPr>
              <w:t>—</w:t>
            </w:r>
          </w:p>
        </w:tc>
        <w:tc>
          <w:tcPr>
            <w:tcW w:w="160" w:type="dxa"/>
            <w:vAlign w:val="bottom"/>
          </w:tcPr>
          <w:p>
            <w:pPr>
              <w:spacing w:after="0"/>
              <w:rPr>
                <w:sz w:val="18"/>
                <w:szCs w:val="18"/>
                <w:color w:val="auto"/>
              </w:rPr>
            </w:pPr>
          </w:p>
        </w:tc>
        <w:tc>
          <w:tcPr>
            <w:tcW w:w="1340" w:type="dxa"/>
            <w:vAlign w:val="bottom"/>
            <w:gridSpan w:val="2"/>
          </w:tcPr>
          <w:p>
            <w:pPr>
              <w:jc w:val="right"/>
              <w:ind w:right="880"/>
              <w:spacing w:after="0"/>
              <w:rPr>
                <w:sz w:val="20"/>
                <w:szCs w:val="20"/>
                <w:color w:val="auto"/>
              </w:rPr>
            </w:pPr>
            <w:r>
              <w:rPr>
                <w:rFonts w:ascii="Arial" w:cs="Arial" w:eastAsia="Arial" w:hAnsi="Arial"/>
                <w:sz w:val="18"/>
                <w:szCs w:val="18"/>
                <w:color w:val="auto"/>
              </w:rPr>
              <w:t>—</w:t>
            </w:r>
          </w:p>
        </w:tc>
        <w:tc>
          <w:tcPr>
            <w:tcW w:w="260" w:type="dxa"/>
            <w:vAlign w:val="bottom"/>
          </w:tcPr>
          <w:p>
            <w:pPr>
              <w:spacing w:after="0"/>
              <w:rPr>
                <w:sz w:val="18"/>
                <w:szCs w:val="18"/>
                <w:color w:val="auto"/>
              </w:rPr>
            </w:pPr>
          </w:p>
        </w:tc>
        <w:tc>
          <w:tcPr>
            <w:tcW w:w="760" w:type="dxa"/>
            <w:vAlign w:val="bottom"/>
            <w:gridSpan w:val="2"/>
          </w:tcPr>
          <w:p>
            <w:pPr>
              <w:jc w:val="right"/>
              <w:ind w:right="280"/>
              <w:spacing w:after="0"/>
              <w:rPr>
                <w:sz w:val="20"/>
                <w:szCs w:val="20"/>
                <w:color w:val="auto"/>
              </w:rPr>
            </w:pPr>
            <w:r>
              <w:rPr>
                <w:rFonts w:ascii="Arial" w:cs="Arial" w:eastAsia="Arial" w:hAnsi="Arial"/>
                <w:sz w:val="18"/>
                <w:szCs w:val="18"/>
                <w:color w:val="auto"/>
              </w:rPr>
              <w:t>—</w:t>
            </w:r>
          </w:p>
        </w:tc>
      </w:tr>
      <w:tr>
        <w:trPr>
          <w:trHeight w:val="216"/>
        </w:trPr>
        <w:tc>
          <w:tcPr>
            <w:tcW w:w="3500" w:type="dxa"/>
            <w:vAlign w:val="bottom"/>
            <w:shd w:val="clear" w:color="auto" w:fill="CCEEFF"/>
          </w:tcPr>
          <w:p>
            <w:pPr>
              <w:spacing w:after="0"/>
              <w:rPr>
                <w:sz w:val="20"/>
                <w:szCs w:val="20"/>
                <w:color w:val="auto"/>
              </w:rPr>
            </w:pPr>
            <w:r>
              <w:rPr>
                <w:rFonts w:ascii="Arial" w:cs="Arial" w:eastAsia="Arial" w:hAnsi="Arial"/>
                <w:sz w:val="18"/>
                <w:szCs w:val="18"/>
                <w:color w:val="auto"/>
              </w:rPr>
              <w:t>Weighted average fair value</w:t>
            </w:r>
          </w:p>
        </w:tc>
        <w:tc>
          <w:tcPr>
            <w:tcW w:w="1660" w:type="dxa"/>
            <w:vAlign w:val="bottom"/>
            <w:gridSpan w:val="2"/>
            <w:shd w:val="clear" w:color="auto" w:fill="CCEEFF"/>
          </w:tcPr>
          <w:p>
            <w:pPr>
              <w:ind w:left="1520"/>
              <w:spacing w:after="0"/>
              <w:rPr>
                <w:sz w:val="20"/>
                <w:szCs w:val="20"/>
                <w:color w:val="auto"/>
              </w:rPr>
            </w:pPr>
            <w:r>
              <w:rPr>
                <w:rFonts w:ascii="Arial" w:cs="Arial" w:eastAsia="Arial" w:hAnsi="Arial"/>
                <w:sz w:val="18"/>
                <w:szCs w:val="18"/>
                <w:color w:val="auto"/>
              </w:rPr>
              <w:t>$</w:t>
            </w:r>
          </w:p>
        </w:tc>
        <w:tc>
          <w:tcPr>
            <w:tcW w:w="1300" w:type="dxa"/>
            <w:vAlign w:val="bottom"/>
            <w:gridSpan w:val="2"/>
            <w:shd w:val="clear" w:color="auto" w:fill="CCEEFF"/>
          </w:tcPr>
          <w:p>
            <w:pPr>
              <w:jc w:val="right"/>
              <w:ind w:right="760"/>
              <w:spacing w:after="0"/>
              <w:rPr>
                <w:sz w:val="20"/>
                <w:szCs w:val="20"/>
                <w:color w:val="auto"/>
              </w:rPr>
            </w:pPr>
            <w:r>
              <w:rPr>
                <w:rFonts w:ascii="Arial" w:cs="Arial" w:eastAsia="Arial" w:hAnsi="Arial"/>
                <w:sz w:val="18"/>
                <w:szCs w:val="18"/>
                <w:color w:val="auto"/>
              </w:rPr>
              <w:t>5.82</w:t>
            </w:r>
          </w:p>
        </w:tc>
        <w:tc>
          <w:tcPr>
            <w:tcW w:w="240" w:type="dxa"/>
            <w:vAlign w:val="bottom"/>
            <w:shd w:val="clear" w:color="auto" w:fill="CCEEFF"/>
          </w:tcPr>
          <w:p>
            <w:pPr>
              <w:spacing w:after="0"/>
              <w:rPr>
                <w:sz w:val="20"/>
                <w:szCs w:val="20"/>
                <w:color w:val="auto"/>
              </w:rPr>
            </w:pPr>
            <w:r>
              <w:rPr>
                <w:rFonts w:ascii="Arial" w:cs="Arial" w:eastAsia="Arial" w:hAnsi="Arial"/>
                <w:sz w:val="18"/>
                <w:szCs w:val="18"/>
                <w:color w:val="auto"/>
              </w:rPr>
              <w:t>$</w:t>
            </w:r>
          </w:p>
        </w:tc>
        <w:tc>
          <w:tcPr>
            <w:tcW w:w="1280" w:type="dxa"/>
            <w:vAlign w:val="bottom"/>
            <w:gridSpan w:val="2"/>
            <w:shd w:val="clear" w:color="auto" w:fill="CCEEFF"/>
          </w:tcPr>
          <w:p>
            <w:pPr>
              <w:jc w:val="right"/>
              <w:ind w:right="780"/>
              <w:spacing w:after="0"/>
              <w:rPr>
                <w:sz w:val="20"/>
                <w:szCs w:val="20"/>
                <w:color w:val="auto"/>
              </w:rPr>
            </w:pPr>
            <w:r>
              <w:rPr>
                <w:rFonts w:ascii="Arial" w:cs="Arial" w:eastAsia="Arial" w:hAnsi="Arial"/>
                <w:sz w:val="18"/>
                <w:szCs w:val="18"/>
                <w:color w:val="auto"/>
              </w:rPr>
              <w:t>5.23</w:t>
            </w:r>
          </w:p>
        </w:tc>
        <w:tc>
          <w:tcPr>
            <w:tcW w:w="160" w:type="dxa"/>
            <w:vAlign w:val="bottom"/>
            <w:shd w:val="clear" w:color="auto" w:fill="CCEEFF"/>
          </w:tcPr>
          <w:p>
            <w:pPr>
              <w:spacing w:after="0"/>
              <w:rPr>
                <w:sz w:val="20"/>
                <w:szCs w:val="20"/>
                <w:color w:val="auto"/>
              </w:rPr>
            </w:pPr>
            <w:r>
              <w:rPr>
                <w:rFonts w:ascii="Arial" w:cs="Arial" w:eastAsia="Arial" w:hAnsi="Arial"/>
                <w:sz w:val="18"/>
                <w:szCs w:val="18"/>
                <w:color w:val="auto"/>
              </w:rPr>
              <w:t>$</w:t>
            </w:r>
          </w:p>
        </w:tc>
        <w:tc>
          <w:tcPr>
            <w:tcW w:w="5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4.14</w:t>
            </w:r>
          </w:p>
        </w:tc>
        <w:tc>
          <w:tcPr>
            <w:tcW w:w="780" w:type="dxa"/>
            <w:vAlign w:val="bottom"/>
            <w:shd w:val="clear" w:color="auto" w:fill="CCEEFF"/>
          </w:tcPr>
          <w:p>
            <w:pPr>
              <w:spacing w:after="0"/>
              <w:rPr>
                <w:sz w:val="18"/>
                <w:szCs w:val="18"/>
                <w:color w:val="auto"/>
              </w:rPr>
            </w:pPr>
          </w:p>
        </w:tc>
        <w:tc>
          <w:tcPr>
            <w:tcW w:w="260" w:type="dxa"/>
            <w:vAlign w:val="bottom"/>
            <w:shd w:val="clear" w:color="auto" w:fill="CCEEFF"/>
          </w:tcPr>
          <w:p>
            <w:pPr>
              <w:jc w:val="right"/>
              <w:ind w:right="108"/>
              <w:spacing w:after="0"/>
              <w:rPr>
                <w:sz w:val="20"/>
                <w:szCs w:val="20"/>
                <w:color w:val="auto"/>
              </w:rPr>
            </w:pPr>
            <w:r>
              <w:rPr>
                <w:rFonts w:ascii="Arial" w:cs="Arial" w:eastAsia="Arial" w:hAnsi="Arial"/>
                <w:sz w:val="15"/>
                <w:szCs w:val="15"/>
                <w:color w:val="auto"/>
                <w:w w:val="71"/>
              </w:rPr>
              <w:t>$</w:t>
            </w:r>
          </w:p>
        </w:tc>
        <w:tc>
          <w:tcPr>
            <w:tcW w:w="5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6.05</w:t>
            </w:r>
          </w:p>
        </w:tc>
        <w:tc>
          <w:tcPr>
            <w:tcW w:w="200" w:type="dxa"/>
            <w:vAlign w:val="bottom"/>
            <w:shd w:val="clear" w:color="auto" w:fill="CCEEFF"/>
          </w:tcPr>
          <w:p>
            <w:pPr>
              <w:spacing w:after="0"/>
              <w:rPr>
                <w:sz w:val="18"/>
                <w:szCs w:val="18"/>
                <w:color w:val="auto"/>
              </w:rPr>
            </w:pPr>
          </w:p>
        </w:tc>
      </w:tr>
    </w:tbl>
    <w:p>
      <w:pPr>
        <w:spacing w:after="0" w:line="154" w:lineRule="exact"/>
        <w:rPr>
          <w:sz w:val="20"/>
          <w:szCs w:val="20"/>
          <w:color w:val="auto"/>
        </w:rPr>
      </w:pPr>
    </w:p>
    <w:p>
      <w:pPr>
        <w:ind w:right="220" w:firstLine="456"/>
        <w:spacing w:after="0" w:line="298" w:lineRule="auto"/>
        <w:rPr>
          <w:sz w:val="20"/>
          <w:szCs w:val="20"/>
          <w:color w:val="auto"/>
        </w:rPr>
      </w:pPr>
      <w:r>
        <w:rPr>
          <w:rFonts w:ascii="Arial" w:cs="Arial" w:eastAsia="Arial" w:hAnsi="Arial"/>
          <w:sz w:val="16"/>
          <w:szCs w:val="16"/>
          <w:color w:val="auto"/>
        </w:rPr>
        <w:t>The Company established the expected term for employee options and awards, as well as expected forfeiture rates, based on the historical settlement experience and after giving consideration to vesting schedules. Expected volatility was developed based on the average of the Company’s historical daily stock price volatility. The risk-free interest rate assumption is based on observed interest rates appropriate for the expected terms of the Company’s stock options. Forfeitures were estimated at the time of grant and revised, if necessary, in subsequent periods if actual forfeitures differ from initial estimates.</w:t>
      </w:r>
    </w:p>
    <w:p>
      <w:pPr>
        <w:spacing w:after="0" w:line="188"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Note 11. Shareholders’ Equity</w:t>
      </w:r>
    </w:p>
    <w:p>
      <w:pPr>
        <w:spacing w:after="0" w:line="96" w:lineRule="exact"/>
        <w:rPr>
          <w:sz w:val="20"/>
          <w:szCs w:val="20"/>
          <w:color w:val="auto"/>
        </w:rPr>
      </w:pPr>
    </w:p>
    <w:p>
      <w:pPr>
        <w:ind w:left="240"/>
        <w:spacing w:after="0"/>
        <w:rPr>
          <w:sz w:val="20"/>
          <w:szCs w:val="20"/>
          <w:color w:val="auto"/>
        </w:rPr>
      </w:pPr>
      <w:r>
        <w:rPr>
          <w:rFonts w:ascii="Arial" w:cs="Arial" w:eastAsia="Arial" w:hAnsi="Arial"/>
          <w:sz w:val="18"/>
          <w:szCs w:val="18"/>
          <w:b w:val="1"/>
          <w:bCs w:val="1"/>
          <w:i w:val="1"/>
          <w:iCs w:val="1"/>
          <w:color w:val="auto"/>
        </w:rPr>
        <w:t>Stock plans</w:t>
      </w:r>
    </w:p>
    <w:p>
      <w:pPr>
        <w:spacing w:after="0" w:line="90" w:lineRule="exact"/>
        <w:rPr>
          <w:sz w:val="20"/>
          <w:szCs w:val="20"/>
          <w:color w:val="auto"/>
        </w:rPr>
      </w:pPr>
    </w:p>
    <w:p>
      <w:pPr>
        <w:ind w:firstLine="456"/>
        <w:spacing w:after="0" w:line="290" w:lineRule="auto"/>
        <w:rPr>
          <w:sz w:val="20"/>
          <w:szCs w:val="20"/>
          <w:color w:val="auto"/>
        </w:rPr>
      </w:pPr>
      <w:r>
        <w:rPr>
          <w:rFonts w:ascii="Arial" w:cs="Arial" w:eastAsia="Arial" w:hAnsi="Arial"/>
          <w:sz w:val="16"/>
          <w:szCs w:val="16"/>
          <w:color w:val="auto"/>
        </w:rPr>
        <w:t>In April 1995, the Company adopted the 1995 Stock Option Plan (the “Option Plan”). The Option Plan, as amended, had 383.4 million common shares reserved for issuance thereunder as of October 31, 2009. Options granted under the Option Plan generally have a term of ten years and generally must be issued at prices not less than 100% and 85% for incentive and nonqualified stock options, respectively, of the fair market value of the stock on the date of grant. Incentive stock options granted to shareholders who own greater than 10% of the outstanding stock are for periods not to exceed five years and must be issued at prices not less than 110% of the fair market value of the stock on the date of grant. The options generally vest 20% one year after the vesting commencement date, and the remaining shares vest one-sixtieth per month over the remaining 48 months. Options granted under the Option Plan subsequent to March 1, 2000 may only be exercised upon or after vesting.</w:t>
      </w:r>
    </w:p>
    <w:p>
      <w:pPr>
        <w:spacing w:after="0" w:line="118" w:lineRule="exact"/>
        <w:rPr>
          <w:sz w:val="20"/>
          <w:szCs w:val="20"/>
          <w:color w:val="auto"/>
        </w:rPr>
      </w:pPr>
    </w:p>
    <w:p>
      <w:pPr>
        <w:ind w:right="220" w:firstLine="456"/>
        <w:spacing w:after="0" w:line="291" w:lineRule="auto"/>
        <w:rPr>
          <w:sz w:val="20"/>
          <w:szCs w:val="20"/>
          <w:color w:val="auto"/>
        </w:rPr>
      </w:pPr>
      <w:r>
        <w:rPr>
          <w:rFonts w:ascii="Arial" w:cs="Arial" w:eastAsia="Arial" w:hAnsi="Arial"/>
          <w:sz w:val="16"/>
          <w:szCs w:val="16"/>
          <w:color w:val="auto"/>
        </w:rPr>
        <w:t>In August 1997, the Company adopted the 1997 Directors’ Stock Option Plan (the “1997 Directors’ Plan”). Under the 1997 Directors’ Plan, an outside director was granted an option to purchase 30,000 common shares upon appointment to the Company’s Board of Directors. These options vested 20% one year after the vesting commencement date and remaining shares vest one-sixtieth per month over the remaining 48 months. An outside director was also granted an option to purchase 6,000 common shares on the date of each annual meeting of the shareholders. These options vested one-twelfth per month over 12 months after the fourth anniversary of the vesting commencement date. Options granted under the 1997 Directors’ Plan could be exercised prior to vesting. The 1997 Directors’ Plan was terminated in October 2007.</w:t>
      </w:r>
    </w:p>
    <w:p>
      <w:pPr>
        <w:spacing w:after="0" w:line="120" w:lineRule="exact"/>
        <w:rPr>
          <w:sz w:val="20"/>
          <w:szCs w:val="20"/>
          <w:color w:val="auto"/>
        </w:rPr>
      </w:pPr>
    </w:p>
    <w:p>
      <w:pPr>
        <w:ind w:right="60" w:firstLine="456"/>
        <w:spacing w:after="0" w:line="291" w:lineRule="auto"/>
        <w:rPr>
          <w:sz w:val="20"/>
          <w:szCs w:val="20"/>
          <w:color w:val="auto"/>
        </w:rPr>
      </w:pPr>
      <w:r>
        <w:rPr>
          <w:rFonts w:ascii="Arial" w:cs="Arial" w:eastAsia="Arial" w:hAnsi="Arial"/>
          <w:sz w:val="16"/>
          <w:szCs w:val="16"/>
          <w:color w:val="auto"/>
        </w:rPr>
        <w:t>In October 2007, the Company adopted the 2007 Directors’ Stock Incentive Plan (the “2007 Directors’ Plan”). The 2007 Directors’ Plan had 750,000 common shares reserved for issuance thereunder as of October 31, 2009. Under the 2007 Directors’ Plan, an outside director is granted an option to purchase 50,000 common shares upon appointment to the Company’s Board of Directors. These options vest one-third on the one year anniversary of the date of grant and one-third of the shares on each anniversary thereafter. An outside director who has served on the Company’s Board of Directors for the prior six months is also granted an option to purchase 12,000 common shares on the date of each annual meeting of the Company’s shareholders. These options vest 100% on the earlier of the date of the next annual general meeting of shareholders or the one year anniversary of the date of grant.</w:t>
      </w:r>
    </w:p>
    <w:p>
      <w:pPr>
        <w:spacing w:after="0" w:line="120" w:lineRule="exact"/>
        <w:rPr>
          <w:sz w:val="20"/>
          <w:szCs w:val="20"/>
          <w:color w:val="auto"/>
        </w:rPr>
      </w:pPr>
    </w:p>
    <w:p>
      <w:pPr>
        <w:jc w:val="both"/>
        <w:ind w:right="40" w:firstLine="456"/>
        <w:spacing w:after="0" w:line="259" w:lineRule="auto"/>
        <w:rPr>
          <w:sz w:val="20"/>
          <w:szCs w:val="20"/>
          <w:color w:val="auto"/>
        </w:rPr>
      </w:pPr>
      <w:r>
        <w:rPr>
          <w:rFonts w:ascii="Arial" w:cs="Arial" w:eastAsia="Arial" w:hAnsi="Arial"/>
          <w:sz w:val="18"/>
          <w:szCs w:val="18"/>
          <w:color w:val="auto"/>
        </w:rPr>
        <w:t>Under the Option Plan and the 2007 Directors’ Plan, the Company may also grant restricted stock awards, which may be subject to vesting, and stock unit awards, which are denominated in shares of stock, but may be settled in cash or tradable shares of the Company’s common shares upon vesting, as determined by the Company at the time of grant.</w:t>
      </w:r>
    </w:p>
    <w:p>
      <w:pPr>
        <w:spacing w:after="0" w:line="127"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24</w:t>
      </w:r>
    </w:p>
    <w:p>
      <w:pPr>
        <w:sectPr>
          <w:pgSz w:w="11900" w:h="16838" w:orient="portrait"/>
          <w:cols w:equalWidth="0" w:num="1">
            <w:col w:w="11400"/>
          </w:cols>
          <w:pgMar w:left="240" w:top="459" w:right="259" w:bottom="1440" w:gutter="0" w:footer="0" w:header="0"/>
        </w:sectPr>
      </w:pPr>
    </w:p>
    <w:bookmarkStart w:id="24" w:name="page25"/>
    <w:bookmarkEnd w:id="24"/>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39">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MARVELL TECHNOLOGY GROUP LTD.</w:t>
      </w:r>
    </w:p>
    <w:p>
      <w:pPr>
        <w:spacing w:after="0" w:line="90"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NOTES TO UNAUDITED CONDENSED CONSOLIDATED FINANCIAL STATEMENTS—(Continued)</w:t>
      </w:r>
    </w:p>
    <w:p>
      <w:pPr>
        <w:spacing w:after="0" w:line="164" w:lineRule="exact"/>
        <w:rPr>
          <w:sz w:val="20"/>
          <w:szCs w:val="20"/>
          <w:color w:val="auto"/>
        </w:rPr>
      </w:pPr>
    </w:p>
    <w:p>
      <w:pPr>
        <w:ind w:left="240"/>
        <w:spacing w:after="0"/>
        <w:rPr>
          <w:sz w:val="20"/>
          <w:szCs w:val="20"/>
          <w:color w:val="auto"/>
        </w:rPr>
      </w:pPr>
      <w:r>
        <w:rPr>
          <w:rFonts w:ascii="Arial" w:cs="Arial" w:eastAsia="Arial" w:hAnsi="Arial"/>
          <w:sz w:val="18"/>
          <w:szCs w:val="18"/>
          <w:b w:val="1"/>
          <w:bCs w:val="1"/>
          <w:i w:val="1"/>
          <w:iCs w:val="1"/>
          <w:color w:val="auto"/>
        </w:rPr>
        <w:t>Employee stock purchase plan</w:t>
      </w:r>
    </w:p>
    <w:p>
      <w:pPr>
        <w:spacing w:after="0" w:line="90" w:lineRule="exact"/>
        <w:rPr>
          <w:sz w:val="20"/>
          <w:szCs w:val="20"/>
          <w:color w:val="auto"/>
        </w:rPr>
      </w:pPr>
    </w:p>
    <w:p>
      <w:pPr>
        <w:ind w:right="100" w:firstLine="456"/>
        <w:spacing w:after="0" w:line="286" w:lineRule="auto"/>
        <w:rPr>
          <w:sz w:val="20"/>
          <w:szCs w:val="20"/>
          <w:color w:val="auto"/>
        </w:rPr>
      </w:pPr>
      <w:r>
        <w:rPr>
          <w:rFonts w:ascii="Arial" w:cs="Arial" w:eastAsia="Arial" w:hAnsi="Arial"/>
          <w:sz w:val="16"/>
          <w:szCs w:val="16"/>
          <w:color w:val="auto"/>
        </w:rPr>
        <w:t>In June 2000, the Company adopted the 2000 Employee Stock Purchase Plan (the “Purchase Plan”), and on October 22, 2009, the Purchase Plan was amended and restated (the “Restated Purchase Plan”). The Restated Purchase Plan had 57.9 million common shares reserved for issuance thereunder as of October 31, 2009. Pursuant to the terms of the Restated Purchase Plan, the “look-back” period for the stock purchase price was changed from 24 months to six months. This change will be effective for new participants who enroll in the Restated Purchase Plan in December 2009 and for each successive offering period thereafter. Offering and purchase periods will continue to begin on December 8 and June 8 of each year. New participants will be granted the right to purchase common shares at a price per share that is 85% of the lesser of the fair market value of the Company’s common shares at the beginning or the end of each six-month period. The existing two-year offering periods will be phased out so any currently enrolled participant in a current 24-month offering period will continue in the current offering period until the earlier of the end of the offering period or in the event the current offering period is reset. A reset occurs if the fair market value of Marvell common shares on any purchase date is less than it was on the first day of the offering period. Currently enrolled participants were granted the right to purchase common shares at a price per share that is 85% of the lesser of the fair market value of the shares at (i) the participant’s entry date into the two-year offering period or (ii) the end of each six-month purchase period within the offering period.</w:t>
      </w:r>
    </w:p>
    <w:p>
      <w:pPr>
        <w:spacing w:after="0" w:line="127" w:lineRule="exact"/>
        <w:rPr>
          <w:sz w:val="20"/>
          <w:szCs w:val="20"/>
          <w:color w:val="auto"/>
        </w:rPr>
      </w:pPr>
    </w:p>
    <w:p>
      <w:pPr>
        <w:jc w:val="both"/>
        <w:ind w:firstLine="456"/>
        <w:spacing w:after="0" w:line="303" w:lineRule="auto"/>
        <w:rPr>
          <w:sz w:val="20"/>
          <w:szCs w:val="20"/>
          <w:color w:val="auto"/>
        </w:rPr>
      </w:pPr>
      <w:r>
        <w:rPr>
          <w:rFonts w:ascii="Arial" w:cs="Arial" w:eastAsia="Arial" w:hAnsi="Arial"/>
          <w:sz w:val="15"/>
          <w:szCs w:val="15"/>
          <w:color w:val="auto"/>
        </w:rPr>
        <w:t>The Purchase Plan included a limitation on the number of shares that may be purchased in the event that the market price of the Company’s common shares decreases by more than 25% from one purchase date to the next. In the event the share limitation is triggered, the number of shares an employee may purchase on the subsequent purchase date may not exceed 75% of the number the employee could have purchased at 85% of the market price on the earlier purchase date.</w:t>
      </w:r>
    </w:p>
    <w:p>
      <w:pPr>
        <w:spacing w:after="0" w:line="1" w:lineRule="exact"/>
        <w:rPr>
          <w:sz w:val="20"/>
          <w:szCs w:val="20"/>
          <w:color w:val="auto"/>
        </w:rPr>
      </w:pPr>
    </w:p>
    <w:p>
      <w:pPr>
        <w:ind w:right="180"/>
        <w:spacing w:after="0" w:line="261" w:lineRule="auto"/>
        <w:rPr>
          <w:sz w:val="20"/>
          <w:szCs w:val="20"/>
          <w:color w:val="auto"/>
        </w:rPr>
      </w:pPr>
      <w:r>
        <w:rPr>
          <w:rFonts w:ascii="Arial" w:cs="Arial" w:eastAsia="Arial" w:hAnsi="Arial"/>
          <w:sz w:val="18"/>
          <w:szCs w:val="18"/>
          <w:color w:val="auto"/>
        </w:rPr>
        <w:t>This share limitation was triggered in connection with the June 2008 purchase period, which ended in December 2008, and remained in effect as of October 31, 2009 under the terms of the Restated Purchase Plan.</w:t>
      </w:r>
    </w:p>
    <w:p>
      <w:pPr>
        <w:spacing w:after="0" w:line="138" w:lineRule="exact"/>
        <w:rPr>
          <w:sz w:val="20"/>
          <w:szCs w:val="20"/>
          <w:color w:val="auto"/>
        </w:rPr>
      </w:pPr>
    </w:p>
    <w:p>
      <w:pPr>
        <w:ind w:right="40" w:firstLine="456"/>
        <w:spacing w:after="0" w:line="256" w:lineRule="auto"/>
        <w:rPr>
          <w:sz w:val="20"/>
          <w:szCs w:val="20"/>
          <w:color w:val="auto"/>
        </w:rPr>
      </w:pPr>
      <w:r>
        <w:rPr>
          <w:rFonts w:ascii="Arial" w:cs="Arial" w:eastAsia="Arial" w:hAnsi="Arial"/>
          <w:sz w:val="18"/>
          <w:szCs w:val="18"/>
          <w:color w:val="auto"/>
        </w:rPr>
        <w:t>Participants who will enroll under the Restated Purchase Plan will no longer be subject to a share limitation on the number of shares that may be purchased in the event that the market price of Company’s common shares decreases by more than 25% from one purchase date to the next. Participants may purchase no more than 7,500 shares per six-month offering period. Participants purchase stock using payroll deductions, which may not exceed 15% of their total cash compensation.</w:t>
      </w:r>
    </w:p>
    <w:p>
      <w:pPr>
        <w:spacing w:after="0" w:line="143" w:lineRule="exact"/>
        <w:rPr>
          <w:sz w:val="20"/>
          <w:szCs w:val="20"/>
          <w:color w:val="auto"/>
        </w:rPr>
      </w:pPr>
    </w:p>
    <w:p>
      <w:pPr>
        <w:ind w:right="20" w:firstLine="456"/>
        <w:spacing w:after="0" w:line="298" w:lineRule="auto"/>
        <w:rPr>
          <w:sz w:val="20"/>
          <w:szCs w:val="20"/>
          <w:color w:val="auto"/>
        </w:rPr>
      </w:pPr>
      <w:r>
        <w:rPr>
          <w:rFonts w:ascii="Arial" w:cs="Arial" w:eastAsia="Arial" w:hAnsi="Arial"/>
          <w:sz w:val="16"/>
          <w:szCs w:val="16"/>
          <w:color w:val="auto"/>
        </w:rPr>
        <w:t>For the three and nine months ended October 31, 2009, the Company recognized $8.4 million and $23.9 million of stock-based compensation expense related to the activity under the Restated Purchase Plan, respectively. The Company did not issue any shares under the Restated Purchase Plan in the three months ended October 31, 2009. The Company issued 2.2 million shares during the nine months ended October 31, 2009 at a price of $4.87. As of October 31, 2009, there was $15.9 million of unrecognized compensation cost related to the Restated Purchase Plan.</w:t>
      </w:r>
    </w:p>
    <w:p>
      <w:pPr>
        <w:spacing w:after="0" w:line="113" w:lineRule="exact"/>
        <w:rPr>
          <w:sz w:val="20"/>
          <w:szCs w:val="20"/>
          <w:color w:val="auto"/>
        </w:rPr>
      </w:pPr>
    </w:p>
    <w:p>
      <w:pPr>
        <w:ind w:right="120" w:firstLine="456"/>
        <w:spacing w:after="0" w:line="268" w:lineRule="auto"/>
        <w:rPr>
          <w:sz w:val="20"/>
          <w:szCs w:val="20"/>
          <w:color w:val="auto"/>
        </w:rPr>
      </w:pPr>
      <w:r>
        <w:rPr>
          <w:rFonts w:ascii="Arial" w:cs="Arial" w:eastAsia="Arial" w:hAnsi="Arial"/>
          <w:sz w:val="18"/>
          <w:szCs w:val="18"/>
          <w:color w:val="auto"/>
        </w:rPr>
        <w:t>Stock option activity under the Company’s stock option plans for the nine months ended October 31, 2009 is summarized below (in thousands, except per share amounts):</w:t>
      </w:r>
    </w:p>
    <w:p>
      <w:pPr>
        <w:spacing w:after="0" w:line="156" w:lineRule="exact"/>
        <w:rPr>
          <w:sz w:val="20"/>
          <w:szCs w:val="20"/>
          <w:color w:val="auto"/>
        </w:rPr>
      </w:pPr>
    </w:p>
    <w:tbl>
      <w:tblPr>
        <w:tblLayout w:type="fixed"/>
        <w:tblInd w:w="1380" w:type="dxa"/>
        <w:tblCellMar>
          <w:top w:w="0" w:type="dxa"/>
          <w:left w:w="0" w:type="dxa"/>
          <w:bottom w:w="0" w:type="dxa"/>
          <w:right w:w="0" w:type="dxa"/>
        </w:tblCellMar>
      </w:tblPr>
      <w:tr>
        <w:trPr>
          <w:trHeight w:val="161"/>
        </w:trPr>
        <w:tc>
          <w:tcPr>
            <w:tcW w:w="20" w:type="dxa"/>
            <w:vAlign w:val="bottom"/>
          </w:tcPr>
          <w:p>
            <w:pPr>
              <w:spacing w:after="0"/>
              <w:rPr>
                <w:sz w:val="14"/>
                <w:szCs w:val="14"/>
                <w:color w:val="auto"/>
              </w:rPr>
            </w:pPr>
          </w:p>
        </w:tc>
        <w:tc>
          <w:tcPr>
            <w:tcW w:w="5020" w:type="dxa"/>
            <w:vAlign w:val="bottom"/>
          </w:tcPr>
          <w:p>
            <w:pPr>
              <w:spacing w:after="0"/>
              <w:rPr>
                <w:sz w:val="14"/>
                <w:szCs w:val="14"/>
                <w:color w:val="auto"/>
              </w:rPr>
            </w:pPr>
          </w:p>
        </w:tc>
        <w:tc>
          <w:tcPr>
            <w:tcW w:w="176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320" w:type="dxa"/>
            <w:vAlign w:val="bottom"/>
          </w:tcPr>
          <w:p>
            <w:pPr>
              <w:spacing w:after="0"/>
              <w:rPr>
                <w:sz w:val="14"/>
                <w:szCs w:val="14"/>
                <w:color w:val="auto"/>
              </w:rPr>
            </w:pPr>
          </w:p>
        </w:tc>
        <w:tc>
          <w:tcPr>
            <w:tcW w:w="840" w:type="dxa"/>
            <w:vAlign w:val="bottom"/>
            <w:gridSpan w:val="3"/>
          </w:tcPr>
          <w:p>
            <w:pPr>
              <w:ind w:left="280"/>
              <w:spacing w:after="0"/>
              <w:rPr>
                <w:sz w:val="20"/>
                <w:szCs w:val="20"/>
                <w:color w:val="auto"/>
              </w:rPr>
            </w:pPr>
            <w:r>
              <w:rPr>
                <w:rFonts w:ascii="Arial" w:cs="Arial" w:eastAsia="Arial" w:hAnsi="Arial"/>
                <w:sz w:val="14"/>
                <w:szCs w:val="14"/>
                <w:b w:val="1"/>
                <w:bCs w:val="1"/>
                <w:color w:val="auto"/>
                <w:w w:val="85"/>
              </w:rPr>
              <w:t>Weighted</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5020" w:type="dxa"/>
            <w:vAlign w:val="bottom"/>
          </w:tcPr>
          <w:p>
            <w:pPr>
              <w:spacing w:after="0"/>
              <w:rPr>
                <w:sz w:val="12"/>
                <w:szCs w:val="12"/>
                <w:color w:val="auto"/>
              </w:rPr>
            </w:pPr>
          </w:p>
        </w:tc>
        <w:tc>
          <w:tcPr>
            <w:tcW w:w="1760" w:type="dxa"/>
            <w:vAlign w:val="bottom"/>
          </w:tcPr>
          <w:p>
            <w:pPr>
              <w:spacing w:after="0"/>
              <w:rPr>
                <w:sz w:val="12"/>
                <w:szCs w:val="12"/>
                <w:color w:val="auto"/>
              </w:rPr>
            </w:pPr>
          </w:p>
        </w:tc>
        <w:tc>
          <w:tcPr>
            <w:tcW w:w="720" w:type="dxa"/>
            <w:vAlign w:val="bottom"/>
          </w:tcPr>
          <w:p>
            <w:pPr>
              <w:spacing w:after="0"/>
              <w:rPr>
                <w:sz w:val="12"/>
                <w:szCs w:val="12"/>
                <w:color w:val="auto"/>
              </w:rPr>
            </w:pPr>
          </w:p>
        </w:tc>
        <w:tc>
          <w:tcPr>
            <w:tcW w:w="320" w:type="dxa"/>
            <w:vAlign w:val="bottom"/>
          </w:tcPr>
          <w:p>
            <w:pPr>
              <w:spacing w:after="0"/>
              <w:rPr>
                <w:sz w:val="12"/>
                <w:szCs w:val="12"/>
                <w:color w:val="auto"/>
              </w:rPr>
            </w:pPr>
          </w:p>
        </w:tc>
        <w:tc>
          <w:tcPr>
            <w:tcW w:w="280" w:type="dxa"/>
            <w:vAlign w:val="bottom"/>
          </w:tcPr>
          <w:p>
            <w:pPr>
              <w:spacing w:after="0"/>
              <w:rPr>
                <w:sz w:val="12"/>
                <w:szCs w:val="12"/>
                <w:color w:val="auto"/>
              </w:rPr>
            </w:pPr>
          </w:p>
        </w:tc>
        <w:tc>
          <w:tcPr>
            <w:tcW w:w="560" w:type="dxa"/>
            <w:vAlign w:val="bottom"/>
            <w:gridSpan w:val="2"/>
          </w:tcPr>
          <w:p>
            <w:pPr>
              <w:jc w:val="center"/>
              <w:spacing w:after="0" w:line="149" w:lineRule="exact"/>
              <w:rPr>
                <w:sz w:val="20"/>
                <w:szCs w:val="20"/>
                <w:color w:val="auto"/>
              </w:rPr>
            </w:pPr>
            <w:r>
              <w:rPr>
                <w:rFonts w:ascii="Arial" w:cs="Arial" w:eastAsia="Arial" w:hAnsi="Arial"/>
                <w:sz w:val="14"/>
                <w:szCs w:val="14"/>
                <w:b w:val="1"/>
                <w:bCs w:val="1"/>
                <w:color w:val="auto"/>
                <w:w w:val="83"/>
              </w:rPr>
              <w:t>Average</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5020" w:type="dxa"/>
            <w:vAlign w:val="bottom"/>
          </w:tcPr>
          <w:p>
            <w:pPr>
              <w:spacing w:after="0"/>
              <w:rPr>
                <w:sz w:val="12"/>
                <w:szCs w:val="12"/>
                <w:color w:val="auto"/>
              </w:rPr>
            </w:pPr>
          </w:p>
        </w:tc>
        <w:tc>
          <w:tcPr>
            <w:tcW w:w="1760" w:type="dxa"/>
            <w:vAlign w:val="bottom"/>
          </w:tcPr>
          <w:p>
            <w:pPr>
              <w:spacing w:after="0"/>
              <w:rPr>
                <w:sz w:val="12"/>
                <w:szCs w:val="12"/>
                <w:color w:val="auto"/>
              </w:rPr>
            </w:pPr>
          </w:p>
        </w:tc>
        <w:tc>
          <w:tcPr>
            <w:tcW w:w="1040" w:type="dxa"/>
            <w:vAlign w:val="bottom"/>
            <w:gridSpan w:val="2"/>
          </w:tcPr>
          <w:p>
            <w:pPr>
              <w:jc w:val="right"/>
              <w:ind w:right="460"/>
              <w:spacing w:after="0" w:line="149" w:lineRule="exact"/>
              <w:rPr>
                <w:sz w:val="20"/>
                <w:szCs w:val="20"/>
                <w:color w:val="auto"/>
              </w:rPr>
            </w:pPr>
            <w:r>
              <w:rPr>
                <w:rFonts w:ascii="Arial" w:cs="Arial" w:eastAsia="Arial" w:hAnsi="Arial"/>
                <w:sz w:val="14"/>
                <w:szCs w:val="14"/>
                <w:b w:val="1"/>
                <w:bCs w:val="1"/>
                <w:color w:val="auto"/>
              </w:rPr>
              <w:t>Options</w:t>
            </w:r>
          </w:p>
        </w:tc>
        <w:tc>
          <w:tcPr>
            <w:tcW w:w="280" w:type="dxa"/>
            <w:vAlign w:val="bottom"/>
          </w:tcPr>
          <w:p>
            <w:pPr>
              <w:spacing w:after="0"/>
              <w:rPr>
                <w:sz w:val="12"/>
                <w:szCs w:val="12"/>
                <w:color w:val="auto"/>
              </w:rPr>
            </w:pPr>
          </w:p>
        </w:tc>
        <w:tc>
          <w:tcPr>
            <w:tcW w:w="560" w:type="dxa"/>
            <w:vAlign w:val="bottom"/>
            <w:gridSpan w:val="2"/>
          </w:tcPr>
          <w:p>
            <w:pPr>
              <w:jc w:val="center"/>
              <w:spacing w:after="0" w:line="149" w:lineRule="exact"/>
              <w:rPr>
                <w:sz w:val="20"/>
                <w:szCs w:val="20"/>
                <w:color w:val="auto"/>
              </w:rPr>
            </w:pPr>
            <w:r>
              <w:rPr>
                <w:rFonts w:ascii="Arial" w:cs="Arial" w:eastAsia="Arial" w:hAnsi="Arial"/>
                <w:sz w:val="14"/>
                <w:szCs w:val="14"/>
                <w:b w:val="1"/>
                <w:bCs w:val="1"/>
                <w:color w:val="auto"/>
                <w:w w:val="86"/>
              </w:rPr>
              <w:t>Exercise</w:t>
            </w:r>
          </w:p>
        </w:tc>
        <w:tc>
          <w:tcPr>
            <w:tcW w:w="0" w:type="dxa"/>
            <w:vAlign w:val="bottom"/>
          </w:tcPr>
          <w:p>
            <w:pPr>
              <w:spacing w:after="0"/>
              <w:rPr>
                <w:sz w:val="1"/>
                <w:szCs w:val="1"/>
                <w:color w:val="auto"/>
              </w:rPr>
            </w:pPr>
          </w:p>
        </w:tc>
      </w:tr>
      <w:tr>
        <w:trPr>
          <w:trHeight w:val="161"/>
        </w:trPr>
        <w:tc>
          <w:tcPr>
            <w:tcW w:w="20" w:type="dxa"/>
            <w:vAlign w:val="bottom"/>
          </w:tcPr>
          <w:p>
            <w:pPr>
              <w:spacing w:after="0"/>
              <w:rPr>
                <w:sz w:val="14"/>
                <w:szCs w:val="14"/>
                <w:color w:val="auto"/>
              </w:rPr>
            </w:pPr>
          </w:p>
        </w:tc>
        <w:tc>
          <w:tcPr>
            <w:tcW w:w="5020" w:type="dxa"/>
            <w:vAlign w:val="bottom"/>
          </w:tcPr>
          <w:p>
            <w:pPr>
              <w:spacing w:after="0"/>
              <w:rPr>
                <w:sz w:val="14"/>
                <w:szCs w:val="14"/>
                <w:color w:val="auto"/>
              </w:rPr>
            </w:pPr>
          </w:p>
        </w:tc>
        <w:tc>
          <w:tcPr>
            <w:tcW w:w="2800" w:type="dxa"/>
            <w:vAlign w:val="bottom"/>
            <w:gridSpan w:val="3"/>
          </w:tcPr>
          <w:p>
            <w:pPr>
              <w:jc w:val="right"/>
              <w:ind w:right="320"/>
              <w:spacing w:after="0"/>
              <w:rPr>
                <w:sz w:val="20"/>
                <w:szCs w:val="20"/>
                <w:color w:val="auto"/>
              </w:rPr>
            </w:pPr>
            <w:r>
              <w:rPr>
                <w:rFonts w:ascii="Arial" w:cs="Arial" w:eastAsia="Arial" w:hAnsi="Arial"/>
                <w:sz w:val="14"/>
                <w:szCs w:val="14"/>
                <w:b w:val="1"/>
                <w:bCs w:val="1"/>
                <w:color w:val="auto"/>
              </w:rPr>
              <w:t>Outstanding</w:t>
            </w:r>
          </w:p>
        </w:tc>
        <w:tc>
          <w:tcPr>
            <w:tcW w:w="28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460" w:type="dxa"/>
            <w:vAlign w:val="bottom"/>
          </w:tcPr>
          <w:p>
            <w:pPr>
              <w:jc w:val="center"/>
              <w:ind w:right="35"/>
              <w:spacing w:after="0"/>
              <w:rPr>
                <w:sz w:val="20"/>
                <w:szCs w:val="20"/>
                <w:color w:val="auto"/>
              </w:rPr>
            </w:pPr>
            <w:r>
              <w:rPr>
                <w:rFonts w:ascii="Arial" w:cs="Arial" w:eastAsia="Arial" w:hAnsi="Arial"/>
                <w:sz w:val="14"/>
                <w:szCs w:val="14"/>
                <w:b w:val="1"/>
                <w:bCs w:val="1"/>
                <w:color w:val="auto"/>
                <w:w w:val="87"/>
              </w:rPr>
              <w:t>Price</w:t>
            </w:r>
          </w:p>
        </w:tc>
        <w:tc>
          <w:tcPr>
            <w:tcW w:w="0" w:type="dxa"/>
            <w:vAlign w:val="bottom"/>
          </w:tcPr>
          <w:p>
            <w:pPr>
              <w:spacing w:after="0"/>
              <w:rPr>
                <w:sz w:val="1"/>
                <w:szCs w:val="1"/>
                <w:color w:val="auto"/>
              </w:rPr>
            </w:pPr>
          </w:p>
        </w:tc>
      </w:tr>
      <w:tr>
        <w:trPr>
          <w:trHeight w:val="20"/>
        </w:trPr>
        <w:tc>
          <w:tcPr>
            <w:tcW w:w="20" w:type="dxa"/>
            <w:vAlign w:val="bottom"/>
            <w:vMerge w:val="restart"/>
          </w:tcPr>
          <w:p>
            <w:pPr>
              <w:spacing w:after="0" w:line="20" w:lineRule="exact"/>
              <w:rPr>
                <w:sz w:val="1"/>
                <w:szCs w:val="1"/>
                <w:color w:val="auto"/>
              </w:rPr>
            </w:pPr>
          </w:p>
        </w:tc>
        <w:tc>
          <w:tcPr>
            <w:tcW w:w="5020" w:type="dxa"/>
            <w:vAlign w:val="bottom"/>
          </w:tcPr>
          <w:p>
            <w:pPr>
              <w:spacing w:after="0" w:line="20" w:lineRule="exact"/>
              <w:rPr>
                <w:sz w:val="1"/>
                <w:szCs w:val="1"/>
                <w:color w:val="auto"/>
              </w:rPr>
            </w:pPr>
          </w:p>
        </w:tc>
        <w:tc>
          <w:tcPr>
            <w:tcW w:w="1760" w:type="dxa"/>
            <w:vAlign w:val="bottom"/>
          </w:tcPr>
          <w:p>
            <w:pPr>
              <w:spacing w:after="0" w:line="20" w:lineRule="exact"/>
              <w:rPr>
                <w:sz w:val="1"/>
                <w:szCs w:val="1"/>
                <w:color w:val="auto"/>
              </w:rPr>
            </w:pPr>
          </w:p>
        </w:tc>
        <w:tc>
          <w:tcPr>
            <w:tcW w:w="720" w:type="dxa"/>
            <w:vAlign w:val="bottom"/>
            <w:shd w:val="clear" w:color="auto" w:fill="000000"/>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100" w:type="dxa"/>
            <w:vAlign w:val="bottom"/>
            <w:shd w:val="clear" w:color="auto" w:fill="000000"/>
          </w:tcPr>
          <w:p>
            <w:pPr>
              <w:spacing w:after="0" w:line="20" w:lineRule="exact"/>
              <w:rPr>
                <w:sz w:val="1"/>
                <w:szCs w:val="1"/>
                <w:color w:val="auto"/>
              </w:rPr>
            </w:pPr>
          </w:p>
        </w:tc>
        <w:tc>
          <w:tcPr>
            <w:tcW w:w="460" w:type="dxa"/>
            <w:vAlign w:val="bottom"/>
            <w:shd w:val="clear" w:color="auto" w:fill="000000"/>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10"/>
        </w:trPr>
        <w:tc>
          <w:tcPr>
            <w:tcW w:w="20" w:type="dxa"/>
            <w:vAlign w:val="bottom"/>
            <w:vMerge w:val="continue"/>
          </w:tcPr>
          <w:p>
            <w:pPr>
              <w:spacing w:after="0"/>
              <w:rPr>
                <w:sz w:val="18"/>
                <w:szCs w:val="18"/>
                <w:color w:val="auto"/>
              </w:rPr>
            </w:pPr>
          </w:p>
        </w:tc>
        <w:tc>
          <w:tcPr>
            <w:tcW w:w="5020" w:type="dxa"/>
            <w:vAlign w:val="bottom"/>
            <w:shd w:val="clear" w:color="auto" w:fill="CCEEFF"/>
          </w:tcPr>
          <w:p>
            <w:pPr>
              <w:spacing w:after="0"/>
              <w:rPr>
                <w:sz w:val="20"/>
                <w:szCs w:val="20"/>
                <w:color w:val="auto"/>
              </w:rPr>
            </w:pPr>
            <w:r>
              <w:rPr>
                <w:rFonts w:ascii="Arial" w:cs="Arial" w:eastAsia="Arial" w:hAnsi="Arial"/>
                <w:sz w:val="18"/>
                <w:szCs w:val="18"/>
                <w:color w:val="auto"/>
              </w:rPr>
              <w:t>Balance at January 31, 2009</w:t>
            </w:r>
          </w:p>
        </w:tc>
        <w:tc>
          <w:tcPr>
            <w:tcW w:w="1760" w:type="dxa"/>
            <w:vAlign w:val="bottom"/>
            <w:shd w:val="clear" w:color="auto" w:fill="CCEEFF"/>
          </w:tcPr>
          <w:p>
            <w:pPr>
              <w:spacing w:after="0"/>
              <w:rPr>
                <w:sz w:val="18"/>
                <w:szCs w:val="18"/>
                <w:color w:val="auto"/>
              </w:rPr>
            </w:pPr>
          </w:p>
        </w:tc>
        <w:tc>
          <w:tcPr>
            <w:tcW w:w="7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85,054</w:t>
            </w:r>
          </w:p>
        </w:tc>
        <w:tc>
          <w:tcPr>
            <w:tcW w:w="320" w:type="dxa"/>
            <w:vAlign w:val="bottom"/>
            <w:shd w:val="clear" w:color="auto" w:fill="CCEEFF"/>
          </w:tcPr>
          <w:p>
            <w:pPr>
              <w:spacing w:after="0"/>
              <w:rPr>
                <w:sz w:val="18"/>
                <w:szCs w:val="18"/>
                <w:color w:val="auto"/>
              </w:rPr>
            </w:pPr>
          </w:p>
        </w:tc>
        <w:tc>
          <w:tcPr>
            <w:tcW w:w="380" w:type="dxa"/>
            <w:vAlign w:val="bottom"/>
            <w:gridSpan w:val="2"/>
            <w:shd w:val="clear" w:color="auto" w:fill="CCEEFF"/>
          </w:tcPr>
          <w:p>
            <w:pPr>
              <w:ind w:left="280"/>
              <w:spacing w:after="0"/>
              <w:rPr>
                <w:sz w:val="20"/>
                <w:szCs w:val="20"/>
                <w:color w:val="auto"/>
              </w:rPr>
            </w:pPr>
            <w:r>
              <w:rPr>
                <w:rFonts w:ascii="Arial" w:cs="Arial" w:eastAsia="Arial" w:hAnsi="Arial"/>
                <w:sz w:val="18"/>
                <w:szCs w:val="18"/>
                <w:color w:val="auto"/>
                <w:w w:val="79"/>
              </w:rPr>
              <w:t>$</w:t>
            </w:r>
          </w:p>
        </w:tc>
        <w:tc>
          <w:tcPr>
            <w:tcW w:w="460" w:type="dxa"/>
            <w:vAlign w:val="bottom"/>
            <w:shd w:val="clear" w:color="auto" w:fill="CCEEFF"/>
          </w:tcPr>
          <w:p>
            <w:pPr>
              <w:jc w:val="right"/>
              <w:spacing w:after="0"/>
              <w:rPr>
                <w:sz w:val="20"/>
                <w:szCs w:val="20"/>
                <w:color w:val="auto"/>
              </w:rPr>
            </w:pPr>
            <w:r>
              <w:rPr>
                <w:rFonts w:ascii="Arial" w:cs="Arial" w:eastAsia="Arial" w:hAnsi="Arial"/>
                <w:sz w:val="18"/>
                <w:szCs w:val="18"/>
                <w:color w:val="auto"/>
                <w:w w:val="93"/>
              </w:rPr>
              <w:t>10.81</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020" w:type="dxa"/>
            <w:vAlign w:val="bottom"/>
          </w:tcPr>
          <w:p>
            <w:pPr>
              <w:ind w:left="420"/>
              <w:spacing w:after="0"/>
              <w:rPr>
                <w:sz w:val="20"/>
                <w:szCs w:val="20"/>
                <w:color w:val="auto"/>
              </w:rPr>
            </w:pPr>
            <w:r>
              <w:rPr>
                <w:rFonts w:ascii="Arial" w:cs="Arial" w:eastAsia="Arial" w:hAnsi="Arial"/>
                <w:sz w:val="18"/>
                <w:szCs w:val="18"/>
                <w:color w:val="auto"/>
              </w:rPr>
              <w:t>Options granted</w:t>
            </w:r>
          </w:p>
        </w:tc>
        <w:tc>
          <w:tcPr>
            <w:tcW w:w="2480" w:type="dxa"/>
            <w:vAlign w:val="bottom"/>
            <w:gridSpan w:val="2"/>
          </w:tcPr>
          <w:p>
            <w:pPr>
              <w:jc w:val="right"/>
              <w:spacing w:after="0"/>
              <w:rPr>
                <w:sz w:val="20"/>
                <w:szCs w:val="20"/>
                <w:color w:val="auto"/>
              </w:rPr>
            </w:pPr>
            <w:r>
              <w:rPr>
                <w:rFonts w:ascii="Arial" w:cs="Arial" w:eastAsia="Arial" w:hAnsi="Arial"/>
                <w:sz w:val="18"/>
                <w:szCs w:val="18"/>
                <w:color w:val="auto"/>
              </w:rPr>
              <w:t>1,407</w:t>
            </w:r>
          </w:p>
        </w:tc>
        <w:tc>
          <w:tcPr>
            <w:tcW w:w="320" w:type="dxa"/>
            <w:vAlign w:val="bottom"/>
          </w:tcPr>
          <w:p>
            <w:pPr>
              <w:spacing w:after="0"/>
              <w:rPr>
                <w:sz w:val="18"/>
                <w:szCs w:val="18"/>
                <w:color w:val="auto"/>
              </w:rPr>
            </w:pPr>
          </w:p>
        </w:tc>
        <w:tc>
          <w:tcPr>
            <w:tcW w:w="380" w:type="dxa"/>
            <w:vAlign w:val="bottom"/>
            <w:gridSpan w:val="2"/>
          </w:tcPr>
          <w:p>
            <w:pPr>
              <w:ind w:left="280"/>
              <w:spacing w:after="0"/>
              <w:rPr>
                <w:sz w:val="20"/>
                <w:szCs w:val="20"/>
                <w:color w:val="auto"/>
              </w:rPr>
            </w:pPr>
            <w:r>
              <w:rPr>
                <w:rFonts w:ascii="Arial" w:cs="Arial" w:eastAsia="Arial" w:hAnsi="Arial"/>
                <w:sz w:val="18"/>
                <w:szCs w:val="18"/>
                <w:color w:val="auto"/>
                <w:w w:val="79"/>
              </w:rPr>
              <w:t>$</w:t>
            </w:r>
          </w:p>
        </w:tc>
        <w:tc>
          <w:tcPr>
            <w:tcW w:w="460" w:type="dxa"/>
            <w:vAlign w:val="bottom"/>
          </w:tcPr>
          <w:p>
            <w:pPr>
              <w:jc w:val="right"/>
              <w:spacing w:after="0"/>
              <w:rPr>
                <w:sz w:val="20"/>
                <w:szCs w:val="20"/>
                <w:color w:val="auto"/>
              </w:rPr>
            </w:pPr>
            <w:r>
              <w:rPr>
                <w:rFonts w:ascii="Arial" w:cs="Arial" w:eastAsia="Arial" w:hAnsi="Arial"/>
                <w:sz w:val="18"/>
                <w:szCs w:val="18"/>
                <w:color w:val="auto"/>
                <w:w w:val="93"/>
              </w:rPr>
              <w:t>12.82</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020" w:type="dxa"/>
            <w:vAlign w:val="bottom"/>
            <w:shd w:val="clear" w:color="auto" w:fill="CCEEFF"/>
          </w:tcPr>
          <w:p>
            <w:pPr>
              <w:ind w:left="420"/>
              <w:spacing w:after="0"/>
              <w:rPr>
                <w:sz w:val="20"/>
                <w:szCs w:val="20"/>
                <w:color w:val="auto"/>
              </w:rPr>
            </w:pPr>
            <w:r>
              <w:rPr>
                <w:rFonts w:ascii="Arial" w:cs="Arial" w:eastAsia="Arial" w:hAnsi="Arial"/>
                <w:sz w:val="18"/>
                <w:szCs w:val="18"/>
                <w:color w:val="auto"/>
              </w:rPr>
              <w:t>Options forfeited/canceled/expired</w:t>
            </w:r>
          </w:p>
        </w:tc>
        <w:tc>
          <w:tcPr>
            <w:tcW w:w="2800" w:type="dxa"/>
            <w:vAlign w:val="bottom"/>
            <w:gridSpan w:val="3"/>
            <w:shd w:val="clear" w:color="auto" w:fill="CCEEFF"/>
          </w:tcPr>
          <w:p>
            <w:pPr>
              <w:jc w:val="right"/>
              <w:ind w:right="260"/>
              <w:spacing w:after="0"/>
              <w:rPr>
                <w:sz w:val="20"/>
                <w:szCs w:val="20"/>
                <w:color w:val="auto"/>
              </w:rPr>
            </w:pPr>
            <w:r>
              <w:rPr>
                <w:rFonts w:ascii="Arial" w:cs="Arial" w:eastAsia="Arial" w:hAnsi="Arial"/>
                <w:sz w:val="18"/>
                <w:szCs w:val="18"/>
                <w:color w:val="auto"/>
              </w:rPr>
              <w:t>(3,446)</w:t>
            </w:r>
          </w:p>
        </w:tc>
        <w:tc>
          <w:tcPr>
            <w:tcW w:w="380" w:type="dxa"/>
            <w:vAlign w:val="bottom"/>
            <w:gridSpan w:val="2"/>
            <w:shd w:val="clear" w:color="auto" w:fill="CCEEFF"/>
          </w:tcPr>
          <w:p>
            <w:pPr>
              <w:ind w:left="280"/>
              <w:spacing w:after="0"/>
              <w:rPr>
                <w:sz w:val="20"/>
                <w:szCs w:val="20"/>
                <w:color w:val="auto"/>
              </w:rPr>
            </w:pPr>
            <w:r>
              <w:rPr>
                <w:rFonts w:ascii="Arial" w:cs="Arial" w:eastAsia="Arial" w:hAnsi="Arial"/>
                <w:sz w:val="18"/>
                <w:szCs w:val="18"/>
                <w:color w:val="auto"/>
                <w:w w:val="79"/>
              </w:rPr>
              <w:t>$</w:t>
            </w:r>
          </w:p>
        </w:tc>
        <w:tc>
          <w:tcPr>
            <w:tcW w:w="460" w:type="dxa"/>
            <w:vAlign w:val="bottom"/>
            <w:shd w:val="clear" w:color="auto" w:fill="CCEEFF"/>
          </w:tcPr>
          <w:p>
            <w:pPr>
              <w:jc w:val="right"/>
              <w:spacing w:after="0"/>
              <w:rPr>
                <w:sz w:val="20"/>
                <w:szCs w:val="20"/>
                <w:color w:val="auto"/>
              </w:rPr>
            </w:pPr>
            <w:r>
              <w:rPr>
                <w:rFonts w:ascii="Arial" w:cs="Arial" w:eastAsia="Arial" w:hAnsi="Arial"/>
                <w:sz w:val="18"/>
                <w:szCs w:val="18"/>
                <w:color w:val="auto"/>
                <w:w w:val="93"/>
              </w:rPr>
              <w:t>15.67</w:t>
            </w:r>
          </w:p>
        </w:tc>
        <w:tc>
          <w:tcPr>
            <w:tcW w:w="0" w:type="dxa"/>
            <w:vAlign w:val="bottom"/>
          </w:tcPr>
          <w:p>
            <w:pPr>
              <w:spacing w:after="0"/>
              <w:rPr>
                <w:sz w:val="1"/>
                <w:szCs w:val="1"/>
                <w:color w:val="auto"/>
              </w:rPr>
            </w:pPr>
          </w:p>
        </w:tc>
      </w:tr>
      <w:tr>
        <w:trPr>
          <w:trHeight w:val="223"/>
        </w:trPr>
        <w:tc>
          <w:tcPr>
            <w:tcW w:w="20" w:type="dxa"/>
            <w:vAlign w:val="bottom"/>
          </w:tcPr>
          <w:p>
            <w:pPr>
              <w:spacing w:after="0"/>
              <w:rPr>
                <w:sz w:val="19"/>
                <w:szCs w:val="19"/>
                <w:color w:val="auto"/>
              </w:rPr>
            </w:pPr>
          </w:p>
        </w:tc>
        <w:tc>
          <w:tcPr>
            <w:tcW w:w="5020" w:type="dxa"/>
            <w:vAlign w:val="bottom"/>
          </w:tcPr>
          <w:p>
            <w:pPr>
              <w:ind w:left="420"/>
              <w:spacing w:after="0"/>
              <w:rPr>
                <w:sz w:val="20"/>
                <w:szCs w:val="20"/>
                <w:color w:val="auto"/>
              </w:rPr>
            </w:pPr>
            <w:r>
              <w:rPr>
                <w:rFonts w:ascii="Arial" w:cs="Arial" w:eastAsia="Arial" w:hAnsi="Arial"/>
                <w:sz w:val="18"/>
                <w:szCs w:val="18"/>
                <w:color w:val="auto"/>
              </w:rPr>
              <w:t>Options exercised</w:t>
            </w:r>
          </w:p>
        </w:tc>
        <w:tc>
          <w:tcPr>
            <w:tcW w:w="1760" w:type="dxa"/>
            <w:vAlign w:val="bottom"/>
          </w:tcPr>
          <w:p>
            <w:pPr>
              <w:spacing w:after="0"/>
              <w:rPr>
                <w:sz w:val="19"/>
                <w:szCs w:val="19"/>
                <w:color w:val="auto"/>
              </w:rPr>
            </w:pPr>
          </w:p>
        </w:tc>
        <w:tc>
          <w:tcPr>
            <w:tcW w:w="1040" w:type="dxa"/>
            <w:vAlign w:val="bottom"/>
            <w:gridSpan w:val="2"/>
          </w:tcPr>
          <w:p>
            <w:pPr>
              <w:jc w:val="right"/>
              <w:ind w:right="260"/>
              <w:spacing w:after="0"/>
              <w:rPr>
                <w:sz w:val="20"/>
                <w:szCs w:val="20"/>
                <w:color w:val="auto"/>
              </w:rPr>
            </w:pPr>
            <w:r>
              <w:rPr>
                <w:rFonts w:ascii="Arial" w:cs="Arial" w:eastAsia="Arial" w:hAnsi="Arial"/>
                <w:sz w:val="18"/>
                <w:szCs w:val="18"/>
                <w:color w:val="auto"/>
              </w:rPr>
              <w:t>(4,517)</w:t>
            </w:r>
          </w:p>
        </w:tc>
        <w:tc>
          <w:tcPr>
            <w:tcW w:w="380" w:type="dxa"/>
            <w:vAlign w:val="bottom"/>
            <w:gridSpan w:val="2"/>
          </w:tcPr>
          <w:p>
            <w:pPr>
              <w:ind w:left="280"/>
              <w:spacing w:after="0"/>
              <w:rPr>
                <w:sz w:val="20"/>
                <w:szCs w:val="20"/>
                <w:color w:val="auto"/>
              </w:rPr>
            </w:pPr>
            <w:r>
              <w:rPr>
                <w:rFonts w:ascii="Arial" w:cs="Arial" w:eastAsia="Arial" w:hAnsi="Arial"/>
                <w:sz w:val="18"/>
                <w:szCs w:val="18"/>
                <w:color w:val="auto"/>
                <w:w w:val="79"/>
              </w:rPr>
              <w:t>$</w:t>
            </w:r>
          </w:p>
        </w:tc>
        <w:tc>
          <w:tcPr>
            <w:tcW w:w="460" w:type="dxa"/>
            <w:vAlign w:val="bottom"/>
          </w:tcPr>
          <w:p>
            <w:pPr>
              <w:jc w:val="right"/>
              <w:spacing w:after="0"/>
              <w:rPr>
                <w:sz w:val="20"/>
                <w:szCs w:val="20"/>
                <w:color w:val="auto"/>
              </w:rPr>
            </w:pPr>
            <w:r>
              <w:rPr>
                <w:rFonts w:ascii="Arial" w:cs="Arial" w:eastAsia="Arial" w:hAnsi="Arial"/>
                <w:sz w:val="18"/>
                <w:szCs w:val="18"/>
                <w:color w:val="auto"/>
              </w:rPr>
              <w:t>6.24</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020" w:type="dxa"/>
            <w:vAlign w:val="bottom"/>
            <w:shd w:val="clear" w:color="auto" w:fill="CCEEFF"/>
          </w:tcPr>
          <w:p>
            <w:pPr>
              <w:spacing w:after="0"/>
              <w:rPr>
                <w:sz w:val="20"/>
                <w:szCs w:val="20"/>
                <w:color w:val="auto"/>
              </w:rPr>
            </w:pPr>
            <w:r>
              <w:rPr>
                <w:rFonts w:ascii="Arial" w:cs="Arial" w:eastAsia="Arial" w:hAnsi="Arial"/>
                <w:sz w:val="18"/>
                <w:szCs w:val="18"/>
                <w:color w:val="auto"/>
              </w:rPr>
              <w:t>Balance at October 31, 2009</w:t>
            </w:r>
          </w:p>
        </w:tc>
        <w:tc>
          <w:tcPr>
            <w:tcW w:w="1760" w:type="dxa"/>
            <w:vAlign w:val="bottom"/>
            <w:shd w:val="clear" w:color="auto" w:fill="CCEEFF"/>
          </w:tcPr>
          <w:p>
            <w:pPr>
              <w:spacing w:after="0"/>
              <w:rPr>
                <w:sz w:val="18"/>
                <w:szCs w:val="18"/>
                <w:color w:val="auto"/>
              </w:rPr>
            </w:pPr>
          </w:p>
        </w:tc>
        <w:tc>
          <w:tcPr>
            <w:tcW w:w="72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78,498</w:t>
            </w:r>
          </w:p>
        </w:tc>
        <w:tc>
          <w:tcPr>
            <w:tcW w:w="320" w:type="dxa"/>
            <w:vAlign w:val="bottom"/>
            <w:shd w:val="clear" w:color="auto" w:fill="CCEEFF"/>
          </w:tcPr>
          <w:p>
            <w:pPr>
              <w:spacing w:after="0"/>
              <w:rPr>
                <w:sz w:val="18"/>
                <w:szCs w:val="18"/>
                <w:color w:val="auto"/>
              </w:rPr>
            </w:pPr>
          </w:p>
        </w:tc>
        <w:tc>
          <w:tcPr>
            <w:tcW w:w="380" w:type="dxa"/>
            <w:vAlign w:val="bottom"/>
            <w:gridSpan w:val="2"/>
            <w:shd w:val="clear" w:color="auto" w:fill="CCEEFF"/>
          </w:tcPr>
          <w:p>
            <w:pPr>
              <w:ind w:left="280"/>
              <w:spacing w:after="0"/>
              <w:rPr>
                <w:sz w:val="20"/>
                <w:szCs w:val="20"/>
                <w:color w:val="auto"/>
              </w:rPr>
            </w:pPr>
            <w:r>
              <w:rPr>
                <w:rFonts w:ascii="Arial" w:cs="Arial" w:eastAsia="Arial" w:hAnsi="Arial"/>
                <w:sz w:val="18"/>
                <w:szCs w:val="18"/>
                <w:color w:val="auto"/>
                <w:w w:val="79"/>
              </w:rPr>
              <w:t>$</w:t>
            </w:r>
          </w:p>
        </w:tc>
        <w:tc>
          <w:tcPr>
            <w:tcW w:w="460" w:type="dxa"/>
            <w:vAlign w:val="bottom"/>
            <w:shd w:val="clear" w:color="auto" w:fill="CCEEFF"/>
          </w:tcPr>
          <w:p>
            <w:pPr>
              <w:jc w:val="right"/>
              <w:spacing w:after="0"/>
              <w:rPr>
                <w:sz w:val="20"/>
                <w:szCs w:val="20"/>
                <w:color w:val="auto"/>
              </w:rPr>
            </w:pPr>
            <w:r>
              <w:rPr>
                <w:rFonts w:ascii="Arial" w:cs="Arial" w:eastAsia="Arial" w:hAnsi="Arial"/>
                <w:sz w:val="18"/>
                <w:szCs w:val="18"/>
                <w:color w:val="auto"/>
                <w:w w:val="93"/>
              </w:rPr>
              <w:t>10.90</w:t>
            </w:r>
          </w:p>
        </w:tc>
        <w:tc>
          <w:tcPr>
            <w:tcW w:w="0" w:type="dxa"/>
            <w:vAlign w:val="bottom"/>
          </w:tcPr>
          <w:p>
            <w:pPr>
              <w:spacing w:after="0"/>
              <w:rPr>
                <w:sz w:val="1"/>
                <w:szCs w:val="1"/>
                <w:color w:val="auto"/>
              </w:rPr>
            </w:pPr>
          </w:p>
        </w:tc>
      </w:tr>
      <w:tr>
        <w:trPr>
          <w:trHeight w:val="20"/>
        </w:trPr>
        <w:tc>
          <w:tcPr>
            <w:tcW w:w="5040" w:type="dxa"/>
            <w:vAlign w:val="bottom"/>
            <w:gridSpan w:val="2"/>
            <w:vMerge w:val="restart"/>
          </w:tcPr>
          <w:p>
            <w:pPr>
              <w:spacing w:after="0"/>
              <w:rPr>
                <w:sz w:val="20"/>
                <w:szCs w:val="20"/>
                <w:color w:val="auto"/>
              </w:rPr>
            </w:pPr>
            <w:r>
              <w:rPr>
                <w:rFonts w:ascii="Arial" w:cs="Arial" w:eastAsia="Arial" w:hAnsi="Arial"/>
                <w:sz w:val="18"/>
                <w:szCs w:val="18"/>
                <w:color w:val="auto"/>
              </w:rPr>
              <w:t>Vested or expected to vest at October 31, 2009</w:t>
            </w:r>
          </w:p>
        </w:tc>
        <w:tc>
          <w:tcPr>
            <w:tcW w:w="1760" w:type="dxa"/>
            <w:vAlign w:val="bottom"/>
          </w:tcPr>
          <w:p>
            <w:pPr>
              <w:spacing w:after="0" w:line="20" w:lineRule="exact"/>
              <w:rPr>
                <w:sz w:val="1"/>
                <w:szCs w:val="1"/>
                <w:color w:val="auto"/>
              </w:rPr>
            </w:pPr>
          </w:p>
        </w:tc>
        <w:tc>
          <w:tcPr>
            <w:tcW w:w="720" w:type="dxa"/>
            <w:vAlign w:val="bottom"/>
            <w:tcBorders>
              <w:bottom w:val="single" w:sz="8" w:color="auto"/>
            </w:tcBorders>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380" w:type="dxa"/>
            <w:vAlign w:val="bottom"/>
            <w:gridSpan w:val="2"/>
            <w:vMerge w:val="restart"/>
          </w:tcPr>
          <w:p>
            <w:pPr>
              <w:ind w:left="280"/>
              <w:spacing w:after="0"/>
              <w:rPr>
                <w:sz w:val="20"/>
                <w:szCs w:val="20"/>
                <w:color w:val="auto"/>
              </w:rPr>
            </w:pPr>
            <w:r>
              <w:rPr>
                <w:rFonts w:ascii="Arial" w:cs="Arial" w:eastAsia="Arial" w:hAnsi="Arial"/>
                <w:sz w:val="18"/>
                <w:szCs w:val="18"/>
                <w:color w:val="auto"/>
                <w:w w:val="79"/>
              </w:rPr>
              <w:t>$</w:t>
            </w:r>
          </w:p>
        </w:tc>
        <w:tc>
          <w:tcPr>
            <w:tcW w:w="460" w:type="dxa"/>
            <w:vAlign w:val="bottom"/>
            <w:vMerge w:val="restart"/>
          </w:tcPr>
          <w:p>
            <w:pPr>
              <w:jc w:val="right"/>
              <w:spacing w:after="0"/>
              <w:rPr>
                <w:sz w:val="20"/>
                <w:szCs w:val="20"/>
                <w:color w:val="auto"/>
              </w:rPr>
            </w:pPr>
            <w:r>
              <w:rPr>
                <w:rFonts w:ascii="Arial" w:cs="Arial" w:eastAsia="Arial" w:hAnsi="Arial"/>
                <w:sz w:val="18"/>
                <w:szCs w:val="18"/>
                <w:color w:val="auto"/>
                <w:w w:val="93"/>
              </w:rPr>
              <w:t>10.92</w:t>
            </w:r>
          </w:p>
        </w:tc>
        <w:tc>
          <w:tcPr>
            <w:tcW w:w="0" w:type="dxa"/>
            <w:vAlign w:val="bottom"/>
          </w:tcPr>
          <w:p>
            <w:pPr>
              <w:spacing w:after="0" w:line="20" w:lineRule="exact"/>
              <w:rPr>
                <w:sz w:val="1"/>
                <w:szCs w:val="1"/>
                <w:color w:val="auto"/>
              </w:rPr>
            </w:pPr>
          </w:p>
        </w:tc>
      </w:tr>
      <w:tr>
        <w:trPr>
          <w:trHeight w:val="209"/>
        </w:trPr>
        <w:tc>
          <w:tcPr>
            <w:tcW w:w="5040" w:type="dxa"/>
            <w:vAlign w:val="bottom"/>
            <w:gridSpan w:val="2"/>
            <w:vMerge w:val="continue"/>
          </w:tcPr>
          <w:p>
            <w:pPr>
              <w:spacing w:after="0"/>
              <w:rPr>
                <w:sz w:val="18"/>
                <w:szCs w:val="18"/>
                <w:color w:val="auto"/>
              </w:rPr>
            </w:pPr>
          </w:p>
        </w:tc>
        <w:tc>
          <w:tcPr>
            <w:tcW w:w="2480" w:type="dxa"/>
            <w:vAlign w:val="bottom"/>
            <w:gridSpan w:val="2"/>
          </w:tcPr>
          <w:p>
            <w:pPr>
              <w:jc w:val="right"/>
              <w:spacing w:after="0"/>
              <w:rPr>
                <w:sz w:val="20"/>
                <w:szCs w:val="20"/>
                <w:color w:val="auto"/>
              </w:rPr>
            </w:pPr>
            <w:r>
              <w:rPr>
                <w:rFonts w:ascii="Arial" w:cs="Arial" w:eastAsia="Arial" w:hAnsi="Arial"/>
                <w:sz w:val="18"/>
                <w:szCs w:val="18"/>
                <w:color w:val="auto"/>
              </w:rPr>
              <w:t>75,589</w:t>
            </w:r>
          </w:p>
        </w:tc>
        <w:tc>
          <w:tcPr>
            <w:tcW w:w="320" w:type="dxa"/>
            <w:vAlign w:val="bottom"/>
          </w:tcPr>
          <w:p>
            <w:pPr>
              <w:spacing w:after="0"/>
              <w:rPr>
                <w:sz w:val="18"/>
                <w:szCs w:val="18"/>
                <w:color w:val="auto"/>
              </w:rPr>
            </w:pPr>
          </w:p>
        </w:tc>
        <w:tc>
          <w:tcPr>
            <w:tcW w:w="380" w:type="dxa"/>
            <w:vAlign w:val="bottom"/>
            <w:gridSpan w:val="2"/>
            <w:vMerge w:val="continue"/>
          </w:tcPr>
          <w:p>
            <w:pPr>
              <w:spacing w:after="0"/>
              <w:rPr>
                <w:sz w:val="18"/>
                <w:szCs w:val="18"/>
                <w:color w:val="auto"/>
              </w:rPr>
            </w:pPr>
          </w:p>
        </w:tc>
        <w:tc>
          <w:tcPr>
            <w:tcW w:w="460" w:type="dxa"/>
            <w:vAlign w:val="bottom"/>
            <w:vMerge w:val="continue"/>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5020" w:type="dxa"/>
            <w:vAlign w:val="bottom"/>
          </w:tcPr>
          <w:p>
            <w:pPr>
              <w:spacing w:after="0" w:line="20" w:lineRule="exact"/>
              <w:rPr>
                <w:sz w:val="1"/>
                <w:szCs w:val="1"/>
                <w:color w:val="auto"/>
              </w:rPr>
            </w:pPr>
          </w:p>
        </w:tc>
        <w:tc>
          <w:tcPr>
            <w:tcW w:w="1760" w:type="dxa"/>
            <w:vAlign w:val="bottom"/>
          </w:tcPr>
          <w:p>
            <w:pPr>
              <w:spacing w:after="0" w:line="20" w:lineRule="exact"/>
              <w:rPr>
                <w:sz w:val="1"/>
                <w:szCs w:val="1"/>
                <w:color w:val="auto"/>
              </w:rPr>
            </w:pPr>
          </w:p>
        </w:tc>
        <w:tc>
          <w:tcPr>
            <w:tcW w:w="720" w:type="dxa"/>
            <w:vAlign w:val="bottom"/>
            <w:tcBorders>
              <w:top w:val="single" w:sz="8" w:color="auto"/>
              <w:bottom w:val="single" w:sz="8" w:color="auto"/>
            </w:tcBorders>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46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11"/>
        </w:trPr>
        <w:tc>
          <w:tcPr>
            <w:tcW w:w="20" w:type="dxa"/>
            <w:vAlign w:val="bottom"/>
          </w:tcPr>
          <w:p>
            <w:pPr>
              <w:spacing w:after="0"/>
              <w:rPr>
                <w:sz w:val="18"/>
                <w:szCs w:val="18"/>
                <w:color w:val="auto"/>
              </w:rPr>
            </w:pPr>
          </w:p>
        </w:tc>
        <w:tc>
          <w:tcPr>
            <w:tcW w:w="5020" w:type="dxa"/>
            <w:vAlign w:val="bottom"/>
            <w:shd w:val="clear" w:color="auto" w:fill="CCEEFF"/>
          </w:tcPr>
          <w:p>
            <w:pPr>
              <w:spacing w:after="0"/>
              <w:rPr>
                <w:sz w:val="20"/>
                <w:szCs w:val="20"/>
                <w:color w:val="auto"/>
              </w:rPr>
            </w:pPr>
            <w:r>
              <w:rPr>
                <w:rFonts w:ascii="Arial" w:cs="Arial" w:eastAsia="Arial" w:hAnsi="Arial"/>
                <w:sz w:val="18"/>
                <w:szCs w:val="18"/>
                <w:color w:val="auto"/>
              </w:rPr>
              <w:t>Exercisable at October 31, 2009</w:t>
            </w:r>
          </w:p>
        </w:tc>
        <w:tc>
          <w:tcPr>
            <w:tcW w:w="248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50,228</w:t>
            </w:r>
          </w:p>
        </w:tc>
        <w:tc>
          <w:tcPr>
            <w:tcW w:w="320" w:type="dxa"/>
            <w:vAlign w:val="bottom"/>
            <w:shd w:val="clear" w:color="auto" w:fill="CCEEFF"/>
          </w:tcPr>
          <w:p>
            <w:pPr>
              <w:spacing w:after="0"/>
              <w:rPr>
                <w:sz w:val="18"/>
                <w:szCs w:val="18"/>
                <w:color w:val="auto"/>
              </w:rPr>
            </w:pPr>
          </w:p>
        </w:tc>
        <w:tc>
          <w:tcPr>
            <w:tcW w:w="380" w:type="dxa"/>
            <w:vAlign w:val="bottom"/>
            <w:gridSpan w:val="2"/>
            <w:shd w:val="clear" w:color="auto" w:fill="CCEEFF"/>
          </w:tcPr>
          <w:p>
            <w:pPr>
              <w:ind w:left="280"/>
              <w:spacing w:after="0"/>
              <w:rPr>
                <w:sz w:val="20"/>
                <w:szCs w:val="20"/>
                <w:color w:val="auto"/>
              </w:rPr>
            </w:pPr>
            <w:r>
              <w:rPr>
                <w:rFonts w:ascii="Arial" w:cs="Arial" w:eastAsia="Arial" w:hAnsi="Arial"/>
                <w:sz w:val="18"/>
                <w:szCs w:val="18"/>
                <w:color w:val="auto"/>
                <w:w w:val="79"/>
              </w:rPr>
              <w:t>$</w:t>
            </w:r>
          </w:p>
        </w:tc>
        <w:tc>
          <w:tcPr>
            <w:tcW w:w="460" w:type="dxa"/>
            <w:vAlign w:val="bottom"/>
            <w:shd w:val="clear" w:color="auto" w:fill="CCEEFF"/>
          </w:tcPr>
          <w:p>
            <w:pPr>
              <w:jc w:val="right"/>
              <w:spacing w:after="0"/>
              <w:rPr>
                <w:sz w:val="20"/>
                <w:szCs w:val="20"/>
                <w:color w:val="auto"/>
              </w:rPr>
            </w:pPr>
            <w:r>
              <w:rPr>
                <w:rFonts w:ascii="Arial" w:cs="Arial" w:eastAsia="Arial" w:hAnsi="Arial"/>
                <w:sz w:val="18"/>
                <w:szCs w:val="18"/>
                <w:color w:val="auto"/>
                <w:w w:val="93"/>
              </w:rPr>
              <w:t>10.47</w:t>
            </w: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5020" w:type="dxa"/>
            <w:vAlign w:val="bottom"/>
          </w:tcPr>
          <w:p>
            <w:pPr>
              <w:spacing w:after="0" w:line="20" w:lineRule="exact"/>
              <w:rPr>
                <w:sz w:val="1"/>
                <w:szCs w:val="1"/>
                <w:color w:val="auto"/>
              </w:rPr>
            </w:pPr>
          </w:p>
        </w:tc>
        <w:tc>
          <w:tcPr>
            <w:tcW w:w="1760" w:type="dxa"/>
            <w:vAlign w:val="bottom"/>
          </w:tcPr>
          <w:p>
            <w:pPr>
              <w:spacing w:after="0" w:line="20" w:lineRule="exact"/>
              <w:rPr>
                <w:sz w:val="1"/>
                <w:szCs w:val="1"/>
                <w:color w:val="auto"/>
              </w:rPr>
            </w:pPr>
          </w:p>
        </w:tc>
        <w:tc>
          <w:tcPr>
            <w:tcW w:w="720" w:type="dxa"/>
            <w:vAlign w:val="bottom"/>
            <w:tcBorders>
              <w:top w:val="single" w:sz="8" w:color="auto"/>
              <w:bottom w:val="single" w:sz="8" w:color="auto"/>
            </w:tcBorders>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46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167" w:lineRule="exact"/>
        <w:rPr>
          <w:sz w:val="20"/>
          <w:szCs w:val="20"/>
          <w:color w:val="auto"/>
        </w:rPr>
      </w:pPr>
    </w:p>
    <w:p>
      <w:pPr>
        <w:jc w:val="both"/>
        <w:ind w:right="160" w:firstLine="456"/>
        <w:spacing w:after="0" w:line="259" w:lineRule="auto"/>
        <w:rPr>
          <w:sz w:val="20"/>
          <w:szCs w:val="20"/>
          <w:color w:val="auto"/>
        </w:rPr>
      </w:pPr>
      <w:r>
        <w:rPr>
          <w:rFonts w:ascii="Arial" w:cs="Arial" w:eastAsia="Arial" w:hAnsi="Arial"/>
          <w:sz w:val="18"/>
          <w:szCs w:val="18"/>
          <w:color w:val="auto"/>
        </w:rPr>
        <w:t>Included in the preceding table are options for 2.1 million common shares granted to certain officers at exercise prices ranging between $6.84 and $24.80 that will become exercisable only upon the achievement of specified annual earnings per share targets or achievement of certain operating performance criteria through fiscal 2014.</w:t>
      </w:r>
    </w:p>
    <w:p>
      <w:pPr>
        <w:spacing w:after="0" w:line="140" w:lineRule="exact"/>
        <w:rPr>
          <w:sz w:val="20"/>
          <w:szCs w:val="20"/>
          <w:color w:val="auto"/>
        </w:rPr>
      </w:pPr>
    </w:p>
    <w:p>
      <w:pPr>
        <w:ind w:firstLine="456"/>
        <w:spacing w:after="0" w:line="256" w:lineRule="auto"/>
        <w:rPr>
          <w:sz w:val="20"/>
          <w:szCs w:val="20"/>
          <w:color w:val="auto"/>
        </w:rPr>
      </w:pPr>
      <w:r>
        <w:rPr>
          <w:rFonts w:ascii="Arial" w:cs="Arial" w:eastAsia="Arial" w:hAnsi="Arial"/>
          <w:sz w:val="18"/>
          <w:szCs w:val="18"/>
          <w:color w:val="auto"/>
        </w:rPr>
        <w:t>The aggregate intrinsic value and weighted average remaining contractual term of options vested and expected to vest at October 31, 2009 was $319.8 million and 5.5 years, respectively. The aggregate intrinsic value and weighted average remaining contractual term of options exercisable at October 31, 2009 was $228.2 million and 4.0 years, respectively. The aggregate intrinsic value is calculated based on the Company’s closing stock price for all in-the-money options as of October 31, 2009.</w:t>
      </w:r>
    </w:p>
    <w:p>
      <w:pPr>
        <w:spacing w:after="0" w:line="130"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25</w:t>
      </w:r>
    </w:p>
    <w:p>
      <w:pPr>
        <w:sectPr>
          <w:pgSz w:w="11900" w:h="16838" w:orient="portrait"/>
          <w:cols w:equalWidth="0" w:num="1">
            <w:col w:w="11400"/>
          </w:cols>
          <w:pgMar w:left="240" w:top="459" w:right="259" w:bottom="1440" w:gutter="0" w:footer="0" w:header="0"/>
        </w:sectPr>
      </w:pPr>
    </w:p>
    <w:bookmarkStart w:id="25" w:name="page26"/>
    <w:bookmarkEnd w:id="25"/>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40">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MARVELL TECHNOLOGY GROUP LTD.</w:t>
      </w:r>
    </w:p>
    <w:p>
      <w:pPr>
        <w:spacing w:after="0" w:line="90"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NOTES TO UNAUDITED CONDENSED CONSOLIDATED FINANCIAL STATEMENTS—(Continued)</w:t>
      </w:r>
    </w:p>
    <w:p>
      <w:pPr>
        <w:spacing w:after="0" w:line="164" w:lineRule="exact"/>
        <w:rPr>
          <w:sz w:val="20"/>
          <w:szCs w:val="20"/>
          <w:color w:val="auto"/>
        </w:rPr>
      </w:pPr>
    </w:p>
    <w:p>
      <w:pPr>
        <w:ind w:right="100" w:firstLine="456"/>
        <w:spacing w:after="0" w:line="268" w:lineRule="auto"/>
        <w:rPr>
          <w:sz w:val="20"/>
          <w:szCs w:val="20"/>
          <w:color w:val="auto"/>
        </w:rPr>
      </w:pPr>
      <w:r>
        <w:rPr>
          <w:rFonts w:ascii="Arial" w:cs="Arial" w:eastAsia="Arial" w:hAnsi="Arial"/>
          <w:sz w:val="18"/>
          <w:szCs w:val="18"/>
          <w:color w:val="auto"/>
        </w:rPr>
        <w:t>The aggregate intrinsic value and weighted average remaining contractual term of restricted stock units vested and expected to vest as of October 31, 2009 was $51.4 million and 1.0 years, respectively.</w:t>
      </w:r>
    </w:p>
    <w:p>
      <w:pPr>
        <w:spacing w:after="0" w:line="132" w:lineRule="exact"/>
        <w:rPr>
          <w:sz w:val="20"/>
          <w:szCs w:val="20"/>
          <w:color w:val="auto"/>
        </w:rPr>
      </w:pPr>
    </w:p>
    <w:p>
      <w:pPr>
        <w:ind w:left="460"/>
        <w:spacing w:after="0"/>
        <w:rPr>
          <w:sz w:val="20"/>
          <w:szCs w:val="20"/>
          <w:color w:val="auto"/>
        </w:rPr>
      </w:pPr>
      <w:r>
        <w:rPr>
          <w:rFonts w:ascii="Arial" w:cs="Arial" w:eastAsia="Arial" w:hAnsi="Arial"/>
          <w:sz w:val="18"/>
          <w:szCs w:val="18"/>
          <w:color w:val="auto"/>
        </w:rPr>
        <w:t>Included in the table below is activity related to restricted stock units (in thousands, except per share amounts):</w:t>
      </w:r>
    </w:p>
    <w:p>
      <w:pPr>
        <w:spacing w:after="0" w:line="195" w:lineRule="exact"/>
        <w:rPr>
          <w:sz w:val="20"/>
          <w:szCs w:val="20"/>
          <w:color w:val="auto"/>
        </w:rPr>
      </w:pPr>
    </w:p>
    <w:tbl>
      <w:tblPr>
        <w:tblLayout w:type="fixed"/>
        <w:tblInd w:w="1380" w:type="dxa"/>
        <w:tblCellMar>
          <w:top w:w="0" w:type="dxa"/>
          <w:left w:w="0" w:type="dxa"/>
          <w:bottom w:w="0" w:type="dxa"/>
          <w:right w:w="0" w:type="dxa"/>
        </w:tblCellMar>
      </w:tblPr>
      <w:tr>
        <w:trPr>
          <w:trHeight w:val="161"/>
        </w:trPr>
        <w:tc>
          <w:tcPr>
            <w:tcW w:w="20" w:type="dxa"/>
            <w:vAlign w:val="bottom"/>
          </w:tcPr>
          <w:p>
            <w:pPr>
              <w:spacing w:after="0"/>
              <w:rPr>
                <w:sz w:val="14"/>
                <w:szCs w:val="14"/>
                <w:color w:val="auto"/>
              </w:rPr>
            </w:pPr>
          </w:p>
        </w:tc>
        <w:tc>
          <w:tcPr>
            <w:tcW w:w="4300" w:type="dxa"/>
            <w:vAlign w:val="bottom"/>
          </w:tcPr>
          <w:p>
            <w:pPr>
              <w:spacing w:after="0"/>
              <w:rPr>
                <w:sz w:val="14"/>
                <w:szCs w:val="14"/>
                <w:color w:val="auto"/>
              </w:rPr>
            </w:pPr>
          </w:p>
        </w:tc>
        <w:tc>
          <w:tcPr>
            <w:tcW w:w="230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340" w:type="dxa"/>
            <w:vAlign w:val="bottom"/>
          </w:tcPr>
          <w:p>
            <w:pPr>
              <w:spacing w:after="0"/>
              <w:rPr>
                <w:sz w:val="14"/>
                <w:szCs w:val="14"/>
                <w:color w:val="auto"/>
              </w:rPr>
            </w:pPr>
          </w:p>
        </w:tc>
        <w:tc>
          <w:tcPr>
            <w:tcW w:w="320" w:type="dxa"/>
            <w:vAlign w:val="bottom"/>
          </w:tcPr>
          <w:p>
            <w:pPr>
              <w:spacing w:after="0"/>
              <w:rPr>
                <w:sz w:val="14"/>
                <w:szCs w:val="14"/>
                <w:color w:val="auto"/>
              </w:rPr>
            </w:pPr>
          </w:p>
        </w:tc>
        <w:tc>
          <w:tcPr>
            <w:tcW w:w="660" w:type="dxa"/>
            <w:vAlign w:val="bottom"/>
            <w:gridSpan w:val="2"/>
          </w:tcPr>
          <w:p>
            <w:pPr>
              <w:jc w:val="center"/>
              <w:spacing w:after="0"/>
              <w:rPr>
                <w:sz w:val="20"/>
                <w:szCs w:val="20"/>
                <w:color w:val="auto"/>
              </w:rPr>
            </w:pPr>
            <w:r>
              <w:rPr>
                <w:rFonts w:ascii="Arial" w:cs="Arial" w:eastAsia="Arial" w:hAnsi="Arial"/>
                <w:sz w:val="14"/>
                <w:szCs w:val="14"/>
                <w:b w:val="1"/>
                <w:bCs w:val="1"/>
                <w:color w:val="auto"/>
                <w:w w:val="88"/>
              </w:rPr>
              <w:t>Weighted</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4300" w:type="dxa"/>
            <w:vAlign w:val="bottom"/>
          </w:tcPr>
          <w:p>
            <w:pPr>
              <w:spacing w:after="0"/>
              <w:rPr>
                <w:sz w:val="12"/>
                <w:szCs w:val="12"/>
                <w:color w:val="auto"/>
              </w:rPr>
            </w:pPr>
          </w:p>
        </w:tc>
        <w:tc>
          <w:tcPr>
            <w:tcW w:w="2300" w:type="dxa"/>
            <w:vAlign w:val="bottom"/>
          </w:tcPr>
          <w:p>
            <w:pPr>
              <w:spacing w:after="0"/>
              <w:rPr>
                <w:sz w:val="12"/>
                <w:szCs w:val="12"/>
                <w:color w:val="auto"/>
              </w:rPr>
            </w:pPr>
          </w:p>
        </w:tc>
        <w:tc>
          <w:tcPr>
            <w:tcW w:w="1080" w:type="dxa"/>
            <w:vAlign w:val="bottom"/>
            <w:gridSpan w:val="2"/>
          </w:tcPr>
          <w:p>
            <w:pPr>
              <w:jc w:val="center"/>
              <w:ind w:right="360"/>
              <w:spacing w:after="0" w:line="149" w:lineRule="exact"/>
              <w:rPr>
                <w:sz w:val="20"/>
                <w:szCs w:val="20"/>
                <w:color w:val="auto"/>
              </w:rPr>
            </w:pPr>
            <w:r>
              <w:rPr>
                <w:rFonts w:ascii="Arial" w:cs="Arial" w:eastAsia="Arial" w:hAnsi="Arial"/>
                <w:sz w:val="14"/>
                <w:szCs w:val="14"/>
                <w:b w:val="1"/>
                <w:bCs w:val="1"/>
                <w:color w:val="auto"/>
                <w:w w:val="87"/>
              </w:rPr>
              <w:t>Restricted</w:t>
            </w:r>
          </w:p>
        </w:tc>
        <w:tc>
          <w:tcPr>
            <w:tcW w:w="32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580" w:type="dxa"/>
            <w:vAlign w:val="bottom"/>
          </w:tcPr>
          <w:p>
            <w:pPr>
              <w:jc w:val="center"/>
              <w:ind w:right="16"/>
              <w:spacing w:after="0" w:line="149" w:lineRule="exact"/>
              <w:rPr>
                <w:sz w:val="20"/>
                <w:szCs w:val="20"/>
                <w:color w:val="auto"/>
              </w:rPr>
            </w:pPr>
            <w:r>
              <w:rPr>
                <w:rFonts w:ascii="Arial" w:cs="Arial" w:eastAsia="Arial" w:hAnsi="Arial"/>
                <w:sz w:val="14"/>
                <w:szCs w:val="14"/>
                <w:b w:val="1"/>
                <w:bCs w:val="1"/>
                <w:color w:val="auto"/>
                <w:w w:val="86"/>
              </w:rPr>
              <w:t>Average</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4300" w:type="dxa"/>
            <w:vAlign w:val="bottom"/>
          </w:tcPr>
          <w:p>
            <w:pPr>
              <w:spacing w:after="0"/>
              <w:rPr>
                <w:sz w:val="12"/>
                <w:szCs w:val="12"/>
                <w:color w:val="auto"/>
              </w:rPr>
            </w:pPr>
          </w:p>
        </w:tc>
        <w:tc>
          <w:tcPr>
            <w:tcW w:w="2300" w:type="dxa"/>
            <w:vAlign w:val="bottom"/>
          </w:tcPr>
          <w:p>
            <w:pPr>
              <w:spacing w:after="0"/>
              <w:rPr>
                <w:sz w:val="12"/>
                <w:szCs w:val="12"/>
                <w:color w:val="auto"/>
              </w:rPr>
            </w:pPr>
          </w:p>
        </w:tc>
        <w:tc>
          <w:tcPr>
            <w:tcW w:w="1080" w:type="dxa"/>
            <w:vAlign w:val="bottom"/>
            <w:gridSpan w:val="2"/>
          </w:tcPr>
          <w:p>
            <w:pPr>
              <w:jc w:val="center"/>
              <w:ind w:right="360"/>
              <w:spacing w:after="0" w:line="149" w:lineRule="exact"/>
              <w:rPr>
                <w:sz w:val="20"/>
                <w:szCs w:val="20"/>
                <w:color w:val="auto"/>
              </w:rPr>
            </w:pPr>
            <w:r>
              <w:rPr>
                <w:rFonts w:ascii="Arial" w:cs="Arial" w:eastAsia="Arial" w:hAnsi="Arial"/>
                <w:sz w:val="14"/>
                <w:szCs w:val="14"/>
                <w:b w:val="1"/>
                <w:bCs w:val="1"/>
                <w:color w:val="auto"/>
                <w:w w:val="88"/>
              </w:rPr>
              <w:t>Stock Units</w:t>
            </w:r>
          </w:p>
        </w:tc>
        <w:tc>
          <w:tcPr>
            <w:tcW w:w="980" w:type="dxa"/>
            <w:vAlign w:val="bottom"/>
            <w:gridSpan w:val="3"/>
          </w:tcPr>
          <w:p>
            <w:pPr>
              <w:ind w:left="320"/>
              <w:spacing w:after="0" w:line="149" w:lineRule="exact"/>
              <w:rPr>
                <w:sz w:val="20"/>
                <w:szCs w:val="20"/>
                <w:color w:val="auto"/>
              </w:rPr>
            </w:pPr>
            <w:r>
              <w:rPr>
                <w:rFonts w:ascii="Arial" w:cs="Arial" w:eastAsia="Arial" w:hAnsi="Arial"/>
                <w:sz w:val="14"/>
                <w:szCs w:val="14"/>
                <w:b w:val="1"/>
                <w:bCs w:val="1"/>
                <w:color w:val="auto"/>
                <w:w w:val="89"/>
              </w:rPr>
              <w:t>Grant Date</w:t>
            </w:r>
          </w:p>
        </w:tc>
        <w:tc>
          <w:tcPr>
            <w:tcW w:w="0" w:type="dxa"/>
            <w:vAlign w:val="bottom"/>
          </w:tcPr>
          <w:p>
            <w:pPr>
              <w:spacing w:after="0"/>
              <w:rPr>
                <w:sz w:val="1"/>
                <w:szCs w:val="1"/>
                <w:color w:val="auto"/>
              </w:rPr>
            </w:pPr>
          </w:p>
        </w:tc>
      </w:tr>
      <w:tr>
        <w:trPr>
          <w:trHeight w:val="161"/>
        </w:trPr>
        <w:tc>
          <w:tcPr>
            <w:tcW w:w="20" w:type="dxa"/>
            <w:vAlign w:val="bottom"/>
          </w:tcPr>
          <w:p>
            <w:pPr>
              <w:spacing w:after="0"/>
              <w:rPr>
                <w:sz w:val="14"/>
                <w:szCs w:val="14"/>
                <w:color w:val="auto"/>
              </w:rPr>
            </w:pPr>
          </w:p>
        </w:tc>
        <w:tc>
          <w:tcPr>
            <w:tcW w:w="4300" w:type="dxa"/>
            <w:vAlign w:val="bottom"/>
          </w:tcPr>
          <w:p>
            <w:pPr>
              <w:spacing w:after="0"/>
              <w:rPr>
                <w:sz w:val="14"/>
                <w:szCs w:val="14"/>
                <w:color w:val="auto"/>
              </w:rPr>
            </w:pPr>
          </w:p>
        </w:tc>
        <w:tc>
          <w:tcPr>
            <w:tcW w:w="2300" w:type="dxa"/>
            <w:vAlign w:val="bottom"/>
          </w:tcPr>
          <w:p>
            <w:pPr>
              <w:spacing w:after="0"/>
              <w:rPr>
                <w:sz w:val="14"/>
                <w:szCs w:val="14"/>
                <w:color w:val="auto"/>
              </w:rPr>
            </w:pPr>
          </w:p>
        </w:tc>
        <w:tc>
          <w:tcPr>
            <w:tcW w:w="740" w:type="dxa"/>
            <w:vAlign w:val="bottom"/>
            <w:tcBorders>
              <w:bottom w:val="single" w:sz="8" w:color="auto"/>
            </w:tcBorders>
          </w:tcPr>
          <w:p>
            <w:pPr>
              <w:jc w:val="center"/>
              <w:spacing w:after="0"/>
              <w:rPr>
                <w:sz w:val="20"/>
                <w:szCs w:val="20"/>
                <w:color w:val="auto"/>
              </w:rPr>
            </w:pPr>
            <w:r>
              <w:rPr>
                <w:rFonts w:ascii="Arial" w:cs="Arial" w:eastAsia="Arial" w:hAnsi="Arial"/>
                <w:sz w:val="14"/>
                <w:szCs w:val="14"/>
                <w:b w:val="1"/>
                <w:bCs w:val="1"/>
                <w:color w:val="auto"/>
                <w:w w:val="87"/>
              </w:rPr>
              <w:t>Outstanding</w:t>
            </w:r>
          </w:p>
        </w:tc>
        <w:tc>
          <w:tcPr>
            <w:tcW w:w="340" w:type="dxa"/>
            <w:vAlign w:val="bottom"/>
          </w:tcPr>
          <w:p>
            <w:pPr>
              <w:spacing w:after="0"/>
              <w:rPr>
                <w:sz w:val="14"/>
                <w:szCs w:val="14"/>
                <w:color w:val="auto"/>
              </w:rPr>
            </w:pPr>
          </w:p>
        </w:tc>
        <w:tc>
          <w:tcPr>
            <w:tcW w:w="320" w:type="dxa"/>
            <w:vAlign w:val="bottom"/>
          </w:tcPr>
          <w:p>
            <w:pPr>
              <w:spacing w:after="0"/>
              <w:rPr>
                <w:sz w:val="14"/>
                <w:szCs w:val="14"/>
                <w:color w:val="auto"/>
              </w:rPr>
            </w:pPr>
          </w:p>
        </w:tc>
        <w:tc>
          <w:tcPr>
            <w:tcW w:w="660" w:type="dxa"/>
            <w:vAlign w:val="bottom"/>
            <w:tcBorders>
              <w:bottom w:val="single" w:sz="8" w:color="auto"/>
            </w:tcBorders>
            <w:gridSpan w:val="2"/>
          </w:tcPr>
          <w:p>
            <w:pPr>
              <w:jc w:val="center"/>
              <w:spacing w:after="0"/>
              <w:rPr>
                <w:sz w:val="20"/>
                <w:szCs w:val="20"/>
                <w:color w:val="auto"/>
              </w:rPr>
            </w:pPr>
            <w:r>
              <w:rPr>
                <w:rFonts w:ascii="Arial" w:cs="Arial" w:eastAsia="Arial" w:hAnsi="Arial"/>
                <w:sz w:val="14"/>
                <w:szCs w:val="14"/>
                <w:b w:val="1"/>
                <w:bCs w:val="1"/>
                <w:color w:val="auto"/>
                <w:w w:val="89"/>
              </w:rPr>
              <w:t>Fair Value</w:t>
            </w:r>
          </w:p>
        </w:tc>
        <w:tc>
          <w:tcPr>
            <w:tcW w:w="0" w:type="dxa"/>
            <w:vAlign w:val="bottom"/>
          </w:tcPr>
          <w:p>
            <w:pPr>
              <w:spacing w:after="0"/>
              <w:rPr>
                <w:sz w:val="1"/>
                <w:szCs w:val="1"/>
                <w:color w:val="auto"/>
              </w:rPr>
            </w:pPr>
          </w:p>
        </w:tc>
      </w:tr>
      <w:tr>
        <w:trPr>
          <w:trHeight w:val="210"/>
        </w:trPr>
        <w:tc>
          <w:tcPr>
            <w:tcW w:w="20" w:type="dxa"/>
            <w:vAlign w:val="bottom"/>
          </w:tcPr>
          <w:p>
            <w:pPr>
              <w:spacing w:after="0"/>
              <w:rPr>
                <w:sz w:val="18"/>
                <w:szCs w:val="18"/>
                <w:color w:val="auto"/>
              </w:rPr>
            </w:pPr>
          </w:p>
        </w:tc>
        <w:tc>
          <w:tcPr>
            <w:tcW w:w="4300" w:type="dxa"/>
            <w:vAlign w:val="bottom"/>
            <w:shd w:val="clear" w:color="auto" w:fill="CCEEFF"/>
          </w:tcPr>
          <w:p>
            <w:pPr>
              <w:spacing w:after="0"/>
              <w:rPr>
                <w:sz w:val="20"/>
                <w:szCs w:val="20"/>
                <w:color w:val="auto"/>
              </w:rPr>
            </w:pPr>
            <w:r>
              <w:rPr>
                <w:rFonts w:ascii="Arial" w:cs="Arial" w:eastAsia="Arial" w:hAnsi="Arial"/>
                <w:sz w:val="18"/>
                <w:szCs w:val="18"/>
                <w:color w:val="auto"/>
              </w:rPr>
              <w:t>Balance at January 31, 2009</w:t>
            </w:r>
          </w:p>
        </w:tc>
        <w:tc>
          <w:tcPr>
            <w:tcW w:w="304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6,499</w:t>
            </w:r>
          </w:p>
        </w:tc>
        <w:tc>
          <w:tcPr>
            <w:tcW w:w="340" w:type="dxa"/>
            <w:vAlign w:val="bottom"/>
            <w:shd w:val="clear" w:color="auto" w:fill="CCEEFF"/>
          </w:tcPr>
          <w:p>
            <w:pPr>
              <w:spacing w:after="0"/>
              <w:rPr>
                <w:sz w:val="18"/>
                <w:szCs w:val="18"/>
                <w:color w:val="auto"/>
              </w:rPr>
            </w:pPr>
          </w:p>
        </w:tc>
        <w:tc>
          <w:tcPr>
            <w:tcW w:w="400" w:type="dxa"/>
            <w:vAlign w:val="bottom"/>
            <w:gridSpan w:val="2"/>
            <w:shd w:val="clear" w:color="auto" w:fill="CCEEFF"/>
          </w:tcPr>
          <w:p>
            <w:pPr>
              <w:ind w:left="300"/>
              <w:spacing w:after="0"/>
              <w:rPr>
                <w:sz w:val="20"/>
                <w:szCs w:val="20"/>
                <w:color w:val="auto"/>
              </w:rPr>
            </w:pPr>
            <w:r>
              <w:rPr>
                <w:rFonts w:ascii="Arial" w:cs="Arial" w:eastAsia="Arial" w:hAnsi="Arial"/>
                <w:sz w:val="18"/>
                <w:szCs w:val="18"/>
                <w:color w:val="auto"/>
                <w:w w:val="79"/>
              </w:rPr>
              <w:t>$</w:t>
            </w: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9.58</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300" w:type="dxa"/>
            <w:vAlign w:val="bottom"/>
          </w:tcPr>
          <w:p>
            <w:pPr>
              <w:spacing w:after="0"/>
              <w:rPr>
                <w:sz w:val="20"/>
                <w:szCs w:val="20"/>
                <w:color w:val="auto"/>
              </w:rPr>
            </w:pPr>
            <w:r>
              <w:rPr>
                <w:rFonts w:ascii="Arial" w:cs="Arial" w:eastAsia="Arial" w:hAnsi="Arial"/>
                <w:sz w:val="18"/>
                <w:szCs w:val="18"/>
                <w:color w:val="auto"/>
              </w:rPr>
              <w:t>Granted</w:t>
            </w:r>
          </w:p>
        </w:tc>
        <w:tc>
          <w:tcPr>
            <w:tcW w:w="3040" w:type="dxa"/>
            <w:vAlign w:val="bottom"/>
            <w:gridSpan w:val="2"/>
          </w:tcPr>
          <w:p>
            <w:pPr>
              <w:jc w:val="right"/>
              <w:spacing w:after="0"/>
              <w:rPr>
                <w:sz w:val="20"/>
                <w:szCs w:val="20"/>
                <w:color w:val="auto"/>
              </w:rPr>
            </w:pPr>
            <w:r>
              <w:rPr>
                <w:rFonts w:ascii="Arial" w:cs="Arial" w:eastAsia="Arial" w:hAnsi="Arial"/>
                <w:sz w:val="18"/>
                <w:szCs w:val="18"/>
                <w:color w:val="auto"/>
              </w:rPr>
              <w:t>74</w:t>
            </w:r>
          </w:p>
        </w:tc>
        <w:tc>
          <w:tcPr>
            <w:tcW w:w="340" w:type="dxa"/>
            <w:vAlign w:val="bottom"/>
          </w:tcPr>
          <w:p>
            <w:pPr>
              <w:spacing w:after="0"/>
              <w:rPr>
                <w:sz w:val="18"/>
                <w:szCs w:val="18"/>
                <w:color w:val="auto"/>
              </w:rPr>
            </w:pPr>
          </w:p>
        </w:tc>
        <w:tc>
          <w:tcPr>
            <w:tcW w:w="400" w:type="dxa"/>
            <w:vAlign w:val="bottom"/>
            <w:gridSpan w:val="2"/>
          </w:tcPr>
          <w:p>
            <w:pPr>
              <w:ind w:left="300"/>
              <w:spacing w:after="0"/>
              <w:rPr>
                <w:sz w:val="20"/>
                <w:szCs w:val="20"/>
                <w:color w:val="auto"/>
              </w:rPr>
            </w:pPr>
            <w:r>
              <w:rPr>
                <w:rFonts w:ascii="Arial" w:cs="Arial" w:eastAsia="Arial" w:hAnsi="Arial"/>
                <w:sz w:val="18"/>
                <w:szCs w:val="18"/>
                <w:color w:val="auto"/>
                <w:w w:val="79"/>
              </w:rPr>
              <w:t>$</w:t>
            </w:r>
          </w:p>
        </w:tc>
        <w:tc>
          <w:tcPr>
            <w:tcW w:w="580" w:type="dxa"/>
            <w:vAlign w:val="bottom"/>
          </w:tcPr>
          <w:p>
            <w:pPr>
              <w:jc w:val="right"/>
              <w:spacing w:after="0"/>
              <w:rPr>
                <w:sz w:val="20"/>
                <w:szCs w:val="20"/>
                <w:color w:val="auto"/>
              </w:rPr>
            </w:pPr>
            <w:r>
              <w:rPr>
                <w:rFonts w:ascii="Arial" w:cs="Arial" w:eastAsia="Arial" w:hAnsi="Arial"/>
                <w:sz w:val="18"/>
                <w:szCs w:val="18"/>
                <w:color w:val="auto"/>
              </w:rPr>
              <w:t>13.47</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300" w:type="dxa"/>
            <w:vAlign w:val="bottom"/>
            <w:shd w:val="clear" w:color="auto" w:fill="CCEEFF"/>
          </w:tcPr>
          <w:p>
            <w:pPr>
              <w:spacing w:after="0"/>
              <w:rPr>
                <w:sz w:val="20"/>
                <w:szCs w:val="20"/>
                <w:color w:val="auto"/>
              </w:rPr>
            </w:pPr>
            <w:r>
              <w:rPr>
                <w:rFonts w:ascii="Arial" w:cs="Arial" w:eastAsia="Arial" w:hAnsi="Arial"/>
                <w:sz w:val="18"/>
                <w:szCs w:val="18"/>
                <w:color w:val="auto"/>
              </w:rPr>
              <w:t>Vested</w:t>
            </w:r>
          </w:p>
        </w:tc>
        <w:tc>
          <w:tcPr>
            <w:tcW w:w="3380" w:type="dxa"/>
            <w:vAlign w:val="bottom"/>
            <w:gridSpan w:val="3"/>
            <w:shd w:val="clear" w:color="auto" w:fill="CCEEFF"/>
          </w:tcPr>
          <w:p>
            <w:pPr>
              <w:jc w:val="right"/>
              <w:ind w:right="300"/>
              <w:spacing w:after="0"/>
              <w:rPr>
                <w:sz w:val="20"/>
                <w:szCs w:val="20"/>
                <w:color w:val="auto"/>
              </w:rPr>
            </w:pPr>
            <w:r>
              <w:rPr>
                <w:rFonts w:ascii="Arial" w:cs="Arial" w:eastAsia="Arial" w:hAnsi="Arial"/>
                <w:sz w:val="18"/>
                <w:szCs w:val="18"/>
                <w:color w:val="auto"/>
              </w:rPr>
              <w:t>(2,120)</w:t>
            </w:r>
          </w:p>
        </w:tc>
        <w:tc>
          <w:tcPr>
            <w:tcW w:w="400" w:type="dxa"/>
            <w:vAlign w:val="bottom"/>
            <w:gridSpan w:val="2"/>
            <w:shd w:val="clear" w:color="auto" w:fill="CCEEFF"/>
          </w:tcPr>
          <w:p>
            <w:pPr>
              <w:ind w:left="300"/>
              <w:spacing w:after="0"/>
              <w:rPr>
                <w:sz w:val="20"/>
                <w:szCs w:val="20"/>
                <w:color w:val="auto"/>
              </w:rPr>
            </w:pPr>
            <w:r>
              <w:rPr>
                <w:rFonts w:ascii="Arial" w:cs="Arial" w:eastAsia="Arial" w:hAnsi="Arial"/>
                <w:sz w:val="18"/>
                <w:szCs w:val="18"/>
                <w:color w:val="auto"/>
                <w:w w:val="79"/>
              </w:rPr>
              <w:t>$</w:t>
            </w: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12.16</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300" w:type="dxa"/>
            <w:vAlign w:val="bottom"/>
          </w:tcPr>
          <w:p>
            <w:pPr>
              <w:spacing w:after="0"/>
              <w:rPr>
                <w:sz w:val="20"/>
                <w:szCs w:val="20"/>
                <w:color w:val="auto"/>
              </w:rPr>
            </w:pPr>
            <w:r>
              <w:rPr>
                <w:rFonts w:ascii="Arial" w:cs="Arial" w:eastAsia="Arial" w:hAnsi="Arial"/>
                <w:sz w:val="18"/>
                <w:szCs w:val="18"/>
                <w:color w:val="auto"/>
              </w:rPr>
              <w:t>Canceled/Forfeited</w:t>
            </w:r>
          </w:p>
        </w:tc>
        <w:tc>
          <w:tcPr>
            <w:tcW w:w="2300" w:type="dxa"/>
            <w:vAlign w:val="bottom"/>
          </w:tcPr>
          <w:p>
            <w:pPr>
              <w:spacing w:after="0"/>
              <w:rPr>
                <w:sz w:val="18"/>
                <w:szCs w:val="18"/>
                <w:color w:val="auto"/>
              </w:rPr>
            </w:pPr>
          </w:p>
        </w:tc>
        <w:tc>
          <w:tcPr>
            <w:tcW w:w="1080" w:type="dxa"/>
            <w:vAlign w:val="bottom"/>
            <w:gridSpan w:val="2"/>
          </w:tcPr>
          <w:p>
            <w:pPr>
              <w:jc w:val="right"/>
              <w:ind w:right="300"/>
              <w:spacing w:after="0"/>
              <w:rPr>
                <w:sz w:val="20"/>
                <w:szCs w:val="20"/>
                <w:color w:val="auto"/>
              </w:rPr>
            </w:pPr>
            <w:r>
              <w:rPr>
                <w:rFonts w:ascii="Arial" w:cs="Arial" w:eastAsia="Arial" w:hAnsi="Arial"/>
                <w:sz w:val="18"/>
                <w:szCs w:val="18"/>
                <w:color w:val="auto"/>
              </w:rPr>
              <w:t>(367)</w:t>
            </w:r>
          </w:p>
        </w:tc>
        <w:tc>
          <w:tcPr>
            <w:tcW w:w="400" w:type="dxa"/>
            <w:vAlign w:val="bottom"/>
            <w:gridSpan w:val="2"/>
          </w:tcPr>
          <w:p>
            <w:pPr>
              <w:ind w:left="300"/>
              <w:spacing w:after="0"/>
              <w:rPr>
                <w:sz w:val="20"/>
                <w:szCs w:val="20"/>
                <w:color w:val="auto"/>
              </w:rPr>
            </w:pPr>
            <w:r>
              <w:rPr>
                <w:rFonts w:ascii="Arial" w:cs="Arial" w:eastAsia="Arial" w:hAnsi="Arial"/>
                <w:sz w:val="18"/>
                <w:szCs w:val="18"/>
                <w:color w:val="auto"/>
                <w:w w:val="79"/>
              </w:rPr>
              <w:t>$</w:t>
            </w:r>
          </w:p>
        </w:tc>
        <w:tc>
          <w:tcPr>
            <w:tcW w:w="580" w:type="dxa"/>
            <w:vAlign w:val="bottom"/>
          </w:tcPr>
          <w:p>
            <w:pPr>
              <w:jc w:val="right"/>
              <w:spacing w:after="0"/>
              <w:rPr>
                <w:sz w:val="20"/>
                <w:szCs w:val="20"/>
                <w:color w:val="auto"/>
              </w:rPr>
            </w:pPr>
            <w:r>
              <w:rPr>
                <w:rFonts w:ascii="Arial" w:cs="Arial" w:eastAsia="Arial" w:hAnsi="Arial"/>
                <w:sz w:val="18"/>
                <w:szCs w:val="18"/>
                <w:color w:val="auto"/>
              </w:rPr>
              <w:t>9.17</w:t>
            </w:r>
          </w:p>
        </w:tc>
        <w:tc>
          <w:tcPr>
            <w:tcW w:w="0" w:type="dxa"/>
            <w:vAlign w:val="bottom"/>
          </w:tcPr>
          <w:p>
            <w:pPr>
              <w:spacing w:after="0"/>
              <w:rPr>
                <w:sz w:val="1"/>
                <w:szCs w:val="1"/>
                <w:color w:val="auto"/>
              </w:rPr>
            </w:pPr>
          </w:p>
        </w:tc>
      </w:tr>
      <w:tr>
        <w:trPr>
          <w:trHeight w:val="27"/>
        </w:trPr>
        <w:tc>
          <w:tcPr>
            <w:tcW w:w="20" w:type="dxa"/>
            <w:vAlign w:val="bottom"/>
            <w:vMerge w:val="restart"/>
          </w:tcPr>
          <w:p>
            <w:pPr>
              <w:spacing w:after="0"/>
              <w:rPr>
                <w:sz w:val="2"/>
                <w:szCs w:val="2"/>
                <w:color w:val="auto"/>
              </w:rPr>
            </w:pPr>
          </w:p>
        </w:tc>
        <w:tc>
          <w:tcPr>
            <w:tcW w:w="4300" w:type="dxa"/>
            <w:vAlign w:val="bottom"/>
          </w:tcPr>
          <w:p>
            <w:pPr>
              <w:spacing w:after="0"/>
              <w:rPr>
                <w:sz w:val="2"/>
                <w:szCs w:val="2"/>
                <w:color w:val="auto"/>
              </w:rPr>
            </w:pPr>
          </w:p>
        </w:tc>
        <w:tc>
          <w:tcPr>
            <w:tcW w:w="2300" w:type="dxa"/>
            <w:vAlign w:val="bottom"/>
          </w:tcPr>
          <w:p>
            <w:pPr>
              <w:spacing w:after="0"/>
              <w:rPr>
                <w:sz w:val="2"/>
                <w:szCs w:val="2"/>
                <w:color w:val="auto"/>
              </w:rPr>
            </w:pPr>
          </w:p>
        </w:tc>
        <w:tc>
          <w:tcPr>
            <w:tcW w:w="740" w:type="dxa"/>
            <w:vAlign w:val="bottom"/>
            <w:shd w:val="clear" w:color="auto" w:fill="000000"/>
          </w:tcPr>
          <w:p>
            <w:pPr>
              <w:spacing w:after="0"/>
              <w:rPr>
                <w:sz w:val="2"/>
                <w:szCs w:val="2"/>
                <w:color w:val="auto"/>
              </w:rPr>
            </w:pPr>
          </w:p>
        </w:tc>
        <w:tc>
          <w:tcPr>
            <w:tcW w:w="340" w:type="dxa"/>
            <w:vAlign w:val="bottom"/>
          </w:tcPr>
          <w:p>
            <w:pPr>
              <w:spacing w:after="0"/>
              <w:rPr>
                <w:sz w:val="2"/>
                <w:szCs w:val="2"/>
                <w:color w:val="auto"/>
              </w:rPr>
            </w:pPr>
          </w:p>
        </w:tc>
        <w:tc>
          <w:tcPr>
            <w:tcW w:w="320" w:type="dxa"/>
            <w:vAlign w:val="bottom"/>
          </w:tcPr>
          <w:p>
            <w:pPr>
              <w:spacing w:after="0"/>
              <w:rPr>
                <w:sz w:val="2"/>
                <w:szCs w:val="2"/>
                <w:color w:val="auto"/>
              </w:rPr>
            </w:pPr>
          </w:p>
        </w:tc>
        <w:tc>
          <w:tcPr>
            <w:tcW w:w="80" w:type="dxa"/>
            <w:vAlign w:val="bottom"/>
            <w:shd w:val="clear" w:color="auto" w:fill="000000"/>
          </w:tcPr>
          <w:p>
            <w:pPr>
              <w:spacing w:after="0"/>
              <w:rPr>
                <w:sz w:val="2"/>
                <w:szCs w:val="2"/>
                <w:color w:val="auto"/>
              </w:rPr>
            </w:pPr>
          </w:p>
        </w:tc>
        <w:tc>
          <w:tcPr>
            <w:tcW w:w="580" w:type="dxa"/>
            <w:vAlign w:val="bottom"/>
            <w:shd w:val="clear" w:color="auto" w:fill="000000"/>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16"/>
        </w:trPr>
        <w:tc>
          <w:tcPr>
            <w:tcW w:w="20" w:type="dxa"/>
            <w:vAlign w:val="bottom"/>
            <w:vMerge w:val="continue"/>
          </w:tcPr>
          <w:p>
            <w:pPr>
              <w:spacing w:after="0"/>
              <w:rPr>
                <w:sz w:val="18"/>
                <w:szCs w:val="18"/>
                <w:color w:val="auto"/>
              </w:rPr>
            </w:pPr>
          </w:p>
        </w:tc>
        <w:tc>
          <w:tcPr>
            <w:tcW w:w="4300" w:type="dxa"/>
            <w:vAlign w:val="bottom"/>
            <w:shd w:val="clear" w:color="auto" w:fill="CCEEFF"/>
          </w:tcPr>
          <w:p>
            <w:pPr>
              <w:spacing w:after="0"/>
              <w:rPr>
                <w:sz w:val="20"/>
                <w:szCs w:val="20"/>
                <w:color w:val="auto"/>
              </w:rPr>
            </w:pPr>
            <w:r>
              <w:rPr>
                <w:rFonts w:ascii="Arial" w:cs="Arial" w:eastAsia="Arial" w:hAnsi="Arial"/>
                <w:sz w:val="18"/>
                <w:szCs w:val="18"/>
                <w:color w:val="auto"/>
              </w:rPr>
              <w:t>Balance at October 31, 2009</w:t>
            </w:r>
          </w:p>
        </w:tc>
        <w:tc>
          <w:tcPr>
            <w:tcW w:w="2300" w:type="dxa"/>
            <w:vAlign w:val="bottom"/>
            <w:shd w:val="clear" w:color="auto" w:fill="CCEEFF"/>
          </w:tcPr>
          <w:p>
            <w:pPr>
              <w:spacing w:after="0"/>
              <w:rPr>
                <w:sz w:val="18"/>
                <w:szCs w:val="18"/>
                <w:color w:val="auto"/>
              </w:rPr>
            </w:pPr>
          </w:p>
        </w:tc>
        <w:tc>
          <w:tcPr>
            <w:tcW w:w="7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4,086</w:t>
            </w:r>
          </w:p>
        </w:tc>
        <w:tc>
          <w:tcPr>
            <w:tcW w:w="340" w:type="dxa"/>
            <w:vAlign w:val="bottom"/>
            <w:shd w:val="clear" w:color="auto" w:fill="CCEEFF"/>
          </w:tcPr>
          <w:p>
            <w:pPr>
              <w:spacing w:after="0"/>
              <w:rPr>
                <w:sz w:val="18"/>
                <w:szCs w:val="18"/>
                <w:color w:val="auto"/>
              </w:rPr>
            </w:pPr>
          </w:p>
        </w:tc>
        <w:tc>
          <w:tcPr>
            <w:tcW w:w="400" w:type="dxa"/>
            <w:vAlign w:val="bottom"/>
            <w:gridSpan w:val="2"/>
            <w:shd w:val="clear" w:color="auto" w:fill="CCEEFF"/>
          </w:tcPr>
          <w:p>
            <w:pPr>
              <w:ind w:left="300"/>
              <w:spacing w:after="0"/>
              <w:rPr>
                <w:sz w:val="20"/>
                <w:szCs w:val="20"/>
                <w:color w:val="auto"/>
              </w:rPr>
            </w:pPr>
            <w:r>
              <w:rPr>
                <w:rFonts w:ascii="Arial" w:cs="Arial" w:eastAsia="Arial" w:hAnsi="Arial"/>
                <w:sz w:val="18"/>
                <w:szCs w:val="18"/>
                <w:color w:val="auto"/>
                <w:w w:val="79"/>
              </w:rPr>
              <w:t>$</w:t>
            </w: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8.</w:t>
            </w:r>
            <w:r>
              <w:rPr>
                <w:rFonts w:ascii="Arial" w:cs="Arial" w:eastAsia="Arial" w:hAnsi="Arial"/>
                <w:sz w:val="18"/>
                <w:szCs w:val="18"/>
                <w:u w:val="single" w:color="auto"/>
                <w:color w:val="auto"/>
              </w:rPr>
              <w:t>51</w:t>
            </w: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4300" w:type="dxa"/>
            <w:vAlign w:val="bottom"/>
          </w:tcPr>
          <w:p>
            <w:pPr>
              <w:spacing w:after="0" w:line="20" w:lineRule="exact"/>
              <w:rPr>
                <w:sz w:val="1"/>
                <w:szCs w:val="1"/>
                <w:color w:val="auto"/>
              </w:rPr>
            </w:pPr>
          </w:p>
        </w:tc>
        <w:tc>
          <w:tcPr>
            <w:tcW w:w="2300" w:type="dxa"/>
            <w:vAlign w:val="bottom"/>
          </w:tcPr>
          <w:p>
            <w:pPr>
              <w:spacing w:after="0" w:line="20" w:lineRule="exact"/>
              <w:rPr>
                <w:sz w:val="1"/>
                <w:szCs w:val="1"/>
                <w:color w:val="auto"/>
              </w:rPr>
            </w:pPr>
          </w:p>
        </w:tc>
        <w:tc>
          <w:tcPr>
            <w:tcW w:w="740" w:type="dxa"/>
            <w:vAlign w:val="bottom"/>
            <w:tcBorders>
              <w:top w:val="single" w:sz="8" w:color="auto"/>
              <w:bottom w:val="single" w:sz="8" w:color="auto"/>
            </w:tcBorders>
          </w:tcPr>
          <w:p>
            <w:pPr>
              <w:spacing w:after="0" w:line="20" w:lineRule="exact"/>
              <w:rPr>
                <w:sz w:val="1"/>
                <w:szCs w:val="1"/>
                <w:color w:val="auto"/>
              </w:rPr>
            </w:pPr>
          </w:p>
        </w:tc>
        <w:tc>
          <w:tcPr>
            <w:tcW w:w="340" w:type="dxa"/>
            <w:vAlign w:val="bottom"/>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167" w:lineRule="exact"/>
        <w:rPr>
          <w:sz w:val="20"/>
          <w:szCs w:val="20"/>
          <w:color w:val="auto"/>
        </w:rPr>
      </w:pPr>
    </w:p>
    <w:p>
      <w:pPr>
        <w:ind w:right="200" w:firstLine="456"/>
        <w:spacing w:after="0" w:line="306" w:lineRule="auto"/>
        <w:rPr>
          <w:sz w:val="20"/>
          <w:szCs w:val="20"/>
          <w:color w:val="auto"/>
        </w:rPr>
      </w:pPr>
      <w:r>
        <w:rPr>
          <w:rFonts w:ascii="Arial" w:cs="Arial" w:eastAsia="Arial" w:hAnsi="Arial"/>
          <w:sz w:val="16"/>
          <w:szCs w:val="16"/>
          <w:color w:val="auto"/>
        </w:rPr>
        <w:t>The Company’s current practice is to issue new shares to satisfy share option exercises. As of October 31, 2009, compensation costs related to nonvested awards not yet recognized amounted to $183.3 million. The unamortized compensation expense for stock options and restricted stock will be amortized on a straight-line basis and is expected to be recognized over a weighted-average period of 2.8 years and 1.8 years, respectively.</w:t>
      </w:r>
    </w:p>
    <w:p>
      <w:pPr>
        <w:spacing w:after="0" w:line="107" w:lineRule="exact"/>
        <w:rPr>
          <w:sz w:val="20"/>
          <w:szCs w:val="20"/>
          <w:color w:val="auto"/>
        </w:rPr>
      </w:pPr>
    </w:p>
    <w:p>
      <w:pPr>
        <w:ind w:right="260" w:firstLine="456"/>
        <w:spacing w:after="0" w:line="306" w:lineRule="auto"/>
        <w:rPr>
          <w:sz w:val="20"/>
          <w:szCs w:val="20"/>
          <w:color w:val="auto"/>
        </w:rPr>
      </w:pPr>
      <w:r>
        <w:rPr>
          <w:rFonts w:ascii="Arial" w:cs="Arial" w:eastAsia="Arial" w:hAnsi="Arial"/>
          <w:sz w:val="16"/>
          <w:szCs w:val="16"/>
          <w:color w:val="auto"/>
        </w:rPr>
        <w:t>The total tax benefit attributable to options exercised for the nine months ended October 31, 2009 was $205,000 as reported on the unaudited condensed consolidated statements of cash flows in financing activities. Such excess tax benefits represent the reduction in income taxes otherwise payable during the period, attributable to the actual gross tax benefits in excess of the expected tax benefits for options exercised in current and prior periods.</w:t>
      </w:r>
    </w:p>
    <w:p>
      <w:pPr>
        <w:spacing w:after="0" w:line="182"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Note 12. Income Taxes</w:t>
      </w:r>
    </w:p>
    <w:p>
      <w:pPr>
        <w:spacing w:after="0" w:line="96" w:lineRule="exact"/>
        <w:rPr>
          <w:sz w:val="20"/>
          <w:szCs w:val="20"/>
          <w:color w:val="auto"/>
        </w:rPr>
      </w:pPr>
    </w:p>
    <w:p>
      <w:pPr>
        <w:ind w:firstLine="456"/>
        <w:spacing w:after="0" w:line="290" w:lineRule="auto"/>
        <w:rPr>
          <w:sz w:val="20"/>
          <w:szCs w:val="20"/>
          <w:color w:val="auto"/>
        </w:rPr>
      </w:pPr>
      <w:r>
        <w:rPr>
          <w:rFonts w:ascii="Arial" w:cs="Arial" w:eastAsia="Arial" w:hAnsi="Arial"/>
          <w:sz w:val="16"/>
          <w:szCs w:val="16"/>
          <w:color w:val="auto"/>
        </w:rPr>
        <w:t>For the three months ended October 31, 2009 and November 1, 2008, the Company’s effective tax rate was an income tax benefit of 19.5% and an income tax expense 15.9%, respectively. The income tax provision for these periods was affected by non-tax-deductible expenses such as stock-based compensation expense, amortization of acquired intangibles and accrual of unrecognized tax benefits, interest and penalties associated with unrecognized tax positions. For the three months ended October 31, 2009, the effective tax rate was impacted by a reduction of unrecognized tax benefits of approximately $27.4 million due to the expiration of the statute of limitation in multiple jurisdictions. Additionally, there was a reduction of unrecognized tax benefits for $2.4 million due to a settlement of an audit in a non-US jurisdiction. Also there was an adjustment of taxes payable related to periods in 2002 through 2006 of a non-US entity which resulted in a tax benefit of $5.3 million.</w:t>
      </w:r>
    </w:p>
    <w:p>
      <w:pPr>
        <w:spacing w:after="0" w:line="118" w:lineRule="exact"/>
        <w:rPr>
          <w:sz w:val="20"/>
          <w:szCs w:val="20"/>
          <w:color w:val="auto"/>
        </w:rPr>
      </w:pPr>
    </w:p>
    <w:p>
      <w:pPr>
        <w:ind w:right="60" w:firstLine="456"/>
        <w:spacing w:after="0" w:line="291" w:lineRule="auto"/>
        <w:rPr>
          <w:sz w:val="20"/>
          <w:szCs w:val="20"/>
          <w:color w:val="auto"/>
        </w:rPr>
      </w:pPr>
      <w:r>
        <w:rPr>
          <w:rFonts w:ascii="Arial" w:cs="Arial" w:eastAsia="Arial" w:hAnsi="Arial"/>
          <w:sz w:val="16"/>
          <w:szCs w:val="16"/>
          <w:color w:val="auto"/>
        </w:rPr>
        <w:t>The Company’s total unrecognized tax benefits as of October 31, 2009 and November 1, 2008 were $93.4 million and $112.8 million, respectively. The Company also recorded a liability for potential interest and penalties of $20.5 million and $7.7 million, respectively, as of October 31, 2009. For the three months ended October 31, 2009, the provision for income taxes in several foreign jurisdictions was reduced by $29.9 million because of several factors including the statute of limitations lapsed for uncertain tax positions, the favorable settlement of an audit in a non-U.S. jurisdiction, and the impact of a revaluation of certain unrecognized tax benefits due to tax rate change in a non-U.S. jurisdiction effective during the quarter. If recognized, all of the liabilities recorded to date, except the portion attributable to the foreign exchange gains and losses, will impact the effective tax rate.</w:t>
      </w:r>
    </w:p>
    <w:p>
      <w:pPr>
        <w:spacing w:after="0" w:line="120" w:lineRule="exact"/>
        <w:rPr>
          <w:sz w:val="20"/>
          <w:szCs w:val="20"/>
          <w:color w:val="auto"/>
        </w:rPr>
      </w:pPr>
    </w:p>
    <w:p>
      <w:pPr>
        <w:ind w:right="80" w:firstLine="456"/>
        <w:spacing w:after="0" w:line="323" w:lineRule="auto"/>
        <w:rPr>
          <w:sz w:val="20"/>
          <w:szCs w:val="20"/>
          <w:color w:val="auto"/>
        </w:rPr>
      </w:pPr>
      <w:r>
        <w:rPr>
          <w:rFonts w:ascii="Arial" w:cs="Arial" w:eastAsia="Arial" w:hAnsi="Arial"/>
          <w:sz w:val="15"/>
          <w:szCs w:val="15"/>
          <w:color w:val="auto"/>
        </w:rPr>
        <w:t>The Company conducts business globally and, as a result, one or more of its subsidiaries file income tax returns in the U.S. federal jurisdiction and various state and foreign jurisdictions. The Company is subject to examination by tax authorities throughout the world, including such major jurisdictions as Singapore, Japan, Taiwan, China, India, Germany, Israel, Netherlands, Switzerland, the United Kingdom, Canada, Malaysia and the United States. The Company is subject to non-U.S. income tax examinations for years beginning with fiscal year 2002 and for U.S. income tax examinations beginning with fiscal year 2007.</w:t>
      </w:r>
    </w:p>
    <w:p>
      <w:pPr>
        <w:spacing w:after="0" w:line="84"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26</w:t>
      </w:r>
    </w:p>
    <w:p>
      <w:pPr>
        <w:sectPr>
          <w:pgSz w:w="11900" w:h="16838" w:orient="portrait"/>
          <w:cols w:equalWidth="0" w:num="1">
            <w:col w:w="11420"/>
          </w:cols>
          <w:pgMar w:left="240" w:top="459" w:right="239" w:bottom="1440" w:gutter="0" w:footer="0" w:header="0"/>
        </w:sectPr>
      </w:pPr>
    </w:p>
    <w:bookmarkStart w:id="26" w:name="page27"/>
    <w:bookmarkEnd w:id="26"/>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41">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MARVELL TECHNOLOGY GROUP LTD.</w:t>
      </w:r>
    </w:p>
    <w:p>
      <w:pPr>
        <w:spacing w:after="0" w:line="90"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NOTES TO UNAUDITED CONDENSED CONSOLIDATED FINANCIAL STATEMENTS—(Continued)</w:t>
      </w:r>
    </w:p>
    <w:p>
      <w:pPr>
        <w:spacing w:after="0" w:line="158"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Note 13. Related Party Transactions</w:t>
      </w:r>
    </w:p>
    <w:p>
      <w:pPr>
        <w:spacing w:after="0" w:line="96" w:lineRule="exact"/>
        <w:rPr>
          <w:sz w:val="20"/>
          <w:szCs w:val="20"/>
          <w:color w:val="auto"/>
        </w:rPr>
      </w:pPr>
    </w:p>
    <w:p>
      <w:pPr>
        <w:ind w:right="100" w:firstLine="456"/>
        <w:spacing w:after="0" w:line="286" w:lineRule="auto"/>
        <w:rPr>
          <w:sz w:val="20"/>
          <w:szCs w:val="20"/>
          <w:color w:val="auto"/>
        </w:rPr>
      </w:pPr>
      <w:r>
        <w:rPr>
          <w:rFonts w:ascii="Arial" w:cs="Arial" w:eastAsia="Arial" w:hAnsi="Arial"/>
          <w:sz w:val="16"/>
          <w:szCs w:val="16"/>
          <w:color w:val="auto"/>
        </w:rPr>
        <w:t>On August 19, 2005, through its subsidiaries MSI and MIL, the Company entered into a License and Manufacturing Services Agreement with C2 Microsystems, Inc. (“C2Micro License Agreement”). The C2Micro License Agreement has substantially similar terms as other license and manufacturing services agreements of the Company with other third parties for similar technology. The Company recognized $0.9 million and none of revenue under the C2Micro License Agreement during the three months ended October 31, 2009 and November 1, 2008, respectively. The Company recognized $0.9 million and $2.6 million of revenue under the C2Micro License Agreement during the nine months ended October 31, 2009 and November 1, 2008, respectively. As of October 31, 2009, the Company had received a prepayment of $0.6 million from C2 Microsystems for the manufacturing of certain products. Dr. Sehat Sutardja, the Company’s President and Chief Executive Officer, and Weili Dai, the Vice President of Sales for Communications and Consumer Business of MSI and Vice President and General Manager of Communications and Computing Business Unit of MSI, through their ownership and control of Estopia LLC, are indirect shareholders of C2 Microsystems. Dr. Sehat Sutardja and Weili Dai are husband and wife. Kuo Wei (Herbert) Chang, a member of the Company’s Board of Directors, is a member of the board of directors of C2 Microsystems and, through his ownership and control of C-Squared venture entities, is also an indirect shareholder of C2 Microsystems. Dr. Pantas Sutardja, the Company’s Vice President, Chief Technology Officer and Chief Research and Development Officer, is also a shareholder of C2 Microsystems.</w:t>
      </w:r>
    </w:p>
    <w:p>
      <w:pPr>
        <w:spacing w:after="0" w:line="124" w:lineRule="exact"/>
        <w:rPr>
          <w:sz w:val="20"/>
          <w:szCs w:val="20"/>
          <w:color w:val="auto"/>
        </w:rPr>
      </w:pPr>
    </w:p>
    <w:p>
      <w:pPr>
        <w:ind w:right="40" w:firstLine="456"/>
        <w:spacing w:after="0" w:line="287" w:lineRule="auto"/>
        <w:rPr>
          <w:sz w:val="20"/>
          <w:szCs w:val="20"/>
          <w:color w:val="auto"/>
        </w:rPr>
      </w:pPr>
      <w:r>
        <w:rPr>
          <w:rFonts w:ascii="Arial" w:cs="Arial" w:eastAsia="Arial" w:hAnsi="Arial"/>
          <w:sz w:val="16"/>
          <w:szCs w:val="16"/>
          <w:color w:val="auto"/>
        </w:rPr>
        <w:t>On January 8, 2007, the Company, through MIL, entered into a Library/IP/Software Evaluation License Agreement (the “Evaluation License Agreement”) with VeriSilicon Holdings Co., Ltd. (“VeriSilicon”). The Evaluation License Agreement has no consideration. The Company also incurred $50 and $31,000 of royalty expense from VeriSilicon under a core license agreement assumed from its acquisition of the semiconductor design business of UTStarcom, Inc. during the three months ended October 31, 2009 and November 1, 2008, respectively. The Company incurred $6,000 and $140,000 of royalty expense under the same license agreement during the nine months ended October 31, 2009 and November 1, 2008, respectively. This core license agreement had been assumed by VeriSilicon after its acquisition of certain assets from LSI Corporation. On March 30, 2009, the Company entered into an addendum to this core license agreement with VeriSilicon. The Company recorded a license fee of $0.5 million and maintenance fees of $80,000 during the first quarter ended May 2, 2009. On June 30, 2009, the Company entered into a second addendum to this technology license agreement with VeriSilicon for VeriSilicon to perform services for a fee of $40,000. Weili Dai’s brother (and Dr. Sehat Sutardja’s brother-in-law) is the Chairman, President and Chief Executive Officer of VeriSilicon. Ms. Dai is also a shareholder of VeriSilicon.</w:t>
      </w:r>
    </w:p>
    <w:p>
      <w:pPr>
        <w:spacing w:after="0" w:line="123" w:lineRule="exact"/>
        <w:rPr>
          <w:sz w:val="20"/>
          <w:szCs w:val="20"/>
          <w:color w:val="auto"/>
        </w:rPr>
      </w:pPr>
    </w:p>
    <w:p>
      <w:pPr>
        <w:ind w:right="120" w:firstLine="456"/>
        <w:spacing w:after="0" w:line="291" w:lineRule="auto"/>
        <w:rPr>
          <w:sz w:val="20"/>
          <w:szCs w:val="20"/>
          <w:color w:val="auto"/>
        </w:rPr>
      </w:pPr>
      <w:r>
        <w:rPr>
          <w:rFonts w:ascii="Arial" w:cs="Arial" w:eastAsia="Arial" w:hAnsi="Arial"/>
          <w:sz w:val="16"/>
          <w:szCs w:val="16"/>
          <w:color w:val="auto"/>
        </w:rPr>
        <w:t>On September 28, 2007, the Company, through MIL, entered into a Master Technology Agreement (the “Technology Agreement”) with Sonics, Inc. (“Sonics”), pursuant to which the Company licensed technology from Sonics. The Technology Agreement has substantially similar terms as other license agreements of the Company with other third parties for similar technology. The Company paid $0.1 million under the Technology Agreement for the license and related maintenance during fiscal 2009. Kuo Wei (Herbert) Chang, a member of the Company’s Board of Directors, serves as a member of the board of directors of Sonics and has a direct and/or indirect ownership interest in the equity of Sonics. There was no expense incurred related to the Technology Agreement during the three and nine months ended October 31, 2009 and November 1, 2008.</w:t>
      </w:r>
    </w:p>
    <w:p>
      <w:pPr>
        <w:spacing w:after="0" w:line="120" w:lineRule="exact"/>
        <w:rPr>
          <w:sz w:val="20"/>
          <w:szCs w:val="20"/>
          <w:color w:val="auto"/>
        </w:rPr>
      </w:pPr>
    </w:p>
    <w:p>
      <w:pPr>
        <w:ind w:firstLine="456"/>
        <w:spacing w:after="0" w:line="285" w:lineRule="auto"/>
        <w:rPr>
          <w:sz w:val="20"/>
          <w:szCs w:val="20"/>
          <w:color w:val="auto"/>
        </w:rPr>
      </w:pPr>
      <w:r>
        <w:rPr>
          <w:rFonts w:ascii="Arial" w:cs="Arial" w:eastAsia="Arial" w:hAnsi="Arial"/>
          <w:sz w:val="16"/>
          <w:szCs w:val="16"/>
          <w:color w:val="auto"/>
        </w:rPr>
        <w:t>On October 31, 2007, the Company entered into a License Agreement with Vivante Corporation (the “Vivante Agreement”). The Vivante Agreement has substantially similar terms as the Company would expect to obtain for license agreements with other third parties for similar technology. The Company recorded none and $0.2 million of expense during the three and nine months ended November 1, 2008, respectively, in connection with the Vivante Agreement. In August 2008, the Company entered into a Technology License Agreement with Vivante. This Technology License Agreement, as amended, also has substantially similar terms as the Company would expect to obtain for license agreements with other third parties for similar technology. The Company recorded $2.0 million for the license fee and $0.2 million of maintenance during fiscal 2009 in connection with this Technology License Agreement. In January 2009, the Company entered into an agreement with Vivante to disclose certain cell libraries to Vivante at no additional cost. In April 2009, the Company entered into an amendment to the Technology License Agreement with Vivante. The Company recorded $1.0 million for the license fee and $70,000 of maintenance during the first quarter ended May 2, 2009 in connection with the amendment to the Technology License Agreement. In June 2009, the Company entered into the second amendment to the Technology License Agreement with Vivante. The Company recorded $0.5 million for the license fee and $50,000 of maintenance during the three months ended August 1, 2009. Dr. Sehat Sutardja and Weili Dai, through their ownership and control of Estopia LLC, are indirect shareholders of Vivante. In addition, Dr. Sehat Sutardja is also a direct shareholder and Chairman of the board of directors of Vivante. Weili Dai’s brother (and Dr. Sehat Sutardja’s brother-in-law) is the Chief Executive Officer of Vivante. Kuo Wei (Herbert) Chang, a member of the Company’s Board of Directors, through his ownership and control of C-Squared venture entities, is also an indirect shareholder of Vivante.</w:t>
      </w:r>
    </w:p>
    <w:p>
      <w:pPr>
        <w:spacing w:after="0" w:line="115"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27</w:t>
      </w:r>
    </w:p>
    <w:p>
      <w:pPr>
        <w:sectPr>
          <w:pgSz w:w="11900" w:h="16838" w:orient="portrait"/>
          <w:cols w:equalWidth="0" w:num="1">
            <w:col w:w="11400"/>
          </w:cols>
          <w:pgMar w:left="240" w:top="459" w:right="259" w:bottom="1440" w:gutter="0" w:footer="0" w:header="0"/>
        </w:sectPr>
      </w:pPr>
    </w:p>
    <w:bookmarkStart w:id="27" w:name="page28"/>
    <w:bookmarkEnd w:id="27"/>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42">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spacing w:after="0"/>
        <w:tabs>
          <w:tab w:leader="none" w:pos="1020" w:val="left"/>
        </w:tabs>
        <w:rPr>
          <w:sz w:val="20"/>
          <w:szCs w:val="20"/>
          <w:color w:val="auto"/>
        </w:rPr>
      </w:pPr>
      <w:r>
        <w:rPr>
          <w:rFonts w:ascii="Arial" w:cs="Arial" w:eastAsia="Arial" w:hAnsi="Arial"/>
          <w:sz w:val="18"/>
          <w:szCs w:val="18"/>
          <w:b w:val="1"/>
          <w:bCs w:val="1"/>
          <w:color w:val="auto"/>
        </w:rPr>
        <w:t>Item 2.</w:t>
      </w:r>
      <w:r>
        <w:rPr>
          <w:sz w:val="20"/>
          <w:szCs w:val="20"/>
          <w:color w:val="auto"/>
        </w:rPr>
        <w:tab/>
      </w:r>
      <w:r>
        <w:rPr>
          <w:rFonts w:ascii="Arial" w:cs="Arial" w:eastAsia="Arial" w:hAnsi="Arial"/>
          <w:sz w:val="15"/>
          <w:szCs w:val="15"/>
          <w:b w:val="1"/>
          <w:bCs w:val="1"/>
          <w:color w:val="auto"/>
        </w:rPr>
        <w:t>Management’s Discussion and Analysis of Financial Condition and Results of Operations</w:t>
      </w:r>
    </w:p>
    <w:p>
      <w:pPr>
        <w:spacing w:after="0" w:line="96" w:lineRule="exact"/>
        <w:rPr>
          <w:sz w:val="20"/>
          <w:szCs w:val="20"/>
          <w:color w:val="auto"/>
        </w:rPr>
      </w:pPr>
    </w:p>
    <w:p>
      <w:pPr>
        <w:spacing w:after="0" w:line="283" w:lineRule="auto"/>
        <w:rPr>
          <w:sz w:val="20"/>
          <w:szCs w:val="20"/>
          <w:color w:val="auto"/>
        </w:rPr>
      </w:pPr>
      <w:r>
        <w:rPr>
          <w:rFonts w:ascii="Arial" w:cs="Arial" w:eastAsia="Arial" w:hAnsi="Arial"/>
          <w:sz w:val="16"/>
          <w:szCs w:val="16"/>
          <w:i w:val="1"/>
          <w:iCs w:val="1"/>
          <w:color w:val="auto"/>
        </w:rPr>
        <w:t>This Quarterly Report on Form 10-Q contains forward-looking statements that involve risks and uncertainties. These statements include, without limitation, statements regarding our expectations, beliefs, intentions or strategies regarding the future. These statements involve known and unknown risks, uncertainties and other factors, which may cause our actual results to differ materially from those implied by the forward-looking statements. Words such as “anticipates,” “expects,” “intends,” “plans,” “believes,” “seeks,” “estimates,” “can,” and similar expressions identify such forward-looking statements. These are statements that relate to future periods and include statements relating to our anticipation that the rate of new orders and shipments will vary significantly from quarter to quarter; our expectations regarding industry trends; our anticipation that the total amount of sales through distributors will increase in future periods; our expectation that a significant percentage of our sales will continue to come from direct sales to key customers; our expectations regarding our inventory levels; our expectations regarding competition; our expectations relating to the protection of our intellectual property; our expectations regarding the amount of customer concentration in the future; our expectations regarding the amount of our future sales in Asia; our expectation regarding the effect of auction rate securities on our working capital needs or other requirements; our intention to make acquisitions, investments, strategic alliances and joint ventures; our expectations regarding results, cash flows and expense in the fourth quarter of fiscal 2010 compared with the third quarter of fiscal 2010; our expectations regarding the impact of legal proceedings and claims; our expectations regarding the adequacy of our capital resources, capital expenditures, investment requirements and commitments to meet our capital needs for the next 12 months; our ability to attract and retain highly skilled personnel; our expectations regarding the growth in business and operations; our plan regarding forward exchange contracts; the effect of recent accounting pronouncements and changes in taxation rules; and our expectations regarding unrecognized tax benefits. These forward-looking statements are subject to risks and uncertainties that could cause actual results to differ materially from those indicated in the forward-looking statements. Factors that could cause actual results to differ materially from those predicted, include but are not limited to, the impact of the recent worldwide financial crisis; the impact of international conflict and continued economic volatility in either domestic or foreign markets; our dependence upon the hard disk drive and wireless and cellular industry which is highly cyclical; our ability to scale our operations in response to changes in demand for existing or new products and services; our maintenance of an effective system of internal controls; our dependence on a small number of customers; our ability and our customers’ ability to develop new and enhanced products; our success in integrating businesses we acquire and the impact such acquisitions may have on our operating results; our ability to estimate customer demand and future sales accurately; the success of our strategic relationships; our reliance on independent foundries and subcontractors for the manufacture, assembly and testing of our products; our ability to manage future growth; the development and evolution of markets for our integrated circuits; our ability to protect our intellectual property; the impact of any change in our application of the United States federal income tax laws and the loss of any beneficial tax treatment that we currently enjoy; the impact of changes in international financial and regulatory conditions; the impact of changes in management; the impact of lengthy and expensive product sales cycles; and the outcome of pending or future litigation and legal proceedings. Additional factors which could cause actual results to differ materially include those set forth in the following discussion, as well as the risks discussed in Part II, Item 1A, “Risk Factors,” and other sections of this Quarterly Report on Form 10-Q. These forward-looking statements speak only as of the date hereof. Unless required by law, we undertake no obligation to update any forward-looking statements.</w:t>
      </w:r>
    </w:p>
    <w:p>
      <w:pPr>
        <w:spacing w:after="0" w:line="219" w:lineRule="exact"/>
        <w:rPr>
          <w:sz w:val="20"/>
          <w:szCs w:val="20"/>
          <w:color w:val="auto"/>
        </w:rPr>
      </w:pPr>
    </w:p>
    <w:p>
      <w:pPr>
        <w:ind w:left="240"/>
        <w:spacing w:after="0"/>
        <w:rPr>
          <w:sz w:val="20"/>
          <w:szCs w:val="20"/>
          <w:color w:val="auto"/>
        </w:rPr>
      </w:pPr>
      <w:r>
        <w:rPr>
          <w:rFonts w:ascii="Arial" w:cs="Arial" w:eastAsia="Arial" w:hAnsi="Arial"/>
          <w:sz w:val="18"/>
          <w:szCs w:val="18"/>
          <w:b w:val="1"/>
          <w:bCs w:val="1"/>
          <w:i w:val="1"/>
          <w:iCs w:val="1"/>
          <w:color w:val="auto"/>
        </w:rPr>
        <w:t>Overview</w:t>
      </w:r>
    </w:p>
    <w:p>
      <w:pPr>
        <w:spacing w:after="0" w:line="90" w:lineRule="exact"/>
        <w:rPr>
          <w:sz w:val="20"/>
          <w:szCs w:val="20"/>
          <w:color w:val="auto"/>
        </w:rPr>
      </w:pPr>
    </w:p>
    <w:p>
      <w:pPr>
        <w:ind w:right="100" w:firstLine="456"/>
        <w:spacing w:after="0" w:line="288" w:lineRule="auto"/>
        <w:rPr>
          <w:sz w:val="20"/>
          <w:szCs w:val="20"/>
          <w:color w:val="auto"/>
        </w:rPr>
      </w:pPr>
      <w:r>
        <w:rPr>
          <w:rFonts w:ascii="Arial" w:cs="Arial" w:eastAsia="Arial" w:hAnsi="Arial"/>
          <w:sz w:val="16"/>
          <w:szCs w:val="16"/>
          <w:color w:val="auto"/>
        </w:rPr>
        <w:t>We are a leading global semiconductor provider of high-performance application-specific standard products. Our core strength of expertise is the development of complex System-on-a-Chip devices leveraging our extensive technology portfolio of intellectual property in the areas of analog, mixed-signal, digital signal processing and embedded ARM-based microprocessor integrated circuits. Our broad product portfolio includes devices for data storage, enterprise-class Ethernet data switching, Ethernet physical-layer transceiver, handheld cellular, Ethernet-based wireless networking, personal area networking, Ethernet-based PC connectivity, control plane communications controllers, video-image processing and power management solutions. Our products serve diverse applications used in carrier, metropolitan, enterprise and PC-client data communications and storage systems. Additionally, we serve the consumer electronics market for the convergence of voice, video and data applications. We are a fabless integrated circuit company, which means that we rely on independent, third party contractors to perform manufacturing, assembly and test functions. This approach allows us to focus on designing, developing and marketing our products and significantly reduces the amount of capital we need to invest in manufacturing products.</w:t>
      </w:r>
    </w:p>
    <w:p>
      <w:pPr>
        <w:spacing w:after="0" w:line="120" w:lineRule="exact"/>
        <w:rPr>
          <w:sz w:val="20"/>
          <w:szCs w:val="20"/>
          <w:color w:val="auto"/>
        </w:rPr>
      </w:pPr>
    </w:p>
    <w:p>
      <w:pPr>
        <w:ind w:firstLine="456"/>
        <w:spacing w:after="0" w:line="323" w:lineRule="auto"/>
        <w:rPr>
          <w:sz w:val="20"/>
          <w:szCs w:val="20"/>
          <w:color w:val="auto"/>
        </w:rPr>
      </w:pPr>
      <w:r>
        <w:rPr>
          <w:rFonts w:ascii="Arial" w:cs="Arial" w:eastAsia="Arial" w:hAnsi="Arial"/>
          <w:sz w:val="15"/>
          <w:szCs w:val="15"/>
          <w:color w:val="auto"/>
        </w:rPr>
        <w:t>Our sales have historically been made on the basis of purchase orders rather than long-term agreements. In addition, the sales cycle for our products is long, which may cause us to experience a delay between the time we incur expenses and the time revenue is generated from these expenditures. We anticipate that the rate of new orders may vary significantly from quarter to quarter. Consequently, if anticipated sales and shipments in any quarter do not occur when expected, expenses and inventory levels could be disproportionately high, and our operating results for that quarter and future quarters may be adversely affected.</w:t>
      </w:r>
    </w:p>
    <w:p>
      <w:pPr>
        <w:spacing w:after="0" w:line="84"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28</w:t>
      </w:r>
    </w:p>
    <w:p>
      <w:pPr>
        <w:sectPr>
          <w:pgSz w:w="11900" w:h="16838" w:orient="portrait"/>
          <w:cols w:equalWidth="0" w:num="1">
            <w:col w:w="11420"/>
          </w:cols>
          <w:pgMar w:left="240" w:top="459" w:right="239" w:bottom="1440" w:gutter="0" w:footer="0" w:header="0"/>
        </w:sectPr>
      </w:pPr>
    </w:p>
    <w:bookmarkStart w:id="28" w:name="page29"/>
    <w:bookmarkEnd w:id="28"/>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36"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43">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140" w:firstLine="456"/>
        <w:spacing w:after="0" w:line="256" w:lineRule="auto"/>
        <w:rPr>
          <w:sz w:val="20"/>
          <w:szCs w:val="20"/>
          <w:color w:val="auto"/>
        </w:rPr>
      </w:pPr>
      <w:r>
        <w:rPr>
          <w:rFonts w:ascii="Arial" w:cs="Arial" w:eastAsia="Arial" w:hAnsi="Arial"/>
          <w:sz w:val="18"/>
          <w:szCs w:val="18"/>
          <w:color w:val="auto"/>
        </w:rPr>
        <w:t>Our fiscal year is the 52- or 53-week period ending on the Saturday closest to January 31. In a 52-week year, each fiscal quarter consists of 13 weeks. The additional week in a 53-week year is added to the fourth quarter, making such quarter consist of 14 weeks. Fiscal 2010 and fiscal 2009 are comprised of a 52-week period. In this Quarterly Report on Form 10-Q, we refer to the fiscal year ended February 2, 2008 as fiscal 2008, the fiscal year ended January 31, 2009 as fiscal 2009, and the fiscal year ending January 30, 2010 as fiscal 2010.</w:t>
      </w:r>
    </w:p>
    <w:p>
      <w:pPr>
        <w:spacing w:after="0" w:line="224" w:lineRule="exact"/>
        <w:rPr>
          <w:sz w:val="20"/>
          <w:szCs w:val="20"/>
          <w:color w:val="auto"/>
        </w:rPr>
      </w:pPr>
    </w:p>
    <w:p>
      <w:pPr>
        <w:ind w:left="240"/>
        <w:spacing w:after="0"/>
        <w:rPr>
          <w:sz w:val="20"/>
          <w:szCs w:val="20"/>
          <w:color w:val="auto"/>
        </w:rPr>
      </w:pPr>
      <w:r>
        <w:rPr>
          <w:rFonts w:ascii="Arial" w:cs="Arial" w:eastAsia="Arial" w:hAnsi="Arial"/>
          <w:sz w:val="18"/>
          <w:szCs w:val="18"/>
          <w:b w:val="1"/>
          <w:bCs w:val="1"/>
          <w:i w:val="1"/>
          <w:iCs w:val="1"/>
          <w:color w:val="auto"/>
        </w:rPr>
        <w:t>Critical Accounting Policies and Estimates</w:t>
      </w:r>
    </w:p>
    <w:p>
      <w:pPr>
        <w:spacing w:after="0" w:line="90" w:lineRule="exact"/>
        <w:rPr>
          <w:sz w:val="20"/>
          <w:szCs w:val="20"/>
          <w:color w:val="auto"/>
        </w:rPr>
      </w:pPr>
    </w:p>
    <w:p>
      <w:pPr>
        <w:ind w:right="160" w:firstLine="456"/>
        <w:spacing w:after="0" w:line="291" w:lineRule="auto"/>
        <w:rPr>
          <w:sz w:val="20"/>
          <w:szCs w:val="20"/>
          <w:color w:val="auto"/>
        </w:rPr>
      </w:pPr>
      <w:r>
        <w:rPr>
          <w:rFonts w:ascii="Arial" w:cs="Arial" w:eastAsia="Arial" w:hAnsi="Arial"/>
          <w:sz w:val="16"/>
          <w:szCs w:val="16"/>
          <w:color w:val="auto"/>
        </w:rPr>
        <w:t>The preparation of financial statements in conformity with accounting principles generally accepted in the United States (“GAAP”) requires management to make estimates, judgments and assumptions that affect the reported amounts of assets, liabilities, revenues and expenses and related disclosure of contingent assets and liabilities. Actual results could differ from these estimates, and such differences could affect the results of operations reported in future periods. For a description of our critical accounting policies and estimates, please refer to the “Critical Accounting Policies and Estimates” section of our Management’s Discussion and Analysis of Financial Condition and Results of Operations contained in our Annual Report on Form 10-K for the year ended January 31, 2009. There have been no material changes in any of our critical accounting policies during fiscal 2010.</w:t>
      </w:r>
    </w:p>
    <w:p>
      <w:pPr>
        <w:spacing w:after="0" w:line="201" w:lineRule="exact"/>
        <w:rPr>
          <w:sz w:val="20"/>
          <w:szCs w:val="20"/>
          <w:color w:val="auto"/>
        </w:rPr>
      </w:pPr>
    </w:p>
    <w:p>
      <w:pPr>
        <w:ind w:left="240"/>
        <w:spacing w:after="0"/>
        <w:rPr>
          <w:sz w:val="20"/>
          <w:szCs w:val="20"/>
          <w:color w:val="auto"/>
        </w:rPr>
      </w:pPr>
      <w:r>
        <w:rPr>
          <w:rFonts w:ascii="Arial" w:cs="Arial" w:eastAsia="Arial" w:hAnsi="Arial"/>
          <w:sz w:val="18"/>
          <w:szCs w:val="18"/>
          <w:b w:val="1"/>
          <w:bCs w:val="1"/>
          <w:i w:val="1"/>
          <w:iCs w:val="1"/>
          <w:color w:val="auto"/>
        </w:rPr>
        <w:t>Results of Operations</w:t>
      </w:r>
    </w:p>
    <w:p>
      <w:pPr>
        <w:spacing w:after="0" w:line="90" w:lineRule="exact"/>
        <w:rPr>
          <w:sz w:val="20"/>
          <w:szCs w:val="20"/>
          <w:color w:val="auto"/>
        </w:rPr>
      </w:pPr>
    </w:p>
    <w:p>
      <w:pPr>
        <w:jc w:val="both"/>
        <w:ind w:right="160" w:firstLine="456"/>
        <w:spacing w:after="0" w:line="357" w:lineRule="auto"/>
        <w:rPr>
          <w:sz w:val="20"/>
          <w:szCs w:val="20"/>
          <w:color w:val="auto"/>
        </w:rPr>
      </w:pPr>
      <w:r>
        <w:rPr>
          <w:rFonts w:ascii="Arial" w:cs="Arial" w:eastAsia="Arial" w:hAnsi="Arial"/>
          <w:sz w:val="15"/>
          <w:szCs w:val="15"/>
          <w:color w:val="auto"/>
        </w:rPr>
        <w:t>Starting in the third quarter of fiscal 2009, when we began to see the early signs of a potential economic downturn, we began taking actions to reduce our cost and expense structure. Several of those actions had a significant impact on the results in both the three and nine months ended October 31, 2009 as follows:</w:t>
      </w:r>
    </w:p>
    <w:p>
      <w:pPr>
        <w:ind w:left="900" w:right="180" w:hanging="446"/>
        <w:spacing w:after="0" w:line="259" w:lineRule="auto"/>
        <w:tabs>
          <w:tab w:leader="none" w:pos="900" w:val="left"/>
        </w:tabs>
        <w:numPr>
          <w:ilvl w:val="0"/>
          <w:numId w:val="3"/>
        </w:numPr>
        <w:rPr>
          <w:rFonts w:ascii="Arial" w:cs="Arial" w:eastAsia="Arial" w:hAnsi="Arial"/>
          <w:sz w:val="18"/>
          <w:szCs w:val="18"/>
          <w:color w:val="auto"/>
        </w:rPr>
      </w:pPr>
      <w:r>
        <w:rPr>
          <w:rFonts w:ascii="Arial" w:cs="Arial" w:eastAsia="Arial" w:hAnsi="Arial"/>
          <w:sz w:val="18"/>
          <w:szCs w:val="18"/>
          <w:u w:val="single" w:color="auto"/>
          <w:color w:val="auto"/>
        </w:rPr>
        <w:t>Headcount reductions</w:t>
      </w:r>
      <w:r>
        <w:rPr>
          <w:rFonts w:ascii="Arial" w:cs="Arial" w:eastAsia="Arial" w:hAnsi="Arial"/>
          <w:sz w:val="18"/>
          <w:szCs w:val="18"/>
          <w:color w:val="auto"/>
        </w:rPr>
        <w:t xml:space="preserve"> – Starting in the fourth quarter of fiscal 2009, we began a reduction of force that impacted all of our worldwide operations including the closure of the design center in Canada and the test operations in Malaysia. These reductions have lowered our salary related expenses significantly.</w:t>
      </w:r>
    </w:p>
    <w:p>
      <w:pPr>
        <w:spacing w:after="0" w:line="59" w:lineRule="exact"/>
        <w:rPr>
          <w:rFonts w:ascii="Arial" w:cs="Arial" w:eastAsia="Arial" w:hAnsi="Arial"/>
          <w:sz w:val="18"/>
          <w:szCs w:val="18"/>
          <w:color w:val="auto"/>
        </w:rPr>
      </w:pPr>
    </w:p>
    <w:p>
      <w:pPr>
        <w:ind w:left="900" w:right="260" w:hanging="446"/>
        <w:spacing w:after="0" w:line="259" w:lineRule="auto"/>
        <w:tabs>
          <w:tab w:leader="none" w:pos="900" w:val="left"/>
        </w:tabs>
        <w:numPr>
          <w:ilvl w:val="0"/>
          <w:numId w:val="3"/>
        </w:numPr>
        <w:rPr>
          <w:rFonts w:ascii="Arial" w:cs="Arial" w:eastAsia="Arial" w:hAnsi="Arial"/>
          <w:sz w:val="18"/>
          <w:szCs w:val="18"/>
          <w:color w:val="auto"/>
        </w:rPr>
      </w:pPr>
      <w:r>
        <w:rPr>
          <w:rFonts w:ascii="Arial" w:cs="Arial" w:eastAsia="Arial" w:hAnsi="Arial"/>
          <w:sz w:val="18"/>
          <w:szCs w:val="18"/>
          <w:u w:val="single" w:color="auto"/>
          <w:color w:val="auto"/>
        </w:rPr>
        <w:t>Facilities consolidations</w:t>
      </w:r>
      <w:r>
        <w:rPr>
          <w:rFonts w:ascii="Arial" w:cs="Arial" w:eastAsia="Arial" w:hAnsi="Arial"/>
          <w:sz w:val="18"/>
          <w:szCs w:val="18"/>
          <w:color w:val="auto"/>
        </w:rPr>
        <w:t xml:space="preserve"> – We have also taken actions to readjust our real estate footprint to more closely match our current business needs. This included vacating certain facilities, downsizing certain facilities, and renegotiating many of our existing and expiring leases. These measures have begun to also benefit our on-going results.</w:t>
      </w:r>
    </w:p>
    <w:p>
      <w:pPr>
        <w:spacing w:after="0" w:line="59" w:lineRule="exact"/>
        <w:rPr>
          <w:rFonts w:ascii="Arial" w:cs="Arial" w:eastAsia="Arial" w:hAnsi="Arial"/>
          <w:sz w:val="18"/>
          <w:szCs w:val="18"/>
          <w:color w:val="auto"/>
        </w:rPr>
      </w:pPr>
    </w:p>
    <w:p>
      <w:pPr>
        <w:jc w:val="both"/>
        <w:ind w:left="900" w:right="360" w:hanging="446"/>
        <w:spacing w:after="0" w:line="306" w:lineRule="auto"/>
        <w:tabs>
          <w:tab w:leader="none" w:pos="900" w:val="left"/>
        </w:tabs>
        <w:numPr>
          <w:ilvl w:val="0"/>
          <w:numId w:val="3"/>
        </w:numPr>
        <w:rPr>
          <w:rFonts w:ascii="Arial" w:cs="Arial" w:eastAsia="Arial" w:hAnsi="Arial"/>
          <w:sz w:val="16"/>
          <w:szCs w:val="16"/>
          <w:color w:val="auto"/>
        </w:rPr>
      </w:pPr>
      <w:r>
        <w:rPr>
          <w:rFonts w:ascii="Arial" w:cs="Arial" w:eastAsia="Arial" w:hAnsi="Arial"/>
          <w:sz w:val="16"/>
          <w:szCs w:val="16"/>
          <w:u w:val="single" w:color="auto"/>
          <w:color w:val="auto"/>
        </w:rPr>
        <w:t>Manufacturing cost reductions</w:t>
      </w:r>
      <w:r>
        <w:rPr>
          <w:rFonts w:ascii="Arial" w:cs="Arial" w:eastAsia="Arial" w:hAnsi="Arial"/>
          <w:sz w:val="16"/>
          <w:szCs w:val="16"/>
          <w:color w:val="auto"/>
        </w:rPr>
        <w:t xml:space="preserve"> – At the beginning of the downturn, we took the opportunity to renegotiate the pricing arrangements with our key manufacturing partners including foundries, assembly and test subcontractors. As we have substantially sold through our inventory built in prior periods at higher costs, we are beginning to see significant benefits as a result of these efforts.</w:t>
      </w:r>
    </w:p>
    <w:p>
      <w:pPr>
        <w:spacing w:after="0" w:line="25" w:lineRule="exact"/>
        <w:rPr>
          <w:rFonts w:ascii="Arial" w:cs="Arial" w:eastAsia="Arial" w:hAnsi="Arial"/>
          <w:sz w:val="16"/>
          <w:szCs w:val="16"/>
          <w:color w:val="auto"/>
        </w:rPr>
      </w:pPr>
    </w:p>
    <w:p>
      <w:pPr>
        <w:ind w:left="900" w:right="40" w:hanging="446"/>
        <w:spacing w:after="0" w:line="306" w:lineRule="auto"/>
        <w:tabs>
          <w:tab w:leader="none" w:pos="900" w:val="left"/>
        </w:tabs>
        <w:numPr>
          <w:ilvl w:val="0"/>
          <w:numId w:val="3"/>
        </w:numPr>
        <w:rPr>
          <w:rFonts w:ascii="Arial" w:cs="Arial" w:eastAsia="Arial" w:hAnsi="Arial"/>
          <w:sz w:val="16"/>
          <w:szCs w:val="16"/>
          <w:color w:val="auto"/>
        </w:rPr>
      </w:pPr>
      <w:r>
        <w:rPr>
          <w:rFonts w:ascii="Arial" w:cs="Arial" w:eastAsia="Arial" w:hAnsi="Arial"/>
          <w:sz w:val="16"/>
          <w:szCs w:val="16"/>
          <w:u w:val="single" w:color="auto"/>
          <w:color w:val="auto"/>
        </w:rPr>
        <w:t>Discretionary spending controls</w:t>
      </w:r>
      <w:r>
        <w:rPr>
          <w:rFonts w:ascii="Arial" w:cs="Arial" w:eastAsia="Arial" w:hAnsi="Arial"/>
          <w:sz w:val="16"/>
          <w:szCs w:val="16"/>
          <w:color w:val="auto"/>
        </w:rPr>
        <w:t xml:space="preserve"> – During the second half of fiscal 2009, we implemented very strict guidelines with regards to discretionary spending including restrictions on travel and limitations on use of outside professional services to name a few. Although we have begun to ease some of the restrictions, we expect to continue the spending discipline to help ensure our expense levels remain competitive.</w:t>
      </w:r>
    </w:p>
    <w:p>
      <w:pPr>
        <w:spacing w:after="0" w:line="25" w:lineRule="exact"/>
        <w:rPr>
          <w:rFonts w:ascii="Arial" w:cs="Arial" w:eastAsia="Arial" w:hAnsi="Arial"/>
          <w:sz w:val="16"/>
          <w:szCs w:val="16"/>
          <w:color w:val="auto"/>
        </w:rPr>
      </w:pPr>
    </w:p>
    <w:p>
      <w:pPr>
        <w:ind w:left="900" w:hanging="446"/>
        <w:spacing w:after="0" w:line="254" w:lineRule="auto"/>
        <w:tabs>
          <w:tab w:leader="none" w:pos="900" w:val="left"/>
        </w:tabs>
        <w:numPr>
          <w:ilvl w:val="0"/>
          <w:numId w:val="3"/>
        </w:numPr>
        <w:rPr>
          <w:rFonts w:ascii="Arial" w:cs="Arial" w:eastAsia="Arial" w:hAnsi="Arial"/>
          <w:sz w:val="18"/>
          <w:szCs w:val="18"/>
          <w:color w:val="auto"/>
        </w:rPr>
      </w:pPr>
      <w:r>
        <w:rPr>
          <w:rFonts w:ascii="Arial" w:cs="Arial" w:eastAsia="Arial" w:hAnsi="Arial"/>
          <w:sz w:val="18"/>
          <w:szCs w:val="18"/>
          <w:u w:val="single" w:color="auto"/>
          <w:color w:val="auto"/>
        </w:rPr>
        <w:t>Stock-based compensation</w:t>
      </w:r>
      <w:r>
        <w:rPr>
          <w:rFonts w:ascii="Arial" w:cs="Arial" w:eastAsia="Arial" w:hAnsi="Arial"/>
          <w:sz w:val="18"/>
          <w:szCs w:val="18"/>
          <w:color w:val="auto"/>
        </w:rPr>
        <w:t xml:space="preserve"> – In the fourth quarter of fiscal 2009, we implemented a stock option exchange program for our employees to allow them to exchange options with higher prices for restricted stock units. The exchange program allowed employees to receive some value while also reducing our stock option expense levels. The expense in the periods of fiscal 2010 has been lower partially due to differences in the vesting schedule of replacement grants versus exchanged options. In addition, we took the opportunity while the stock price was lower to provide our annual grants to employees earlier in the cycle in order to provide some additional retention value but also limit the amount of stock-based compensation associated with those awards.</w:t>
      </w:r>
    </w:p>
    <w:p>
      <w:pPr>
        <w:spacing w:after="0" w:line="144" w:lineRule="exact"/>
        <w:rPr>
          <w:sz w:val="20"/>
          <w:szCs w:val="20"/>
          <w:color w:val="auto"/>
        </w:rPr>
      </w:pPr>
    </w:p>
    <w:p>
      <w:pPr>
        <w:ind w:right="60" w:firstLine="456"/>
        <w:spacing w:after="0" w:line="294" w:lineRule="auto"/>
        <w:rPr>
          <w:sz w:val="20"/>
          <w:szCs w:val="20"/>
          <w:color w:val="auto"/>
        </w:rPr>
      </w:pPr>
      <w:r>
        <w:rPr>
          <w:rFonts w:ascii="Arial" w:cs="Arial" w:eastAsia="Arial" w:hAnsi="Arial"/>
          <w:sz w:val="16"/>
          <w:szCs w:val="16"/>
          <w:color w:val="auto"/>
        </w:rPr>
        <w:t>After a few very challenging quarters, during the second quarter of fiscal 2010, we started to see some improvement in the overall worldwide economic conditions. This trend continued during the third quarter of fiscal 2010 as is evidenced by the improved revenues and overall significantly improved financial results compared to the prior quarter. Improvement in our cost of manufacturing and operational execution over the past year has significantly benefited our gross margins. Reductions in our cost structure along with operational discipline have lowered our operating expenses. These changes have allowed a significant portion of our increases in revenues in recent periods to benefit our net income.</w:t>
      </w:r>
    </w:p>
    <w:p>
      <w:pPr>
        <w:spacing w:after="0" w:line="102"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29</w:t>
      </w:r>
    </w:p>
    <w:p>
      <w:pPr>
        <w:sectPr>
          <w:pgSz w:w="11900" w:h="16838" w:orient="portrait"/>
          <w:cols w:equalWidth="0" w:num="1">
            <w:col w:w="11420"/>
          </w:cols>
          <w:pgMar w:left="240" w:top="459" w:right="239" w:bottom="1440" w:gutter="0" w:footer="0" w:header="0"/>
        </w:sectPr>
      </w:pPr>
    </w:p>
    <w:bookmarkStart w:id="29" w:name="page30"/>
    <w:bookmarkEnd w:id="29"/>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44">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260" w:firstLine="456"/>
        <w:spacing w:after="0" w:line="268" w:lineRule="auto"/>
        <w:rPr>
          <w:sz w:val="20"/>
          <w:szCs w:val="20"/>
          <w:color w:val="auto"/>
        </w:rPr>
      </w:pPr>
      <w:r>
        <w:rPr>
          <w:rFonts w:ascii="Arial" w:cs="Arial" w:eastAsia="Arial" w:hAnsi="Arial"/>
          <w:sz w:val="18"/>
          <w:szCs w:val="18"/>
          <w:color w:val="auto"/>
        </w:rPr>
        <w:t>The following table sets forth information derived from our unaudited condensed consolidated statements of operations expressed as a percentage of net revenue:</w:t>
      </w:r>
    </w:p>
    <w:p>
      <w:pPr>
        <w:spacing w:after="0" w:line="168"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20" w:type="dxa"/>
            <w:vAlign w:val="bottom"/>
          </w:tcPr>
          <w:p>
            <w:pPr>
              <w:spacing w:after="0"/>
              <w:rPr>
                <w:sz w:val="14"/>
                <w:szCs w:val="14"/>
                <w:color w:val="auto"/>
              </w:rPr>
            </w:pPr>
          </w:p>
        </w:tc>
        <w:tc>
          <w:tcPr>
            <w:tcW w:w="6480" w:type="dxa"/>
            <w:vAlign w:val="bottom"/>
          </w:tcPr>
          <w:p>
            <w:pPr>
              <w:spacing w:after="0"/>
              <w:rPr>
                <w:sz w:val="14"/>
                <w:szCs w:val="14"/>
                <w:color w:val="auto"/>
              </w:rPr>
            </w:pPr>
          </w:p>
        </w:tc>
        <w:tc>
          <w:tcPr>
            <w:tcW w:w="2660" w:type="dxa"/>
            <w:vAlign w:val="bottom"/>
            <w:gridSpan w:val="4"/>
          </w:tcPr>
          <w:p>
            <w:pPr>
              <w:jc w:val="right"/>
              <w:ind w:right="1040"/>
              <w:spacing w:after="0"/>
              <w:rPr>
                <w:sz w:val="20"/>
                <w:szCs w:val="20"/>
                <w:color w:val="auto"/>
              </w:rPr>
            </w:pPr>
            <w:r>
              <w:rPr>
                <w:rFonts w:ascii="Arial" w:cs="Arial" w:eastAsia="Arial" w:hAnsi="Arial"/>
                <w:sz w:val="14"/>
                <w:szCs w:val="14"/>
                <w:b w:val="1"/>
                <w:bCs w:val="1"/>
                <w:color w:val="auto"/>
              </w:rPr>
              <w:t>Three Months Ended</w:t>
            </w:r>
          </w:p>
        </w:tc>
        <w:tc>
          <w:tcPr>
            <w:tcW w:w="2260" w:type="dxa"/>
            <w:vAlign w:val="bottom"/>
            <w:gridSpan w:val="4"/>
          </w:tcPr>
          <w:p>
            <w:pPr>
              <w:jc w:val="right"/>
              <w:ind w:right="660"/>
              <w:spacing w:after="0"/>
              <w:rPr>
                <w:sz w:val="20"/>
                <w:szCs w:val="20"/>
                <w:color w:val="auto"/>
              </w:rPr>
            </w:pPr>
            <w:r>
              <w:rPr>
                <w:rFonts w:ascii="Arial" w:cs="Arial" w:eastAsia="Arial" w:hAnsi="Arial"/>
                <w:sz w:val="14"/>
                <w:szCs w:val="14"/>
                <w:b w:val="1"/>
                <w:bCs w:val="1"/>
                <w:color w:val="auto"/>
              </w:rPr>
              <w:t>Nine Months Ended</w:t>
            </w:r>
          </w:p>
        </w:tc>
        <w:tc>
          <w:tcPr>
            <w:tcW w:w="0" w:type="dxa"/>
            <w:vAlign w:val="bottom"/>
          </w:tcPr>
          <w:p>
            <w:pPr>
              <w:spacing w:after="0"/>
              <w:rPr>
                <w:sz w:val="1"/>
                <w:szCs w:val="1"/>
                <w:color w:val="auto"/>
              </w:rPr>
            </w:pPr>
          </w:p>
        </w:tc>
      </w:tr>
      <w:tr>
        <w:trPr>
          <w:trHeight w:val="129"/>
        </w:trPr>
        <w:tc>
          <w:tcPr>
            <w:tcW w:w="20" w:type="dxa"/>
            <w:vAlign w:val="bottom"/>
          </w:tcPr>
          <w:p>
            <w:pPr>
              <w:spacing w:after="0"/>
              <w:rPr>
                <w:sz w:val="11"/>
                <w:szCs w:val="11"/>
                <w:color w:val="auto"/>
              </w:rPr>
            </w:pPr>
          </w:p>
        </w:tc>
        <w:tc>
          <w:tcPr>
            <w:tcW w:w="6480" w:type="dxa"/>
            <w:vAlign w:val="bottom"/>
          </w:tcPr>
          <w:p>
            <w:pPr>
              <w:spacing w:after="0"/>
              <w:rPr>
                <w:sz w:val="11"/>
                <w:szCs w:val="11"/>
                <w:color w:val="auto"/>
              </w:rPr>
            </w:pPr>
          </w:p>
        </w:tc>
        <w:tc>
          <w:tcPr>
            <w:tcW w:w="1280" w:type="dxa"/>
            <w:vAlign w:val="bottom"/>
            <w:tcBorders>
              <w:top w:val="single" w:sz="8" w:color="auto"/>
            </w:tcBorders>
            <w:gridSpan w:val="2"/>
          </w:tcPr>
          <w:p>
            <w:pPr>
              <w:jc w:val="right"/>
              <w:ind w:right="620"/>
              <w:spacing w:after="0" w:line="129" w:lineRule="exact"/>
              <w:rPr>
                <w:sz w:val="20"/>
                <w:szCs w:val="20"/>
                <w:color w:val="auto"/>
              </w:rPr>
            </w:pPr>
            <w:r>
              <w:rPr>
                <w:rFonts w:ascii="Arial" w:cs="Arial" w:eastAsia="Arial" w:hAnsi="Arial"/>
                <w:sz w:val="14"/>
                <w:szCs w:val="14"/>
                <w:b w:val="1"/>
                <w:bCs w:val="1"/>
                <w:color w:val="auto"/>
                <w:w w:val="83"/>
              </w:rPr>
              <w:t>October 31,</w:t>
            </w:r>
          </w:p>
        </w:tc>
        <w:tc>
          <w:tcPr>
            <w:tcW w:w="740" w:type="dxa"/>
            <w:vAlign w:val="bottom"/>
            <w:tcBorders>
              <w:top w:val="single" w:sz="8" w:color="auto"/>
            </w:tcBorders>
          </w:tcPr>
          <w:p>
            <w:pPr>
              <w:jc w:val="right"/>
              <w:spacing w:after="0" w:line="129" w:lineRule="exact"/>
              <w:rPr>
                <w:sz w:val="20"/>
                <w:szCs w:val="20"/>
                <w:color w:val="auto"/>
              </w:rPr>
            </w:pPr>
            <w:r>
              <w:rPr>
                <w:rFonts w:ascii="Arial" w:cs="Arial" w:eastAsia="Arial" w:hAnsi="Arial"/>
                <w:sz w:val="14"/>
                <w:szCs w:val="14"/>
                <w:b w:val="1"/>
                <w:bCs w:val="1"/>
                <w:color w:val="auto"/>
                <w:w w:val="85"/>
              </w:rPr>
              <w:t>November 1,</w:t>
            </w:r>
          </w:p>
        </w:tc>
        <w:tc>
          <w:tcPr>
            <w:tcW w:w="640" w:type="dxa"/>
            <w:vAlign w:val="bottom"/>
          </w:tcPr>
          <w:p>
            <w:pPr>
              <w:spacing w:after="0"/>
              <w:rPr>
                <w:sz w:val="11"/>
                <w:szCs w:val="11"/>
                <w:color w:val="auto"/>
              </w:rPr>
            </w:pPr>
          </w:p>
        </w:tc>
        <w:tc>
          <w:tcPr>
            <w:tcW w:w="1320" w:type="dxa"/>
            <w:vAlign w:val="bottom"/>
            <w:tcBorders>
              <w:top w:val="single" w:sz="8" w:color="auto"/>
            </w:tcBorders>
            <w:gridSpan w:val="2"/>
          </w:tcPr>
          <w:p>
            <w:pPr>
              <w:jc w:val="right"/>
              <w:ind w:right="640"/>
              <w:spacing w:after="0" w:line="129" w:lineRule="exact"/>
              <w:rPr>
                <w:sz w:val="20"/>
                <w:szCs w:val="20"/>
                <w:color w:val="auto"/>
              </w:rPr>
            </w:pPr>
            <w:r>
              <w:rPr>
                <w:rFonts w:ascii="Arial" w:cs="Arial" w:eastAsia="Arial" w:hAnsi="Arial"/>
                <w:sz w:val="14"/>
                <w:szCs w:val="14"/>
                <w:b w:val="1"/>
                <w:bCs w:val="1"/>
                <w:color w:val="auto"/>
                <w:w w:val="85"/>
              </w:rPr>
              <w:t>October 31,</w:t>
            </w:r>
          </w:p>
        </w:tc>
        <w:tc>
          <w:tcPr>
            <w:tcW w:w="740" w:type="dxa"/>
            <w:vAlign w:val="bottom"/>
            <w:tcBorders>
              <w:top w:val="single" w:sz="8" w:color="auto"/>
            </w:tcBorders>
          </w:tcPr>
          <w:p>
            <w:pPr>
              <w:jc w:val="right"/>
              <w:spacing w:after="0" w:line="129" w:lineRule="exact"/>
              <w:rPr>
                <w:sz w:val="20"/>
                <w:szCs w:val="20"/>
                <w:color w:val="auto"/>
              </w:rPr>
            </w:pPr>
            <w:r>
              <w:rPr>
                <w:rFonts w:ascii="Arial" w:cs="Arial" w:eastAsia="Arial" w:hAnsi="Arial"/>
                <w:sz w:val="14"/>
                <w:szCs w:val="14"/>
                <w:b w:val="1"/>
                <w:bCs w:val="1"/>
                <w:color w:val="auto"/>
                <w:w w:val="85"/>
              </w:rPr>
              <w:t>November 1,</w:t>
            </w:r>
          </w:p>
        </w:tc>
        <w:tc>
          <w:tcPr>
            <w:tcW w:w="2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1"/>
        </w:trPr>
        <w:tc>
          <w:tcPr>
            <w:tcW w:w="20" w:type="dxa"/>
            <w:vAlign w:val="bottom"/>
          </w:tcPr>
          <w:p>
            <w:pPr>
              <w:spacing w:after="0"/>
              <w:rPr>
                <w:sz w:val="14"/>
                <w:szCs w:val="14"/>
                <w:color w:val="auto"/>
              </w:rPr>
            </w:pPr>
          </w:p>
        </w:tc>
        <w:tc>
          <w:tcPr>
            <w:tcW w:w="6480" w:type="dxa"/>
            <w:vAlign w:val="bottom"/>
          </w:tcPr>
          <w:p>
            <w:pPr>
              <w:spacing w:after="0"/>
              <w:rPr>
                <w:sz w:val="14"/>
                <w:szCs w:val="14"/>
                <w:color w:val="auto"/>
              </w:rPr>
            </w:pPr>
          </w:p>
        </w:tc>
        <w:tc>
          <w:tcPr>
            <w:tcW w:w="660" w:type="dxa"/>
            <w:vAlign w:val="bottom"/>
            <w:tcBorders>
              <w:bottom w:val="single" w:sz="8" w:color="auto"/>
            </w:tcBorders>
          </w:tcPr>
          <w:p>
            <w:pPr>
              <w:jc w:val="right"/>
              <w:ind w:right="116"/>
              <w:spacing w:after="0"/>
              <w:rPr>
                <w:sz w:val="20"/>
                <w:szCs w:val="20"/>
                <w:color w:val="auto"/>
              </w:rPr>
            </w:pPr>
            <w:r>
              <w:rPr>
                <w:rFonts w:ascii="Arial" w:cs="Arial" w:eastAsia="Arial" w:hAnsi="Arial"/>
                <w:sz w:val="14"/>
                <w:szCs w:val="14"/>
                <w:b w:val="1"/>
                <w:bCs w:val="1"/>
                <w:color w:val="auto"/>
              </w:rPr>
              <w:t>2009</w:t>
            </w:r>
          </w:p>
        </w:tc>
        <w:tc>
          <w:tcPr>
            <w:tcW w:w="620" w:type="dxa"/>
            <w:vAlign w:val="bottom"/>
          </w:tcPr>
          <w:p>
            <w:pPr>
              <w:spacing w:after="0"/>
              <w:rPr>
                <w:sz w:val="14"/>
                <w:szCs w:val="14"/>
                <w:color w:val="auto"/>
              </w:rPr>
            </w:pPr>
          </w:p>
        </w:tc>
        <w:tc>
          <w:tcPr>
            <w:tcW w:w="740" w:type="dxa"/>
            <w:vAlign w:val="bottom"/>
            <w:tcBorders>
              <w:bottom w:val="single" w:sz="8" w:color="auto"/>
            </w:tcBorders>
          </w:tcPr>
          <w:p>
            <w:pPr>
              <w:jc w:val="right"/>
              <w:ind w:right="135"/>
              <w:spacing w:after="0"/>
              <w:rPr>
                <w:sz w:val="20"/>
                <w:szCs w:val="20"/>
                <w:color w:val="auto"/>
              </w:rPr>
            </w:pPr>
            <w:r>
              <w:rPr>
                <w:rFonts w:ascii="Arial" w:cs="Arial" w:eastAsia="Arial" w:hAnsi="Arial"/>
                <w:sz w:val="14"/>
                <w:szCs w:val="14"/>
                <w:b w:val="1"/>
                <w:bCs w:val="1"/>
                <w:color w:val="auto"/>
              </w:rPr>
              <w:t>2008</w:t>
            </w:r>
          </w:p>
        </w:tc>
        <w:tc>
          <w:tcPr>
            <w:tcW w:w="640" w:type="dxa"/>
            <w:vAlign w:val="bottom"/>
          </w:tcPr>
          <w:p>
            <w:pPr>
              <w:spacing w:after="0"/>
              <w:rPr>
                <w:sz w:val="14"/>
                <w:szCs w:val="14"/>
                <w:color w:val="auto"/>
              </w:rPr>
            </w:pPr>
          </w:p>
        </w:tc>
        <w:tc>
          <w:tcPr>
            <w:tcW w:w="680" w:type="dxa"/>
            <w:vAlign w:val="bottom"/>
            <w:tcBorders>
              <w:bottom w:val="single" w:sz="8" w:color="auto"/>
            </w:tcBorders>
          </w:tcPr>
          <w:p>
            <w:pPr>
              <w:jc w:val="right"/>
              <w:ind w:right="116"/>
              <w:spacing w:after="0"/>
              <w:rPr>
                <w:sz w:val="20"/>
                <w:szCs w:val="20"/>
                <w:color w:val="auto"/>
              </w:rPr>
            </w:pPr>
            <w:r>
              <w:rPr>
                <w:rFonts w:ascii="Arial" w:cs="Arial" w:eastAsia="Arial" w:hAnsi="Arial"/>
                <w:sz w:val="14"/>
                <w:szCs w:val="14"/>
                <w:b w:val="1"/>
                <w:bCs w:val="1"/>
                <w:color w:val="auto"/>
              </w:rPr>
              <w:t>2009</w:t>
            </w:r>
          </w:p>
        </w:tc>
        <w:tc>
          <w:tcPr>
            <w:tcW w:w="640" w:type="dxa"/>
            <w:vAlign w:val="bottom"/>
          </w:tcPr>
          <w:p>
            <w:pPr>
              <w:spacing w:after="0"/>
              <w:rPr>
                <w:sz w:val="14"/>
                <w:szCs w:val="14"/>
                <w:color w:val="auto"/>
              </w:rPr>
            </w:pPr>
          </w:p>
        </w:tc>
        <w:tc>
          <w:tcPr>
            <w:tcW w:w="740" w:type="dxa"/>
            <w:vAlign w:val="bottom"/>
            <w:tcBorders>
              <w:bottom w:val="single" w:sz="8" w:color="auto"/>
            </w:tcBorders>
          </w:tcPr>
          <w:p>
            <w:pPr>
              <w:jc w:val="right"/>
              <w:ind w:right="155"/>
              <w:spacing w:after="0"/>
              <w:rPr>
                <w:sz w:val="20"/>
                <w:szCs w:val="20"/>
                <w:color w:val="auto"/>
              </w:rPr>
            </w:pPr>
            <w:r>
              <w:rPr>
                <w:rFonts w:ascii="Arial" w:cs="Arial" w:eastAsia="Arial" w:hAnsi="Arial"/>
                <w:sz w:val="14"/>
                <w:szCs w:val="14"/>
                <w:b w:val="1"/>
                <w:bCs w:val="1"/>
                <w:color w:val="auto"/>
              </w:rPr>
              <w:t>2008</w:t>
            </w:r>
          </w:p>
        </w:tc>
        <w:tc>
          <w:tcPr>
            <w:tcW w:w="2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210"/>
        </w:trPr>
        <w:tc>
          <w:tcPr>
            <w:tcW w:w="20" w:type="dxa"/>
            <w:vAlign w:val="bottom"/>
          </w:tcPr>
          <w:p>
            <w:pPr>
              <w:spacing w:after="0"/>
              <w:rPr>
                <w:sz w:val="18"/>
                <w:szCs w:val="18"/>
                <w:color w:val="auto"/>
              </w:rPr>
            </w:pPr>
          </w:p>
        </w:tc>
        <w:tc>
          <w:tcPr>
            <w:tcW w:w="6480" w:type="dxa"/>
            <w:vAlign w:val="bottom"/>
            <w:shd w:val="clear" w:color="auto" w:fill="CCEEFF"/>
          </w:tcPr>
          <w:p>
            <w:pPr>
              <w:spacing w:after="0"/>
              <w:rPr>
                <w:sz w:val="20"/>
                <w:szCs w:val="20"/>
                <w:color w:val="auto"/>
              </w:rPr>
            </w:pPr>
            <w:r>
              <w:rPr>
                <w:rFonts w:ascii="Arial" w:cs="Arial" w:eastAsia="Arial" w:hAnsi="Arial"/>
                <w:sz w:val="18"/>
                <w:szCs w:val="18"/>
                <w:color w:val="auto"/>
              </w:rPr>
              <w:t>Net revenue</w:t>
            </w:r>
          </w:p>
        </w:tc>
        <w:tc>
          <w:tcPr>
            <w:tcW w:w="1280" w:type="dxa"/>
            <w:vAlign w:val="bottom"/>
            <w:gridSpan w:val="2"/>
            <w:shd w:val="clear" w:color="auto" w:fill="CCEEFF"/>
          </w:tcPr>
          <w:p>
            <w:pPr>
              <w:jc w:val="right"/>
              <w:ind w:right="460"/>
              <w:spacing w:after="0"/>
              <w:rPr>
                <w:sz w:val="20"/>
                <w:szCs w:val="20"/>
                <w:color w:val="auto"/>
              </w:rPr>
            </w:pPr>
            <w:r>
              <w:rPr>
                <w:rFonts w:ascii="Arial" w:cs="Arial" w:eastAsia="Arial" w:hAnsi="Arial"/>
                <w:sz w:val="18"/>
                <w:szCs w:val="18"/>
                <w:color w:val="auto"/>
              </w:rPr>
              <w:t>100.0%</w:t>
            </w:r>
          </w:p>
        </w:tc>
        <w:tc>
          <w:tcPr>
            <w:tcW w:w="1380" w:type="dxa"/>
            <w:vAlign w:val="bottom"/>
            <w:gridSpan w:val="2"/>
            <w:shd w:val="clear" w:color="auto" w:fill="CCEEFF"/>
          </w:tcPr>
          <w:p>
            <w:pPr>
              <w:jc w:val="right"/>
              <w:ind w:right="480"/>
              <w:spacing w:after="0"/>
              <w:rPr>
                <w:sz w:val="20"/>
                <w:szCs w:val="20"/>
                <w:color w:val="auto"/>
              </w:rPr>
            </w:pPr>
            <w:r>
              <w:rPr>
                <w:rFonts w:ascii="Arial" w:cs="Arial" w:eastAsia="Arial" w:hAnsi="Arial"/>
                <w:sz w:val="18"/>
                <w:szCs w:val="18"/>
                <w:color w:val="auto"/>
              </w:rPr>
              <w:t>100.0%</w:t>
            </w:r>
          </w:p>
        </w:tc>
        <w:tc>
          <w:tcPr>
            <w:tcW w:w="1320" w:type="dxa"/>
            <w:vAlign w:val="bottom"/>
            <w:gridSpan w:val="2"/>
            <w:shd w:val="clear" w:color="auto" w:fill="CCEEFF"/>
          </w:tcPr>
          <w:p>
            <w:pPr>
              <w:jc w:val="right"/>
              <w:ind w:right="500"/>
              <w:spacing w:after="0"/>
              <w:rPr>
                <w:sz w:val="20"/>
                <w:szCs w:val="20"/>
                <w:color w:val="auto"/>
              </w:rPr>
            </w:pPr>
            <w:r>
              <w:rPr>
                <w:rFonts w:ascii="Arial" w:cs="Arial" w:eastAsia="Arial" w:hAnsi="Arial"/>
                <w:sz w:val="18"/>
                <w:szCs w:val="18"/>
                <w:color w:val="auto"/>
              </w:rPr>
              <w:t>100.0%</w:t>
            </w:r>
          </w:p>
        </w:tc>
        <w:tc>
          <w:tcPr>
            <w:tcW w:w="94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100.0%</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480" w:type="dxa"/>
            <w:vAlign w:val="bottom"/>
          </w:tcPr>
          <w:p>
            <w:pPr>
              <w:spacing w:after="0"/>
              <w:rPr>
                <w:sz w:val="20"/>
                <w:szCs w:val="20"/>
                <w:color w:val="auto"/>
              </w:rPr>
            </w:pPr>
            <w:r>
              <w:rPr>
                <w:rFonts w:ascii="Arial" w:cs="Arial" w:eastAsia="Arial" w:hAnsi="Arial"/>
                <w:sz w:val="18"/>
                <w:szCs w:val="18"/>
                <w:color w:val="auto"/>
              </w:rPr>
              <w:t>Operating costs and expenses:</w:t>
            </w:r>
          </w:p>
        </w:tc>
        <w:tc>
          <w:tcPr>
            <w:tcW w:w="660" w:type="dxa"/>
            <w:vAlign w:val="bottom"/>
          </w:tcPr>
          <w:p>
            <w:pPr>
              <w:spacing w:after="0"/>
              <w:rPr>
                <w:sz w:val="18"/>
                <w:szCs w:val="18"/>
                <w:color w:val="auto"/>
              </w:rPr>
            </w:pPr>
          </w:p>
        </w:tc>
        <w:tc>
          <w:tcPr>
            <w:tcW w:w="620" w:type="dxa"/>
            <w:vAlign w:val="bottom"/>
          </w:tcPr>
          <w:p>
            <w:pPr>
              <w:spacing w:after="0"/>
              <w:rPr>
                <w:sz w:val="18"/>
                <w:szCs w:val="18"/>
                <w:color w:val="auto"/>
              </w:rPr>
            </w:pPr>
          </w:p>
        </w:tc>
        <w:tc>
          <w:tcPr>
            <w:tcW w:w="740" w:type="dxa"/>
            <w:vAlign w:val="bottom"/>
          </w:tcPr>
          <w:p>
            <w:pPr>
              <w:spacing w:after="0"/>
              <w:rPr>
                <w:sz w:val="18"/>
                <w:szCs w:val="18"/>
                <w:color w:val="auto"/>
              </w:rPr>
            </w:pPr>
          </w:p>
        </w:tc>
        <w:tc>
          <w:tcPr>
            <w:tcW w:w="640" w:type="dxa"/>
            <w:vAlign w:val="bottom"/>
          </w:tcPr>
          <w:p>
            <w:pPr>
              <w:spacing w:after="0"/>
              <w:rPr>
                <w:sz w:val="18"/>
                <w:szCs w:val="18"/>
                <w:color w:val="auto"/>
              </w:rPr>
            </w:pPr>
          </w:p>
        </w:tc>
        <w:tc>
          <w:tcPr>
            <w:tcW w:w="680" w:type="dxa"/>
            <w:vAlign w:val="bottom"/>
          </w:tcPr>
          <w:p>
            <w:pPr>
              <w:spacing w:after="0"/>
              <w:rPr>
                <w:sz w:val="18"/>
                <w:szCs w:val="18"/>
                <w:color w:val="auto"/>
              </w:rPr>
            </w:pPr>
          </w:p>
        </w:tc>
        <w:tc>
          <w:tcPr>
            <w:tcW w:w="640" w:type="dxa"/>
            <w:vAlign w:val="bottom"/>
          </w:tcPr>
          <w:p>
            <w:pPr>
              <w:spacing w:after="0"/>
              <w:rPr>
                <w:sz w:val="18"/>
                <w:szCs w:val="18"/>
                <w:color w:val="auto"/>
              </w:rPr>
            </w:pPr>
          </w:p>
        </w:tc>
        <w:tc>
          <w:tcPr>
            <w:tcW w:w="74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480" w:type="dxa"/>
            <w:vAlign w:val="bottom"/>
            <w:shd w:val="clear" w:color="auto" w:fill="CCEEFF"/>
          </w:tcPr>
          <w:p>
            <w:pPr>
              <w:ind w:left="420"/>
              <w:spacing w:after="0"/>
              <w:rPr>
                <w:sz w:val="20"/>
                <w:szCs w:val="20"/>
                <w:color w:val="auto"/>
              </w:rPr>
            </w:pPr>
            <w:r>
              <w:rPr>
                <w:rFonts w:ascii="Arial" w:cs="Arial" w:eastAsia="Arial" w:hAnsi="Arial"/>
                <w:sz w:val="18"/>
                <w:szCs w:val="18"/>
                <w:color w:val="auto"/>
              </w:rPr>
              <w:t>Cost of goods sold</w:t>
            </w:r>
          </w:p>
        </w:tc>
        <w:tc>
          <w:tcPr>
            <w:tcW w:w="6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42.5</w:t>
            </w:r>
          </w:p>
        </w:tc>
        <w:tc>
          <w:tcPr>
            <w:tcW w:w="620" w:type="dxa"/>
            <w:vAlign w:val="bottom"/>
            <w:shd w:val="clear" w:color="auto" w:fill="CCEEFF"/>
          </w:tcPr>
          <w:p>
            <w:pPr>
              <w:spacing w:after="0"/>
              <w:rPr>
                <w:sz w:val="18"/>
                <w:szCs w:val="18"/>
                <w:color w:val="auto"/>
              </w:rPr>
            </w:pPr>
          </w:p>
        </w:tc>
        <w:tc>
          <w:tcPr>
            <w:tcW w:w="7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47.9</w:t>
            </w:r>
          </w:p>
        </w:tc>
        <w:tc>
          <w:tcPr>
            <w:tcW w:w="640" w:type="dxa"/>
            <w:vAlign w:val="bottom"/>
            <w:shd w:val="clear" w:color="auto" w:fill="CCEEFF"/>
          </w:tcPr>
          <w:p>
            <w:pPr>
              <w:spacing w:after="0"/>
              <w:rPr>
                <w:sz w:val="18"/>
                <w:szCs w:val="18"/>
                <w:color w:val="auto"/>
              </w:rPr>
            </w:pPr>
          </w:p>
        </w:tc>
        <w:tc>
          <w:tcPr>
            <w:tcW w:w="6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45.2</w:t>
            </w:r>
          </w:p>
        </w:tc>
        <w:tc>
          <w:tcPr>
            <w:tcW w:w="640" w:type="dxa"/>
            <w:vAlign w:val="bottom"/>
            <w:shd w:val="clear" w:color="auto" w:fill="CCEEFF"/>
          </w:tcPr>
          <w:p>
            <w:pPr>
              <w:spacing w:after="0"/>
              <w:rPr>
                <w:sz w:val="18"/>
                <w:szCs w:val="18"/>
                <w:color w:val="auto"/>
              </w:rPr>
            </w:pPr>
          </w:p>
        </w:tc>
        <w:tc>
          <w:tcPr>
            <w:tcW w:w="94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48.2</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480" w:type="dxa"/>
            <w:vAlign w:val="bottom"/>
          </w:tcPr>
          <w:p>
            <w:pPr>
              <w:ind w:left="420"/>
              <w:spacing w:after="0"/>
              <w:rPr>
                <w:sz w:val="20"/>
                <w:szCs w:val="20"/>
                <w:color w:val="auto"/>
              </w:rPr>
            </w:pPr>
            <w:r>
              <w:rPr>
                <w:rFonts w:ascii="Arial" w:cs="Arial" w:eastAsia="Arial" w:hAnsi="Arial"/>
                <w:sz w:val="18"/>
                <w:szCs w:val="18"/>
                <w:color w:val="auto"/>
              </w:rPr>
              <w:t>Research and development</w:t>
            </w:r>
          </w:p>
        </w:tc>
        <w:tc>
          <w:tcPr>
            <w:tcW w:w="660" w:type="dxa"/>
            <w:vAlign w:val="bottom"/>
          </w:tcPr>
          <w:p>
            <w:pPr>
              <w:jc w:val="right"/>
              <w:spacing w:after="0"/>
              <w:rPr>
                <w:sz w:val="20"/>
                <w:szCs w:val="20"/>
                <w:color w:val="auto"/>
              </w:rPr>
            </w:pPr>
            <w:r>
              <w:rPr>
                <w:rFonts w:ascii="Arial" w:cs="Arial" w:eastAsia="Arial" w:hAnsi="Arial"/>
                <w:sz w:val="18"/>
                <w:szCs w:val="18"/>
                <w:color w:val="auto"/>
              </w:rPr>
              <w:t>26.5</w:t>
            </w:r>
          </w:p>
        </w:tc>
        <w:tc>
          <w:tcPr>
            <w:tcW w:w="620" w:type="dxa"/>
            <w:vAlign w:val="bottom"/>
          </w:tcPr>
          <w:p>
            <w:pPr>
              <w:spacing w:after="0"/>
              <w:rPr>
                <w:sz w:val="18"/>
                <w:szCs w:val="18"/>
                <w:color w:val="auto"/>
              </w:rPr>
            </w:pPr>
          </w:p>
        </w:tc>
        <w:tc>
          <w:tcPr>
            <w:tcW w:w="740" w:type="dxa"/>
            <w:vAlign w:val="bottom"/>
          </w:tcPr>
          <w:p>
            <w:pPr>
              <w:jc w:val="right"/>
              <w:spacing w:after="0"/>
              <w:rPr>
                <w:sz w:val="20"/>
                <w:szCs w:val="20"/>
                <w:color w:val="auto"/>
              </w:rPr>
            </w:pPr>
            <w:r>
              <w:rPr>
                <w:rFonts w:ascii="Arial" w:cs="Arial" w:eastAsia="Arial" w:hAnsi="Arial"/>
                <w:sz w:val="18"/>
                <w:szCs w:val="18"/>
                <w:color w:val="auto"/>
              </w:rPr>
              <w:t>29.6</w:t>
            </w:r>
          </w:p>
        </w:tc>
        <w:tc>
          <w:tcPr>
            <w:tcW w:w="640" w:type="dxa"/>
            <w:vAlign w:val="bottom"/>
          </w:tcPr>
          <w:p>
            <w:pPr>
              <w:spacing w:after="0"/>
              <w:rPr>
                <w:sz w:val="18"/>
                <w:szCs w:val="18"/>
                <w:color w:val="auto"/>
              </w:rPr>
            </w:pPr>
          </w:p>
        </w:tc>
        <w:tc>
          <w:tcPr>
            <w:tcW w:w="680" w:type="dxa"/>
            <w:vAlign w:val="bottom"/>
          </w:tcPr>
          <w:p>
            <w:pPr>
              <w:jc w:val="right"/>
              <w:spacing w:after="0"/>
              <w:rPr>
                <w:sz w:val="20"/>
                <w:szCs w:val="20"/>
                <w:color w:val="auto"/>
              </w:rPr>
            </w:pPr>
            <w:r>
              <w:rPr>
                <w:rFonts w:ascii="Arial" w:cs="Arial" w:eastAsia="Arial" w:hAnsi="Arial"/>
                <w:sz w:val="18"/>
                <w:szCs w:val="18"/>
                <w:color w:val="auto"/>
              </w:rPr>
              <w:t>31.3</w:t>
            </w:r>
          </w:p>
        </w:tc>
        <w:tc>
          <w:tcPr>
            <w:tcW w:w="640" w:type="dxa"/>
            <w:vAlign w:val="bottom"/>
          </w:tcPr>
          <w:p>
            <w:pPr>
              <w:spacing w:after="0"/>
              <w:rPr>
                <w:sz w:val="18"/>
                <w:szCs w:val="18"/>
                <w:color w:val="auto"/>
              </w:rPr>
            </w:pPr>
          </w:p>
        </w:tc>
        <w:tc>
          <w:tcPr>
            <w:tcW w:w="940" w:type="dxa"/>
            <w:vAlign w:val="bottom"/>
            <w:gridSpan w:val="2"/>
          </w:tcPr>
          <w:p>
            <w:pPr>
              <w:jc w:val="right"/>
              <w:ind w:right="200"/>
              <w:spacing w:after="0"/>
              <w:rPr>
                <w:sz w:val="20"/>
                <w:szCs w:val="20"/>
                <w:color w:val="auto"/>
              </w:rPr>
            </w:pPr>
            <w:r>
              <w:rPr>
                <w:rFonts w:ascii="Arial" w:cs="Arial" w:eastAsia="Arial" w:hAnsi="Arial"/>
                <w:sz w:val="18"/>
                <w:szCs w:val="18"/>
                <w:color w:val="auto"/>
              </w:rPr>
              <w:t>29.6</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480" w:type="dxa"/>
            <w:vAlign w:val="bottom"/>
            <w:shd w:val="clear" w:color="auto" w:fill="CCEEFF"/>
          </w:tcPr>
          <w:p>
            <w:pPr>
              <w:ind w:left="420"/>
              <w:spacing w:after="0"/>
              <w:rPr>
                <w:sz w:val="20"/>
                <w:szCs w:val="20"/>
                <w:color w:val="auto"/>
              </w:rPr>
            </w:pPr>
            <w:r>
              <w:rPr>
                <w:rFonts w:ascii="Arial" w:cs="Arial" w:eastAsia="Arial" w:hAnsi="Arial"/>
                <w:sz w:val="18"/>
                <w:szCs w:val="18"/>
                <w:color w:val="auto"/>
              </w:rPr>
              <w:t>Selling and marketing</w:t>
            </w:r>
          </w:p>
        </w:tc>
        <w:tc>
          <w:tcPr>
            <w:tcW w:w="6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4.4</w:t>
            </w:r>
          </w:p>
        </w:tc>
        <w:tc>
          <w:tcPr>
            <w:tcW w:w="620" w:type="dxa"/>
            <w:vAlign w:val="bottom"/>
            <w:shd w:val="clear" w:color="auto" w:fill="CCEEFF"/>
          </w:tcPr>
          <w:p>
            <w:pPr>
              <w:spacing w:after="0"/>
              <w:rPr>
                <w:sz w:val="18"/>
                <w:szCs w:val="18"/>
                <w:color w:val="auto"/>
              </w:rPr>
            </w:pPr>
          </w:p>
        </w:tc>
        <w:tc>
          <w:tcPr>
            <w:tcW w:w="7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5.2</w:t>
            </w:r>
          </w:p>
        </w:tc>
        <w:tc>
          <w:tcPr>
            <w:tcW w:w="640" w:type="dxa"/>
            <w:vAlign w:val="bottom"/>
            <w:shd w:val="clear" w:color="auto" w:fill="CCEEFF"/>
          </w:tcPr>
          <w:p>
            <w:pPr>
              <w:spacing w:after="0"/>
              <w:rPr>
                <w:sz w:val="18"/>
                <w:szCs w:val="18"/>
                <w:color w:val="auto"/>
              </w:rPr>
            </w:pPr>
          </w:p>
        </w:tc>
        <w:tc>
          <w:tcPr>
            <w:tcW w:w="6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5.2</w:t>
            </w:r>
          </w:p>
        </w:tc>
        <w:tc>
          <w:tcPr>
            <w:tcW w:w="640" w:type="dxa"/>
            <w:vAlign w:val="bottom"/>
            <w:shd w:val="clear" w:color="auto" w:fill="CCEEFF"/>
          </w:tcPr>
          <w:p>
            <w:pPr>
              <w:spacing w:after="0"/>
              <w:rPr>
                <w:sz w:val="18"/>
                <w:szCs w:val="18"/>
                <w:color w:val="auto"/>
              </w:rPr>
            </w:pPr>
          </w:p>
        </w:tc>
        <w:tc>
          <w:tcPr>
            <w:tcW w:w="94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5.3</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480" w:type="dxa"/>
            <w:vAlign w:val="bottom"/>
          </w:tcPr>
          <w:p>
            <w:pPr>
              <w:ind w:left="420"/>
              <w:spacing w:after="0"/>
              <w:rPr>
                <w:sz w:val="20"/>
                <w:szCs w:val="20"/>
                <w:color w:val="auto"/>
              </w:rPr>
            </w:pPr>
            <w:r>
              <w:rPr>
                <w:rFonts w:ascii="Arial" w:cs="Arial" w:eastAsia="Arial" w:hAnsi="Arial"/>
                <w:sz w:val="18"/>
                <w:szCs w:val="18"/>
                <w:color w:val="auto"/>
              </w:rPr>
              <w:t>General and administrative</w:t>
            </w:r>
          </w:p>
        </w:tc>
        <w:tc>
          <w:tcPr>
            <w:tcW w:w="660" w:type="dxa"/>
            <w:vAlign w:val="bottom"/>
          </w:tcPr>
          <w:p>
            <w:pPr>
              <w:jc w:val="right"/>
              <w:spacing w:after="0"/>
              <w:rPr>
                <w:sz w:val="20"/>
                <w:szCs w:val="20"/>
                <w:color w:val="auto"/>
              </w:rPr>
            </w:pPr>
            <w:r>
              <w:rPr>
                <w:rFonts w:ascii="Arial" w:cs="Arial" w:eastAsia="Arial" w:hAnsi="Arial"/>
                <w:sz w:val="18"/>
                <w:szCs w:val="18"/>
                <w:color w:val="auto"/>
              </w:rPr>
              <w:t>2.1</w:t>
            </w:r>
          </w:p>
        </w:tc>
        <w:tc>
          <w:tcPr>
            <w:tcW w:w="620" w:type="dxa"/>
            <w:vAlign w:val="bottom"/>
          </w:tcPr>
          <w:p>
            <w:pPr>
              <w:spacing w:after="0"/>
              <w:rPr>
                <w:sz w:val="18"/>
                <w:szCs w:val="18"/>
                <w:color w:val="auto"/>
              </w:rPr>
            </w:pPr>
          </w:p>
        </w:tc>
        <w:tc>
          <w:tcPr>
            <w:tcW w:w="740" w:type="dxa"/>
            <w:vAlign w:val="bottom"/>
          </w:tcPr>
          <w:p>
            <w:pPr>
              <w:jc w:val="right"/>
              <w:spacing w:after="0"/>
              <w:rPr>
                <w:sz w:val="20"/>
                <w:szCs w:val="20"/>
                <w:color w:val="auto"/>
              </w:rPr>
            </w:pPr>
            <w:r>
              <w:rPr>
                <w:rFonts w:ascii="Arial" w:cs="Arial" w:eastAsia="Arial" w:hAnsi="Arial"/>
                <w:sz w:val="18"/>
                <w:szCs w:val="18"/>
                <w:color w:val="auto"/>
              </w:rPr>
              <w:t>3.6</w:t>
            </w:r>
          </w:p>
        </w:tc>
        <w:tc>
          <w:tcPr>
            <w:tcW w:w="640" w:type="dxa"/>
            <w:vAlign w:val="bottom"/>
          </w:tcPr>
          <w:p>
            <w:pPr>
              <w:spacing w:after="0"/>
              <w:rPr>
                <w:sz w:val="18"/>
                <w:szCs w:val="18"/>
                <w:color w:val="auto"/>
              </w:rPr>
            </w:pPr>
          </w:p>
        </w:tc>
        <w:tc>
          <w:tcPr>
            <w:tcW w:w="680" w:type="dxa"/>
            <w:vAlign w:val="bottom"/>
          </w:tcPr>
          <w:p>
            <w:pPr>
              <w:jc w:val="right"/>
              <w:spacing w:after="0"/>
              <w:rPr>
                <w:sz w:val="20"/>
                <w:szCs w:val="20"/>
                <w:color w:val="auto"/>
              </w:rPr>
            </w:pPr>
            <w:r>
              <w:rPr>
                <w:rFonts w:ascii="Arial" w:cs="Arial" w:eastAsia="Arial" w:hAnsi="Arial"/>
                <w:sz w:val="18"/>
                <w:szCs w:val="18"/>
                <w:color w:val="auto"/>
              </w:rPr>
              <w:t>7.6</w:t>
            </w:r>
          </w:p>
        </w:tc>
        <w:tc>
          <w:tcPr>
            <w:tcW w:w="640" w:type="dxa"/>
            <w:vAlign w:val="bottom"/>
          </w:tcPr>
          <w:p>
            <w:pPr>
              <w:spacing w:after="0"/>
              <w:rPr>
                <w:sz w:val="18"/>
                <w:szCs w:val="18"/>
                <w:color w:val="auto"/>
              </w:rPr>
            </w:pPr>
          </w:p>
        </w:tc>
        <w:tc>
          <w:tcPr>
            <w:tcW w:w="940" w:type="dxa"/>
            <w:vAlign w:val="bottom"/>
            <w:gridSpan w:val="2"/>
          </w:tcPr>
          <w:p>
            <w:pPr>
              <w:jc w:val="right"/>
              <w:ind w:right="200"/>
              <w:spacing w:after="0"/>
              <w:rPr>
                <w:sz w:val="20"/>
                <w:szCs w:val="20"/>
                <w:color w:val="auto"/>
              </w:rPr>
            </w:pPr>
            <w:r>
              <w:rPr>
                <w:rFonts w:ascii="Arial" w:cs="Arial" w:eastAsia="Arial" w:hAnsi="Arial"/>
                <w:sz w:val="18"/>
                <w:szCs w:val="18"/>
                <w:color w:val="auto"/>
              </w:rPr>
              <w:t>3.0</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480" w:type="dxa"/>
            <w:vAlign w:val="bottom"/>
            <w:shd w:val="clear" w:color="auto" w:fill="CCEEFF"/>
          </w:tcPr>
          <w:p>
            <w:pPr>
              <w:ind w:left="420"/>
              <w:spacing w:after="0"/>
              <w:rPr>
                <w:sz w:val="20"/>
                <w:szCs w:val="20"/>
                <w:color w:val="auto"/>
              </w:rPr>
            </w:pPr>
            <w:r>
              <w:rPr>
                <w:rFonts w:ascii="Arial" w:cs="Arial" w:eastAsia="Arial" w:hAnsi="Arial"/>
                <w:sz w:val="18"/>
                <w:szCs w:val="18"/>
                <w:color w:val="auto"/>
              </w:rPr>
              <w:t>Amortization of acquired intangible assets</w:t>
            </w:r>
          </w:p>
        </w:tc>
        <w:tc>
          <w:tcPr>
            <w:tcW w:w="66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3.3</w:t>
            </w:r>
          </w:p>
        </w:tc>
        <w:tc>
          <w:tcPr>
            <w:tcW w:w="620" w:type="dxa"/>
            <w:vAlign w:val="bottom"/>
            <w:shd w:val="clear" w:color="auto" w:fill="CCEEFF"/>
          </w:tcPr>
          <w:p>
            <w:pPr>
              <w:spacing w:after="0"/>
              <w:rPr>
                <w:sz w:val="18"/>
                <w:szCs w:val="18"/>
                <w:color w:val="auto"/>
              </w:rPr>
            </w:pPr>
          </w:p>
        </w:tc>
        <w:tc>
          <w:tcPr>
            <w:tcW w:w="74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4.4</w:t>
            </w:r>
          </w:p>
        </w:tc>
        <w:tc>
          <w:tcPr>
            <w:tcW w:w="640" w:type="dxa"/>
            <w:vAlign w:val="bottom"/>
            <w:shd w:val="clear" w:color="auto" w:fill="CCEEFF"/>
          </w:tcPr>
          <w:p>
            <w:pPr>
              <w:spacing w:after="0"/>
              <w:rPr>
                <w:sz w:val="18"/>
                <w:szCs w:val="18"/>
                <w:color w:val="auto"/>
              </w:rPr>
            </w:pPr>
          </w:p>
        </w:tc>
        <w:tc>
          <w:tcPr>
            <w:tcW w:w="68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4.2</w:t>
            </w:r>
          </w:p>
        </w:tc>
        <w:tc>
          <w:tcPr>
            <w:tcW w:w="640" w:type="dxa"/>
            <w:vAlign w:val="bottom"/>
            <w:shd w:val="clear" w:color="auto" w:fill="CCEEFF"/>
          </w:tcPr>
          <w:p>
            <w:pPr>
              <w:spacing w:after="0"/>
              <w:rPr>
                <w:sz w:val="18"/>
                <w:szCs w:val="18"/>
                <w:color w:val="auto"/>
              </w:rPr>
            </w:pPr>
          </w:p>
        </w:tc>
        <w:tc>
          <w:tcPr>
            <w:tcW w:w="74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4.3</w:t>
            </w:r>
          </w:p>
        </w:tc>
        <w:tc>
          <w:tcPr>
            <w:tcW w:w="2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30"/>
        </w:trPr>
        <w:tc>
          <w:tcPr>
            <w:tcW w:w="20" w:type="dxa"/>
            <w:vAlign w:val="bottom"/>
          </w:tcPr>
          <w:p>
            <w:pPr>
              <w:spacing w:after="0"/>
              <w:rPr>
                <w:sz w:val="20"/>
                <w:szCs w:val="20"/>
                <w:color w:val="auto"/>
              </w:rPr>
            </w:pPr>
          </w:p>
        </w:tc>
        <w:tc>
          <w:tcPr>
            <w:tcW w:w="6480" w:type="dxa"/>
            <w:vAlign w:val="bottom"/>
          </w:tcPr>
          <w:p>
            <w:pPr>
              <w:ind w:left="860"/>
              <w:spacing w:after="0"/>
              <w:rPr>
                <w:sz w:val="20"/>
                <w:szCs w:val="20"/>
                <w:color w:val="auto"/>
              </w:rPr>
            </w:pPr>
            <w:r>
              <w:rPr>
                <w:rFonts w:ascii="Arial" w:cs="Arial" w:eastAsia="Arial" w:hAnsi="Arial"/>
                <w:sz w:val="18"/>
                <w:szCs w:val="18"/>
                <w:color w:val="auto"/>
              </w:rPr>
              <w:t>Total operating costs and expenses</w:t>
            </w:r>
          </w:p>
        </w:tc>
        <w:tc>
          <w:tcPr>
            <w:tcW w:w="66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78.8</w:t>
            </w:r>
          </w:p>
        </w:tc>
        <w:tc>
          <w:tcPr>
            <w:tcW w:w="620" w:type="dxa"/>
            <w:vAlign w:val="bottom"/>
          </w:tcPr>
          <w:p>
            <w:pPr>
              <w:spacing w:after="0"/>
              <w:rPr>
                <w:sz w:val="20"/>
                <w:szCs w:val="20"/>
                <w:color w:val="auto"/>
              </w:rPr>
            </w:pPr>
          </w:p>
        </w:tc>
        <w:tc>
          <w:tcPr>
            <w:tcW w:w="74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90.7</w:t>
            </w:r>
          </w:p>
        </w:tc>
        <w:tc>
          <w:tcPr>
            <w:tcW w:w="640" w:type="dxa"/>
            <w:vAlign w:val="bottom"/>
          </w:tcPr>
          <w:p>
            <w:pPr>
              <w:spacing w:after="0"/>
              <w:rPr>
                <w:sz w:val="20"/>
                <w:szCs w:val="20"/>
                <w:color w:val="auto"/>
              </w:rPr>
            </w:pPr>
          </w:p>
        </w:tc>
        <w:tc>
          <w:tcPr>
            <w:tcW w:w="68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93.5</w:t>
            </w:r>
          </w:p>
        </w:tc>
        <w:tc>
          <w:tcPr>
            <w:tcW w:w="640" w:type="dxa"/>
            <w:vAlign w:val="bottom"/>
          </w:tcPr>
          <w:p>
            <w:pPr>
              <w:spacing w:after="0"/>
              <w:rPr>
                <w:sz w:val="20"/>
                <w:szCs w:val="20"/>
                <w:color w:val="auto"/>
              </w:rPr>
            </w:pPr>
          </w:p>
        </w:tc>
        <w:tc>
          <w:tcPr>
            <w:tcW w:w="74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90.4</w:t>
            </w:r>
          </w:p>
        </w:tc>
        <w:tc>
          <w:tcPr>
            <w:tcW w:w="20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480" w:type="dxa"/>
            <w:vAlign w:val="bottom"/>
            <w:shd w:val="clear" w:color="auto" w:fill="CCEEFF"/>
          </w:tcPr>
          <w:p>
            <w:pPr>
              <w:spacing w:after="0"/>
              <w:rPr>
                <w:sz w:val="20"/>
                <w:szCs w:val="20"/>
                <w:color w:val="auto"/>
              </w:rPr>
            </w:pPr>
            <w:r>
              <w:rPr>
                <w:rFonts w:ascii="Arial" w:cs="Arial" w:eastAsia="Arial" w:hAnsi="Arial"/>
                <w:sz w:val="18"/>
                <w:szCs w:val="18"/>
                <w:color w:val="auto"/>
              </w:rPr>
              <w:t>Operating income</w:t>
            </w:r>
          </w:p>
        </w:tc>
        <w:tc>
          <w:tcPr>
            <w:tcW w:w="6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21.2</w:t>
            </w:r>
          </w:p>
        </w:tc>
        <w:tc>
          <w:tcPr>
            <w:tcW w:w="620" w:type="dxa"/>
            <w:vAlign w:val="bottom"/>
            <w:shd w:val="clear" w:color="auto" w:fill="CCEEFF"/>
          </w:tcPr>
          <w:p>
            <w:pPr>
              <w:spacing w:after="0"/>
              <w:rPr>
                <w:sz w:val="18"/>
                <w:szCs w:val="18"/>
                <w:color w:val="auto"/>
              </w:rPr>
            </w:pPr>
          </w:p>
        </w:tc>
        <w:tc>
          <w:tcPr>
            <w:tcW w:w="7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9.3</w:t>
            </w:r>
          </w:p>
        </w:tc>
        <w:tc>
          <w:tcPr>
            <w:tcW w:w="640" w:type="dxa"/>
            <w:vAlign w:val="bottom"/>
            <w:shd w:val="clear" w:color="auto" w:fill="CCEEFF"/>
          </w:tcPr>
          <w:p>
            <w:pPr>
              <w:spacing w:after="0"/>
              <w:rPr>
                <w:sz w:val="18"/>
                <w:szCs w:val="18"/>
                <w:color w:val="auto"/>
              </w:rPr>
            </w:pPr>
          </w:p>
        </w:tc>
        <w:tc>
          <w:tcPr>
            <w:tcW w:w="6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6.5</w:t>
            </w:r>
          </w:p>
        </w:tc>
        <w:tc>
          <w:tcPr>
            <w:tcW w:w="640" w:type="dxa"/>
            <w:vAlign w:val="bottom"/>
            <w:shd w:val="clear" w:color="auto" w:fill="CCEEFF"/>
          </w:tcPr>
          <w:p>
            <w:pPr>
              <w:spacing w:after="0"/>
              <w:rPr>
                <w:sz w:val="18"/>
                <w:szCs w:val="18"/>
                <w:color w:val="auto"/>
              </w:rPr>
            </w:pPr>
          </w:p>
        </w:tc>
        <w:tc>
          <w:tcPr>
            <w:tcW w:w="94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9.6</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480" w:type="dxa"/>
            <w:vAlign w:val="bottom"/>
          </w:tcPr>
          <w:p>
            <w:pPr>
              <w:spacing w:after="0"/>
              <w:rPr>
                <w:sz w:val="20"/>
                <w:szCs w:val="20"/>
                <w:color w:val="auto"/>
              </w:rPr>
            </w:pPr>
            <w:r>
              <w:rPr>
                <w:rFonts w:ascii="Arial" w:cs="Arial" w:eastAsia="Arial" w:hAnsi="Arial"/>
                <w:sz w:val="18"/>
                <w:szCs w:val="18"/>
                <w:color w:val="auto"/>
              </w:rPr>
              <w:t>Interest and other income, net</w:t>
            </w:r>
          </w:p>
        </w:tc>
        <w:tc>
          <w:tcPr>
            <w:tcW w:w="1280" w:type="dxa"/>
            <w:vAlign w:val="bottom"/>
            <w:gridSpan w:val="2"/>
          </w:tcPr>
          <w:p>
            <w:pPr>
              <w:jc w:val="right"/>
              <w:ind w:right="560"/>
              <w:spacing w:after="0"/>
              <w:rPr>
                <w:sz w:val="20"/>
                <w:szCs w:val="20"/>
                <w:color w:val="auto"/>
              </w:rPr>
            </w:pPr>
            <w:r>
              <w:rPr>
                <w:rFonts w:ascii="Arial" w:cs="Arial" w:eastAsia="Arial" w:hAnsi="Arial"/>
                <w:sz w:val="18"/>
                <w:szCs w:val="18"/>
                <w:color w:val="auto"/>
              </w:rPr>
              <w:t>(0.2)</w:t>
            </w:r>
          </w:p>
        </w:tc>
        <w:tc>
          <w:tcPr>
            <w:tcW w:w="740" w:type="dxa"/>
            <w:vAlign w:val="bottom"/>
          </w:tcPr>
          <w:p>
            <w:pPr>
              <w:jc w:val="right"/>
              <w:spacing w:after="0"/>
              <w:rPr>
                <w:sz w:val="20"/>
                <w:szCs w:val="20"/>
                <w:color w:val="auto"/>
              </w:rPr>
            </w:pPr>
            <w:r>
              <w:rPr>
                <w:rFonts w:ascii="Arial" w:cs="Arial" w:eastAsia="Arial" w:hAnsi="Arial"/>
                <w:sz w:val="18"/>
                <w:szCs w:val="18"/>
                <w:color w:val="auto"/>
              </w:rPr>
              <w:t>1.9</w:t>
            </w:r>
          </w:p>
        </w:tc>
        <w:tc>
          <w:tcPr>
            <w:tcW w:w="640" w:type="dxa"/>
            <w:vAlign w:val="bottom"/>
          </w:tcPr>
          <w:p>
            <w:pPr>
              <w:spacing w:after="0"/>
              <w:rPr>
                <w:sz w:val="18"/>
                <w:szCs w:val="18"/>
                <w:color w:val="auto"/>
              </w:rPr>
            </w:pPr>
          </w:p>
        </w:tc>
        <w:tc>
          <w:tcPr>
            <w:tcW w:w="680" w:type="dxa"/>
            <w:vAlign w:val="bottom"/>
          </w:tcPr>
          <w:p>
            <w:pPr>
              <w:jc w:val="right"/>
              <w:spacing w:after="0"/>
              <w:rPr>
                <w:sz w:val="20"/>
                <w:szCs w:val="20"/>
                <w:color w:val="auto"/>
              </w:rPr>
            </w:pPr>
            <w:r>
              <w:rPr>
                <w:rFonts w:ascii="Arial" w:cs="Arial" w:eastAsia="Arial" w:hAnsi="Arial"/>
                <w:sz w:val="18"/>
                <w:szCs w:val="18"/>
                <w:color w:val="auto"/>
              </w:rPr>
              <w:t>0.0</w:t>
            </w:r>
          </w:p>
        </w:tc>
        <w:tc>
          <w:tcPr>
            <w:tcW w:w="640" w:type="dxa"/>
            <w:vAlign w:val="bottom"/>
          </w:tcPr>
          <w:p>
            <w:pPr>
              <w:spacing w:after="0"/>
              <w:rPr>
                <w:sz w:val="18"/>
                <w:szCs w:val="18"/>
                <w:color w:val="auto"/>
              </w:rPr>
            </w:pPr>
          </w:p>
        </w:tc>
        <w:tc>
          <w:tcPr>
            <w:tcW w:w="940" w:type="dxa"/>
            <w:vAlign w:val="bottom"/>
            <w:gridSpan w:val="2"/>
          </w:tcPr>
          <w:p>
            <w:pPr>
              <w:jc w:val="right"/>
              <w:ind w:right="200"/>
              <w:spacing w:after="0"/>
              <w:rPr>
                <w:sz w:val="20"/>
                <w:szCs w:val="20"/>
                <w:color w:val="auto"/>
              </w:rPr>
            </w:pPr>
            <w:r>
              <w:rPr>
                <w:rFonts w:ascii="Arial" w:cs="Arial" w:eastAsia="Arial" w:hAnsi="Arial"/>
                <w:sz w:val="18"/>
                <w:szCs w:val="18"/>
                <w:color w:val="auto"/>
              </w:rPr>
              <w:t>0.9</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480" w:type="dxa"/>
            <w:vAlign w:val="bottom"/>
            <w:shd w:val="clear" w:color="auto" w:fill="CCEEFF"/>
          </w:tcPr>
          <w:p>
            <w:pPr>
              <w:spacing w:after="0"/>
              <w:rPr>
                <w:sz w:val="20"/>
                <w:szCs w:val="20"/>
                <w:color w:val="auto"/>
              </w:rPr>
            </w:pPr>
            <w:r>
              <w:rPr>
                <w:rFonts w:ascii="Arial" w:cs="Arial" w:eastAsia="Arial" w:hAnsi="Arial"/>
                <w:sz w:val="18"/>
                <w:szCs w:val="18"/>
                <w:color w:val="auto"/>
              </w:rPr>
              <w:t>Interest expense</w:t>
            </w:r>
          </w:p>
        </w:tc>
        <w:tc>
          <w:tcPr>
            <w:tcW w:w="6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0.0</w:t>
            </w:r>
          </w:p>
        </w:tc>
        <w:tc>
          <w:tcPr>
            <w:tcW w:w="620" w:type="dxa"/>
            <w:vAlign w:val="bottom"/>
            <w:shd w:val="clear" w:color="auto" w:fill="CCEEFF"/>
          </w:tcPr>
          <w:p>
            <w:pPr>
              <w:spacing w:after="0"/>
              <w:rPr>
                <w:sz w:val="18"/>
                <w:szCs w:val="18"/>
                <w:color w:val="auto"/>
              </w:rPr>
            </w:pPr>
          </w:p>
        </w:tc>
        <w:tc>
          <w:tcPr>
            <w:tcW w:w="1380" w:type="dxa"/>
            <w:vAlign w:val="bottom"/>
            <w:gridSpan w:val="2"/>
            <w:shd w:val="clear" w:color="auto" w:fill="CCEEFF"/>
          </w:tcPr>
          <w:p>
            <w:pPr>
              <w:jc w:val="right"/>
              <w:ind w:right="580"/>
              <w:spacing w:after="0"/>
              <w:rPr>
                <w:sz w:val="20"/>
                <w:szCs w:val="20"/>
                <w:color w:val="auto"/>
              </w:rPr>
            </w:pPr>
            <w:r>
              <w:rPr>
                <w:rFonts w:ascii="Arial" w:cs="Arial" w:eastAsia="Arial" w:hAnsi="Arial"/>
                <w:sz w:val="18"/>
                <w:szCs w:val="18"/>
                <w:color w:val="auto"/>
              </w:rPr>
              <w:t>(0.5)</w:t>
            </w:r>
          </w:p>
        </w:tc>
        <w:tc>
          <w:tcPr>
            <w:tcW w:w="1320" w:type="dxa"/>
            <w:vAlign w:val="bottom"/>
            <w:gridSpan w:val="2"/>
            <w:shd w:val="clear" w:color="auto" w:fill="CCEEFF"/>
          </w:tcPr>
          <w:p>
            <w:pPr>
              <w:jc w:val="right"/>
              <w:ind w:right="580"/>
              <w:spacing w:after="0"/>
              <w:rPr>
                <w:sz w:val="20"/>
                <w:szCs w:val="20"/>
                <w:color w:val="auto"/>
              </w:rPr>
            </w:pPr>
            <w:r>
              <w:rPr>
                <w:rFonts w:ascii="Arial" w:cs="Arial" w:eastAsia="Arial" w:hAnsi="Arial"/>
                <w:sz w:val="18"/>
                <w:szCs w:val="18"/>
                <w:color w:val="auto"/>
              </w:rPr>
              <w:t>(0.1)</w:t>
            </w:r>
          </w:p>
        </w:tc>
        <w:tc>
          <w:tcPr>
            <w:tcW w:w="940" w:type="dxa"/>
            <w:vAlign w:val="bottom"/>
            <w:gridSpan w:val="2"/>
            <w:shd w:val="clear" w:color="auto" w:fill="CCEEFF"/>
          </w:tcPr>
          <w:p>
            <w:pPr>
              <w:jc w:val="right"/>
              <w:ind w:right="140"/>
              <w:spacing w:after="0"/>
              <w:rPr>
                <w:sz w:val="20"/>
                <w:szCs w:val="20"/>
                <w:color w:val="auto"/>
              </w:rPr>
            </w:pPr>
            <w:r>
              <w:rPr>
                <w:rFonts w:ascii="Arial" w:cs="Arial" w:eastAsia="Arial" w:hAnsi="Arial"/>
                <w:sz w:val="18"/>
                <w:szCs w:val="18"/>
                <w:color w:val="auto"/>
              </w:rPr>
              <w:t>(0.7)</w:t>
            </w:r>
          </w:p>
        </w:tc>
        <w:tc>
          <w:tcPr>
            <w:tcW w:w="0" w:type="dxa"/>
            <w:vAlign w:val="bottom"/>
          </w:tcPr>
          <w:p>
            <w:pPr>
              <w:spacing w:after="0"/>
              <w:rPr>
                <w:sz w:val="1"/>
                <w:szCs w:val="1"/>
                <w:color w:val="auto"/>
              </w:rPr>
            </w:pPr>
          </w:p>
        </w:tc>
      </w:tr>
      <w:tr>
        <w:trPr>
          <w:trHeight w:val="221"/>
        </w:trPr>
        <w:tc>
          <w:tcPr>
            <w:tcW w:w="6500" w:type="dxa"/>
            <w:vAlign w:val="bottom"/>
            <w:gridSpan w:val="2"/>
          </w:tcPr>
          <w:p>
            <w:pPr>
              <w:spacing w:after="0"/>
              <w:rPr>
                <w:sz w:val="20"/>
                <w:szCs w:val="20"/>
                <w:color w:val="auto"/>
              </w:rPr>
            </w:pPr>
            <w:r>
              <w:rPr>
                <w:rFonts w:ascii="Arial" w:cs="Arial" w:eastAsia="Arial" w:hAnsi="Arial"/>
                <w:sz w:val="18"/>
                <w:szCs w:val="18"/>
                <w:color w:val="auto"/>
              </w:rPr>
              <w:t>Income before income taxes</w:t>
            </w:r>
          </w:p>
        </w:tc>
        <w:tc>
          <w:tcPr>
            <w:tcW w:w="66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rPr>
              <w:t>21.0</w:t>
            </w:r>
          </w:p>
        </w:tc>
        <w:tc>
          <w:tcPr>
            <w:tcW w:w="620" w:type="dxa"/>
            <w:vAlign w:val="bottom"/>
          </w:tcPr>
          <w:p>
            <w:pPr>
              <w:spacing w:after="0"/>
              <w:rPr>
                <w:sz w:val="19"/>
                <w:szCs w:val="19"/>
                <w:color w:val="auto"/>
              </w:rPr>
            </w:pPr>
          </w:p>
        </w:tc>
        <w:tc>
          <w:tcPr>
            <w:tcW w:w="74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rPr>
              <w:t>10.7</w:t>
            </w:r>
          </w:p>
        </w:tc>
        <w:tc>
          <w:tcPr>
            <w:tcW w:w="640" w:type="dxa"/>
            <w:vAlign w:val="bottom"/>
          </w:tcPr>
          <w:p>
            <w:pPr>
              <w:spacing w:after="0"/>
              <w:rPr>
                <w:sz w:val="19"/>
                <w:szCs w:val="19"/>
                <w:color w:val="auto"/>
              </w:rPr>
            </w:pPr>
          </w:p>
        </w:tc>
        <w:tc>
          <w:tcPr>
            <w:tcW w:w="68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rPr>
              <w:t>6.5</w:t>
            </w:r>
          </w:p>
        </w:tc>
        <w:tc>
          <w:tcPr>
            <w:tcW w:w="640" w:type="dxa"/>
            <w:vAlign w:val="bottom"/>
          </w:tcPr>
          <w:p>
            <w:pPr>
              <w:spacing w:after="0"/>
              <w:rPr>
                <w:sz w:val="19"/>
                <w:szCs w:val="19"/>
                <w:color w:val="auto"/>
              </w:rPr>
            </w:pPr>
          </w:p>
        </w:tc>
        <w:tc>
          <w:tcPr>
            <w:tcW w:w="74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rPr>
              <w:t>9.8</w:t>
            </w:r>
          </w:p>
        </w:tc>
        <w:tc>
          <w:tcPr>
            <w:tcW w:w="2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18"/>
        </w:trPr>
        <w:tc>
          <w:tcPr>
            <w:tcW w:w="20" w:type="dxa"/>
            <w:vAlign w:val="bottom"/>
          </w:tcPr>
          <w:p>
            <w:pPr>
              <w:spacing w:after="0"/>
              <w:rPr>
                <w:sz w:val="18"/>
                <w:szCs w:val="18"/>
                <w:color w:val="auto"/>
              </w:rPr>
            </w:pPr>
          </w:p>
        </w:tc>
        <w:tc>
          <w:tcPr>
            <w:tcW w:w="6480" w:type="dxa"/>
            <w:vAlign w:val="bottom"/>
            <w:shd w:val="clear" w:color="auto" w:fill="CCEEFF"/>
          </w:tcPr>
          <w:p>
            <w:pPr>
              <w:spacing w:after="0"/>
              <w:rPr>
                <w:sz w:val="20"/>
                <w:szCs w:val="20"/>
                <w:color w:val="auto"/>
              </w:rPr>
            </w:pPr>
            <w:r>
              <w:rPr>
                <w:rFonts w:ascii="Arial" w:cs="Arial" w:eastAsia="Arial" w:hAnsi="Arial"/>
                <w:sz w:val="18"/>
                <w:szCs w:val="18"/>
                <w:color w:val="auto"/>
              </w:rPr>
              <w:t>Provision for income taxes</w:t>
            </w:r>
          </w:p>
        </w:tc>
        <w:tc>
          <w:tcPr>
            <w:tcW w:w="1280" w:type="dxa"/>
            <w:vAlign w:val="bottom"/>
            <w:gridSpan w:val="2"/>
            <w:shd w:val="clear" w:color="auto" w:fill="CCEEFF"/>
          </w:tcPr>
          <w:p>
            <w:pPr>
              <w:jc w:val="right"/>
              <w:ind w:right="560"/>
              <w:spacing w:after="0"/>
              <w:rPr>
                <w:sz w:val="20"/>
                <w:szCs w:val="20"/>
                <w:color w:val="auto"/>
              </w:rPr>
            </w:pPr>
            <w:r>
              <w:rPr>
                <w:rFonts w:ascii="Arial" w:cs="Arial" w:eastAsia="Arial" w:hAnsi="Arial"/>
                <w:sz w:val="18"/>
                <w:szCs w:val="18"/>
                <w:color w:val="auto"/>
              </w:rPr>
              <w:t>(4.1)</w:t>
            </w:r>
          </w:p>
        </w:tc>
        <w:tc>
          <w:tcPr>
            <w:tcW w:w="7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1.7</w:t>
            </w:r>
          </w:p>
        </w:tc>
        <w:tc>
          <w:tcPr>
            <w:tcW w:w="640" w:type="dxa"/>
            <w:vAlign w:val="bottom"/>
            <w:shd w:val="clear" w:color="auto" w:fill="CCEEFF"/>
          </w:tcPr>
          <w:p>
            <w:pPr>
              <w:spacing w:after="0"/>
              <w:rPr>
                <w:sz w:val="18"/>
                <w:szCs w:val="18"/>
                <w:color w:val="auto"/>
              </w:rPr>
            </w:pPr>
          </w:p>
        </w:tc>
        <w:tc>
          <w:tcPr>
            <w:tcW w:w="1320" w:type="dxa"/>
            <w:vAlign w:val="bottom"/>
            <w:gridSpan w:val="2"/>
            <w:shd w:val="clear" w:color="auto" w:fill="CCEEFF"/>
          </w:tcPr>
          <w:p>
            <w:pPr>
              <w:jc w:val="right"/>
              <w:ind w:right="580"/>
              <w:spacing w:after="0"/>
              <w:rPr>
                <w:sz w:val="20"/>
                <w:szCs w:val="20"/>
                <w:color w:val="auto"/>
              </w:rPr>
            </w:pPr>
            <w:r>
              <w:rPr>
                <w:rFonts w:ascii="Arial" w:cs="Arial" w:eastAsia="Arial" w:hAnsi="Arial"/>
                <w:sz w:val="18"/>
                <w:szCs w:val="18"/>
                <w:color w:val="auto"/>
              </w:rPr>
              <w:t>(1.1)</w:t>
            </w:r>
          </w:p>
        </w:tc>
        <w:tc>
          <w:tcPr>
            <w:tcW w:w="94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1.1</w:t>
            </w:r>
          </w:p>
        </w:tc>
        <w:tc>
          <w:tcPr>
            <w:tcW w:w="0" w:type="dxa"/>
            <w:vAlign w:val="bottom"/>
          </w:tcPr>
          <w:p>
            <w:pPr>
              <w:spacing w:after="0"/>
              <w:rPr>
                <w:sz w:val="1"/>
                <w:szCs w:val="1"/>
                <w:color w:val="auto"/>
              </w:rPr>
            </w:pPr>
          </w:p>
        </w:tc>
      </w:tr>
      <w:tr>
        <w:trPr>
          <w:trHeight w:val="20"/>
        </w:trPr>
        <w:tc>
          <w:tcPr>
            <w:tcW w:w="6500" w:type="dxa"/>
            <w:vAlign w:val="bottom"/>
            <w:gridSpan w:val="2"/>
            <w:vMerge w:val="restart"/>
          </w:tcPr>
          <w:p>
            <w:pPr>
              <w:spacing w:after="0"/>
              <w:rPr>
                <w:sz w:val="20"/>
                <w:szCs w:val="20"/>
                <w:color w:val="auto"/>
              </w:rPr>
            </w:pPr>
            <w:r>
              <w:rPr>
                <w:rFonts w:ascii="Arial" w:cs="Arial" w:eastAsia="Arial" w:hAnsi="Arial"/>
                <w:sz w:val="18"/>
                <w:szCs w:val="18"/>
                <w:color w:val="auto"/>
              </w:rPr>
              <w:t>Net income</w:t>
            </w:r>
          </w:p>
        </w:tc>
        <w:tc>
          <w:tcPr>
            <w:tcW w:w="660" w:type="dxa"/>
            <w:vAlign w:val="bottom"/>
            <w:shd w:val="clear" w:color="auto" w:fill="000000"/>
          </w:tcPr>
          <w:p>
            <w:pPr>
              <w:spacing w:after="0" w:line="20" w:lineRule="exact"/>
              <w:rPr>
                <w:sz w:val="1"/>
                <w:szCs w:val="1"/>
                <w:color w:val="auto"/>
              </w:rPr>
            </w:pPr>
          </w:p>
        </w:tc>
        <w:tc>
          <w:tcPr>
            <w:tcW w:w="620" w:type="dxa"/>
            <w:vAlign w:val="bottom"/>
          </w:tcPr>
          <w:p>
            <w:pPr>
              <w:spacing w:after="0" w:line="20" w:lineRule="exact"/>
              <w:rPr>
                <w:sz w:val="1"/>
                <w:szCs w:val="1"/>
                <w:color w:val="auto"/>
              </w:rPr>
            </w:pPr>
          </w:p>
        </w:tc>
        <w:tc>
          <w:tcPr>
            <w:tcW w:w="740" w:type="dxa"/>
            <w:vAlign w:val="bottom"/>
            <w:shd w:val="clear" w:color="auto" w:fill="000000"/>
          </w:tcPr>
          <w:p>
            <w:pPr>
              <w:spacing w:after="0" w:line="20" w:lineRule="exact"/>
              <w:rPr>
                <w:sz w:val="1"/>
                <w:szCs w:val="1"/>
                <w:color w:val="auto"/>
              </w:rPr>
            </w:pPr>
          </w:p>
        </w:tc>
        <w:tc>
          <w:tcPr>
            <w:tcW w:w="640" w:type="dxa"/>
            <w:vAlign w:val="bottom"/>
          </w:tcPr>
          <w:p>
            <w:pPr>
              <w:spacing w:after="0" w:line="20" w:lineRule="exact"/>
              <w:rPr>
                <w:sz w:val="1"/>
                <w:szCs w:val="1"/>
                <w:color w:val="auto"/>
              </w:rPr>
            </w:pPr>
          </w:p>
        </w:tc>
        <w:tc>
          <w:tcPr>
            <w:tcW w:w="680" w:type="dxa"/>
            <w:vAlign w:val="bottom"/>
            <w:shd w:val="clear" w:color="auto" w:fill="000000"/>
          </w:tcPr>
          <w:p>
            <w:pPr>
              <w:spacing w:after="0" w:line="20" w:lineRule="exact"/>
              <w:rPr>
                <w:sz w:val="1"/>
                <w:szCs w:val="1"/>
                <w:color w:val="auto"/>
              </w:rPr>
            </w:pPr>
          </w:p>
        </w:tc>
        <w:tc>
          <w:tcPr>
            <w:tcW w:w="640" w:type="dxa"/>
            <w:vAlign w:val="bottom"/>
          </w:tcPr>
          <w:p>
            <w:pPr>
              <w:spacing w:after="0" w:line="20" w:lineRule="exact"/>
              <w:rPr>
                <w:sz w:val="1"/>
                <w:szCs w:val="1"/>
                <w:color w:val="auto"/>
              </w:rPr>
            </w:pPr>
          </w:p>
        </w:tc>
        <w:tc>
          <w:tcPr>
            <w:tcW w:w="740" w:type="dxa"/>
            <w:vAlign w:val="bottom"/>
            <w:shd w:val="clear" w:color="auto" w:fill="000000"/>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22"/>
        </w:trPr>
        <w:tc>
          <w:tcPr>
            <w:tcW w:w="6500" w:type="dxa"/>
            <w:vAlign w:val="bottom"/>
            <w:gridSpan w:val="2"/>
            <w:vMerge w:val="continue"/>
          </w:tcPr>
          <w:p>
            <w:pPr>
              <w:spacing w:after="0"/>
              <w:rPr>
                <w:sz w:val="19"/>
                <w:szCs w:val="19"/>
                <w:color w:val="auto"/>
              </w:rPr>
            </w:pPr>
          </w:p>
        </w:tc>
        <w:tc>
          <w:tcPr>
            <w:tcW w:w="1280" w:type="dxa"/>
            <w:vAlign w:val="bottom"/>
            <w:gridSpan w:val="2"/>
          </w:tcPr>
          <w:p>
            <w:pPr>
              <w:jc w:val="right"/>
              <w:ind w:right="460"/>
              <w:spacing w:after="0"/>
              <w:rPr>
                <w:sz w:val="20"/>
                <w:szCs w:val="20"/>
                <w:color w:val="auto"/>
              </w:rPr>
            </w:pPr>
            <w:r>
              <w:rPr>
                <w:rFonts w:ascii="Arial" w:cs="Arial" w:eastAsia="Arial" w:hAnsi="Arial"/>
                <w:sz w:val="18"/>
                <w:szCs w:val="18"/>
                <w:color w:val="auto"/>
              </w:rPr>
              <w:t>25.1%</w:t>
            </w:r>
          </w:p>
        </w:tc>
        <w:tc>
          <w:tcPr>
            <w:tcW w:w="1380" w:type="dxa"/>
            <w:vAlign w:val="bottom"/>
            <w:gridSpan w:val="2"/>
          </w:tcPr>
          <w:p>
            <w:pPr>
              <w:jc w:val="right"/>
              <w:ind w:right="480"/>
              <w:spacing w:after="0"/>
              <w:rPr>
                <w:sz w:val="20"/>
                <w:szCs w:val="20"/>
                <w:color w:val="auto"/>
              </w:rPr>
            </w:pPr>
            <w:r>
              <w:rPr>
                <w:rFonts w:ascii="Arial" w:cs="Arial" w:eastAsia="Arial" w:hAnsi="Arial"/>
                <w:sz w:val="18"/>
                <w:szCs w:val="18"/>
                <w:color w:val="auto"/>
              </w:rPr>
              <w:t>9.0%</w:t>
            </w:r>
          </w:p>
        </w:tc>
        <w:tc>
          <w:tcPr>
            <w:tcW w:w="1320" w:type="dxa"/>
            <w:vAlign w:val="bottom"/>
            <w:gridSpan w:val="2"/>
          </w:tcPr>
          <w:p>
            <w:pPr>
              <w:jc w:val="right"/>
              <w:ind w:right="500"/>
              <w:spacing w:after="0"/>
              <w:rPr>
                <w:sz w:val="20"/>
                <w:szCs w:val="20"/>
                <w:color w:val="auto"/>
              </w:rPr>
            </w:pPr>
            <w:r>
              <w:rPr>
                <w:rFonts w:ascii="Arial" w:cs="Arial" w:eastAsia="Arial" w:hAnsi="Arial"/>
                <w:sz w:val="18"/>
                <w:szCs w:val="18"/>
                <w:color w:val="auto"/>
              </w:rPr>
              <w:t>7.6%</w:t>
            </w:r>
          </w:p>
        </w:tc>
        <w:tc>
          <w:tcPr>
            <w:tcW w:w="940" w:type="dxa"/>
            <w:vAlign w:val="bottom"/>
            <w:gridSpan w:val="2"/>
          </w:tcPr>
          <w:p>
            <w:pPr>
              <w:jc w:val="right"/>
              <w:ind w:right="60"/>
              <w:spacing w:after="0"/>
              <w:rPr>
                <w:sz w:val="20"/>
                <w:szCs w:val="20"/>
                <w:color w:val="auto"/>
              </w:rPr>
            </w:pPr>
            <w:r>
              <w:rPr>
                <w:rFonts w:ascii="Arial" w:cs="Arial" w:eastAsia="Arial" w:hAnsi="Arial"/>
                <w:sz w:val="18"/>
                <w:szCs w:val="18"/>
                <w:color w:val="auto"/>
              </w:rPr>
              <w:t>8.7%</w:t>
            </w: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6480" w:type="dxa"/>
            <w:vAlign w:val="bottom"/>
          </w:tcPr>
          <w:p>
            <w:pPr>
              <w:spacing w:after="0" w:line="20" w:lineRule="exact"/>
              <w:rPr>
                <w:sz w:val="1"/>
                <w:szCs w:val="1"/>
                <w:color w:val="auto"/>
              </w:rPr>
            </w:pPr>
          </w:p>
        </w:tc>
        <w:tc>
          <w:tcPr>
            <w:tcW w:w="660" w:type="dxa"/>
            <w:vAlign w:val="bottom"/>
            <w:shd w:val="clear" w:color="auto" w:fill="000000"/>
          </w:tcPr>
          <w:p>
            <w:pPr>
              <w:spacing w:after="0" w:line="20" w:lineRule="exact"/>
              <w:rPr>
                <w:sz w:val="1"/>
                <w:szCs w:val="1"/>
                <w:color w:val="auto"/>
              </w:rPr>
            </w:pPr>
          </w:p>
        </w:tc>
        <w:tc>
          <w:tcPr>
            <w:tcW w:w="620" w:type="dxa"/>
            <w:vAlign w:val="bottom"/>
          </w:tcPr>
          <w:p>
            <w:pPr>
              <w:spacing w:after="0" w:line="20" w:lineRule="exact"/>
              <w:rPr>
                <w:sz w:val="1"/>
                <w:szCs w:val="1"/>
                <w:color w:val="auto"/>
              </w:rPr>
            </w:pPr>
          </w:p>
        </w:tc>
        <w:tc>
          <w:tcPr>
            <w:tcW w:w="740" w:type="dxa"/>
            <w:vAlign w:val="bottom"/>
            <w:shd w:val="clear" w:color="auto" w:fill="000000"/>
          </w:tcPr>
          <w:p>
            <w:pPr>
              <w:spacing w:after="0" w:line="20" w:lineRule="exact"/>
              <w:rPr>
                <w:sz w:val="1"/>
                <w:szCs w:val="1"/>
                <w:color w:val="auto"/>
              </w:rPr>
            </w:pPr>
          </w:p>
        </w:tc>
        <w:tc>
          <w:tcPr>
            <w:tcW w:w="640" w:type="dxa"/>
            <w:vAlign w:val="bottom"/>
          </w:tcPr>
          <w:p>
            <w:pPr>
              <w:spacing w:after="0" w:line="20" w:lineRule="exact"/>
              <w:rPr>
                <w:sz w:val="1"/>
                <w:szCs w:val="1"/>
                <w:color w:val="auto"/>
              </w:rPr>
            </w:pPr>
          </w:p>
        </w:tc>
        <w:tc>
          <w:tcPr>
            <w:tcW w:w="680" w:type="dxa"/>
            <w:vAlign w:val="bottom"/>
            <w:shd w:val="clear" w:color="auto" w:fill="000000"/>
          </w:tcPr>
          <w:p>
            <w:pPr>
              <w:spacing w:after="0" w:line="20" w:lineRule="exact"/>
              <w:rPr>
                <w:sz w:val="1"/>
                <w:szCs w:val="1"/>
                <w:color w:val="auto"/>
              </w:rPr>
            </w:pPr>
          </w:p>
        </w:tc>
        <w:tc>
          <w:tcPr>
            <w:tcW w:w="640" w:type="dxa"/>
            <w:vAlign w:val="bottom"/>
          </w:tcPr>
          <w:p>
            <w:pPr>
              <w:spacing w:after="0" w:line="20" w:lineRule="exact"/>
              <w:rPr>
                <w:sz w:val="1"/>
                <w:szCs w:val="1"/>
                <w:color w:val="auto"/>
              </w:rPr>
            </w:pPr>
          </w:p>
        </w:tc>
        <w:tc>
          <w:tcPr>
            <w:tcW w:w="740" w:type="dxa"/>
            <w:vAlign w:val="bottom"/>
            <w:shd w:val="clear" w:color="auto" w:fill="000000"/>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248" w:lineRule="exact"/>
        <w:rPr>
          <w:sz w:val="20"/>
          <w:szCs w:val="20"/>
          <w:color w:val="auto"/>
        </w:rPr>
      </w:pPr>
    </w:p>
    <w:p>
      <w:pPr>
        <w:ind w:left="240"/>
        <w:spacing w:after="0"/>
        <w:rPr>
          <w:sz w:val="20"/>
          <w:szCs w:val="20"/>
          <w:color w:val="auto"/>
        </w:rPr>
      </w:pPr>
      <w:r>
        <w:rPr>
          <w:rFonts w:ascii="Arial" w:cs="Arial" w:eastAsia="Arial" w:hAnsi="Arial"/>
          <w:sz w:val="18"/>
          <w:szCs w:val="18"/>
          <w:b w:val="1"/>
          <w:bCs w:val="1"/>
          <w:i w:val="1"/>
          <w:iCs w:val="1"/>
          <w:color w:val="auto"/>
        </w:rPr>
        <w:t>Three and Nine Months Ended October 31, 2009 and November 1, 2008</w:t>
      </w:r>
    </w:p>
    <w:p>
      <w:pPr>
        <w:spacing w:after="0" w:line="90" w:lineRule="exact"/>
        <w:rPr>
          <w:sz w:val="20"/>
          <w:szCs w:val="20"/>
          <w:color w:val="auto"/>
        </w:rPr>
      </w:pPr>
    </w:p>
    <w:p>
      <w:pPr>
        <w:ind w:left="240"/>
        <w:spacing w:after="0"/>
        <w:rPr>
          <w:sz w:val="20"/>
          <w:szCs w:val="20"/>
          <w:color w:val="auto"/>
        </w:rPr>
      </w:pPr>
      <w:r>
        <w:rPr>
          <w:rFonts w:ascii="Arial" w:cs="Arial" w:eastAsia="Arial" w:hAnsi="Arial"/>
          <w:sz w:val="18"/>
          <w:szCs w:val="18"/>
          <w:i w:val="1"/>
          <w:iCs w:val="1"/>
          <w:color w:val="auto"/>
        </w:rPr>
        <w:t>Net Revenue</w:t>
      </w:r>
    </w:p>
    <w:p>
      <w:pPr>
        <w:spacing w:after="0" w:line="207"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5980" w:type="dxa"/>
            <w:vAlign w:val="bottom"/>
          </w:tcPr>
          <w:p>
            <w:pPr>
              <w:spacing w:after="0"/>
              <w:rPr>
                <w:sz w:val="14"/>
                <w:szCs w:val="14"/>
                <w:color w:val="auto"/>
              </w:rPr>
            </w:pPr>
          </w:p>
        </w:tc>
        <w:tc>
          <w:tcPr>
            <w:tcW w:w="1640" w:type="dxa"/>
            <w:vAlign w:val="bottom"/>
            <w:tcBorders>
              <w:bottom w:val="single" w:sz="8" w:color="auto"/>
            </w:tcBorders>
            <w:gridSpan w:val="3"/>
          </w:tcPr>
          <w:p>
            <w:pPr>
              <w:ind w:left="200"/>
              <w:spacing w:after="0"/>
              <w:rPr>
                <w:sz w:val="20"/>
                <w:szCs w:val="20"/>
                <w:color w:val="auto"/>
              </w:rPr>
            </w:pPr>
            <w:r>
              <w:rPr>
                <w:rFonts w:ascii="Arial" w:cs="Arial" w:eastAsia="Arial" w:hAnsi="Arial"/>
                <w:sz w:val="14"/>
                <w:szCs w:val="14"/>
                <w:b w:val="1"/>
                <w:bCs w:val="1"/>
                <w:color w:val="auto"/>
              </w:rPr>
              <w:t>Three Months Ended</w:t>
            </w:r>
          </w:p>
        </w:tc>
        <w:tc>
          <w:tcPr>
            <w:tcW w:w="200" w:type="dxa"/>
            <w:vAlign w:val="bottom"/>
          </w:tcPr>
          <w:p>
            <w:pPr>
              <w:spacing w:after="0"/>
              <w:rPr>
                <w:sz w:val="14"/>
                <w:szCs w:val="14"/>
                <w:color w:val="auto"/>
              </w:rPr>
            </w:pPr>
          </w:p>
        </w:tc>
        <w:tc>
          <w:tcPr>
            <w:tcW w:w="460" w:type="dxa"/>
            <w:vAlign w:val="bottom"/>
          </w:tcPr>
          <w:p>
            <w:pPr>
              <w:spacing w:after="0"/>
              <w:rPr>
                <w:sz w:val="14"/>
                <w:szCs w:val="14"/>
                <w:color w:val="auto"/>
              </w:rPr>
            </w:pPr>
          </w:p>
        </w:tc>
        <w:tc>
          <w:tcPr>
            <w:tcW w:w="420" w:type="dxa"/>
            <w:vAlign w:val="bottom"/>
          </w:tcPr>
          <w:p>
            <w:pPr>
              <w:spacing w:after="0"/>
              <w:rPr>
                <w:sz w:val="14"/>
                <w:szCs w:val="14"/>
                <w:color w:val="auto"/>
              </w:rPr>
            </w:pPr>
          </w:p>
        </w:tc>
        <w:tc>
          <w:tcPr>
            <w:tcW w:w="1800" w:type="dxa"/>
            <w:vAlign w:val="bottom"/>
            <w:tcBorders>
              <w:bottom w:val="single" w:sz="8" w:color="auto"/>
            </w:tcBorders>
            <w:gridSpan w:val="3"/>
          </w:tcPr>
          <w:p>
            <w:pPr>
              <w:ind w:left="320"/>
              <w:spacing w:after="0"/>
              <w:rPr>
                <w:sz w:val="20"/>
                <w:szCs w:val="20"/>
                <w:color w:val="auto"/>
              </w:rPr>
            </w:pPr>
            <w:r>
              <w:rPr>
                <w:rFonts w:ascii="Arial" w:cs="Arial" w:eastAsia="Arial" w:hAnsi="Arial"/>
                <w:sz w:val="14"/>
                <w:szCs w:val="14"/>
                <w:b w:val="1"/>
                <w:bCs w:val="1"/>
                <w:color w:val="auto"/>
              </w:rPr>
              <w:t>Nine Months Ended</w:t>
            </w:r>
          </w:p>
        </w:tc>
        <w:tc>
          <w:tcPr>
            <w:tcW w:w="660" w:type="dxa"/>
            <w:vAlign w:val="bottom"/>
            <w:gridSpan w:val="2"/>
            <w:vMerge w:val="restart"/>
          </w:tcPr>
          <w:p>
            <w:pPr>
              <w:jc w:val="right"/>
              <w:ind w:right="92"/>
              <w:spacing w:after="0"/>
              <w:rPr>
                <w:sz w:val="20"/>
                <w:szCs w:val="20"/>
                <w:color w:val="auto"/>
              </w:rPr>
            </w:pPr>
            <w:r>
              <w:rPr>
                <w:rFonts w:ascii="Arial" w:cs="Arial" w:eastAsia="Arial" w:hAnsi="Arial"/>
                <w:sz w:val="14"/>
                <w:szCs w:val="14"/>
                <w:b w:val="1"/>
                <w:bCs w:val="1"/>
                <w:color w:val="auto"/>
              </w:rPr>
              <w:t>%</w:t>
            </w:r>
          </w:p>
        </w:tc>
        <w:tc>
          <w:tcPr>
            <w:tcW w:w="26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29"/>
        </w:trPr>
        <w:tc>
          <w:tcPr>
            <w:tcW w:w="5980" w:type="dxa"/>
            <w:vAlign w:val="bottom"/>
          </w:tcPr>
          <w:p>
            <w:pPr>
              <w:spacing w:after="0"/>
              <w:rPr>
                <w:sz w:val="11"/>
                <w:szCs w:val="11"/>
                <w:color w:val="auto"/>
              </w:rPr>
            </w:pPr>
          </w:p>
        </w:tc>
        <w:tc>
          <w:tcPr>
            <w:tcW w:w="680" w:type="dxa"/>
            <w:vAlign w:val="bottom"/>
          </w:tcPr>
          <w:p>
            <w:pPr>
              <w:spacing w:after="0" w:line="129" w:lineRule="exact"/>
              <w:rPr>
                <w:sz w:val="20"/>
                <w:szCs w:val="20"/>
                <w:color w:val="auto"/>
              </w:rPr>
            </w:pPr>
            <w:r>
              <w:rPr>
                <w:rFonts w:ascii="Arial" w:cs="Arial" w:eastAsia="Arial" w:hAnsi="Arial"/>
                <w:sz w:val="14"/>
                <w:szCs w:val="14"/>
                <w:b w:val="1"/>
                <w:bCs w:val="1"/>
                <w:color w:val="auto"/>
                <w:w w:val="85"/>
              </w:rPr>
              <w:t>October 31,</w:t>
            </w:r>
          </w:p>
        </w:tc>
        <w:tc>
          <w:tcPr>
            <w:tcW w:w="200" w:type="dxa"/>
            <w:vAlign w:val="bottom"/>
          </w:tcPr>
          <w:p>
            <w:pPr>
              <w:spacing w:after="0"/>
              <w:rPr>
                <w:sz w:val="11"/>
                <w:szCs w:val="11"/>
                <w:color w:val="auto"/>
              </w:rPr>
            </w:pPr>
          </w:p>
        </w:tc>
        <w:tc>
          <w:tcPr>
            <w:tcW w:w="760" w:type="dxa"/>
            <w:vAlign w:val="bottom"/>
          </w:tcPr>
          <w:p>
            <w:pPr>
              <w:ind w:left="20"/>
              <w:spacing w:after="0" w:line="129" w:lineRule="exact"/>
              <w:rPr>
                <w:sz w:val="20"/>
                <w:szCs w:val="20"/>
                <w:color w:val="auto"/>
              </w:rPr>
            </w:pPr>
            <w:r>
              <w:rPr>
                <w:rFonts w:ascii="Arial" w:cs="Arial" w:eastAsia="Arial" w:hAnsi="Arial"/>
                <w:sz w:val="14"/>
                <w:szCs w:val="14"/>
                <w:b w:val="1"/>
                <w:bCs w:val="1"/>
                <w:color w:val="auto"/>
                <w:w w:val="85"/>
              </w:rPr>
              <w:t>November 1,</w:t>
            </w:r>
          </w:p>
        </w:tc>
        <w:tc>
          <w:tcPr>
            <w:tcW w:w="660" w:type="dxa"/>
            <w:vAlign w:val="bottom"/>
            <w:gridSpan w:val="2"/>
          </w:tcPr>
          <w:p>
            <w:pPr>
              <w:jc w:val="center"/>
              <w:ind w:left="126"/>
              <w:spacing w:after="0" w:line="129" w:lineRule="exact"/>
              <w:rPr>
                <w:sz w:val="20"/>
                <w:szCs w:val="20"/>
                <w:color w:val="auto"/>
              </w:rPr>
            </w:pPr>
            <w:r>
              <w:rPr>
                <w:rFonts w:ascii="Arial" w:cs="Arial" w:eastAsia="Arial" w:hAnsi="Arial"/>
                <w:sz w:val="14"/>
                <w:szCs w:val="14"/>
                <w:b w:val="1"/>
                <w:bCs w:val="1"/>
                <w:color w:val="auto"/>
              </w:rPr>
              <w:t>%</w:t>
            </w:r>
          </w:p>
        </w:tc>
        <w:tc>
          <w:tcPr>
            <w:tcW w:w="420" w:type="dxa"/>
            <w:vAlign w:val="bottom"/>
          </w:tcPr>
          <w:p>
            <w:pPr>
              <w:spacing w:after="0"/>
              <w:rPr>
                <w:sz w:val="11"/>
                <w:szCs w:val="11"/>
                <w:color w:val="auto"/>
              </w:rPr>
            </w:pPr>
          </w:p>
        </w:tc>
        <w:tc>
          <w:tcPr>
            <w:tcW w:w="1000" w:type="dxa"/>
            <w:vAlign w:val="bottom"/>
            <w:gridSpan w:val="2"/>
          </w:tcPr>
          <w:p>
            <w:pPr>
              <w:jc w:val="center"/>
              <w:ind w:right="220"/>
              <w:spacing w:after="0" w:line="129" w:lineRule="exact"/>
              <w:rPr>
                <w:sz w:val="20"/>
                <w:szCs w:val="20"/>
                <w:color w:val="auto"/>
              </w:rPr>
            </w:pPr>
            <w:r>
              <w:rPr>
                <w:rFonts w:ascii="Arial" w:cs="Arial" w:eastAsia="Arial" w:hAnsi="Arial"/>
                <w:sz w:val="14"/>
                <w:szCs w:val="14"/>
                <w:b w:val="1"/>
                <w:bCs w:val="1"/>
                <w:color w:val="auto"/>
                <w:w w:val="85"/>
              </w:rPr>
              <w:t>October 31,</w:t>
            </w:r>
          </w:p>
        </w:tc>
        <w:tc>
          <w:tcPr>
            <w:tcW w:w="800" w:type="dxa"/>
            <w:vAlign w:val="bottom"/>
          </w:tcPr>
          <w:p>
            <w:pPr>
              <w:ind w:left="40"/>
              <w:spacing w:after="0" w:line="129" w:lineRule="exact"/>
              <w:rPr>
                <w:sz w:val="20"/>
                <w:szCs w:val="20"/>
                <w:color w:val="auto"/>
              </w:rPr>
            </w:pPr>
            <w:r>
              <w:rPr>
                <w:rFonts w:ascii="Arial" w:cs="Arial" w:eastAsia="Arial" w:hAnsi="Arial"/>
                <w:sz w:val="14"/>
                <w:szCs w:val="14"/>
                <w:b w:val="1"/>
                <w:bCs w:val="1"/>
                <w:color w:val="auto"/>
                <w:w w:val="88"/>
              </w:rPr>
              <w:t>November 1,</w:t>
            </w:r>
          </w:p>
        </w:tc>
        <w:tc>
          <w:tcPr>
            <w:tcW w:w="660" w:type="dxa"/>
            <w:vAlign w:val="bottom"/>
            <w:gridSpan w:val="2"/>
            <w:vMerge w:val="continue"/>
          </w:tcPr>
          <w:p>
            <w:pPr>
              <w:spacing w:after="0"/>
              <w:rPr>
                <w:sz w:val="11"/>
                <w:szCs w:val="11"/>
                <w:color w:val="auto"/>
              </w:rPr>
            </w:pPr>
          </w:p>
        </w:tc>
        <w:tc>
          <w:tcPr>
            <w:tcW w:w="26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1"/>
        </w:trPr>
        <w:tc>
          <w:tcPr>
            <w:tcW w:w="5980" w:type="dxa"/>
            <w:vAlign w:val="bottom"/>
          </w:tcPr>
          <w:p>
            <w:pPr>
              <w:spacing w:after="0"/>
              <w:rPr>
                <w:sz w:val="14"/>
                <w:szCs w:val="14"/>
                <w:color w:val="auto"/>
              </w:rPr>
            </w:pPr>
          </w:p>
        </w:tc>
        <w:tc>
          <w:tcPr>
            <w:tcW w:w="680" w:type="dxa"/>
            <w:vAlign w:val="bottom"/>
          </w:tcPr>
          <w:p>
            <w:pPr>
              <w:jc w:val="right"/>
              <w:ind w:right="127"/>
              <w:spacing w:after="0"/>
              <w:rPr>
                <w:sz w:val="20"/>
                <w:szCs w:val="20"/>
                <w:color w:val="auto"/>
              </w:rPr>
            </w:pPr>
            <w:r>
              <w:rPr>
                <w:rFonts w:ascii="Arial" w:cs="Arial" w:eastAsia="Arial" w:hAnsi="Arial"/>
                <w:sz w:val="14"/>
                <w:szCs w:val="14"/>
                <w:b w:val="1"/>
                <w:bCs w:val="1"/>
                <w:color w:val="auto"/>
              </w:rPr>
              <w:t>2009</w:t>
            </w:r>
          </w:p>
        </w:tc>
        <w:tc>
          <w:tcPr>
            <w:tcW w:w="200" w:type="dxa"/>
            <w:vAlign w:val="bottom"/>
          </w:tcPr>
          <w:p>
            <w:pPr>
              <w:spacing w:after="0"/>
              <w:rPr>
                <w:sz w:val="14"/>
                <w:szCs w:val="14"/>
                <w:color w:val="auto"/>
              </w:rPr>
            </w:pPr>
          </w:p>
        </w:tc>
        <w:tc>
          <w:tcPr>
            <w:tcW w:w="760" w:type="dxa"/>
            <w:vAlign w:val="bottom"/>
          </w:tcPr>
          <w:p>
            <w:pPr>
              <w:jc w:val="right"/>
              <w:ind w:right="172"/>
              <w:spacing w:after="0"/>
              <w:rPr>
                <w:sz w:val="20"/>
                <w:szCs w:val="20"/>
                <w:color w:val="auto"/>
              </w:rPr>
            </w:pPr>
            <w:r>
              <w:rPr>
                <w:rFonts w:ascii="Arial" w:cs="Arial" w:eastAsia="Arial" w:hAnsi="Arial"/>
                <w:sz w:val="14"/>
                <w:szCs w:val="14"/>
                <w:b w:val="1"/>
                <w:bCs w:val="1"/>
                <w:color w:val="auto"/>
              </w:rPr>
              <w:t>2008</w:t>
            </w:r>
          </w:p>
        </w:tc>
        <w:tc>
          <w:tcPr>
            <w:tcW w:w="200" w:type="dxa"/>
            <w:vAlign w:val="bottom"/>
          </w:tcPr>
          <w:p>
            <w:pPr>
              <w:spacing w:after="0"/>
              <w:rPr>
                <w:sz w:val="14"/>
                <w:szCs w:val="14"/>
                <w:color w:val="auto"/>
              </w:rPr>
            </w:pPr>
          </w:p>
        </w:tc>
        <w:tc>
          <w:tcPr>
            <w:tcW w:w="460" w:type="dxa"/>
            <w:vAlign w:val="bottom"/>
          </w:tcPr>
          <w:p>
            <w:pPr>
              <w:jc w:val="center"/>
              <w:spacing w:after="0"/>
              <w:rPr>
                <w:sz w:val="20"/>
                <w:szCs w:val="20"/>
                <w:color w:val="auto"/>
              </w:rPr>
            </w:pPr>
            <w:r>
              <w:rPr>
                <w:rFonts w:ascii="Arial" w:cs="Arial" w:eastAsia="Arial" w:hAnsi="Arial"/>
                <w:sz w:val="14"/>
                <w:szCs w:val="14"/>
                <w:b w:val="1"/>
                <w:bCs w:val="1"/>
                <w:color w:val="auto"/>
                <w:w w:val="89"/>
              </w:rPr>
              <w:t>Change</w:t>
            </w:r>
          </w:p>
        </w:tc>
        <w:tc>
          <w:tcPr>
            <w:tcW w:w="420" w:type="dxa"/>
            <w:vAlign w:val="bottom"/>
          </w:tcPr>
          <w:p>
            <w:pPr>
              <w:spacing w:after="0"/>
              <w:rPr>
                <w:sz w:val="14"/>
                <w:szCs w:val="14"/>
                <w:color w:val="auto"/>
              </w:rPr>
            </w:pPr>
          </w:p>
        </w:tc>
        <w:tc>
          <w:tcPr>
            <w:tcW w:w="780" w:type="dxa"/>
            <w:vAlign w:val="bottom"/>
          </w:tcPr>
          <w:p>
            <w:pPr>
              <w:jc w:val="center"/>
              <w:spacing w:after="0"/>
              <w:rPr>
                <w:sz w:val="20"/>
                <w:szCs w:val="20"/>
                <w:color w:val="auto"/>
              </w:rPr>
            </w:pPr>
            <w:r>
              <w:rPr>
                <w:rFonts w:ascii="Arial" w:cs="Arial" w:eastAsia="Arial" w:hAnsi="Arial"/>
                <w:sz w:val="14"/>
                <w:szCs w:val="14"/>
                <w:b w:val="1"/>
                <w:bCs w:val="1"/>
                <w:color w:val="auto"/>
                <w:w w:val="83"/>
              </w:rPr>
              <w:t>2009</w:t>
            </w:r>
          </w:p>
        </w:tc>
        <w:tc>
          <w:tcPr>
            <w:tcW w:w="220" w:type="dxa"/>
            <w:vAlign w:val="bottom"/>
          </w:tcPr>
          <w:p>
            <w:pPr>
              <w:spacing w:after="0"/>
              <w:rPr>
                <w:sz w:val="14"/>
                <w:szCs w:val="14"/>
                <w:color w:val="auto"/>
              </w:rPr>
            </w:pPr>
          </w:p>
        </w:tc>
        <w:tc>
          <w:tcPr>
            <w:tcW w:w="800" w:type="dxa"/>
            <w:vAlign w:val="bottom"/>
          </w:tcPr>
          <w:p>
            <w:pPr>
              <w:jc w:val="right"/>
              <w:ind w:right="186"/>
              <w:spacing w:after="0"/>
              <w:rPr>
                <w:sz w:val="20"/>
                <w:szCs w:val="20"/>
                <w:color w:val="auto"/>
              </w:rPr>
            </w:pPr>
            <w:r>
              <w:rPr>
                <w:rFonts w:ascii="Arial" w:cs="Arial" w:eastAsia="Arial" w:hAnsi="Arial"/>
                <w:sz w:val="14"/>
                <w:szCs w:val="14"/>
                <w:b w:val="1"/>
                <w:bCs w:val="1"/>
                <w:color w:val="auto"/>
              </w:rPr>
              <w:t>2008</w:t>
            </w:r>
          </w:p>
        </w:tc>
        <w:tc>
          <w:tcPr>
            <w:tcW w:w="220" w:type="dxa"/>
            <w:vAlign w:val="bottom"/>
          </w:tcPr>
          <w:p>
            <w:pPr>
              <w:spacing w:after="0"/>
              <w:rPr>
                <w:sz w:val="14"/>
                <w:szCs w:val="14"/>
                <w:color w:val="auto"/>
              </w:rPr>
            </w:pPr>
          </w:p>
        </w:tc>
        <w:tc>
          <w:tcPr>
            <w:tcW w:w="700" w:type="dxa"/>
            <w:vAlign w:val="bottom"/>
            <w:gridSpan w:val="2"/>
          </w:tcPr>
          <w:p>
            <w:pPr>
              <w:jc w:val="center"/>
              <w:ind w:right="260"/>
              <w:spacing w:after="0"/>
              <w:rPr>
                <w:sz w:val="20"/>
                <w:szCs w:val="20"/>
                <w:color w:val="auto"/>
              </w:rPr>
            </w:pPr>
            <w:r>
              <w:rPr>
                <w:rFonts w:ascii="Arial" w:cs="Arial" w:eastAsia="Arial" w:hAnsi="Arial"/>
                <w:sz w:val="14"/>
                <w:szCs w:val="14"/>
                <w:b w:val="1"/>
                <w:bCs w:val="1"/>
                <w:color w:val="auto"/>
                <w:w w:val="85"/>
              </w:rPr>
              <w:t>Change</w:t>
            </w:r>
          </w:p>
        </w:tc>
        <w:tc>
          <w:tcPr>
            <w:tcW w:w="0" w:type="dxa"/>
            <w:vAlign w:val="bottom"/>
          </w:tcPr>
          <w:p>
            <w:pPr>
              <w:spacing w:after="0"/>
              <w:rPr>
                <w:sz w:val="1"/>
                <w:szCs w:val="1"/>
                <w:color w:val="auto"/>
              </w:rPr>
            </w:pPr>
          </w:p>
        </w:tc>
      </w:tr>
      <w:tr>
        <w:trPr>
          <w:trHeight w:val="20"/>
        </w:trPr>
        <w:tc>
          <w:tcPr>
            <w:tcW w:w="5980" w:type="dxa"/>
            <w:vAlign w:val="bottom"/>
          </w:tcPr>
          <w:p>
            <w:pPr>
              <w:spacing w:after="0" w:line="20" w:lineRule="exact"/>
              <w:rPr>
                <w:sz w:val="1"/>
                <w:szCs w:val="1"/>
                <w:color w:val="auto"/>
              </w:rPr>
            </w:pPr>
          </w:p>
        </w:tc>
        <w:tc>
          <w:tcPr>
            <w:tcW w:w="680" w:type="dxa"/>
            <w:vAlign w:val="bottom"/>
            <w:shd w:val="clear" w:color="auto" w:fill="000000"/>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760" w:type="dxa"/>
            <w:vAlign w:val="bottom"/>
            <w:shd w:val="clear" w:color="auto" w:fill="000000"/>
          </w:tcPr>
          <w:p>
            <w:pPr>
              <w:spacing w:after="0" w:line="20" w:lineRule="exact"/>
              <w:rPr>
                <w:sz w:val="1"/>
                <w:szCs w:val="1"/>
                <w:color w:val="auto"/>
              </w:rPr>
            </w:pPr>
          </w:p>
        </w:tc>
        <w:tc>
          <w:tcPr>
            <w:tcW w:w="200" w:type="dxa"/>
            <w:vAlign w:val="bottom"/>
            <w:vMerge w:val="restart"/>
          </w:tcPr>
          <w:p>
            <w:pPr>
              <w:spacing w:after="0"/>
              <w:rPr>
                <w:sz w:val="20"/>
                <w:szCs w:val="20"/>
                <w:color w:val="auto"/>
              </w:rPr>
            </w:pPr>
            <w:r>
              <w:rPr>
                <w:rFonts w:ascii="Arial" w:cs="Arial" w:eastAsia="Arial" w:hAnsi="Arial"/>
                <w:sz w:val="14"/>
                <w:szCs w:val="14"/>
                <w:b w:val="1"/>
                <w:bCs w:val="1"/>
                <w:color w:val="auto"/>
              </w:rPr>
              <w:t>(in</w:t>
            </w:r>
          </w:p>
        </w:tc>
        <w:tc>
          <w:tcPr>
            <w:tcW w:w="460" w:type="dxa"/>
            <w:vAlign w:val="bottom"/>
            <w:shd w:val="clear" w:color="auto" w:fill="000000"/>
          </w:tcPr>
          <w:p>
            <w:pPr>
              <w:spacing w:after="0" w:line="20" w:lineRule="exact"/>
              <w:rPr>
                <w:sz w:val="1"/>
                <w:szCs w:val="1"/>
                <w:color w:val="auto"/>
              </w:rPr>
            </w:pPr>
          </w:p>
        </w:tc>
        <w:tc>
          <w:tcPr>
            <w:tcW w:w="420" w:type="dxa"/>
            <w:vAlign w:val="bottom"/>
          </w:tcPr>
          <w:p>
            <w:pPr>
              <w:spacing w:after="0" w:line="20" w:lineRule="exact"/>
              <w:rPr>
                <w:sz w:val="1"/>
                <w:szCs w:val="1"/>
                <w:color w:val="auto"/>
              </w:rPr>
            </w:pPr>
          </w:p>
        </w:tc>
        <w:tc>
          <w:tcPr>
            <w:tcW w:w="780" w:type="dxa"/>
            <w:vAlign w:val="bottom"/>
            <w:shd w:val="clear" w:color="auto" w:fill="000000"/>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800" w:type="dxa"/>
            <w:vAlign w:val="bottom"/>
            <w:shd w:val="clear" w:color="auto" w:fill="000000"/>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440" w:type="dxa"/>
            <w:vAlign w:val="bottom"/>
            <w:shd w:val="clear" w:color="auto" w:fill="000000"/>
          </w:tcPr>
          <w:p>
            <w:pPr>
              <w:spacing w:after="0" w:line="20" w:lineRule="exact"/>
              <w:rPr>
                <w:sz w:val="1"/>
                <w:szCs w:val="1"/>
                <w:color w:val="auto"/>
              </w:rPr>
            </w:pPr>
          </w:p>
        </w:tc>
        <w:tc>
          <w:tcPr>
            <w:tcW w:w="26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42"/>
        </w:trPr>
        <w:tc>
          <w:tcPr>
            <w:tcW w:w="5980" w:type="dxa"/>
            <w:vAlign w:val="bottom"/>
          </w:tcPr>
          <w:p>
            <w:pPr>
              <w:spacing w:after="0"/>
              <w:rPr>
                <w:sz w:val="12"/>
                <w:szCs w:val="12"/>
                <w:color w:val="auto"/>
              </w:rPr>
            </w:pPr>
          </w:p>
        </w:tc>
        <w:tc>
          <w:tcPr>
            <w:tcW w:w="680" w:type="dxa"/>
            <w:vAlign w:val="bottom"/>
          </w:tcPr>
          <w:p>
            <w:pPr>
              <w:spacing w:after="0"/>
              <w:rPr>
                <w:sz w:val="12"/>
                <w:szCs w:val="12"/>
                <w:color w:val="auto"/>
              </w:rPr>
            </w:pPr>
          </w:p>
        </w:tc>
        <w:tc>
          <w:tcPr>
            <w:tcW w:w="200" w:type="dxa"/>
            <w:vAlign w:val="bottom"/>
          </w:tcPr>
          <w:p>
            <w:pPr>
              <w:spacing w:after="0"/>
              <w:rPr>
                <w:sz w:val="12"/>
                <w:szCs w:val="12"/>
                <w:color w:val="auto"/>
              </w:rPr>
            </w:pPr>
          </w:p>
        </w:tc>
        <w:tc>
          <w:tcPr>
            <w:tcW w:w="760" w:type="dxa"/>
            <w:vAlign w:val="bottom"/>
          </w:tcPr>
          <w:p>
            <w:pPr>
              <w:spacing w:after="0"/>
              <w:rPr>
                <w:sz w:val="12"/>
                <w:szCs w:val="12"/>
                <w:color w:val="auto"/>
              </w:rPr>
            </w:pPr>
          </w:p>
        </w:tc>
        <w:tc>
          <w:tcPr>
            <w:tcW w:w="200" w:type="dxa"/>
            <w:vAlign w:val="bottom"/>
            <w:vMerge w:val="continue"/>
          </w:tcPr>
          <w:p>
            <w:pPr>
              <w:spacing w:after="0"/>
              <w:rPr>
                <w:sz w:val="12"/>
                <w:szCs w:val="12"/>
                <w:color w:val="auto"/>
              </w:rPr>
            </w:pPr>
          </w:p>
        </w:tc>
        <w:tc>
          <w:tcPr>
            <w:tcW w:w="460" w:type="dxa"/>
            <w:vAlign w:val="bottom"/>
          </w:tcPr>
          <w:p>
            <w:pPr>
              <w:jc w:val="center"/>
              <w:spacing w:after="0"/>
              <w:rPr>
                <w:sz w:val="20"/>
                <w:szCs w:val="20"/>
                <w:color w:val="auto"/>
              </w:rPr>
            </w:pPr>
            <w:r>
              <w:rPr>
                <w:rFonts w:ascii="Arial" w:cs="Arial" w:eastAsia="Arial" w:hAnsi="Arial"/>
                <w:sz w:val="12"/>
                <w:szCs w:val="12"/>
                <w:b w:val="1"/>
                <w:bCs w:val="1"/>
                <w:color w:val="auto"/>
                <w:w w:val="71"/>
              </w:rPr>
              <w:t>thousands,</w:t>
            </w:r>
          </w:p>
        </w:tc>
        <w:tc>
          <w:tcPr>
            <w:tcW w:w="1200" w:type="dxa"/>
            <w:vAlign w:val="bottom"/>
            <w:gridSpan w:val="2"/>
          </w:tcPr>
          <w:p>
            <w:pPr>
              <w:ind w:left="180"/>
              <w:spacing w:after="0" w:line="142" w:lineRule="exact"/>
              <w:rPr>
                <w:sz w:val="20"/>
                <w:szCs w:val="20"/>
                <w:color w:val="auto"/>
              </w:rPr>
            </w:pPr>
            <w:r>
              <w:rPr>
                <w:rFonts w:ascii="Arial" w:cs="Arial" w:eastAsia="Arial" w:hAnsi="Arial"/>
                <w:sz w:val="14"/>
                <w:szCs w:val="14"/>
                <w:b w:val="1"/>
                <w:bCs w:val="1"/>
                <w:color w:val="auto"/>
                <w:w w:val="78"/>
              </w:rPr>
              <w:t>except percentage)</w:t>
            </w:r>
          </w:p>
        </w:tc>
        <w:tc>
          <w:tcPr>
            <w:tcW w:w="220" w:type="dxa"/>
            <w:vAlign w:val="bottom"/>
          </w:tcPr>
          <w:p>
            <w:pPr>
              <w:spacing w:after="0"/>
              <w:rPr>
                <w:sz w:val="12"/>
                <w:szCs w:val="12"/>
                <w:color w:val="auto"/>
              </w:rPr>
            </w:pPr>
          </w:p>
        </w:tc>
        <w:tc>
          <w:tcPr>
            <w:tcW w:w="800" w:type="dxa"/>
            <w:vAlign w:val="bottom"/>
          </w:tcPr>
          <w:p>
            <w:pPr>
              <w:spacing w:after="0"/>
              <w:rPr>
                <w:sz w:val="12"/>
                <w:szCs w:val="12"/>
                <w:color w:val="auto"/>
              </w:rPr>
            </w:pPr>
          </w:p>
        </w:tc>
        <w:tc>
          <w:tcPr>
            <w:tcW w:w="220" w:type="dxa"/>
            <w:vAlign w:val="bottom"/>
          </w:tcPr>
          <w:p>
            <w:pPr>
              <w:spacing w:after="0"/>
              <w:rPr>
                <w:sz w:val="12"/>
                <w:szCs w:val="12"/>
                <w:color w:val="auto"/>
              </w:rPr>
            </w:pPr>
          </w:p>
        </w:tc>
        <w:tc>
          <w:tcPr>
            <w:tcW w:w="440" w:type="dxa"/>
            <w:vAlign w:val="bottom"/>
          </w:tcPr>
          <w:p>
            <w:pPr>
              <w:spacing w:after="0"/>
              <w:rPr>
                <w:sz w:val="12"/>
                <w:szCs w:val="12"/>
                <w:color w:val="auto"/>
              </w:rPr>
            </w:pPr>
          </w:p>
        </w:tc>
        <w:tc>
          <w:tcPr>
            <w:tcW w:w="26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216"/>
        </w:trPr>
        <w:tc>
          <w:tcPr>
            <w:tcW w:w="5980" w:type="dxa"/>
            <w:vAlign w:val="bottom"/>
            <w:shd w:val="clear" w:color="auto" w:fill="CCEEFF"/>
          </w:tcPr>
          <w:p>
            <w:pPr>
              <w:spacing w:after="0"/>
              <w:rPr>
                <w:sz w:val="20"/>
                <w:szCs w:val="20"/>
                <w:color w:val="auto"/>
              </w:rPr>
            </w:pPr>
            <w:r>
              <w:rPr>
                <w:rFonts w:ascii="Arial" w:cs="Arial" w:eastAsia="Arial" w:hAnsi="Arial"/>
                <w:sz w:val="18"/>
                <w:szCs w:val="18"/>
                <w:color w:val="auto"/>
              </w:rPr>
              <w:t>Net revenue</w:t>
            </w:r>
          </w:p>
        </w:tc>
        <w:tc>
          <w:tcPr>
            <w:tcW w:w="68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7"/>
              </w:rPr>
              <w:t>$803,098</w:t>
            </w:r>
          </w:p>
        </w:tc>
        <w:tc>
          <w:tcPr>
            <w:tcW w:w="96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$ 791,046</w:t>
            </w:r>
          </w:p>
        </w:tc>
        <w:tc>
          <w:tcPr>
            <w:tcW w:w="1080" w:type="dxa"/>
            <w:vAlign w:val="bottom"/>
            <w:gridSpan w:val="3"/>
            <w:shd w:val="clear" w:color="auto" w:fill="CCEEFF"/>
          </w:tcPr>
          <w:p>
            <w:pPr>
              <w:jc w:val="right"/>
              <w:ind w:right="212"/>
              <w:spacing w:after="0"/>
              <w:rPr>
                <w:sz w:val="20"/>
                <w:szCs w:val="20"/>
                <w:color w:val="auto"/>
              </w:rPr>
            </w:pPr>
            <w:r>
              <w:rPr>
                <w:rFonts w:ascii="Arial" w:cs="Arial" w:eastAsia="Arial" w:hAnsi="Arial"/>
                <w:sz w:val="18"/>
                <w:szCs w:val="18"/>
                <w:color w:val="auto"/>
              </w:rPr>
              <w:t>1.5%</w:t>
            </w:r>
          </w:p>
        </w:tc>
        <w:tc>
          <w:tcPr>
            <w:tcW w:w="1000" w:type="dxa"/>
            <w:vAlign w:val="bottom"/>
            <w:gridSpan w:val="2"/>
            <w:shd w:val="clear" w:color="auto" w:fill="CCEEFF"/>
          </w:tcPr>
          <w:p>
            <w:pPr>
              <w:jc w:val="center"/>
              <w:ind w:right="220"/>
              <w:spacing w:after="0"/>
              <w:rPr>
                <w:sz w:val="20"/>
                <w:szCs w:val="20"/>
                <w:color w:val="auto"/>
              </w:rPr>
            </w:pPr>
            <w:r>
              <w:rPr>
                <w:rFonts w:ascii="Arial" w:cs="Arial" w:eastAsia="Arial" w:hAnsi="Arial"/>
                <w:sz w:val="18"/>
                <w:szCs w:val="18"/>
                <w:color w:val="auto"/>
                <w:w w:val="86"/>
              </w:rPr>
              <w:t>$1,965,152</w:t>
            </w:r>
          </w:p>
        </w:tc>
        <w:tc>
          <w:tcPr>
            <w:tcW w:w="8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6"/>
              </w:rPr>
              <w:t>$2,437,696</w:t>
            </w:r>
          </w:p>
        </w:tc>
        <w:tc>
          <w:tcPr>
            <w:tcW w:w="920" w:type="dxa"/>
            <w:vAlign w:val="bottom"/>
            <w:gridSpan w:val="3"/>
            <w:shd w:val="clear" w:color="auto" w:fill="CCEEFF"/>
          </w:tcPr>
          <w:p>
            <w:pPr>
              <w:jc w:val="right"/>
              <w:ind w:right="60"/>
              <w:spacing w:after="0"/>
              <w:rPr>
                <w:sz w:val="20"/>
                <w:szCs w:val="20"/>
                <w:color w:val="auto"/>
              </w:rPr>
            </w:pPr>
            <w:r>
              <w:rPr>
                <w:rFonts w:ascii="Arial" w:cs="Arial" w:eastAsia="Arial" w:hAnsi="Arial"/>
                <w:sz w:val="18"/>
                <w:szCs w:val="18"/>
                <w:color w:val="auto"/>
              </w:rPr>
              <w:t>(19.4)%</w:t>
            </w:r>
          </w:p>
        </w:tc>
        <w:tc>
          <w:tcPr>
            <w:tcW w:w="0" w:type="dxa"/>
            <w:vAlign w:val="bottom"/>
          </w:tcPr>
          <w:p>
            <w:pPr>
              <w:spacing w:after="0"/>
              <w:rPr>
                <w:sz w:val="1"/>
                <w:szCs w:val="1"/>
                <w:color w:val="auto"/>
              </w:rPr>
            </w:pPr>
          </w:p>
        </w:tc>
      </w:tr>
    </w:tbl>
    <w:p>
      <w:pPr>
        <w:spacing w:after="0" w:line="154" w:lineRule="exact"/>
        <w:rPr>
          <w:sz w:val="20"/>
          <w:szCs w:val="20"/>
          <w:color w:val="auto"/>
        </w:rPr>
      </w:pPr>
    </w:p>
    <w:p>
      <w:pPr>
        <w:ind w:right="20" w:firstLine="456"/>
        <w:spacing w:after="0" w:line="308" w:lineRule="auto"/>
        <w:rPr>
          <w:sz w:val="20"/>
          <w:szCs w:val="20"/>
          <w:color w:val="auto"/>
        </w:rPr>
      </w:pPr>
      <w:r>
        <w:rPr>
          <w:rFonts w:ascii="Arial" w:cs="Arial" w:eastAsia="Arial" w:hAnsi="Arial"/>
          <w:sz w:val="15"/>
          <w:szCs w:val="15"/>
          <w:color w:val="auto"/>
        </w:rPr>
        <w:t>The increase in net revenue for the three months ended October 31, 2009 compared to the three months ended November 1, 2008 was primarily due to new hard disk drive programs at key customers in our storage business, growth in our networking business as customers continue to adopt our solutions and growth in our embedded wireless business as a result of strength in several gaming platforms. Partially offsetting the increases was a decrease in revenue in the cellular handheld business and printer semiconductor solution offerings due to lower consumer spending and alternative technology solutions compared to the prior year. The decrease in net revenue for the nine months ended October 31, 2009 compared to the net revenue for the nine months ended November 1, 2008 reflects the negative impacts of the global economic slowdown, which we experienced across each of our product families. Within our storage business, a reduction in consumer spending on PCs resulted in lower demand from our hard disk drive customers. Within cellular handheld, wireless and printer semiconductor solution offerings, our products for applications such as mobile phones, gaming devices and printers were adversely impacted by lower consumer spending as compared to the previous year. We currently expect that revenue in the fourth quarter of fiscal 2010 will increase moderately from the level of revenue that we reported in the third quarter of fiscal 2010 as we continue to see signs of recovery in the economic environment and the ramp of some new design wins.</w:t>
      </w:r>
    </w:p>
    <w:p>
      <w:pPr>
        <w:spacing w:after="0" w:line="109" w:lineRule="exact"/>
        <w:rPr>
          <w:sz w:val="20"/>
          <w:szCs w:val="20"/>
          <w:color w:val="auto"/>
        </w:rPr>
      </w:pPr>
    </w:p>
    <w:p>
      <w:pPr>
        <w:ind w:right="80" w:firstLine="456"/>
        <w:spacing w:after="0" w:line="291" w:lineRule="auto"/>
        <w:rPr>
          <w:sz w:val="20"/>
          <w:szCs w:val="20"/>
          <w:color w:val="auto"/>
        </w:rPr>
      </w:pPr>
      <w:r>
        <w:rPr>
          <w:rFonts w:ascii="Arial" w:cs="Arial" w:eastAsia="Arial" w:hAnsi="Arial"/>
          <w:sz w:val="16"/>
          <w:szCs w:val="16"/>
          <w:color w:val="auto"/>
        </w:rPr>
        <w:t>Historically, a relatively small number of customers have accounted for a significant portion of our revenue. For the three months ended October 31, 2009, two customers each represented more than 10% of our net revenue, and totaled 39% of our net revenue. For the nine months ended October 31, 2009, two customers represented more than 10% of our net revenue, and totaled 39% of our net revenue. For the three months ended November 1, 2008, two customers represented more than 10% of our net revenue, with a total of 36% of our net revenue. For the nine months ended November 1, 2008, two customers represented more than 10% of our net revenue, with a total of 37% of our net revenue. No distributors accounted for more than 10% of our net revenue in the three and nine months ended October 31, 2009 and November 1, 2008.</w:t>
      </w:r>
    </w:p>
    <w:p>
      <w:pPr>
        <w:spacing w:after="0" w:line="107"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30</w:t>
      </w:r>
    </w:p>
    <w:p>
      <w:pPr>
        <w:sectPr>
          <w:pgSz w:w="11900" w:h="16838" w:orient="portrait"/>
          <w:cols w:equalWidth="0" w:num="1">
            <w:col w:w="11420"/>
          </w:cols>
          <w:pgMar w:left="240" w:top="459" w:right="239" w:bottom="1440" w:gutter="0" w:footer="0" w:header="0"/>
        </w:sectPr>
      </w:pPr>
    </w:p>
    <w:bookmarkStart w:id="30" w:name="page31"/>
    <w:bookmarkEnd w:id="30"/>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38"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45">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160" w:firstLine="456"/>
        <w:spacing w:after="0" w:line="254" w:lineRule="auto"/>
        <w:rPr>
          <w:sz w:val="20"/>
          <w:szCs w:val="20"/>
          <w:color w:val="auto"/>
        </w:rPr>
      </w:pPr>
      <w:r>
        <w:rPr>
          <w:rFonts w:ascii="Arial" w:cs="Arial" w:eastAsia="Arial" w:hAnsi="Arial"/>
          <w:sz w:val="18"/>
          <w:szCs w:val="18"/>
          <w:color w:val="auto"/>
        </w:rPr>
        <w:t>Because we sell our products to many OEM manufacturers who have manufacturing operations located in Asia, a significant percentage of our sales are made to customers located outside of the United States. Sales to customers located in Asia represented 89% and 88% of our net revenue for the three months ended October 31, 2009 and November 1, 2008, respectively, and represented 90% and 86% of our net revenue for the nine months ended October 31, 2009 and November 1, 2008, respectively. The rest of our sales are to customers located in the United States and other geographic regions. We expect that a significant portion of our revenue will continue to be represented by sales to our customers in Asia. Substantially all of our sales to date have been denominated in U.S. dollars.</w:t>
      </w:r>
    </w:p>
    <w:p>
      <w:pPr>
        <w:spacing w:after="0" w:line="225" w:lineRule="exact"/>
        <w:rPr>
          <w:sz w:val="20"/>
          <w:szCs w:val="20"/>
          <w:color w:val="auto"/>
        </w:rPr>
      </w:pPr>
    </w:p>
    <w:p>
      <w:pPr>
        <w:ind w:left="240"/>
        <w:spacing w:after="0"/>
        <w:rPr>
          <w:sz w:val="20"/>
          <w:szCs w:val="20"/>
          <w:color w:val="auto"/>
        </w:rPr>
      </w:pPr>
      <w:r>
        <w:rPr>
          <w:rFonts w:ascii="Arial" w:cs="Arial" w:eastAsia="Arial" w:hAnsi="Arial"/>
          <w:sz w:val="18"/>
          <w:szCs w:val="18"/>
          <w:i w:val="1"/>
          <w:iCs w:val="1"/>
          <w:color w:val="auto"/>
        </w:rPr>
        <w:t>Cost of Goods Sold</w:t>
      </w:r>
    </w:p>
    <w:p>
      <w:pPr>
        <w:spacing w:after="0" w:line="207"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5440" w:type="dxa"/>
            <w:vAlign w:val="bottom"/>
          </w:tcPr>
          <w:p>
            <w:pPr>
              <w:spacing w:after="0"/>
              <w:rPr>
                <w:sz w:val="14"/>
                <w:szCs w:val="14"/>
                <w:color w:val="auto"/>
              </w:rPr>
            </w:pPr>
          </w:p>
        </w:tc>
        <w:tc>
          <w:tcPr>
            <w:tcW w:w="2180" w:type="dxa"/>
            <w:vAlign w:val="bottom"/>
            <w:gridSpan w:val="4"/>
          </w:tcPr>
          <w:p>
            <w:pPr>
              <w:jc w:val="right"/>
              <w:ind w:right="612"/>
              <w:spacing w:after="0"/>
              <w:rPr>
                <w:sz w:val="20"/>
                <w:szCs w:val="20"/>
                <w:color w:val="auto"/>
              </w:rPr>
            </w:pPr>
            <w:r>
              <w:rPr>
                <w:rFonts w:ascii="Arial" w:cs="Arial" w:eastAsia="Arial" w:hAnsi="Arial"/>
                <w:sz w:val="14"/>
                <w:szCs w:val="14"/>
                <w:b w:val="1"/>
                <w:bCs w:val="1"/>
                <w:color w:val="auto"/>
              </w:rPr>
              <w:t>Three Months Ended</w:t>
            </w:r>
          </w:p>
        </w:tc>
        <w:tc>
          <w:tcPr>
            <w:tcW w:w="440" w:type="dxa"/>
            <w:vAlign w:val="bottom"/>
            <w:vMerge w:val="restart"/>
          </w:tcPr>
          <w:p>
            <w:pPr>
              <w:jc w:val="center"/>
              <w:spacing w:after="0"/>
              <w:rPr>
                <w:sz w:val="20"/>
                <w:szCs w:val="20"/>
                <w:color w:val="auto"/>
              </w:rPr>
            </w:pPr>
            <w:r>
              <w:rPr>
                <w:rFonts w:ascii="Arial" w:cs="Arial" w:eastAsia="Arial" w:hAnsi="Arial"/>
                <w:sz w:val="14"/>
                <w:szCs w:val="14"/>
                <w:b w:val="1"/>
                <w:bCs w:val="1"/>
                <w:color w:val="auto"/>
              </w:rPr>
              <w:t>%</w:t>
            </w:r>
          </w:p>
        </w:tc>
        <w:tc>
          <w:tcPr>
            <w:tcW w:w="420" w:type="dxa"/>
            <w:vAlign w:val="bottom"/>
          </w:tcPr>
          <w:p>
            <w:pPr>
              <w:spacing w:after="0"/>
              <w:rPr>
                <w:sz w:val="14"/>
                <w:szCs w:val="14"/>
                <w:color w:val="auto"/>
              </w:rPr>
            </w:pPr>
          </w:p>
        </w:tc>
        <w:tc>
          <w:tcPr>
            <w:tcW w:w="2240" w:type="dxa"/>
            <w:vAlign w:val="bottom"/>
            <w:gridSpan w:val="4"/>
          </w:tcPr>
          <w:p>
            <w:pPr>
              <w:jc w:val="right"/>
              <w:ind w:right="720"/>
              <w:spacing w:after="0"/>
              <w:rPr>
                <w:sz w:val="20"/>
                <w:szCs w:val="20"/>
                <w:color w:val="auto"/>
              </w:rPr>
            </w:pPr>
            <w:r>
              <w:rPr>
                <w:rFonts w:ascii="Arial" w:cs="Arial" w:eastAsia="Arial" w:hAnsi="Arial"/>
                <w:sz w:val="14"/>
                <w:szCs w:val="14"/>
                <w:b w:val="1"/>
                <w:bCs w:val="1"/>
                <w:color w:val="auto"/>
              </w:rPr>
              <w:t>Nine Months Ended</w:t>
            </w:r>
          </w:p>
        </w:tc>
        <w:tc>
          <w:tcPr>
            <w:tcW w:w="440" w:type="dxa"/>
            <w:vAlign w:val="bottom"/>
            <w:vMerge w:val="restart"/>
          </w:tcPr>
          <w:p>
            <w:pPr>
              <w:jc w:val="right"/>
              <w:ind w:right="86"/>
              <w:spacing w:after="0"/>
              <w:rPr>
                <w:sz w:val="20"/>
                <w:szCs w:val="20"/>
                <w:color w:val="auto"/>
              </w:rPr>
            </w:pPr>
            <w:r>
              <w:rPr>
                <w:rFonts w:ascii="Arial" w:cs="Arial" w:eastAsia="Arial" w:hAnsi="Arial"/>
                <w:sz w:val="14"/>
                <w:szCs w:val="14"/>
                <w:b w:val="1"/>
                <w:bCs w:val="1"/>
                <w:color w:val="auto"/>
              </w:rPr>
              <w:t>%</w:t>
            </w:r>
          </w:p>
        </w:tc>
        <w:tc>
          <w:tcPr>
            <w:tcW w:w="26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29"/>
        </w:trPr>
        <w:tc>
          <w:tcPr>
            <w:tcW w:w="5440" w:type="dxa"/>
            <w:vAlign w:val="bottom"/>
          </w:tcPr>
          <w:p>
            <w:pPr>
              <w:spacing w:after="0"/>
              <w:rPr>
                <w:sz w:val="11"/>
                <w:szCs w:val="11"/>
                <w:color w:val="auto"/>
              </w:rPr>
            </w:pPr>
          </w:p>
        </w:tc>
        <w:tc>
          <w:tcPr>
            <w:tcW w:w="1060" w:type="dxa"/>
            <w:vAlign w:val="bottom"/>
            <w:tcBorders>
              <w:top w:val="single" w:sz="8" w:color="auto"/>
            </w:tcBorders>
            <w:gridSpan w:val="2"/>
          </w:tcPr>
          <w:p>
            <w:pPr>
              <w:jc w:val="right"/>
              <w:ind w:right="380"/>
              <w:spacing w:after="0" w:line="129" w:lineRule="exact"/>
              <w:rPr>
                <w:sz w:val="20"/>
                <w:szCs w:val="20"/>
                <w:color w:val="auto"/>
              </w:rPr>
            </w:pPr>
            <w:r>
              <w:rPr>
                <w:rFonts w:ascii="Arial" w:cs="Arial" w:eastAsia="Arial" w:hAnsi="Arial"/>
                <w:sz w:val="14"/>
                <w:szCs w:val="14"/>
                <w:b w:val="1"/>
                <w:bCs w:val="1"/>
                <w:color w:val="auto"/>
                <w:w w:val="85"/>
              </w:rPr>
              <w:t>October 31,</w:t>
            </w:r>
          </w:p>
        </w:tc>
        <w:tc>
          <w:tcPr>
            <w:tcW w:w="740" w:type="dxa"/>
            <w:vAlign w:val="bottom"/>
            <w:tcBorders>
              <w:top w:val="single" w:sz="8" w:color="auto"/>
            </w:tcBorders>
          </w:tcPr>
          <w:p>
            <w:pPr>
              <w:jc w:val="right"/>
              <w:spacing w:after="0" w:line="129" w:lineRule="exact"/>
              <w:rPr>
                <w:sz w:val="20"/>
                <w:szCs w:val="20"/>
                <w:color w:val="auto"/>
              </w:rPr>
            </w:pPr>
            <w:r>
              <w:rPr>
                <w:rFonts w:ascii="Arial" w:cs="Arial" w:eastAsia="Arial" w:hAnsi="Arial"/>
                <w:sz w:val="14"/>
                <w:szCs w:val="14"/>
                <w:b w:val="1"/>
                <w:bCs w:val="1"/>
                <w:color w:val="auto"/>
                <w:w w:val="83"/>
              </w:rPr>
              <w:t>November 1,</w:t>
            </w:r>
          </w:p>
        </w:tc>
        <w:tc>
          <w:tcPr>
            <w:tcW w:w="380" w:type="dxa"/>
            <w:vAlign w:val="bottom"/>
          </w:tcPr>
          <w:p>
            <w:pPr>
              <w:spacing w:after="0"/>
              <w:rPr>
                <w:sz w:val="11"/>
                <w:szCs w:val="11"/>
                <w:color w:val="auto"/>
              </w:rPr>
            </w:pPr>
          </w:p>
        </w:tc>
        <w:tc>
          <w:tcPr>
            <w:tcW w:w="440" w:type="dxa"/>
            <w:vAlign w:val="bottom"/>
            <w:vMerge w:val="continue"/>
          </w:tcPr>
          <w:p>
            <w:pPr>
              <w:spacing w:after="0"/>
              <w:rPr>
                <w:sz w:val="11"/>
                <w:szCs w:val="11"/>
                <w:color w:val="auto"/>
              </w:rPr>
            </w:pPr>
          </w:p>
        </w:tc>
        <w:tc>
          <w:tcPr>
            <w:tcW w:w="420" w:type="dxa"/>
            <w:vAlign w:val="bottom"/>
          </w:tcPr>
          <w:p>
            <w:pPr>
              <w:spacing w:after="0"/>
              <w:rPr>
                <w:sz w:val="11"/>
                <w:szCs w:val="11"/>
                <w:color w:val="auto"/>
              </w:rPr>
            </w:pPr>
          </w:p>
        </w:tc>
        <w:tc>
          <w:tcPr>
            <w:tcW w:w="1060" w:type="dxa"/>
            <w:vAlign w:val="bottom"/>
            <w:tcBorders>
              <w:top w:val="single" w:sz="8" w:color="auto"/>
            </w:tcBorders>
            <w:gridSpan w:val="2"/>
          </w:tcPr>
          <w:p>
            <w:pPr>
              <w:jc w:val="right"/>
              <w:ind w:right="380"/>
              <w:spacing w:after="0" w:line="129" w:lineRule="exact"/>
              <w:rPr>
                <w:sz w:val="20"/>
                <w:szCs w:val="20"/>
                <w:color w:val="auto"/>
              </w:rPr>
            </w:pPr>
            <w:r>
              <w:rPr>
                <w:rFonts w:ascii="Arial" w:cs="Arial" w:eastAsia="Arial" w:hAnsi="Arial"/>
                <w:sz w:val="14"/>
                <w:szCs w:val="14"/>
                <w:b w:val="1"/>
                <w:bCs w:val="1"/>
                <w:color w:val="auto"/>
                <w:w w:val="85"/>
              </w:rPr>
              <w:t>October 31,</w:t>
            </w:r>
          </w:p>
        </w:tc>
        <w:tc>
          <w:tcPr>
            <w:tcW w:w="800" w:type="dxa"/>
            <w:vAlign w:val="bottom"/>
            <w:tcBorders>
              <w:top w:val="single" w:sz="8" w:color="auto"/>
            </w:tcBorders>
          </w:tcPr>
          <w:p>
            <w:pPr>
              <w:jc w:val="right"/>
              <w:spacing w:after="0" w:line="129" w:lineRule="exact"/>
              <w:rPr>
                <w:sz w:val="20"/>
                <w:szCs w:val="20"/>
                <w:color w:val="auto"/>
              </w:rPr>
            </w:pPr>
            <w:r>
              <w:rPr>
                <w:rFonts w:ascii="Arial" w:cs="Arial" w:eastAsia="Arial" w:hAnsi="Arial"/>
                <w:sz w:val="14"/>
                <w:szCs w:val="14"/>
                <w:b w:val="1"/>
                <w:bCs w:val="1"/>
                <w:color w:val="auto"/>
                <w:w w:val="88"/>
              </w:rPr>
              <w:t>November 1,</w:t>
            </w:r>
          </w:p>
        </w:tc>
        <w:tc>
          <w:tcPr>
            <w:tcW w:w="380" w:type="dxa"/>
            <w:vAlign w:val="bottom"/>
          </w:tcPr>
          <w:p>
            <w:pPr>
              <w:spacing w:after="0"/>
              <w:rPr>
                <w:sz w:val="11"/>
                <w:szCs w:val="11"/>
                <w:color w:val="auto"/>
              </w:rPr>
            </w:pPr>
          </w:p>
        </w:tc>
        <w:tc>
          <w:tcPr>
            <w:tcW w:w="440" w:type="dxa"/>
            <w:vAlign w:val="bottom"/>
            <w:vMerge w:val="continue"/>
          </w:tcPr>
          <w:p>
            <w:pPr>
              <w:spacing w:after="0"/>
              <w:rPr>
                <w:sz w:val="11"/>
                <w:szCs w:val="11"/>
                <w:color w:val="auto"/>
              </w:rPr>
            </w:pPr>
          </w:p>
        </w:tc>
        <w:tc>
          <w:tcPr>
            <w:tcW w:w="26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1"/>
        </w:trPr>
        <w:tc>
          <w:tcPr>
            <w:tcW w:w="5440" w:type="dxa"/>
            <w:vAlign w:val="bottom"/>
          </w:tcPr>
          <w:p>
            <w:pPr>
              <w:spacing w:after="0"/>
              <w:rPr>
                <w:sz w:val="14"/>
                <w:szCs w:val="14"/>
                <w:color w:val="auto"/>
              </w:rPr>
            </w:pPr>
          </w:p>
        </w:tc>
        <w:tc>
          <w:tcPr>
            <w:tcW w:w="680" w:type="dxa"/>
            <w:vAlign w:val="bottom"/>
          </w:tcPr>
          <w:p>
            <w:pPr>
              <w:jc w:val="right"/>
              <w:ind w:right="144"/>
              <w:spacing w:after="0"/>
              <w:rPr>
                <w:sz w:val="20"/>
                <w:szCs w:val="20"/>
                <w:color w:val="auto"/>
              </w:rPr>
            </w:pPr>
            <w:r>
              <w:rPr>
                <w:rFonts w:ascii="Arial" w:cs="Arial" w:eastAsia="Arial" w:hAnsi="Arial"/>
                <w:sz w:val="14"/>
                <w:szCs w:val="14"/>
                <w:b w:val="1"/>
                <w:bCs w:val="1"/>
                <w:color w:val="auto"/>
              </w:rPr>
              <w:t>2009</w:t>
            </w:r>
          </w:p>
        </w:tc>
        <w:tc>
          <w:tcPr>
            <w:tcW w:w="380" w:type="dxa"/>
            <w:vAlign w:val="bottom"/>
          </w:tcPr>
          <w:p>
            <w:pPr>
              <w:spacing w:after="0"/>
              <w:rPr>
                <w:sz w:val="14"/>
                <w:szCs w:val="14"/>
                <w:color w:val="auto"/>
              </w:rPr>
            </w:pPr>
          </w:p>
        </w:tc>
        <w:tc>
          <w:tcPr>
            <w:tcW w:w="740" w:type="dxa"/>
            <w:vAlign w:val="bottom"/>
          </w:tcPr>
          <w:p>
            <w:pPr>
              <w:jc w:val="right"/>
              <w:ind w:right="162"/>
              <w:spacing w:after="0"/>
              <w:rPr>
                <w:sz w:val="20"/>
                <w:szCs w:val="20"/>
                <w:color w:val="auto"/>
              </w:rPr>
            </w:pPr>
            <w:r>
              <w:rPr>
                <w:rFonts w:ascii="Arial" w:cs="Arial" w:eastAsia="Arial" w:hAnsi="Arial"/>
                <w:sz w:val="14"/>
                <w:szCs w:val="14"/>
                <w:b w:val="1"/>
                <w:bCs w:val="1"/>
                <w:color w:val="auto"/>
              </w:rPr>
              <w:t>2008</w:t>
            </w:r>
          </w:p>
        </w:tc>
        <w:tc>
          <w:tcPr>
            <w:tcW w:w="380" w:type="dxa"/>
            <w:vAlign w:val="bottom"/>
          </w:tcPr>
          <w:p>
            <w:pPr>
              <w:spacing w:after="0"/>
              <w:rPr>
                <w:sz w:val="14"/>
                <w:szCs w:val="14"/>
                <w:color w:val="auto"/>
              </w:rPr>
            </w:pPr>
          </w:p>
        </w:tc>
        <w:tc>
          <w:tcPr>
            <w:tcW w:w="860" w:type="dxa"/>
            <w:vAlign w:val="bottom"/>
            <w:gridSpan w:val="2"/>
          </w:tcPr>
          <w:p>
            <w:pPr>
              <w:jc w:val="center"/>
              <w:ind w:right="352"/>
              <w:spacing w:after="0"/>
              <w:rPr>
                <w:sz w:val="20"/>
                <w:szCs w:val="20"/>
                <w:color w:val="auto"/>
              </w:rPr>
            </w:pPr>
            <w:r>
              <w:rPr>
                <w:rFonts w:ascii="Arial" w:cs="Arial" w:eastAsia="Arial" w:hAnsi="Arial"/>
                <w:sz w:val="14"/>
                <w:szCs w:val="14"/>
                <w:b w:val="1"/>
                <w:bCs w:val="1"/>
                <w:color w:val="auto"/>
                <w:w w:val="85"/>
              </w:rPr>
              <w:t>Change</w:t>
            </w:r>
          </w:p>
        </w:tc>
        <w:tc>
          <w:tcPr>
            <w:tcW w:w="680" w:type="dxa"/>
            <w:vAlign w:val="bottom"/>
          </w:tcPr>
          <w:p>
            <w:pPr>
              <w:jc w:val="right"/>
              <w:ind w:right="126"/>
              <w:spacing w:after="0"/>
              <w:rPr>
                <w:sz w:val="20"/>
                <w:szCs w:val="20"/>
                <w:color w:val="auto"/>
              </w:rPr>
            </w:pPr>
            <w:r>
              <w:rPr>
                <w:rFonts w:ascii="Arial" w:cs="Arial" w:eastAsia="Arial" w:hAnsi="Arial"/>
                <w:sz w:val="14"/>
                <w:szCs w:val="14"/>
                <w:b w:val="1"/>
                <w:bCs w:val="1"/>
                <w:color w:val="auto"/>
              </w:rPr>
              <w:t>2009</w:t>
            </w:r>
          </w:p>
        </w:tc>
        <w:tc>
          <w:tcPr>
            <w:tcW w:w="380" w:type="dxa"/>
            <w:vAlign w:val="bottom"/>
          </w:tcPr>
          <w:p>
            <w:pPr>
              <w:spacing w:after="0"/>
              <w:rPr>
                <w:sz w:val="14"/>
                <w:szCs w:val="14"/>
                <w:color w:val="auto"/>
              </w:rPr>
            </w:pPr>
          </w:p>
        </w:tc>
        <w:tc>
          <w:tcPr>
            <w:tcW w:w="800" w:type="dxa"/>
            <w:vAlign w:val="bottom"/>
          </w:tcPr>
          <w:p>
            <w:pPr>
              <w:jc w:val="right"/>
              <w:ind w:right="182"/>
              <w:spacing w:after="0"/>
              <w:rPr>
                <w:sz w:val="20"/>
                <w:szCs w:val="20"/>
                <w:color w:val="auto"/>
              </w:rPr>
            </w:pPr>
            <w:r>
              <w:rPr>
                <w:rFonts w:ascii="Arial" w:cs="Arial" w:eastAsia="Arial" w:hAnsi="Arial"/>
                <w:sz w:val="14"/>
                <w:szCs w:val="14"/>
                <w:b w:val="1"/>
                <w:bCs w:val="1"/>
                <w:color w:val="auto"/>
              </w:rPr>
              <w:t>2008</w:t>
            </w:r>
          </w:p>
        </w:tc>
        <w:tc>
          <w:tcPr>
            <w:tcW w:w="380" w:type="dxa"/>
            <w:vAlign w:val="bottom"/>
          </w:tcPr>
          <w:p>
            <w:pPr>
              <w:spacing w:after="0"/>
              <w:rPr>
                <w:sz w:val="14"/>
                <w:szCs w:val="14"/>
                <w:color w:val="auto"/>
              </w:rPr>
            </w:pPr>
          </w:p>
        </w:tc>
        <w:tc>
          <w:tcPr>
            <w:tcW w:w="700" w:type="dxa"/>
            <w:vAlign w:val="bottom"/>
            <w:gridSpan w:val="2"/>
          </w:tcPr>
          <w:p>
            <w:pPr>
              <w:jc w:val="center"/>
              <w:ind w:right="260"/>
              <w:spacing w:after="0"/>
              <w:rPr>
                <w:sz w:val="20"/>
                <w:szCs w:val="20"/>
                <w:color w:val="auto"/>
              </w:rPr>
            </w:pPr>
            <w:r>
              <w:rPr>
                <w:rFonts w:ascii="Arial" w:cs="Arial" w:eastAsia="Arial" w:hAnsi="Arial"/>
                <w:sz w:val="14"/>
                <w:szCs w:val="14"/>
                <w:b w:val="1"/>
                <w:bCs w:val="1"/>
                <w:color w:val="auto"/>
                <w:w w:val="85"/>
              </w:rPr>
              <w:t>Change</w:t>
            </w:r>
          </w:p>
        </w:tc>
        <w:tc>
          <w:tcPr>
            <w:tcW w:w="0" w:type="dxa"/>
            <w:vAlign w:val="bottom"/>
          </w:tcPr>
          <w:p>
            <w:pPr>
              <w:spacing w:after="0"/>
              <w:rPr>
                <w:sz w:val="1"/>
                <w:szCs w:val="1"/>
                <w:color w:val="auto"/>
              </w:rPr>
            </w:pPr>
          </w:p>
        </w:tc>
      </w:tr>
      <w:tr>
        <w:trPr>
          <w:trHeight w:val="142"/>
        </w:trPr>
        <w:tc>
          <w:tcPr>
            <w:tcW w:w="5440" w:type="dxa"/>
            <w:vAlign w:val="bottom"/>
          </w:tcPr>
          <w:p>
            <w:pPr>
              <w:spacing w:after="0"/>
              <w:rPr>
                <w:sz w:val="12"/>
                <w:szCs w:val="12"/>
                <w:color w:val="auto"/>
              </w:rPr>
            </w:pPr>
          </w:p>
        </w:tc>
        <w:tc>
          <w:tcPr>
            <w:tcW w:w="680" w:type="dxa"/>
            <w:vAlign w:val="bottom"/>
            <w:tcBorders>
              <w:top w:val="single" w:sz="8" w:color="auto"/>
            </w:tcBorders>
          </w:tcPr>
          <w:p>
            <w:pPr>
              <w:spacing w:after="0"/>
              <w:rPr>
                <w:sz w:val="12"/>
                <w:szCs w:val="12"/>
                <w:color w:val="auto"/>
              </w:rPr>
            </w:pPr>
          </w:p>
        </w:tc>
        <w:tc>
          <w:tcPr>
            <w:tcW w:w="380" w:type="dxa"/>
            <w:vAlign w:val="bottom"/>
          </w:tcPr>
          <w:p>
            <w:pPr>
              <w:spacing w:after="0"/>
              <w:rPr>
                <w:sz w:val="12"/>
                <w:szCs w:val="12"/>
                <w:color w:val="auto"/>
              </w:rPr>
            </w:pPr>
          </w:p>
        </w:tc>
        <w:tc>
          <w:tcPr>
            <w:tcW w:w="740" w:type="dxa"/>
            <w:vAlign w:val="bottom"/>
            <w:tcBorders>
              <w:top w:val="single" w:sz="8" w:color="auto"/>
            </w:tcBorders>
          </w:tcPr>
          <w:p>
            <w:pPr>
              <w:spacing w:after="0"/>
              <w:rPr>
                <w:sz w:val="12"/>
                <w:szCs w:val="12"/>
                <w:color w:val="auto"/>
              </w:rPr>
            </w:pPr>
          </w:p>
        </w:tc>
        <w:tc>
          <w:tcPr>
            <w:tcW w:w="380" w:type="dxa"/>
            <w:vAlign w:val="bottom"/>
          </w:tcPr>
          <w:p>
            <w:pPr>
              <w:jc w:val="right"/>
              <w:ind w:right="52"/>
              <w:spacing w:after="0" w:line="142" w:lineRule="exact"/>
              <w:rPr>
                <w:sz w:val="20"/>
                <w:szCs w:val="20"/>
                <w:color w:val="auto"/>
              </w:rPr>
            </w:pPr>
            <w:r>
              <w:rPr>
                <w:rFonts w:ascii="Arial" w:cs="Arial" w:eastAsia="Arial" w:hAnsi="Arial"/>
                <w:sz w:val="14"/>
                <w:szCs w:val="14"/>
                <w:b w:val="1"/>
                <w:bCs w:val="1"/>
                <w:color w:val="auto"/>
              </w:rPr>
              <w:t>(in</w:t>
            </w:r>
          </w:p>
        </w:tc>
        <w:tc>
          <w:tcPr>
            <w:tcW w:w="440" w:type="dxa"/>
            <w:vAlign w:val="bottom"/>
            <w:tcBorders>
              <w:top w:val="single" w:sz="8" w:color="auto"/>
            </w:tcBorders>
          </w:tcPr>
          <w:p>
            <w:pPr>
              <w:jc w:val="center"/>
              <w:spacing w:after="0"/>
              <w:rPr>
                <w:sz w:val="20"/>
                <w:szCs w:val="20"/>
                <w:color w:val="auto"/>
              </w:rPr>
            </w:pPr>
            <w:r>
              <w:rPr>
                <w:rFonts w:ascii="Arial" w:cs="Arial" w:eastAsia="Arial" w:hAnsi="Arial"/>
                <w:sz w:val="11"/>
                <w:szCs w:val="11"/>
                <w:b w:val="1"/>
                <w:bCs w:val="1"/>
                <w:color w:val="auto"/>
                <w:w w:val="74"/>
              </w:rPr>
              <w:t>thousands,</w:t>
            </w:r>
          </w:p>
        </w:tc>
        <w:tc>
          <w:tcPr>
            <w:tcW w:w="420" w:type="dxa"/>
            <w:vAlign w:val="bottom"/>
          </w:tcPr>
          <w:p>
            <w:pPr>
              <w:jc w:val="right"/>
              <w:spacing w:after="0" w:line="142" w:lineRule="exact"/>
              <w:rPr>
                <w:sz w:val="20"/>
                <w:szCs w:val="20"/>
                <w:color w:val="auto"/>
              </w:rPr>
            </w:pPr>
            <w:r>
              <w:rPr>
                <w:rFonts w:ascii="Arial" w:cs="Arial" w:eastAsia="Arial" w:hAnsi="Arial"/>
                <w:sz w:val="14"/>
                <w:szCs w:val="14"/>
                <w:b w:val="1"/>
                <w:bCs w:val="1"/>
                <w:color w:val="auto"/>
                <w:w w:val="90"/>
              </w:rPr>
              <w:t>except</w:t>
            </w:r>
          </w:p>
        </w:tc>
        <w:tc>
          <w:tcPr>
            <w:tcW w:w="680" w:type="dxa"/>
            <w:vAlign w:val="bottom"/>
            <w:tcBorders>
              <w:top w:val="single" w:sz="8" w:color="auto"/>
            </w:tcBorders>
          </w:tcPr>
          <w:p>
            <w:pPr>
              <w:jc w:val="right"/>
              <w:spacing w:after="0" w:line="142" w:lineRule="exact"/>
              <w:rPr>
                <w:sz w:val="20"/>
                <w:szCs w:val="20"/>
                <w:color w:val="auto"/>
              </w:rPr>
            </w:pPr>
            <w:r>
              <w:rPr>
                <w:rFonts w:ascii="Arial" w:cs="Arial" w:eastAsia="Arial" w:hAnsi="Arial"/>
                <w:sz w:val="14"/>
                <w:szCs w:val="14"/>
                <w:b w:val="1"/>
                <w:bCs w:val="1"/>
                <w:color w:val="auto"/>
                <w:w w:val="83"/>
              </w:rPr>
              <w:t>percentage)</w:t>
            </w:r>
          </w:p>
        </w:tc>
        <w:tc>
          <w:tcPr>
            <w:tcW w:w="380" w:type="dxa"/>
            <w:vAlign w:val="bottom"/>
          </w:tcPr>
          <w:p>
            <w:pPr>
              <w:spacing w:after="0"/>
              <w:rPr>
                <w:sz w:val="12"/>
                <w:szCs w:val="12"/>
                <w:color w:val="auto"/>
              </w:rPr>
            </w:pPr>
          </w:p>
        </w:tc>
        <w:tc>
          <w:tcPr>
            <w:tcW w:w="800" w:type="dxa"/>
            <w:vAlign w:val="bottom"/>
            <w:tcBorders>
              <w:top w:val="single" w:sz="8" w:color="auto"/>
            </w:tcBorders>
          </w:tcPr>
          <w:p>
            <w:pPr>
              <w:spacing w:after="0"/>
              <w:rPr>
                <w:sz w:val="12"/>
                <w:szCs w:val="12"/>
                <w:color w:val="auto"/>
              </w:rPr>
            </w:pPr>
          </w:p>
        </w:tc>
        <w:tc>
          <w:tcPr>
            <w:tcW w:w="380" w:type="dxa"/>
            <w:vAlign w:val="bottom"/>
          </w:tcPr>
          <w:p>
            <w:pPr>
              <w:spacing w:after="0"/>
              <w:rPr>
                <w:sz w:val="12"/>
                <w:szCs w:val="12"/>
                <w:color w:val="auto"/>
              </w:rPr>
            </w:pPr>
          </w:p>
        </w:tc>
        <w:tc>
          <w:tcPr>
            <w:tcW w:w="440" w:type="dxa"/>
            <w:vAlign w:val="bottom"/>
            <w:tcBorders>
              <w:top w:val="single" w:sz="8" w:color="auto"/>
            </w:tcBorders>
          </w:tcPr>
          <w:p>
            <w:pPr>
              <w:spacing w:after="0"/>
              <w:rPr>
                <w:sz w:val="12"/>
                <w:szCs w:val="12"/>
                <w:color w:val="auto"/>
              </w:rPr>
            </w:pPr>
          </w:p>
        </w:tc>
        <w:tc>
          <w:tcPr>
            <w:tcW w:w="26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216"/>
        </w:trPr>
        <w:tc>
          <w:tcPr>
            <w:tcW w:w="5440" w:type="dxa"/>
            <w:vAlign w:val="bottom"/>
            <w:shd w:val="clear" w:color="auto" w:fill="CCEEFF"/>
          </w:tcPr>
          <w:p>
            <w:pPr>
              <w:spacing w:after="0"/>
              <w:rPr>
                <w:sz w:val="20"/>
                <w:szCs w:val="20"/>
                <w:color w:val="auto"/>
              </w:rPr>
            </w:pPr>
            <w:r>
              <w:rPr>
                <w:rFonts w:ascii="Arial" w:cs="Arial" w:eastAsia="Arial" w:hAnsi="Arial"/>
                <w:sz w:val="18"/>
                <w:szCs w:val="18"/>
                <w:color w:val="auto"/>
              </w:rPr>
              <w:t>Cost of Goods Sold</w:t>
            </w:r>
          </w:p>
        </w:tc>
        <w:tc>
          <w:tcPr>
            <w:tcW w:w="68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7"/>
              </w:rPr>
              <w:t>$341,617</w:t>
            </w:r>
          </w:p>
        </w:tc>
        <w:tc>
          <w:tcPr>
            <w:tcW w:w="380" w:type="dxa"/>
            <w:vAlign w:val="bottom"/>
            <w:shd w:val="clear" w:color="auto" w:fill="CCEEFF"/>
          </w:tcPr>
          <w:p>
            <w:pPr>
              <w:spacing w:after="0"/>
              <w:rPr>
                <w:sz w:val="18"/>
                <w:szCs w:val="18"/>
                <w:color w:val="auto"/>
              </w:rPr>
            </w:pPr>
          </w:p>
        </w:tc>
        <w:tc>
          <w:tcPr>
            <w:tcW w:w="1120" w:type="dxa"/>
            <w:vAlign w:val="bottom"/>
            <w:gridSpan w:val="2"/>
            <w:shd w:val="clear" w:color="auto" w:fill="CCEEFF"/>
          </w:tcPr>
          <w:p>
            <w:pPr>
              <w:jc w:val="right"/>
              <w:ind w:right="312"/>
              <w:spacing w:after="0"/>
              <w:rPr>
                <w:sz w:val="20"/>
                <w:szCs w:val="20"/>
                <w:color w:val="auto"/>
              </w:rPr>
            </w:pPr>
            <w:r>
              <w:rPr>
                <w:rFonts w:ascii="Arial" w:cs="Arial" w:eastAsia="Arial" w:hAnsi="Arial"/>
                <w:sz w:val="18"/>
                <w:szCs w:val="18"/>
                <w:color w:val="auto"/>
                <w:w w:val="89"/>
              </w:rPr>
              <w:t>$ 379,137</w:t>
            </w:r>
          </w:p>
        </w:tc>
        <w:tc>
          <w:tcPr>
            <w:tcW w:w="860" w:type="dxa"/>
            <w:vAlign w:val="bottom"/>
            <w:gridSpan w:val="2"/>
            <w:shd w:val="clear" w:color="auto" w:fill="CCEEFF"/>
          </w:tcPr>
          <w:p>
            <w:pPr>
              <w:jc w:val="right"/>
              <w:ind w:right="152"/>
              <w:spacing w:after="0"/>
              <w:rPr>
                <w:sz w:val="20"/>
                <w:szCs w:val="20"/>
                <w:color w:val="auto"/>
              </w:rPr>
            </w:pPr>
            <w:r>
              <w:rPr>
                <w:rFonts w:ascii="Arial" w:cs="Arial" w:eastAsia="Arial" w:hAnsi="Arial"/>
                <w:sz w:val="18"/>
                <w:szCs w:val="18"/>
                <w:color w:val="auto"/>
              </w:rPr>
              <w:t>(9.9)%</w:t>
            </w:r>
          </w:p>
        </w:tc>
        <w:tc>
          <w:tcPr>
            <w:tcW w:w="1060" w:type="dxa"/>
            <w:vAlign w:val="bottom"/>
            <w:gridSpan w:val="2"/>
            <w:shd w:val="clear" w:color="auto" w:fill="CCEEFF"/>
          </w:tcPr>
          <w:p>
            <w:pPr>
              <w:jc w:val="right"/>
              <w:ind w:right="380"/>
              <w:spacing w:after="0"/>
              <w:rPr>
                <w:sz w:val="20"/>
                <w:szCs w:val="20"/>
                <w:color w:val="auto"/>
              </w:rPr>
            </w:pPr>
            <w:r>
              <w:rPr>
                <w:rFonts w:ascii="Arial" w:cs="Arial" w:eastAsia="Arial" w:hAnsi="Arial"/>
                <w:sz w:val="18"/>
                <w:szCs w:val="18"/>
                <w:color w:val="auto"/>
                <w:w w:val="87"/>
              </w:rPr>
              <w:t>$887,306</w:t>
            </w:r>
          </w:p>
        </w:tc>
        <w:tc>
          <w:tcPr>
            <w:tcW w:w="1180" w:type="dxa"/>
            <w:vAlign w:val="bottom"/>
            <w:gridSpan w:val="2"/>
            <w:shd w:val="clear" w:color="auto" w:fill="CCEEFF"/>
          </w:tcPr>
          <w:p>
            <w:pPr>
              <w:jc w:val="right"/>
              <w:ind w:right="380"/>
              <w:spacing w:after="0"/>
              <w:rPr>
                <w:sz w:val="20"/>
                <w:szCs w:val="20"/>
                <w:color w:val="auto"/>
              </w:rPr>
            </w:pPr>
            <w:r>
              <w:rPr>
                <w:rFonts w:ascii="Arial" w:cs="Arial" w:eastAsia="Arial" w:hAnsi="Arial"/>
                <w:sz w:val="18"/>
                <w:szCs w:val="18"/>
                <w:color w:val="auto"/>
                <w:w w:val="86"/>
              </w:rPr>
              <w:t>$1,173,892</w:t>
            </w:r>
          </w:p>
        </w:tc>
        <w:tc>
          <w:tcPr>
            <w:tcW w:w="70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w w:val="98"/>
              </w:rPr>
              <w:t>(24.4)%</w:t>
            </w:r>
          </w:p>
        </w:tc>
        <w:tc>
          <w:tcPr>
            <w:tcW w:w="0" w:type="dxa"/>
            <w:vAlign w:val="bottom"/>
          </w:tcPr>
          <w:p>
            <w:pPr>
              <w:spacing w:after="0"/>
              <w:rPr>
                <w:sz w:val="1"/>
                <w:szCs w:val="1"/>
                <w:color w:val="auto"/>
              </w:rPr>
            </w:pPr>
          </w:p>
        </w:tc>
      </w:tr>
      <w:tr>
        <w:trPr>
          <w:trHeight w:val="222"/>
        </w:trPr>
        <w:tc>
          <w:tcPr>
            <w:tcW w:w="5440" w:type="dxa"/>
            <w:vAlign w:val="bottom"/>
          </w:tcPr>
          <w:p>
            <w:pPr>
              <w:spacing w:after="0"/>
              <w:rPr>
                <w:sz w:val="20"/>
                <w:szCs w:val="20"/>
                <w:color w:val="auto"/>
              </w:rPr>
            </w:pPr>
            <w:r>
              <w:rPr>
                <w:rFonts w:ascii="Arial" w:cs="Arial" w:eastAsia="Arial" w:hAnsi="Arial"/>
                <w:sz w:val="18"/>
                <w:szCs w:val="18"/>
                <w:color w:val="auto"/>
              </w:rPr>
              <w:t>% of net revenue</w:t>
            </w:r>
          </w:p>
        </w:tc>
        <w:tc>
          <w:tcPr>
            <w:tcW w:w="1060" w:type="dxa"/>
            <w:vAlign w:val="bottom"/>
            <w:gridSpan w:val="2"/>
          </w:tcPr>
          <w:p>
            <w:pPr>
              <w:jc w:val="right"/>
              <w:ind w:right="240"/>
              <w:spacing w:after="0"/>
              <w:rPr>
                <w:sz w:val="20"/>
                <w:szCs w:val="20"/>
                <w:color w:val="auto"/>
              </w:rPr>
            </w:pPr>
            <w:r>
              <w:rPr>
                <w:rFonts w:ascii="Arial" w:cs="Arial" w:eastAsia="Arial" w:hAnsi="Arial"/>
                <w:sz w:val="18"/>
                <w:szCs w:val="18"/>
                <w:color w:val="auto"/>
              </w:rPr>
              <w:t>42.5%</w:t>
            </w:r>
          </w:p>
        </w:tc>
        <w:tc>
          <w:tcPr>
            <w:tcW w:w="1120" w:type="dxa"/>
            <w:vAlign w:val="bottom"/>
            <w:gridSpan w:val="2"/>
          </w:tcPr>
          <w:p>
            <w:pPr>
              <w:jc w:val="right"/>
              <w:ind w:right="172"/>
              <w:spacing w:after="0"/>
              <w:rPr>
                <w:sz w:val="20"/>
                <w:szCs w:val="20"/>
                <w:color w:val="auto"/>
              </w:rPr>
            </w:pPr>
            <w:r>
              <w:rPr>
                <w:rFonts w:ascii="Arial" w:cs="Arial" w:eastAsia="Arial" w:hAnsi="Arial"/>
                <w:sz w:val="18"/>
                <w:szCs w:val="18"/>
                <w:color w:val="auto"/>
              </w:rPr>
              <w:t>47.9%</w:t>
            </w:r>
          </w:p>
        </w:tc>
        <w:tc>
          <w:tcPr>
            <w:tcW w:w="440" w:type="dxa"/>
            <w:vAlign w:val="bottom"/>
          </w:tcPr>
          <w:p>
            <w:pPr>
              <w:spacing w:after="0"/>
              <w:rPr>
                <w:sz w:val="19"/>
                <w:szCs w:val="19"/>
                <w:color w:val="auto"/>
              </w:rPr>
            </w:pPr>
          </w:p>
        </w:tc>
        <w:tc>
          <w:tcPr>
            <w:tcW w:w="420" w:type="dxa"/>
            <w:vAlign w:val="bottom"/>
          </w:tcPr>
          <w:p>
            <w:pPr>
              <w:spacing w:after="0"/>
              <w:rPr>
                <w:sz w:val="19"/>
                <w:szCs w:val="19"/>
                <w:color w:val="auto"/>
              </w:rPr>
            </w:pPr>
          </w:p>
        </w:tc>
        <w:tc>
          <w:tcPr>
            <w:tcW w:w="1060" w:type="dxa"/>
            <w:vAlign w:val="bottom"/>
            <w:gridSpan w:val="2"/>
          </w:tcPr>
          <w:p>
            <w:pPr>
              <w:jc w:val="right"/>
              <w:ind w:right="220"/>
              <w:spacing w:after="0"/>
              <w:rPr>
                <w:sz w:val="20"/>
                <w:szCs w:val="20"/>
                <w:color w:val="auto"/>
              </w:rPr>
            </w:pPr>
            <w:r>
              <w:rPr>
                <w:rFonts w:ascii="Arial" w:cs="Arial" w:eastAsia="Arial" w:hAnsi="Arial"/>
                <w:sz w:val="18"/>
                <w:szCs w:val="18"/>
                <w:color w:val="auto"/>
              </w:rPr>
              <w:t>45.2%</w:t>
            </w:r>
          </w:p>
        </w:tc>
        <w:tc>
          <w:tcPr>
            <w:tcW w:w="1180" w:type="dxa"/>
            <w:vAlign w:val="bottom"/>
            <w:gridSpan w:val="2"/>
          </w:tcPr>
          <w:p>
            <w:pPr>
              <w:jc w:val="right"/>
              <w:ind w:right="240"/>
              <w:spacing w:after="0"/>
              <w:rPr>
                <w:sz w:val="20"/>
                <w:szCs w:val="20"/>
                <w:color w:val="auto"/>
              </w:rPr>
            </w:pPr>
            <w:r>
              <w:rPr>
                <w:rFonts w:ascii="Arial" w:cs="Arial" w:eastAsia="Arial" w:hAnsi="Arial"/>
                <w:sz w:val="18"/>
                <w:szCs w:val="18"/>
                <w:color w:val="auto"/>
              </w:rPr>
              <w:t>48.2%</w:t>
            </w:r>
          </w:p>
        </w:tc>
        <w:tc>
          <w:tcPr>
            <w:tcW w:w="440" w:type="dxa"/>
            <w:vAlign w:val="bottom"/>
          </w:tcPr>
          <w:p>
            <w:pPr>
              <w:spacing w:after="0"/>
              <w:rPr>
                <w:sz w:val="19"/>
                <w:szCs w:val="19"/>
                <w:color w:val="auto"/>
              </w:rPr>
            </w:pPr>
          </w:p>
        </w:tc>
        <w:tc>
          <w:tcPr>
            <w:tcW w:w="260" w:type="dxa"/>
            <w:vAlign w:val="bottom"/>
          </w:tcPr>
          <w:p>
            <w:pPr>
              <w:spacing w:after="0"/>
              <w:rPr>
                <w:sz w:val="19"/>
                <w:szCs w:val="19"/>
                <w:color w:val="auto"/>
              </w:rPr>
            </w:pPr>
          </w:p>
        </w:tc>
        <w:tc>
          <w:tcPr>
            <w:tcW w:w="0" w:type="dxa"/>
            <w:vAlign w:val="bottom"/>
          </w:tcPr>
          <w:p>
            <w:pPr>
              <w:spacing w:after="0"/>
              <w:rPr>
                <w:sz w:val="1"/>
                <w:szCs w:val="1"/>
                <w:color w:val="auto"/>
              </w:rPr>
            </w:pPr>
          </w:p>
        </w:tc>
      </w:tr>
    </w:tbl>
    <w:p>
      <w:pPr>
        <w:spacing w:after="0" w:line="147" w:lineRule="exact"/>
        <w:rPr>
          <w:sz w:val="20"/>
          <w:szCs w:val="20"/>
          <w:color w:val="auto"/>
        </w:rPr>
      </w:pPr>
    </w:p>
    <w:p>
      <w:pPr>
        <w:ind w:right="20" w:firstLine="456"/>
        <w:spacing w:after="0" w:line="289" w:lineRule="auto"/>
        <w:rPr>
          <w:sz w:val="20"/>
          <w:szCs w:val="20"/>
          <w:color w:val="auto"/>
        </w:rPr>
      </w:pPr>
      <w:r>
        <w:rPr>
          <w:rFonts w:ascii="Arial" w:cs="Arial" w:eastAsia="Arial" w:hAnsi="Arial"/>
          <w:sz w:val="16"/>
          <w:szCs w:val="16"/>
          <w:color w:val="auto"/>
        </w:rPr>
        <w:t>The decrease in cost of goods sold as a percentage of revenue for the three and nine months ended October 31, 2009 compared to the three and nine months ended November 1, 2008 was partially due to lower material and manufacturing costs as a result of cost reduction efforts with our foundry, assembly and test subcontractors discussed above as well as the on-going focus on yield improvements. Cost of goods sold as a percentage of revenue also decreased due to an improved mix of products sold, sales of previously written down inventory and lower excess and obsolescence provisions. Our cost of goods sold as a percentage of revenue may fluctuate in future periods due to, among other things, changes in the mix of products sold, the timing of production ramps of new products, increased pricing pressures from our customers and competitors, particularly in the consumer product markets that we are targeting, charges for obsolete or potentially excess inventory, changes in the costs charged by our foundry, assembly and test subcontractors, the introduction of new products with lower margins and product warranty costs.</w:t>
      </w:r>
    </w:p>
    <w:p>
      <w:pPr>
        <w:spacing w:after="0" w:line="199" w:lineRule="exact"/>
        <w:rPr>
          <w:sz w:val="20"/>
          <w:szCs w:val="20"/>
          <w:color w:val="auto"/>
        </w:rPr>
      </w:pPr>
    </w:p>
    <w:p>
      <w:pPr>
        <w:ind w:left="240"/>
        <w:spacing w:after="0"/>
        <w:rPr>
          <w:sz w:val="20"/>
          <w:szCs w:val="20"/>
          <w:color w:val="auto"/>
        </w:rPr>
      </w:pPr>
      <w:r>
        <w:rPr>
          <w:rFonts w:ascii="Arial" w:cs="Arial" w:eastAsia="Arial" w:hAnsi="Arial"/>
          <w:sz w:val="18"/>
          <w:szCs w:val="18"/>
          <w:i w:val="1"/>
          <w:iCs w:val="1"/>
          <w:color w:val="auto"/>
        </w:rPr>
        <w:t>Research and Development</w:t>
      </w:r>
    </w:p>
    <w:p>
      <w:pPr>
        <w:spacing w:after="0" w:line="207"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5500" w:type="dxa"/>
            <w:vAlign w:val="bottom"/>
          </w:tcPr>
          <w:p>
            <w:pPr>
              <w:spacing w:after="0"/>
              <w:rPr>
                <w:sz w:val="14"/>
                <w:szCs w:val="14"/>
                <w:color w:val="auto"/>
              </w:rPr>
            </w:pPr>
          </w:p>
        </w:tc>
        <w:tc>
          <w:tcPr>
            <w:tcW w:w="2160" w:type="dxa"/>
            <w:vAlign w:val="bottom"/>
            <w:gridSpan w:val="4"/>
          </w:tcPr>
          <w:p>
            <w:pPr>
              <w:jc w:val="right"/>
              <w:ind w:right="592"/>
              <w:spacing w:after="0"/>
              <w:rPr>
                <w:sz w:val="20"/>
                <w:szCs w:val="20"/>
                <w:color w:val="auto"/>
              </w:rPr>
            </w:pPr>
            <w:r>
              <w:rPr>
                <w:rFonts w:ascii="Arial" w:cs="Arial" w:eastAsia="Arial" w:hAnsi="Arial"/>
                <w:sz w:val="14"/>
                <w:szCs w:val="14"/>
                <w:b w:val="1"/>
                <w:bCs w:val="1"/>
                <w:color w:val="auto"/>
              </w:rPr>
              <w:t>Three Months Ended</w:t>
            </w:r>
          </w:p>
        </w:tc>
        <w:tc>
          <w:tcPr>
            <w:tcW w:w="460" w:type="dxa"/>
            <w:vAlign w:val="bottom"/>
            <w:vMerge w:val="restart"/>
          </w:tcPr>
          <w:p>
            <w:pPr>
              <w:jc w:val="center"/>
              <w:spacing w:after="0"/>
              <w:rPr>
                <w:sz w:val="20"/>
                <w:szCs w:val="20"/>
                <w:color w:val="auto"/>
              </w:rPr>
            </w:pPr>
            <w:r>
              <w:rPr>
                <w:rFonts w:ascii="Arial" w:cs="Arial" w:eastAsia="Arial" w:hAnsi="Arial"/>
                <w:sz w:val="14"/>
                <w:szCs w:val="14"/>
                <w:b w:val="1"/>
                <w:bCs w:val="1"/>
                <w:color w:val="auto"/>
              </w:rPr>
              <w:t>%</w:t>
            </w:r>
          </w:p>
        </w:tc>
        <w:tc>
          <w:tcPr>
            <w:tcW w:w="420" w:type="dxa"/>
            <w:vAlign w:val="bottom"/>
          </w:tcPr>
          <w:p>
            <w:pPr>
              <w:spacing w:after="0"/>
              <w:rPr>
                <w:sz w:val="14"/>
                <w:szCs w:val="14"/>
                <w:color w:val="auto"/>
              </w:rPr>
            </w:pPr>
          </w:p>
        </w:tc>
        <w:tc>
          <w:tcPr>
            <w:tcW w:w="2180" w:type="dxa"/>
            <w:vAlign w:val="bottom"/>
            <w:gridSpan w:val="4"/>
          </w:tcPr>
          <w:p>
            <w:pPr>
              <w:jc w:val="right"/>
              <w:ind w:right="700"/>
              <w:spacing w:after="0"/>
              <w:rPr>
                <w:sz w:val="20"/>
                <w:szCs w:val="20"/>
                <w:color w:val="auto"/>
              </w:rPr>
            </w:pPr>
            <w:r>
              <w:rPr>
                <w:rFonts w:ascii="Arial" w:cs="Arial" w:eastAsia="Arial" w:hAnsi="Arial"/>
                <w:sz w:val="14"/>
                <w:szCs w:val="14"/>
                <w:b w:val="1"/>
                <w:bCs w:val="1"/>
                <w:color w:val="auto"/>
              </w:rPr>
              <w:t>Nine Months Ended</w:t>
            </w:r>
          </w:p>
        </w:tc>
        <w:tc>
          <w:tcPr>
            <w:tcW w:w="440" w:type="dxa"/>
            <w:vAlign w:val="bottom"/>
            <w:vMerge w:val="restart"/>
          </w:tcPr>
          <w:p>
            <w:pPr>
              <w:jc w:val="right"/>
              <w:ind w:right="86"/>
              <w:spacing w:after="0"/>
              <w:rPr>
                <w:sz w:val="20"/>
                <w:szCs w:val="20"/>
                <w:color w:val="auto"/>
              </w:rPr>
            </w:pPr>
            <w:r>
              <w:rPr>
                <w:rFonts w:ascii="Arial" w:cs="Arial" w:eastAsia="Arial" w:hAnsi="Arial"/>
                <w:sz w:val="14"/>
                <w:szCs w:val="14"/>
                <w:b w:val="1"/>
                <w:bCs w:val="1"/>
                <w:color w:val="auto"/>
              </w:rPr>
              <w:t>%</w:t>
            </w:r>
          </w:p>
        </w:tc>
        <w:tc>
          <w:tcPr>
            <w:tcW w:w="26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29"/>
        </w:trPr>
        <w:tc>
          <w:tcPr>
            <w:tcW w:w="5500" w:type="dxa"/>
            <w:vAlign w:val="bottom"/>
          </w:tcPr>
          <w:p>
            <w:pPr>
              <w:spacing w:after="0"/>
              <w:rPr>
                <w:sz w:val="11"/>
                <w:szCs w:val="11"/>
                <w:color w:val="auto"/>
              </w:rPr>
            </w:pPr>
          </w:p>
        </w:tc>
        <w:tc>
          <w:tcPr>
            <w:tcW w:w="1040" w:type="dxa"/>
            <w:vAlign w:val="bottom"/>
            <w:tcBorders>
              <w:top w:val="single" w:sz="8" w:color="auto"/>
            </w:tcBorders>
            <w:gridSpan w:val="2"/>
          </w:tcPr>
          <w:p>
            <w:pPr>
              <w:jc w:val="right"/>
              <w:ind w:right="380"/>
              <w:spacing w:after="0" w:line="129" w:lineRule="exact"/>
              <w:rPr>
                <w:sz w:val="20"/>
                <w:szCs w:val="20"/>
                <w:color w:val="auto"/>
              </w:rPr>
            </w:pPr>
            <w:r>
              <w:rPr>
                <w:rFonts w:ascii="Arial" w:cs="Arial" w:eastAsia="Arial" w:hAnsi="Arial"/>
                <w:sz w:val="14"/>
                <w:szCs w:val="14"/>
                <w:b w:val="1"/>
                <w:bCs w:val="1"/>
                <w:color w:val="auto"/>
                <w:w w:val="83"/>
              </w:rPr>
              <w:t>October 31,</w:t>
            </w:r>
          </w:p>
        </w:tc>
        <w:tc>
          <w:tcPr>
            <w:tcW w:w="740" w:type="dxa"/>
            <w:vAlign w:val="bottom"/>
            <w:tcBorders>
              <w:top w:val="single" w:sz="8" w:color="auto"/>
            </w:tcBorders>
          </w:tcPr>
          <w:p>
            <w:pPr>
              <w:jc w:val="right"/>
              <w:spacing w:after="0" w:line="129" w:lineRule="exact"/>
              <w:rPr>
                <w:sz w:val="20"/>
                <w:szCs w:val="20"/>
                <w:color w:val="auto"/>
              </w:rPr>
            </w:pPr>
            <w:r>
              <w:rPr>
                <w:rFonts w:ascii="Arial" w:cs="Arial" w:eastAsia="Arial" w:hAnsi="Arial"/>
                <w:sz w:val="14"/>
                <w:szCs w:val="14"/>
                <w:b w:val="1"/>
                <w:bCs w:val="1"/>
                <w:color w:val="auto"/>
                <w:w w:val="85"/>
              </w:rPr>
              <w:t>November 1,</w:t>
            </w:r>
          </w:p>
        </w:tc>
        <w:tc>
          <w:tcPr>
            <w:tcW w:w="380" w:type="dxa"/>
            <w:vAlign w:val="bottom"/>
          </w:tcPr>
          <w:p>
            <w:pPr>
              <w:spacing w:after="0"/>
              <w:rPr>
                <w:sz w:val="11"/>
                <w:szCs w:val="11"/>
                <w:color w:val="auto"/>
              </w:rPr>
            </w:pPr>
          </w:p>
        </w:tc>
        <w:tc>
          <w:tcPr>
            <w:tcW w:w="460" w:type="dxa"/>
            <w:vAlign w:val="bottom"/>
            <w:vMerge w:val="continue"/>
          </w:tcPr>
          <w:p>
            <w:pPr>
              <w:spacing w:after="0"/>
              <w:rPr>
                <w:sz w:val="11"/>
                <w:szCs w:val="11"/>
                <w:color w:val="auto"/>
              </w:rPr>
            </w:pPr>
          </w:p>
        </w:tc>
        <w:tc>
          <w:tcPr>
            <w:tcW w:w="420" w:type="dxa"/>
            <w:vAlign w:val="bottom"/>
          </w:tcPr>
          <w:p>
            <w:pPr>
              <w:spacing w:after="0"/>
              <w:rPr>
                <w:sz w:val="11"/>
                <w:szCs w:val="11"/>
                <w:color w:val="auto"/>
              </w:rPr>
            </w:pPr>
          </w:p>
        </w:tc>
        <w:tc>
          <w:tcPr>
            <w:tcW w:w="1060" w:type="dxa"/>
            <w:vAlign w:val="bottom"/>
            <w:tcBorders>
              <w:top w:val="single" w:sz="8" w:color="auto"/>
            </w:tcBorders>
            <w:gridSpan w:val="2"/>
          </w:tcPr>
          <w:p>
            <w:pPr>
              <w:jc w:val="right"/>
              <w:ind w:right="380"/>
              <w:spacing w:after="0" w:line="129" w:lineRule="exact"/>
              <w:rPr>
                <w:sz w:val="20"/>
                <w:szCs w:val="20"/>
                <w:color w:val="auto"/>
              </w:rPr>
            </w:pPr>
            <w:r>
              <w:rPr>
                <w:rFonts w:ascii="Arial" w:cs="Arial" w:eastAsia="Arial" w:hAnsi="Arial"/>
                <w:sz w:val="14"/>
                <w:szCs w:val="14"/>
                <w:b w:val="1"/>
                <w:bCs w:val="1"/>
                <w:color w:val="auto"/>
                <w:w w:val="85"/>
              </w:rPr>
              <w:t>October 31,</w:t>
            </w:r>
          </w:p>
        </w:tc>
        <w:tc>
          <w:tcPr>
            <w:tcW w:w="740" w:type="dxa"/>
            <w:vAlign w:val="bottom"/>
            <w:tcBorders>
              <w:top w:val="single" w:sz="8" w:color="auto"/>
            </w:tcBorders>
          </w:tcPr>
          <w:p>
            <w:pPr>
              <w:jc w:val="right"/>
              <w:spacing w:after="0" w:line="129" w:lineRule="exact"/>
              <w:rPr>
                <w:sz w:val="20"/>
                <w:szCs w:val="20"/>
                <w:color w:val="auto"/>
              </w:rPr>
            </w:pPr>
            <w:r>
              <w:rPr>
                <w:rFonts w:ascii="Arial" w:cs="Arial" w:eastAsia="Arial" w:hAnsi="Arial"/>
                <w:sz w:val="14"/>
                <w:szCs w:val="14"/>
                <w:b w:val="1"/>
                <w:bCs w:val="1"/>
                <w:color w:val="auto"/>
                <w:w w:val="85"/>
              </w:rPr>
              <w:t>November 1,</w:t>
            </w:r>
          </w:p>
        </w:tc>
        <w:tc>
          <w:tcPr>
            <w:tcW w:w="380" w:type="dxa"/>
            <w:vAlign w:val="bottom"/>
          </w:tcPr>
          <w:p>
            <w:pPr>
              <w:spacing w:after="0"/>
              <w:rPr>
                <w:sz w:val="11"/>
                <w:szCs w:val="11"/>
                <w:color w:val="auto"/>
              </w:rPr>
            </w:pPr>
          </w:p>
        </w:tc>
        <w:tc>
          <w:tcPr>
            <w:tcW w:w="440" w:type="dxa"/>
            <w:vAlign w:val="bottom"/>
            <w:vMerge w:val="continue"/>
          </w:tcPr>
          <w:p>
            <w:pPr>
              <w:spacing w:after="0"/>
              <w:rPr>
                <w:sz w:val="11"/>
                <w:szCs w:val="11"/>
                <w:color w:val="auto"/>
              </w:rPr>
            </w:pPr>
          </w:p>
        </w:tc>
        <w:tc>
          <w:tcPr>
            <w:tcW w:w="26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1"/>
        </w:trPr>
        <w:tc>
          <w:tcPr>
            <w:tcW w:w="5500" w:type="dxa"/>
            <w:vAlign w:val="bottom"/>
          </w:tcPr>
          <w:p>
            <w:pPr>
              <w:spacing w:after="0"/>
              <w:rPr>
                <w:sz w:val="14"/>
                <w:szCs w:val="14"/>
                <w:color w:val="auto"/>
              </w:rPr>
            </w:pPr>
          </w:p>
        </w:tc>
        <w:tc>
          <w:tcPr>
            <w:tcW w:w="660" w:type="dxa"/>
            <w:vAlign w:val="bottom"/>
          </w:tcPr>
          <w:p>
            <w:pPr>
              <w:jc w:val="right"/>
              <w:ind w:right="124"/>
              <w:spacing w:after="0"/>
              <w:rPr>
                <w:sz w:val="20"/>
                <w:szCs w:val="20"/>
                <w:color w:val="auto"/>
              </w:rPr>
            </w:pPr>
            <w:r>
              <w:rPr>
                <w:rFonts w:ascii="Arial" w:cs="Arial" w:eastAsia="Arial" w:hAnsi="Arial"/>
                <w:sz w:val="14"/>
                <w:szCs w:val="14"/>
                <w:b w:val="1"/>
                <w:bCs w:val="1"/>
                <w:color w:val="auto"/>
              </w:rPr>
              <w:t>2009</w:t>
            </w:r>
          </w:p>
        </w:tc>
        <w:tc>
          <w:tcPr>
            <w:tcW w:w="380" w:type="dxa"/>
            <w:vAlign w:val="bottom"/>
          </w:tcPr>
          <w:p>
            <w:pPr>
              <w:spacing w:after="0"/>
              <w:rPr>
                <w:sz w:val="14"/>
                <w:szCs w:val="14"/>
                <w:color w:val="auto"/>
              </w:rPr>
            </w:pPr>
          </w:p>
        </w:tc>
        <w:tc>
          <w:tcPr>
            <w:tcW w:w="740" w:type="dxa"/>
            <w:vAlign w:val="bottom"/>
          </w:tcPr>
          <w:p>
            <w:pPr>
              <w:jc w:val="right"/>
              <w:ind w:right="142"/>
              <w:spacing w:after="0"/>
              <w:rPr>
                <w:sz w:val="20"/>
                <w:szCs w:val="20"/>
                <w:color w:val="auto"/>
              </w:rPr>
            </w:pPr>
            <w:r>
              <w:rPr>
                <w:rFonts w:ascii="Arial" w:cs="Arial" w:eastAsia="Arial" w:hAnsi="Arial"/>
                <w:sz w:val="14"/>
                <w:szCs w:val="14"/>
                <w:b w:val="1"/>
                <w:bCs w:val="1"/>
                <w:color w:val="auto"/>
              </w:rPr>
              <w:t>2008</w:t>
            </w:r>
          </w:p>
        </w:tc>
        <w:tc>
          <w:tcPr>
            <w:tcW w:w="380" w:type="dxa"/>
            <w:vAlign w:val="bottom"/>
          </w:tcPr>
          <w:p>
            <w:pPr>
              <w:spacing w:after="0"/>
              <w:rPr>
                <w:sz w:val="14"/>
                <w:szCs w:val="14"/>
                <w:color w:val="auto"/>
              </w:rPr>
            </w:pPr>
          </w:p>
        </w:tc>
        <w:tc>
          <w:tcPr>
            <w:tcW w:w="880" w:type="dxa"/>
            <w:vAlign w:val="bottom"/>
            <w:gridSpan w:val="2"/>
          </w:tcPr>
          <w:p>
            <w:pPr>
              <w:jc w:val="center"/>
              <w:ind w:right="372"/>
              <w:spacing w:after="0"/>
              <w:rPr>
                <w:sz w:val="20"/>
                <w:szCs w:val="20"/>
                <w:color w:val="auto"/>
              </w:rPr>
            </w:pPr>
            <w:r>
              <w:rPr>
                <w:rFonts w:ascii="Arial" w:cs="Arial" w:eastAsia="Arial" w:hAnsi="Arial"/>
                <w:sz w:val="14"/>
                <w:szCs w:val="14"/>
                <w:b w:val="1"/>
                <w:bCs w:val="1"/>
                <w:color w:val="auto"/>
                <w:w w:val="85"/>
              </w:rPr>
              <w:t>Change</w:t>
            </w:r>
          </w:p>
        </w:tc>
        <w:tc>
          <w:tcPr>
            <w:tcW w:w="680" w:type="dxa"/>
            <w:vAlign w:val="bottom"/>
          </w:tcPr>
          <w:p>
            <w:pPr>
              <w:jc w:val="right"/>
              <w:ind w:right="126"/>
              <w:spacing w:after="0"/>
              <w:rPr>
                <w:sz w:val="20"/>
                <w:szCs w:val="20"/>
                <w:color w:val="auto"/>
              </w:rPr>
            </w:pPr>
            <w:r>
              <w:rPr>
                <w:rFonts w:ascii="Arial" w:cs="Arial" w:eastAsia="Arial" w:hAnsi="Arial"/>
                <w:sz w:val="14"/>
                <w:szCs w:val="14"/>
                <w:b w:val="1"/>
                <w:bCs w:val="1"/>
                <w:color w:val="auto"/>
              </w:rPr>
              <w:t>2009</w:t>
            </w:r>
          </w:p>
        </w:tc>
        <w:tc>
          <w:tcPr>
            <w:tcW w:w="380" w:type="dxa"/>
            <w:vAlign w:val="bottom"/>
          </w:tcPr>
          <w:p>
            <w:pPr>
              <w:spacing w:after="0"/>
              <w:rPr>
                <w:sz w:val="14"/>
                <w:szCs w:val="14"/>
                <w:color w:val="auto"/>
              </w:rPr>
            </w:pPr>
          </w:p>
        </w:tc>
        <w:tc>
          <w:tcPr>
            <w:tcW w:w="740" w:type="dxa"/>
            <w:vAlign w:val="bottom"/>
          </w:tcPr>
          <w:p>
            <w:pPr>
              <w:jc w:val="right"/>
              <w:ind w:right="162"/>
              <w:spacing w:after="0"/>
              <w:rPr>
                <w:sz w:val="20"/>
                <w:szCs w:val="20"/>
                <w:color w:val="auto"/>
              </w:rPr>
            </w:pPr>
            <w:r>
              <w:rPr>
                <w:rFonts w:ascii="Arial" w:cs="Arial" w:eastAsia="Arial" w:hAnsi="Arial"/>
                <w:sz w:val="14"/>
                <w:szCs w:val="14"/>
                <w:b w:val="1"/>
                <w:bCs w:val="1"/>
                <w:color w:val="auto"/>
              </w:rPr>
              <w:t>2008</w:t>
            </w:r>
          </w:p>
        </w:tc>
        <w:tc>
          <w:tcPr>
            <w:tcW w:w="380" w:type="dxa"/>
            <w:vAlign w:val="bottom"/>
          </w:tcPr>
          <w:p>
            <w:pPr>
              <w:spacing w:after="0"/>
              <w:rPr>
                <w:sz w:val="14"/>
                <w:szCs w:val="14"/>
                <w:color w:val="auto"/>
              </w:rPr>
            </w:pPr>
          </w:p>
        </w:tc>
        <w:tc>
          <w:tcPr>
            <w:tcW w:w="700" w:type="dxa"/>
            <w:vAlign w:val="bottom"/>
            <w:gridSpan w:val="2"/>
          </w:tcPr>
          <w:p>
            <w:pPr>
              <w:jc w:val="center"/>
              <w:ind w:right="260"/>
              <w:spacing w:after="0"/>
              <w:rPr>
                <w:sz w:val="20"/>
                <w:szCs w:val="20"/>
                <w:color w:val="auto"/>
              </w:rPr>
            </w:pPr>
            <w:r>
              <w:rPr>
                <w:rFonts w:ascii="Arial" w:cs="Arial" w:eastAsia="Arial" w:hAnsi="Arial"/>
                <w:sz w:val="14"/>
                <w:szCs w:val="14"/>
                <w:b w:val="1"/>
                <w:bCs w:val="1"/>
                <w:color w:val="auto"/>
                <w:w w:val="85"/>
              </w:rPr>
              <w:t>Change</w:t>
            </w:r>
          </w:p>
        </w:tc>
        <w:tc>
          <w:tcPr>
            <w:tcW w:w="0" w:type="dxa"/>
            <w:vAlign w:val="bottom"/>
          </w:tcPr>
          <w:p>
            <w:pPr>
              <w:spacing w:after="0"/>
              <w:rPr>
                <w:sz w:val="1"/>
                <w:szCs w:val="1"/>
                <w:color w:val="auto"/>
              </w:rPr>
            </w:pPr>
          </w:p>
        </w:tc>
      </w:tr>
      <w:tr>
        <w:trPr>
          <w:trHeight w:val="142"/>
        </w:trPr>
        <w:tc>
          <w:tcPr>
            <w:tcW w:w="5500" w:type="dxa"/>
            <w:vAlign w:val="bottom"/>
          </w:tcPr>
          <w:p>
            <w:pPr>
              <w:spacing w:after="0"/>
              <w:rPr>
                <w:sz w:val="12"/>
                <w:szCs w:val="12"/>
                <w:color w:val="auto"/>
              </w:rPr>
            </w:pPr>
          </w:p>
        </w:tc>
        <w:tc>
          <w:tcPr>
            <w:tcW w:w="660" w:type="dxa"/>
            <w:vAlign w:val="bottom"/>
            <w:tcBorders>
              <w:top w:val="single" w:sz="8" w:color="auto"/>
            </w:tcBorders>
          </w:tcPr>
          <w:p>
            <w:pPr>
              <w:spacing w:after="0"/>
              <w:rPr>
                <w:sz w:val="12"/>
                <w:szCs w:val="12"/>
                <w:color w:val="auto"/>
              </w:rPr>
            </w:pPr>
          </w:p>
        </w:tc>
        <w:tc>
          <w:tcPr>
            <w:tcW w:w="380" w:type="dxa"/>
            <w:vAlign w:val="bottom"/>
          </w:tcPr>
          <w:p>
            <w:pPr>
              <w:spacing w:after="0"/>
              <w:rPr>
                <w:sz w:val="12"/>
                <w:szCs w:val="12"/>
                <w:color w:val="auto"/>
              </w:rPr>
            </w:pPr>
          </w:p>
        </w:tc>
        <w:tc>
          <w:tcPr>
            <w:tcW w:w="740" w:type="dxa"/>
            <w:vAlign w:val="bottom"/>
            <w:tcBorders>
              <w:top w:val="single" w:sz="8" w:color="auto"/>
            </w:tcBorders>
          </w:tcPr>
          <w:p>
            <w:pPr>
              <w:spacing w:after="0"/>
              <w:rPr>
                <w:sz w:val="12"/>
                <w:szCs w:val="12"/>
                <w:color w:val="auto"/>
              </w:rPr>
            </w:pPr>
          </w:p>
        </w:tc>
        <w:tc>
          <w:tcPr>
            <w:tcW w:w="380" w:type="dxa"/>
            <w:vAlign w:val="bottom"/>
          </w:tcPr>
          <w:p>
            <w:pPr>
              <w:jc w:val="right"/>
              <w:ind w:right="72"/>
              <w:spacing w:after="0" w:line="142" w:lineRule="exact"/>
              <w:rPr>
                <w:sz w:val="20"/>
                <w:szCs w:val="20"/>
                <w:color w:val="auto"/>
              </w:rPr>
            </w:pPr>
            <w:r>
              <w:rPr>
                <w:rFonts w:ascii="Arial" w:cs="Arial" w:eastAsia="Arial" w:hAnsi="Arial"/>
                <w:sz w:val="14"/>
                <w:szCs w:val="14"/>
                <w:b w:val="1"/>
                <w:bCs w:val="1"/>
                <w:color w:val="auto"/>
              </w:rPr>
              <w:t>(in</w:t>
            </w:r>
          </w:p>
        </w:tc>
        <w:tc>
          <w:tcPr>
            <w:tcW w:w="460" w:type="dxa"/>
            <w:vAlign w:val="bottom"/>
            <w:tcBorders>
              <w:top w:val="single" w:sz="8" w:color="auto"/>
            </w:tcBorders>
          </w:tcPr>
          <w:p>
            <w:pPr>
              <w:jc w:val="center"/>
              <w:spacing w:after="0"/>
              <w:rPr>
                <w:sz w:val="20"/>
                <w:szCs w:val="20"/>
                <w:color w:val="auto"/>
              </w:rPr>
            </w:pPr>
            <w:r>
              <w:rPr>
                <w:rFonts w:ascii="Arial" w:cs="Arial" w:eastAsia="Arial" w:hAnsi="Arial"/>
                <w:sz w:val="12"/>
                <w:szCs w:val="12"/>
                <w:b w:val="1"/>
                <w:bCs w:val="1"/>
                <w:color w:val="auto"/>
                <w:w w:val="71"/>
              </w:rPr>
              <w:t>thousands,</w:t>
            </w:r>
          </w:p>
        </w:tc>
        <w:tc>
          <w:tcPr>
            <w:tcW w:w="420" w:type="dxa"/>
            <w:vAlign w:val="bottom"/>
          </w:tcPr>
          <w:p>
            <w:pPr>
              <w:jc w:val="right"/>
              <w:spacing w:after="0" w:line="142" w:lineRule="exact"/>
              <w:rPr>
                <w:sz w:val="20"/>
                <w:szCs w:val="20"/>
                <w:color w:val="auto"/>
              </w:rPr>
            </w:pPr>
            <w:r>
              <w:rPr>
                <w:rFonts w:ascii="Arial" w:cs="Arial" w:eastAsia="Arial" w:hAnsi="Arial"/>
                <w:sz w:val="14"/>
                <w:szCs w:val="14"/>
                <w:b w:val="1"/>
                <w:bCs w:val="1"/>
                <w:color w:val="auto"/>
                <w:w w:val="90"/>
              </w:rPr>
              <w:t>except</w:t>
            </w:r>
          </w:p>
        </w:tc>
        <w:tc>
          <w:tcPr>
            <w:tcW w:w="680" w:type="dxa"/>
            <w:vAlign w:val="bottom"/>
            <w:tcBorders>
              <w:top w:val="single" w:sz="8" w:color="auto"/>
            </w:tcBorders>
          </w:tcPr>
          <w:p>
            <w:pPr>
              <w:jc w:val="right"/>
              <w:spacing w:after="0" w:line="142" w:lineRule="exact"/>
              <w:rPr>
                <w:sz w:val="20"/>
                <w:szCs w:val="20"/>
                <w:color w:val="auto"/>
              </w:rPr>
            </w:pPr>
            <w:r>
              <w:rPr>
                <w:rFonts w:ascii="Arial" w:cs="Arial" w:eastAsia="Arial" w:hAnsi="Arial"/>
                <w:sz w:val="14"/>
                <w:szCs w:val="14"/>
                <w:b w:val="1"/>
                <w:bCs w:val="1"/>
                <w:color w:val="auto"/>
                <w:w w:val="83"/>
              </w:rPr>
              <w:t>percentage)</w:t>
            </w:r>
          </w:p>
        </w:tc>
        <w:tc>
          <w:tcPr>
            <w:tcW w:w="380" w:type="dxa"/>
            <w:vAlign w:val="bottom"/>
          </w:tcPr>
          <w:p>
            <w:pPr>
              <w:spacing w:after="0"/>
              <w:rPr>
                <w:sz w:val="12"/>
                <w:szCs w:val="12"/>
                <w:color w:val="auto"/>
              </w:rPr>
            </w:pPr>
          </w:p>
        </w:tc>
        <w:tc>
          <w:tcPr>
            <w:tcW w:w="740" w:type="dxa"/>
            <w:vAlign w:val="bottom"/>
            <w:tcBorders>
              <w:top w:val="single" w:sz="8" w:color="auto"/>
            </w:tcBorders>
          </w:tcPr>
          <w:p>
            <w:pPr>
              <w:spacing w:after="0"/>
              <w:rPr>
                <w:sz w:val="12"/>
                <w:szCs w:val="12"/>
                <w:color w:val="auto"/>
              </w:rPr>
            </w:pPr>
          </w:p>
        </w:tc>
        <w:tc>
          <w:tcPr>
            <w:tcW w:w="380" w:type="dxa"/>
            <w:vAlign w:val="bottom"/>
          </w:tcPr>
          <w:p>
            <w:pPr>
              <w:spacing w:after="0"/>
              <w:rPr>
                <w:sz w:val="12"/>
                <w:szCs w:val="12"/>
                <w:color w:val="auto"/>
              </w:rPr>
            </w:pPr>
          </w:p>
        </w:tc>
        <w:tc>
          <w:tcPr>
            <w:tcW w:w="440" w:type="dxa"/>
            <w:vAlign w:val="bottom"/>
            <w:tcBorders>
              <w:top w:val="single" w:sz="8" w:color="auto"/>
            </w:tcBorders>
          </w:tcPr>
          <w:p>
            <w:pPr>
              <w:spacing w:after="0"/>
              <w:rPr>
                <w:sz w:val="12"/>
                <w:szCs w:val="12"/>
                <w:color w:val="auto"/>
              </w:rPr>
            </w:pPr>
          </w:p>
        </w:tc>
        <w:tc>
          <w:tcPr>
            <w:tcW w:w="26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216"/>
        </w:trPr>
        <w:tc>
          <w:tcPr>
            <w:tcW w:w="5500" w:type="dxa"/>
            <w:vAlign w:val="bottom"/>
            <w:shd w:val="clear" w:color="auto" w:fill="CCEEFF"/>
          </w:tcPr>
          <w:p>
            <w:pPr>
              <w:spacing w:after="0"/>
              <w:rPr>
                <w:sz w:val="20"/>
                <w:szCs w:val="20"/>
                <w:color w:val="auto"/>
              </w:rPr>
            </w:pPr>
            <w:r>
              <w:rPr>
                <w:rFonts w:ascii="Arial" w:cs="Arial" w:eastAsia="Arial" w:hAnsi="Arial"/>
                <w:sz w:val="18"/>
                <w:szCs w:val="18"/>
                <w:color w:val="auto"/>
              </w:rPr>
              <w:t>Research and development</w:t>
            </w:r>
          </w:p>
        </w:tc>
        <w:tc>
          <w:tcPr>
            <w:tcW w:w="66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5"/>
              </w:rPr>
              <w:t>$212,873</w:t>
            </w:r>
          </w:p>
        </w:tc>
        <w:tc>
          <w:tcPr>
            <w:tcW w:w="380" w:type="dxa"/>
            <w:vAlign w:val="bottom"/>
            <w:shd w:val="clear" w:color="auto" w:fill="CCEEFF"/>
          </w:tcPr>
          <w:p>
            <w:pPr>
              <w:spacing w:after="0"/>
              <w:rPr>
                <w:sz w:val="18"/>
                <w:szCs w:val="18"/>
                <w:color w:val="auto"/>
              </w:rPr>
            </w:pPr>
          </w:p>
        </w:tc>
        <w:tc>
          <w:tcPr>
            <w:tcW w:w="1120" w:type="dxa"/>
            <w:vAlign w:val="bottom"/>
            <w:gridSpan w:val="2"/>
            <w:shd w:val="clear" w:color="auto" w:fill="CCEEFF"/>
          </w:tcPr>
          <w:p>
            <w:pPr>
              <w:jc w:val="right"/>
              <w:ind w:right="312"/>
              <w:spacing w:after="0"/>
              <w:rPr>
                <w:sz w:val="20"/>
                <w:szCs w:val="20"/>
                <w:color w:val="auto"/>
              </w:rPr>
            </w:pPr>
            <w:r>
              <w:rPr>
                <w:rFonts w:ascii="Arial" w:cs="Arial" w:eastAsia="Arial" w:hAnsi="Arial"/>
                <w:sz w:val="18"/>
                <w:szCs w:val="18"/>
                <w:color w:val="auto"/>
                <w:w w:val="89"/>
              </w:rPr>
              <w:t>$ 234,222</w:t>
            </w:r>
          </w:p>
        </w:tc>
        <w:tc>
          <w:tcPr>
            <w:tcW w:w="880" w:type="dxa"/>
            <w:vAlign w:val="bottom"/>
            <w:gridSpan w:val="2"/>
            <w:shd w:val="clear" w:color="auto" w:fill="CCEEFF"/>
          </w:tcPr>
          <w:p>
            <w:pPr>
              <w:jc w:val="right"/>
              <w:ind w:right="152"/>
              <w:spacing w:after="0"/>
              <w:rPr>
                <w:sz w:val="20"/>
                <w:szCs w:val="20"/>
                <w:color w:val="auto"/>
              </w:rPr>
            </w:pPr>
            <w:r>
              <w:rPr>
                <w:rFonts w:ascii="Arial" w:cs="Arial" w:eastAsia="Arial" w:hAnsi="Arial"/>
                <w:sz w:val="18"/>
                <w:szCs w:val="18"/>
                <w:color w:val="auto"/>
              </w:rPr>
              <w:t>(9.1)%</w:t>
            </w:r>
          </w:p>
        </w:tc>
        <w:tc>
          <w:tcPr>
            <w:tcW w:w="68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7"/>
              </w:rPr>
              <w:t>$615,152</w:t>
            </w:r>
          </w:p>
        </w:tc>
        <w:tc>
          <w:tcPr>
            <w:tcW w:w="380" w:type="dxa"/>
            <w:vAlign w:val="bottom"/>
            <w:shd w:val="clear" w:color="auto" w:fill="CCEEFF"/>
          </w:tcPr>
          <w:p>
            <w:pPr>
              <w:spacing w:after="0"/>
              <w:rPr>
                <w:sz w:val="18"/>
                <w:szCs w:val="18"/>
                <w:color w:val="auto"/>
              </w:rPr>
            </w:pPr>
          </w:p>
        </w:tc>
        <w:tc>
          <w:tcPr>
            <w:tcW w:w="1120" w:type="dxa"/>
            <w:vAlign w:val="bottom"/>
            <w:gridSpan w:val="2"/>
            <w:shd w:val="clear" w:color="auto" w:fill="CCEEFF"/>
          </w:tcPr>
          <w:p>
            <w:pPr>
              <w:jc w:val="right"/>
              <w:ind w:right="380"/>
              <w:spacing w:after="0"/>
              <w:rPr>
                <w:sz w:val="20"/>
                <w:szCs w:val="20"/>
                <w:color w:val="auto"/>
              </w:rPr>
            </w:pPr>
            <w:r>
              <w:rPr>
                <w:rFonts w:ascii="Arial" w:cs="Arial" w:eastAsia="Arial" w:hAnsi="Arial"/>
                <w:sz w:val="18"/>
                <w:szCs w:val="18"/>
                <w:color w:val="auto"/>
                <w:w w:val="89"/>
              </w:rPr>
              <w:t>$ 722,411</w:t>
            </w:r>
          </w:p>
        </w:tc>
        <w:tc>
          <w:tcPr>
            <w:tcW w:w="70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w w:val="98"/>
              </w:rPr>
              <w:t>(14.8)%</w:t>
            </w:r>
          </w:p>
        </w:tc>
        <w:tc>
          <w:tcPr>
            <w:tcW w:w="0" w:type="dxa"/>
            <w:vAlign w:val="bottom"/>
          </w:tcPr>
          <w:p>
            <w:pPr>
              <w:spacing w:after="0"/>
              <w:rPr>
                <w:sz w:val="1"/>
                <w:szCs w:val="1"/>
                <w:color w:val="auto"/>
              </w:rPr>
            </w:pPr>
          </w:p>
        </w:tc>
      </w:tr>
      <w:tr>
        <w:trPr>
          <w:trHeight w:val="222"/>
        </w:trPr>
        <w:tc>
          <w:tcPr>
            <w:tcW w:w="5500" w:type="dxa"/>
            <w:vAlign w:val="bottom"/>
          </w:tcPr>
          <w:p>
            <w:pPr>
              <w:spacing w:after="0"/>
              <w:rPr>
                <w:sz w:val="20"/>
                <w:szCs w:val="20"/>
                <w:color w:val="auto"/>
              </w:rPr>
            </w:pPr>
            <w:r>
              <w:rPr>
                <w:rFonts w:ascii="Arial" w:cs="Arial" w:eastAsia="Arial" w:hAnsi="Arial"/>
                <w:sz w:val="18"/>
                <w:szCs w:val="18"/>
                <w:color w:val="auto"/>
              </w:rPr>
              <w:t>% of net revenue</w:t>
            </w:r>
          </w:p>
        </w:tc>
        <w:tc>
          <w:tcPr>
            <w:tcW w:w="1040" w:type="dxa"/>
            <w:vAlign w:val="bottom"/>
            <w:gridSpan w:val="2"/>
          </w:tcPr>
          <w:p>
            <w:pPr>
              <w:jc w:val="right"/>
              <w:ind w:right="220"/>
              <w:spacing w:after="0"/>
              <w:rPr>
                <w:sz w:val="20"/>
                <w:szCs w:val="20"/>
                <w:color w:val="auto"/>
              </w:rPr>
            </w:pPr>
            <w:r>
              <w:rPr>
                <w:rFonts w:ascii="Arial" w:cs="Arial" w:eastAsia="Arial" w:hAnsi="Arial"/>
                <w:sz w:val="18"/>
                <w:szCs w:val="18"/>
                <w:color w:val="auto"/>
              </w:rPr>
              <w:t>26.5%</w:t>
            </w:r>
          </w:p>
        </w:tc>
        <w:tc>
          <w:tcPr>
            <w:tcW w:w="1120" w:type="dxa"/>
            <w:vAlign w:val="bottom"/>
            <w:gridSpan w:val="2"/>
          </w:tcPr>
          <w:p>
            <w:pPr>
              <w:jc w:val="right"/>
              <w:ind w:right="152"/>
              <w:spacing w:after="0"/>
              <w:rPr>
                <w:sz w:val="20"/>
                <w:szCs w:val="20"/>
                <w:color w:val="auto"/>
              </w:rPr>
            </w:pPr>
            <w:r>
              <w:rPr>
                <w:rFonts w:ascii="Arial" w:cs="Arial" w:eastAsia="Arial" w:hAnsi="Arial"/>
                <w:sz w:val="18"/>
                <w:szCs w:val="18"/>
                <w:color w:val="auto"/>
              </w:rPr>
              <w:t>29.6%</w:t>
            </w:r>
          </w:p>
        </w:tc>
        <w:tc>
          <w:tcPr>
            <w:tcW w:w="460" w:type="dxa"/>
            <w:vAlign w:val="bottom"/>
          </w:tcPr>
          <w:p>
            <w:pPr>
              <w:spacing w:after="0"/>
              <w:rPr>
                <w:sz w:val="19"/>
                <w:szCs w:val="19"/>
                <w:color w:val="auto"/>
              </w:rPr>
            </w:pPr>
          </w:p>
        </w:tc>
        <w:tc>
          <w:tcPr>
            <w:tcW w:w="420" w:type="dxa"/>
            <w:vAlign w:val="bottom"/>
          </w:tcPr>
          <w:p>
            <w:pPr>
              <w:spacing w:after="0"/>
              <w:rPr>
                <w:sz w:val="19"/>
                <w:szCs w:val="19"/>
                <w:color w:val="auto"/>
              </w:rPr>
            </w:pPr>
          </w:p>
        </w:tc>
        <w:tc>
          <w:tcPr>
            <w:tcW w:w="1060" w:type="dxa"/>
            <w:vAlign w:val="bottom"/>
            <w:gridSpan w:val="2"/>
          </w:tcPr>
          <w:p>
            <w:pPr>
              <w:jc w:val="right"/>
              <w:ind w:right="240"/>
              <w:spacing w:after="0"/>
              <w:rPr>
                <w:sz w:val="20"/>
                <w:szCs w:val="20"/>
                <w:color w:val="auto"/>
              </w:rPr>
            </w:pPr>
            <w:r>
              <w:rPr>
                <w:rFonts w:ascii="Arial" w:cs="Arial" w:eastAsia="Arial" w:hAnsi="Arial"/>
                <w:sz w:val="18"/>
                <w:szCs w:val="18"/>
                <w:color w:val="auto"/>
              </w:rPr>
              <w:t>31.3%</w:t>
            </w:r>
          </w:p>
        </w:tc>
        <w:tc>
          <w:tcPr>
            <w:tcW w:w="1120" w:type="dxa"/>
            <w:vAlign w:val="bottom"/>
            <w:gridSpan w:val="2"/>
          </w:tcPr>
          <w:p>
            <w:pPr>
              <w:jc w:val="right"/>
              <w:ind w:right="240"/>
              <w:spacing w:after="0"/>
              <w:rPr>
                <w:sz w:val="20"/>
                <w:szCs w:val="20"/>
                <w:color w:val="auto"/>
              </w:rPr>
            </w:pPr>
            <w:r>
              <w:rPr>
                <w:rFonts w:ascii="Arial" w:cs="Arial" w:eastAsia="Arial" w:hAnsi="Arial"/>
                <w:sz w:val="18"/>
                <w:szCs w:val="18"/>
                <w:color w:val="auto"/>
              </w:rPr>
              <w:t>29.6%</w:t>
            </w:r>
          </w:p>
        </w:tc>
        <w:tc>
          <w:tcPr>
            <w:tcW w:w="440" w:type="dxa"/>
            <w:vAlign w:val="bottom"/>
          </w:tcPr>
          <w:p>
            <w:pPr>
              <w:spacing w:after="0"/>
              <w:rPr>
                <w:sz w:val="19"/>
                <w:szCs w:val="19"/>
                <w:color w:val="auto"/>
              </w:rPr>
            </w:pPr>
          </w:p>
        </w:tc>
        <w:tc>
          <w:tcPr>
            <w:tcW w:w="260" w:type="dxa"/>
            <w:vAlign w:val="bottom"/>
          </w:tcPr>
          <w:p>
            <w:pPr>
              <w:spacing w:after="0"/>
              <w:rPr>
                <w:sz w:val="19"/>
                <w:szCs w:val="19"/>
                <w:color w:val="auto"/>
              </w:rPr>
            </w:pPr>
          </w:p>
        </w:tc>
        <w:tc>
          <w:tcPr>
            <w:tcW w:w="0" w:type="dxa"/>
            <w:vAlign w:val="bottom"/>
          </w:tcPr>
          <w:p>
            <w:pPr>
              <w:spacing w:after="0"/>
              <w:rPr>
                <w:sz w:val="1"/>
                <w:szCs w:val="1"/>
                <w:color w:val="auto"/>
              </w:rPr>
            </w:pPr>
          </w:p>
        </w:tc>
      </w:tr>
    </w:tbl>
    <w:p>
      <w:pPr>
        <w:spacing w:after="0" w:line="147" w:lineRule="exact"/>
        <w:rPr>
          <w:sz w:val="20"/>
          <w:szCs w:val="20"/>
          <w:color w:val="auto"/>
        </w:rPr>
      </w:pPr>
    </w:p>
    <w:p>
      <w:pPr>
        <w:ind w:firstLine="456"/>
        <w:spacing w:after="0" w:line="290" w:lineRule="auto"/>
        <w:rPr>
          <w:sz w:val="20"/>
          <w:szCs w:val="20"/>
          <w:color w:val="auto"/>
        </w:rPr>
      </w:pPr>
      <w:r>
        <w:rPr>
          <w:rFonts w:ascii="Arial" w:cs="Arial" w:eastAsia="Arial" w:hAnsi="Arial"/>
          <w:sz w:val="16"/>
          <w:szCs w:val="16"/>
          <w:color w:val="auto"/>
        </w:rPr>
        <w:t>The decrease in research and development expense for the three months ended October 31, 2009 compared to the three months ended November 1, 2008 of $21.3 million was partially due to the benefit of $4.6 million of research and development funding from customers for development work in the three months ended October 31, 2009. In addition, stock-based compensation decreased $6.5 million due to older options with relatively higher valuations becoming fully vested along with the impact of our stock option exchange program. Mask, wafer and pre-production related costs decreased $3.8 million due to lower pricing and timing of tape outs. Other decreases in research and development expenses of approximately $7.7 million related to lower discretionary spending due to tight cost controls including travel, consulting, and supplies. Partially offsetting the decrease in expense was an increase in restructuring related costs of $1.3 million mainly due to the write-off equipment in one of our foreign locations.</w:t>
      </w:r>
    </w:p>
    <w:p>
      <w:pPr>
        <w:spacing w:after="0" w:line="118" w:lineRule="exact"/>
        <w:rPr>
          <w:sz w:val="20"/>
          <w:szCs w:val="20"/>
          <w:color w:val="auto"/>
        </w:rPr>
      </w:pPr>
    </w:p>
    <w:p>
      <w:pPr>
        <w:ind w:right="100" w:firstLine="456"/>
        <w:spacing w:after="0" w:line="291" w:lineRule="auto"/>
        <w:rPr>
          <w:sz w:val="20"/>
          <w:szCs w:val="20"/>
          <w:color w:val="auto"/>
        </w:rPr>
      </w:pPr>
      <w:r>
        <w:rPr>
          <w:rFonts w:ascii="Arial" w:cs="Arial" w:eastAsia="Arial" w:hAnsi="Arial"/>
          <w:sz w:val="16"/>
          <w:szCs w:val="16"/>
          <w:color w:val="auto"/>
        </w:rPr>
        <w:t>The decrease in research and development expense for the nine months ended October 31, 2009 compared to the nine months ended November 1, 2008 of $107.3 million was partially due to lower salary and related expenses of $21.9 million as a result of lower headcount while stock-based compensation decreased $25.5 million. In addition, we received the benefit of $19.1 million of research and development funding from customers for development work in the nine months ended October 31, 2009. Mask, wafer and product related costs decreased $15.3 million due to lower pricing and volume of tape outs. Other decreases in research and development expenses of approximately $27.3 million related to lower discretionary spending due to tight cost controls. Partially offsetting the decrease in expense was an increase in restructuring related costs of $10.7 million.</w:t>
      </w:r>
    </w:p>
    <w:p>
      <w:pPr>
        <w:spacing w:after="0" w:line="120" w:lineRule="exact"/>
        <w:rPr>
          <w:sz w:val="20"/>
          <w:szCs w:val="20"/>
          <w:color w:val="auto"/>
        </w:rPr>
      </w:pPr>
    </w:p>
    <w:p>
      <w:pPr>
        <w:ind w:right="520" w:firstLine="456"/>
        <w:spacing w:after="0" w:line="332" w:lineRule="auto"/>
        <w:rPr>
          <w:sz w:val="20"/>
          <w:szCs w:val="20"/>
          <w:color w:val="auto"/>
        </w:rPr>
      </w:pPr>
      <w:r>
        <w:rPr>
          <w:rFonts w:ascii="Arial" w:cs="Arial" w:eastAsia="Arial" w:hAnsi="Arial"/>
          <w:sz w:val="16"/>
          <w:szCs w:val="16"/>
          <w:color w:val="auto"/>
        </w:rPr>
        <w:t>We currently expect research and development expense during the fourth quarter ending January 30, 2010 will moderately increase from the level of expense reported during the third quarter ended October 31, 2009 in connection with a higher volume of tapeouts.</w:t>
      </w:r>
    </w:p>
    <w:p>
      <w:pPr>
        <w:spacing w:after="0" w:line="72"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31</w:t>
      </w:r>
    </w:p>
    <w:p>
      <w:pPr>
        <w:sectPr>
          <w:pgSz w:w="11900" w:h="16838" w:orient="portrait"/>
          <w:cols w:equalWidth="0" w:num="1">
            <w:col w:w="11420"/>
          </w:cols>
          <w:pgMar w:left="240" w:top="459" w:right="239" w:bottom="1440" w:gutter="0" w:footer="0" w:header="0"/>
        </w:sectPr>
      </w:pPr>
    </w:p>
    <w:bookmarkStart w:id="31" w:name="page32"/>
    <w:bookmarkEnd w:id="31"/>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46">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left="240"/>
        <w:spacing w:after="0"/>
        <w:rPr>
          <w:sz w:val="20"/>
          <w:szCs w:val="20"/>
          <w:color w:val="auto"/>
        </w:rPr>
      </w:pPr>
      <w:r>
        <w:rPr>
          <w:rFonts w:ascii="Arial" w:cs="Arial" w:eastAsia="Arial" w:hAnsi="Arial"/>
          <w:sz w:val="18"/>
          <w:szCs w:val="18"/>
          <w:i w:val="1"/>
          <w:iCs w:val="1"/>
          <w:color w:val="auto"/>
        </w:rPr>
        <w:t>Selling and Marketing</w:t>
      </w:r>
    </w:p>
    <w:p>
      <w:pPr>
        <w:spacing w:after="0" w:line="207"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3280" w:type="dxa"/>
            <w:vAlign w:val="bottom"/>
          </w:tcPr>
          <w:p>
            <w:pPr>
              <w:spacing w:after="0"/>
              <w:rPr>
                <w:sz w:val="14"/>
                <w:szCs w:val="14"/>
                <w:color w:val="auto"/>
              </w:rPr>
            </w:pPr>
          </w:p>
        </w:tc>
        <w:tc>
          <w:tcPr>
            <w:tcW w:w="1740" w:type="dxa"/>
            <w:vAlign w:val="bottom"/>
          </w:tcPr>
          <w:p>
            <w:pPr>
              <w:spacing w:after="0"/>
              <w:rPr>
                <w:sz w:val="14"/>
                <w:szCs w:val="14"/>
                <w:color w:val="auto"/>
              </w:rPr>
            </w:pPr>
          </w:p>
        </w:tc>
        <w:tc>
          <w:tcPr>
            <w:tcW w:w="2080" w:type="dxa"/>
            <w:vAlign w:val="bottom"/>
            <w:gridSpan w:val="5"/>
          </w:tcPr>
          <w:p>
            <w:pPr>
              <w:jc w:val="right"/>
              <w:ind w:right="520"/>
              <w:spacing w:after="0"/>
              <w:rPr>
                <w:sz w:val="20"/>
                <w:szCs w:val="20"/>
                <w:color w:val="auto"/>
              </w:rPr>
            </w:pPr>
            <w:r>
              <w:rPr>
                <w:rFonts w:ascii="Arial" w:cs="Arial" w:eastAsia="Arial" w:hAnsi="Arial"/>
                <w:sz w:val="14"/>
                <w:szCs w:val="14"/>
                <w:b w:val="1"/>
                <w:bCs w:val="1"/>
                <w:color w:val="auto"/>
              </w:rPr>
              <w:t>Three Months Ended</w:t>
            </w:r>
          </w:p>
        </w:tc>
        <w:tc>
          <w:tcPr>
            <w:tcW w:w="720" w:type="dxa"/>
            <w:vAlign w:val="bottom"/>
            <w:gridSpan w:val="2"/>
            <w:vMerge w:val="restart"/>
          </w:tcPr>
          <w:p>
            <w:pPr>
              <w:jc w:val="center"/>
              <w:ind w:left="226"/>
              <w:spacing w:after="0"/>
              <w:rPr>
                <w:sz w:val="20"/>
                <w:szCs w:val="20"/>
                <w:color w:val="auto"/>
              </w:rPr>
            </w:pPr>
            <w:r>
              <w:rPr>
                <w:rFonts w:ascii="Arial" w:cs="Arial" w:eastAsia="Arial" w:hAnsi="Arial"/>
                <w:sz w:val="14"/>
                <w:szCs w:val="14"/>
                <w:b w:val="1"/>
                <w:bCs w:val="1"/>
                <w:color w:val="auto"/>
              </w:rPr>
              <w:t>%</w:t>
            </w:r>
          </w:p>
        </w:tc>
        <w:tc>
          <w:tcPr>
            <w:tcW w:w="380" w:type="dxa"/>
            <w:vAlign w:val="bottom"/>
          </w:tcPr>
          <w:p>
            <w:pPr>
              <w:spacing w:after="0"/>
              <w:rPr>
                <w:sz w:val="14"/>
                <w:szCs w:val="14"/>
                <w:color w:val="auto"/>
              </w:rPr>
            </w:pPr>
          </w:p>
        </w:tc>
        <w:tc>
          <w:tcPr>
            <w:tcW w:w="160" w:type="dxa"/>
            <w:vAlign w:val="bottom"/>
          </w:tcPr>
          <w:p>
            <w:pPr>
              <w:spacing w:after="0"/>
              <w:rPr>
                <w:sz w:val="14"/>
                <w:szCs w:val="14"/>
                <w:color w:val="auto"/>
              </w:rPr>
            </w:pPr>
          </w:p>
        </w:tc>
        <w:tc>
          <w:tcPr>
            <w:tcW w:w="2360" w:type="dxa"/>
            <w:vAlign w:val="bottom"/>
            <w:gridSpan w:val="5"/>
          </w:tcPr>
          <w:p>
            <w:pPr>
              <w:jc w:val="right"/>
              <w:ind w:right="840"/>
              <w:spacing w:after="0"/>
              <w:rPr>
                <w:sz w:val="20"/>
                <w:szCs w:val="20"/>
                <w:color w:val="auto"/>
              </w:rPr>
            </w:pPr>
            <w:r>
              <w:rPr>
                <w:rFonts w:ascii="Arial" w:cs="Arial" w:eastAsia="Arial" w:hAnsi="Arial"/>
                <w:sz w:val="14"/>
                <w:szCs w:val="14"/>
                <w:b w:val="1"/>
                <w:bCs w:val="1"/>
                <w:color w:val="auto"/>
              </w:rPr>
              <w:t>Nine Months Ended</w:t>
            </w:r>
          </w:p>
        </w:tc>
        <w:tc>
          <w:tcPr>
            <w:tcW w:w="440" w:type="dxa"/>
            <w:vAlign w:val="bottom"/>
            <w:vMerge w:val="restart"/>
          </w:tcPr>
          <w:p>
            <w:pPr>
              <w:jc w:val="right"/>
              <w:ind w:right="86"/>
              <w:spacing w:after="0"/>
              <w:rPr>
                <w:sz w:val="20"/>
                <w:szCs w:val="20"/>
                <w:color w:val="auto"/>
              </w:rPr>
            </w:pPr>
            <w:r>
              <w:rPr>
                <w:rFonts w:ascii="Arial" w:cs="Arial" w:eastAsia="Arial" w:hAnsi="Arial"/>
                <w:sz w:val="14"/>
                <w:szCs w:val="14"/>
                <w:b w:val="1"/>
                <w:bCs w:val="1"/>
                <w:color w:val="auto"/>
              </w:rPr>
              <w:t>%</w:t>
            </w:r>
          </w:p>
        </w:tc>
        <w:tc>
          <w:tcPr>
            <w:tcW w:w="26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29"/>
        </w:trPr>
        <w:tc>
          <w:tcPr>
            <w:tcW w:w="3280" w:type="dxa"/>
            <w:vAlign w:val="bottom"/>
          </w:tcPr>
          <w:p>
            <w:pPr>
              <w:spacing w:after="0"/>
              <w:rPr>
                <w:sz w:val="11"/>
                <w:szCs w:val="11"/>
                <w:color w:val="auto"/>
              </w:rPr>
            </w:pPr>
          </w:p>
        </w:tc>
        <w:tc>
          <w:tcPr>
            <w:tcW w:w="1740" w:type="dxa"/>
            <w:vAlign w:val="bottom"/>
          </w:tcPr>
          <w:p>
            <w:pPr>
              <w:spacing w:after="0"/>
              <w:rPr>
                <w:sz w:val="11"/>
                <w:szCs w:val="11"/>
                <w:color w:val="auto"/>
              </w:rPr>
            </w:pPr>
          </w:p>
        </w:tc>
        <w:tc>
          <w:tcPr>
            <w:tcW w:w="980" w:type="dxa"/>
            <w:vAlign w:val="bottom"/>
            <w:tcBorders>
              <w:top w:val="single" w:sz="8" w:color="auto"/>
            </w:tcBorders>
            <w:gridSpan w:val="2"/>
          </w:tcPr>
          <w:p>
            <w:pPr>
              <w:jc w:val="right"/>
              <w:ind w:right="300"/>
              <w:spacing w:after="0" w:line="129" w:lineRule="exact"/>
              <w:rPr>
                <w:sz w:val="20"/>
                <w:szCs w:val="20"/>
                <w:color w:val="auto"/>
              </w:rPr>
            </w:pPr>
            <w:r>
              <w:rPr>
                <w:rFonts w:ascii="Arial" w:cs="Arial" w:eastAsia="Arial" w:hAnsi="Arial"/>
                <w:sz w:val="14"/>
                <w:szCs w:val="14"/>
                <w:b w:val="1"/>
                <w:bCs w:val="1"/>
                <w:color w:val="auto"/>
                <w:w w:val="85"/>
              </w:rPr>
              <w:t>October 31,</w:t>
            </w:r>
          </w:p>
        </w:tc>
        <w:tc>
          <w:tcPr>
            <w:tcW w:w="160" w:type="dxa"/>
            <w:vAlign w:val="bottom"/>
            <w:tcBorders>
              <w:top w:val="single" w:sz="8" w:color="auto"/>
            </w:tcBorders>
          </w:tcPr>
          <w:p>
            <w:pPr>
              <w:spacing w:after="0"/>
              <w:rPr>
                <w:sz w:val="11"/>
                <w:szCs w:val="11"/>
                <w:color w:val="auto"/>
              </w:rPr>
            </w:pPr>
          </w:p>
        </w:tc>
        <w:tc>
          <w:tcPr>
            <w:tcW w:w="740" w:type="dxa"/>
            <w:vAlign w:val="bottom"/>
            <w:tcBorders>
              <w:top w:val="single" w:sz="8" w:color="auto"/>
            </w:tcBorders>
          </w:tcPr>
          <w:p>
            <w:pPr>
              <w:jc w:val="center"/>
              <w:spacing w:after="0" w:line="129" w:lineRule="exact"/>
              <w:rPr>
                <w:sz w:val="20"/>
                <w:szCs w:val="20"/>
                <w:color w:val="auto"/>
              </w:rPr>
            </w:pPr>
            <w:r>
              <w:rPr>
                <w:rFonts w:ascii="Arial" w:cs="Arial" w:eastAsia="Arial" w:hAnsi="Arial"/>
                <w:sz w:val="14"/>
                <w:szCs w:val="14"/>
                <w:b w:val="1"/>
                <w:bCs w:val="1"/>
                <w:color w:val="auto"/>
                <w:w w:val="85"/>
              </w:rPr>
              <w:t>November 1,</w:t>
            </w:r>
          </w:p>
        </w:tc>
        <w:tc>
          <w:tcPr>
            <w:tcW w:w="200" w:type="dxa"/>
            <w:vAlign w:val="bottom"/>
          </w:tcPr>
          <w:p>
            <w:pPr>
              <w:spacing w:after="0"/>
              <w:rPr>
                <w:sz w:val="11"/>
                <w:szCs w:val="11"/>
                <w:color w:val="auto"/>
              </w:rPr>
            </w:pPr>
          </w:p>
        </w:tc>
        <w:tc>
          <w:tcPr>
            <w:tcW w:w="720" w:type="dxa"/>
            <w:vAlign w:val="bottom"/>
            <w:gridSpan w:val="2"/>
            <w:vMerge w:val="continue"/>
          </w:tcPr>
          <w:p>
            <w:pPr>
              <w:spacing w:after="0"/>
              <w:rPr>
                <w:sz w:val="11"/>
                <w:szCs w:val="11"/>
                <w:color w:val="auto"/>
              </w:rPr>
            </w:pPr>
          </w:p>
        </w:tc>
        <w:tc>
          <w:tcPr>
            <w:tcW w:w="380" w:type="dxa"/>
            <w:vAlign w:val="bottom"/>
          </w:tcPr>
          <w:p>
            <w:pPr>
              <w:spacing w:after="0"/>
              <w:rPr>
                <w:sz w:val="11"/>
                <w:szCs w:val="11"/>
                <w:color w:val="auto"/>
              </w:rPr>
            </w:pPr>
          </w:p>
        </w:tc>
        <w:tc>
          <w:tcPr>
            <w:tcW w:w="160" w:type="dxa"/>
            <w:vAlign w:val="bottom"/>
          </w:tcPr>
          <w:p>
            <w:pPr>
              <w:spacing w:after="0"/>
              <w:rPr>
                <w:sz w:val="11"/>
                <w:szCs w:val="11"/>
                <w:color w:val="auto"/>
              </w:rPr>
            </w:pPr>
          </w:p>
        </w:tc>
        <w:tc>
          <w:tcPr>
            <w:tcW w:w="980" w:type="dxa"/>
            <w:vAlign w:val="bottom"/>
            <w:tcBorders>
              <w:top w:val="single" w:sz="8" w:color="auto"/>
            </w:tcBorders>
            <w:gridSpan w:val="2"/>
          </w:tcPr>
          <w:p>
            <w:pPr>
              <w:jc w:val="center"/>
              <w:ind w:right="320"/>
              <w:spacing w:after="0" w:line="129" w:lineRule="exact"/>
              <w:rPr>
                <w:sz w:val="20"/>
                <w:szCs w:val="20"/>
                <w:color w:val="auto"/>
              </w:rPr>
            </w:pPr>
            <w:r>
              <w:rPr>
                <w:rFonts w:ascii="Arial" w:cs="Arial" w:eastAsia="Arial" w:hAnsi="Arial"/>
                <w:sz w:val="14"/>
                <w:szCs w:val="14"/>
                <w:b w:val="1"/>
                <w:bCs w:val="1"/>
                <w:color w:val="auto"/>
                <w:w w:val="85"/>
              </w:rPr>
              <w:t>October 31,</w:t>
            </w:r>
          </w:p>
        </w:tc>
        <w:tc>
          <w:tcPr>
            <w:tcW w:w="160" w:type="dxa"/>
            <w:vAlign w:val="bottom"/>
            <w:tcBorders>
              <w:top w:val="single" w:sz="8" w:color="auto"/>
            </w:tcBorders>
          </w:tcPr>
          <w:p>
            <w:pPr>
              <w:spacing w:after="0"/>
              <w:rPr>
                <w:sz w:val="11"/>
                <w:szCs w:val="11"/>
                <w:color w:val="auto"/>
              </w:rPr>
            </w:pPr>
          </w:p>
        </w:tc>
        <w:tc>
          <w:tcPr>
            <w:tcW w:w="740" w:type="dxa"/>
            <w:vAlign w:val="bottom"/>
            <w:tcBorders>
              <w:top w:val="single" w:sz="8" w:color="auto"/>
            </w:tcBorders>
          </w:tcPr>
          <w:p>
            <w:pPr>
              <w:jc w:val="right"/>
              <w:spacing w:after="0" w:line="129" w:lineRule="exact"/>
              <w:rPr>
                <w:sz w:val="20"/>
                <w:szCs w:val="20"/>
                <w:color w:val="auto"/>
              </w:rPr>
            </w:pPr>
            <w:r>
              <w:rPr>
                <w:rFonts w:ascii="Arial" w:cs="Arial" w:eastAsia="Arial" w:hAnsi="Arial"/>
                <w:sz w:val="14"/>
                <w:szCs w:val="14"/>
                <w:b w:val="1"/>
                <w:bCs w:val="1"/>
                <w:color w:val="auto"/>
                <w:w w:val="85"/>
              </w:rPr>
              <w:t>November 1,</w:t>
            </w:r>
          </w:p>
        </w:tc>
        <w:tc>
          <w:tcPr>
            <w:tcW w:w="480" w:type="dxa"/>
            <w:vAlign w:val="bottom"/>
          </w:tcPr>
          <w:p>
            <w:pPr>
              <w:spacing w:after="0"/>
              <w:rPr>
                <w:sz w:val="11"/>
                <w:szCs w:val="11"/>
                <w:color w:val="auto"/>
              </w:rPr>
            </w:pPr>
          </w:p>
        </w:tc>
        <w:tc>
          <w:tcPr>
            <w:tcW w:w="440" w:type="dxa"/>
            <w:vAlign w:val="bottom"/>
            <w:vMerge w:val="continue"/>
          </w:tcPr>
          <w:p>
            <w:pPr>
              <w:spacing w:after="0"/>
              <w:rPr>
                <w:sz w:val="11"/>
                <w:szCs w:val="11"/>
                <w:color w:val="auto"/>
              </w:rPr>
            </w:pPr>
          </w:p>
        </w:tc>
        <w:tc>
          <w:tcPr>
            <w:tcW w:w="26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1"/>
        </w:trPr>
        <w:tc>
          <w:tcPr>
            <w:tcW w:w="3280" w:type="dxa"/>
            <w:vAlign w:val="bottom"/>
          </w:tcPr>
          <w:p>
            <w:pPr>
              <w:spacing w:after="0"/>
              <w:rPr>
                <w:sz w:val="14"/>
                <w:szCs w:val="14"/>
                <w:color w:val="auto"/>
              </w:rPr>
            </w:pPr>
          </w:p>
        </w:tc>
        <w:tc>
          <w:tcPr>
            <w:tcW w:w="2420" w:type="dxa"/>
            <w:vAlign w:val="bottom"/>
            <w:gridSpan w:val="2"/>
          </w:tcPr>
          <w:p>
            <w:pPr>
              <w:jc w:val="right"/>
              <w:ind w:right="132"/>
              <w:spacing w:after="0"/>
              <w:rPr>
                <w:sz w:val="20"/>
                <w:szCs w:val="20"/>
                <w:color w:val="auto"/>
              </w:rPr>
            </w:pPr>
            <w:r>
              <w:rPr>
                <w:rFonts w:ascii="Arial" w:cs="Arial" w:eastAsia="Arial" w:hAnsi="Arial"/>
                <w:sz w:val="14"/>
                <w:szCs w:val="14"/>
                <w:b w:val="1"/>
                <w:bCs w:val="1"/>
                <w:color w:val="auto"/>
              </w:rPr>
              <w:t>2009</w:t>
            </w:r>
          </w:p>
        </w:tc>
        <w:tc>
          <w:tcPr>
            <w:tcW w:w="300" w:type="dxa"/>
            <w:vAlign w:val="bottom"/>
          </w:tcPr>
          <w:p>
            <w:pPr>
              <w:spacing w:after="0"/>
              <w:rPr>
                <w:sz w:val="14"/>
                <w:szCs w:val="14"/>
                <w:color w:val="auto"/>
              </w:rPr>
            </w:pPr>
          </w:p>
        </w:tc>
        <w:tc>
          <w:tcPr>
            <w:tcW w:w="900" w:type="dxa"/>
            <w:vAlign w:val="bottom"/>
            <w:gridSpan w:val="2"/>
          </w:tcPr>
          <w:p>
            <w:pPr>
              <w:jc w:val="center"/>
              <w:ind w:left="99"/>
              <w:spacing w:after="0"/>
              <w:rPr>
                <w:sz w:val="20"/>
                <w:szCs w:val="20"/>
                <w:color w:val="auto"/>
              </w:rPr>
            </w:pPr>
            <w:r>
              <w:rPr>
                <w:rFonts w:ascii="Arial" w:cs="Arial" w:eastAsia="Arial" w:hAnsi="Arial"/>
                <w:sz w:val="14"/>
                <w:szCs w:val="14"/>
                <w:b w:val="1"/>
                <w:bCs w:val="1"/>
                <w:color w:val="auto"/>
                <w:w w:val="89"/>
              </w:rPr>
              <w:t>2008</w:t>
            </w:r>
          </w:p>
        </w:tc>
        <w:tc>
          <w:tcPr>
            <w:tcW w:w="200" w:type="dxa"/>
            <w:vAlign w:val="bottom"/>
          </w:tcPr>
          <w:p>
            <w:pPr>
              <w:spacing w:after="0"/>
              <w:rPr>
                <w:sz w:val="14"/>
                <w:szCs w:val="14"/>
                <w:color w:val="auto"/>
              </w:rPr>
            </w:pPr>
          </w:p>
        </w:tc>
        <w:tc>
          <w:tcPr>
            <w:tcW w:w="280" w:type="dxa"/>
            <w:vAlign w:val="bottom"/>
          </w:tcPr>
          <w:p>
            <w:pPr>
              <w:spacing w:after="0"/>
              <w:rPr>
                <w:sz w:val="14"/>
                <w:szCs w:val="14"/>
                <w:color w:val="auto"/>
              </w:rPr>
            </w:pPr>
          </w:p>
        </w:tc>
        <w:tc>
          <w:tcPr>
            <w:tcW w:w="820" w:type="dxa"/>
            <w:vAlign w:val="bottom"/>
            <w:gridSpan w:val="2"/>
          </w:tcPr>
          <w:p>
            <w:pPr>
              <w:jc w:val="center"/>
              <w:ind w:right="312"/>
              <w:spacing w:after="0"/>
              <w:rPr>
                <w:sz w:val="20"/>
                <w:szCs w:val="20"/>
                <w:color w:val="auto"/>
              </w:rPr>
            </w:pPr>
            <w:r>
              <w:rPr>
                <w:rFonts w:ascii="Arial" w:cs="Arial" w:eastAsia="Arial" w:hAnsi="Arial"/>
                <w:sz w:val="14"/>
                <w:szCs w:val="14"/>
                <w:b w:val="1"/>
                <w:bCs w:val="1"/>
                <w:color w:val="auto"/>
                <w:w w:val="85"/>
              </w:rPr>
              <w:t>Change</w:t>
            </w:r>
          </w:p>
        </w:tc>
        <w:tc>
          <w:tcPr>
            <w:tcW w:w="820" w:type="dxa"/>
            <w:vAlign w:val="bottom"/>
            <w:gridSpan w:val="2"/>
          </w:tcPr>
          <w:p>
            <w:pPr>
              <w:jc w:val="center"/>
              <w:ind w:left="79"/>
              <w:spacing w:after="0"/>
              <w:rPr>
                <w:sz w:val="20"/>
                <w:szCs w:val="20"/>
                <w:color w:val="auto"/>
              </w:rPr>
            </w:pPr>
            <w:r>
              <w:rPr>
                <w:rFonts w:ascii="Arial" w:cs="Arial" w:eastAsia="Arial" w:hAnsi="Arial"/>
                <w:sz w:val="14"/>
                <w:szCs w:val="14"/>
                <w:b w:val="1"/>
                <w:bCs w:val="1"/>
                <w:color w:val="auto"/>
                <w:w w:val="83"/>
              </w:rPr>
              <w:t>2009</w:t>
            </w:r>
          </w:p>
        </w:tc>
        <w:tc>
          <w:tcPr>
            <w:tcW w:w="320" w:type="dxa"/>
            <w:vAlign w:val="bottom"/>
          </w:tcPr>
          <w:p>
            <w:pPr>
              <w:spacing w:after="0"/>
              <w:rPr>
                <w:sz w:val="14"/>
                <w:szCs w:val="14"/>
                <w:color w:val="auto"/>
              </w:rPr>
            </w:pPr>
          </w:p>
        </w:tc>
        <w:tc>
          <w:tcPr>
            <w:tcW w:w="900" w:type="dxa"/>
            <w:vAlign w:val="bottom"/>
            <w:gridSpan w:val="2"/>
          </w:tcPr>
          <w:p>
            <w:pPr>
              <w:jc w:val="right"/>
              <w:ind w:right="172"/>
              <w:spacing w:after="0"/>
              <w:rPr>
                <w:sz w:val="20"/>
                <w:szCs w:val="20"/>
                <w:color w:val="auto"/>
              </w:rPr>
            </w:pPr>
            <w:r>
              <w:rPr>
                <w:rFonts w:ascii="Arial" w:cs="Arial" w:eastAsia="Arial" w:hAnsi="Arial"/>
                <w:sz w:val="14"/>
                <w:szCs w:val="14"/>
                <w:b w:val="1"/>
                <w:bCs w:val="1"/>
                <w:color w:val="auto"/>
              </w:rPr>
              <w:t>2008</w:t>
            </w:r>
          </w:p>
        </w:tc>
        <w:tc>
          <w:tcPr>
            <w:tcW w:w="480" w:type="dxa"/>
            <w:vAlign w:val="bottom"/>
          </w:tcPr>
          <w:p>
            <w:pPr>
              <w:spacing w:after="0"/>
              <w:rPr>
                <w:sz w:val="14"/>
                <w:szCs w:val="14"/>
                <w:color w:val="auto"/>
              </w:rPr>
            </w:pPr>
          </w:p>
        </w:tc>
        <w:tc>
          <w:tcPr>
            <w:tcW w:w="700" w:type="dxa"/>
            <w:vAlign w:val="bottom"/>
            <w:gridSpan w:val="2"/>
          </w:tcPr>
          <w:p>
            <w:pPr>
              <w:jc w:val="center"/>
              <w:ind w:right="260"/>
              <w:spacing w:after="0"/>
              <w:rPr>
                <w:sz w:val="20"/>
                <w:szCs w:val="20"/>
                <w:color w:val="auto"/>
              </w:rPr>
            </w:pPr>
            <w:r>
              <w:rPr>
                <w:rFonts w:ascii="Arial" w:cs="Arial" w:eastAsia="Arial" w:hAnsi="Arial"/>
                <w:sz w:val="14"/>
                <w:szCs w:val="14"/>
                <w:b w:val="1"/>
                <w:bCs w:val="1"/>
                <w:color w:val="auto"/>
                <w:w w:val="85"/>
              </w:rPr>
              <w:t>Change</w:t>
            </w:r>
          </w:p>
        </w:tc>
        <w:tc>
          <w:tcPr>
            <w:tcW w:w="0" w:type="dxa"/>
            <w:vAlign w:val="bottom"/>
          </w:tcPr>
          <w:p>
            <w:pPr>
              <w:spacing w:after="0"/>
              <w:rPr>
                <w:sz w:val="1"/>
                <w:szCs w:val="1"/>
                <w:color w:val="auto"/>
              </w:rPr>
            </w:pPr>
          </w:p>
        </w:tc>
      </w:tr>
      <w:tr>
        <w:trPr>
          <w:trHeight w:val="142"/>
        </w:trPr>
        <w:tc>
          <w:tcPr>
            <w:tcW w:w="3280" w:type="dxa"/>
            <w:vAlign w:val="bottom"/>
          </w:tcPr>
          <w:p>
            <w:pPr>
              <w:spacing w:after="0"/>
              <w:rPr>
                <w:sz w:val="12"/>
                <w:szCs w:val="12"/>
                <w:color w:val="auto"/>
              </w:rPr>
            </w:pPr>
          </w:p>
        </w:tc>
        <w:tc>
          <w:tcPr>
            <w:tcW w:w="1740" w:type="dxa"/>
            <w:vAlign w:val="bottom"/>
          </w:tcPr>
          <w:p>
            <w:pPr>
              <w:spacing w:after="0"/>
              <w:rPr>
                <w:sz w:val="12"/>
                <w:szCs w:val="12"/>
                <w:color w:val="auto"/>
              </w:rPr>
            </w:pPr>
          </w:p>
        </w:tc>
        <w:tc>
          <w:tcPr>
            <w:tcW w:w="680" w:type="dxa"/>
            <w:vAlign w:val="bottom"/>
            <w:tcBorders>
              <w:top w:val="single" w:sz="8" w:color="auto"/>
            </w:tcBorders>
          </w:tcPr>
          <w:p>
            <w:pPr>
              <w:spacing w:after="0"/>
              <w:rPr>
                <w:sz w:val="12"/>
                <w:szCs w:val="12"/>
                <w:color w:val="auto"/>
              </w:rPr>
            </w:pPr>
          </w:p>
        </w:tc>
        <w:tc>
          <w:tcPr>
            <w:tcW w:w="300" w:type="dxa"/>
            <w:vAlign w:val="bottom"/>
          </w:tcPr>
          <w:p>
            <w:pPr>
              <w:spacing w:after="0"/>
              <w:rPr>
                <w:sz w:val="12"/>
                <w:szCs w:val="12"/>
                <w:color w:val="auto"/>
              </w:rPr>
            </w:pPr>
          </w:p>
        </w:tc>
        <w:tc>
          <w:tcPr>
            <w:tcW w:w="160" w:type="dxa"/>
            <w:vAlign w:val="bottom"/>
          </w:tcPr>
          <w:p>
            <w:pPr>
              <w:spacing w:after="0"/>
              <w:rPr>
                <w:sz w:val="12"/>
                <w:szCs w:val="12"/>
                <w:color w:val="auto"/>
              </w:rPr>
            </w:pPr>
          </w:p>
        </w:tc>
        <w:tc>
          <w:tcPr>
            <w:tcW w:w="740" w:type="dxa"/>
            <w:vAlign w:val="bottom"/>
            <w:tcBorders>
              <w:top w:val="single" w:sz="8" w:color="auto"/>
            </w:tcBorders>
          </w:tcPr>
          <w:p>
            <w:pPr>
              <w:spacing w:after="0"/>
              <w:rPr>
                <w:sz w:val="12"/>
                <w:szCs w:val="12"/>
                <w:color w:val="auto"/>
              </w:rPr>
            </w:pPr>
          </w:p>
        </w:tc>
        <w:tc>
          <w:tcPr>
            <w:tcW w:w="200" w:type="dxa"/>
            <w:vAlign w:val="bottom"/>
          </w:tcPr>
          <w:p>
            <w:pPr>
              <w:spacing w:after="0"/>
              <w:rPr>
                <w:sz w:val="12"/>
                <w:szCs w:val="12"/>
                <w:color w:val="auto"/>
              </w:rPr>
            </w:pPr>
          </w:p>
        </w:tc>
        <w:tc>
          <w:tcPr>
            <w:tcW w:w="280" w:type="dxa"/>
            <w:vAlign w:val="bottom"/>
          </w:tcPr>
          <w:p>
            <w:pPr>
              <w:ind w:left="40"/>
              <w:spacing w:after="0" w:line="142" w:lineRule="exact"/>
              <w:rPr>
                <w:sz w:val="20"/>
                <w:szCs w:val="20"/>
                <w:color w:val="auto"/>
              </w:rPr>
            </w:pPr>
            <w:r>
              <w:rPr>
                <w:rFonts w:ascii="Arial" w:cs="Arial" w:eastAsia="Arial" w:hAnsi="Arial"/>
                <w:sz w:val="14"/>
                <w:szCs w:val="14"/>
                <w:b w:val="1"/>
                <w:bCs w:val="1"/>
                <w:color w:val="auto"/>
              </w:rPr>
              <w:t>(in</w:t>
            </w:r>
          </w:p>
        </w:tc>
        <w:tc>
          <w:tcPr>
            <w:tcW w:w="440" w:type="dxa"/>
            <w:vAlign w:val="bottom"/>
            <w:tcBorders>
              <w:top w:val="single" w:sz="8" w:color="auto"/>
            </w:tcBorders>
          </w:tcPr>
          <w:p>
            <w:pPr>
              <w:jc w:val="center"/>
              <w:spacing w:after="0"/>
              <w:rPr>
                <w:sz w:val="20"/>
                <w:szCs w:val="20"/>
                <w:color w:val="auto"/>
              </w:rPr>
            </w:pPr>
            <w:r>
              <w:rPr>
                <w:rFonts w:ascii="Arial" w:cs="Arial" w:eastAsia="Arial" w:hAnsi="Arial"/>
                <w:sz w:val="11"/>
                <w:szCs w:val="11"/>
                <w:b w:val="1"/>
                <w:bCs w:val="1"/>
                <w:color w:val="auto"/>
                <w:w w:val="74"/>
              </w:rPr>
              <w:t>thousands,</w:t>
            </w:r>
          </w:p>
        </w:tc>
        <w:tc>
          <w:tcPr>
            <w:tcW w:w="540" w:type="dxa"/>
            <w:vAlign w:val="bottom"/>
            <w:gridSpan w:val="2"/>
          </w:tcPr>
          <w:p>
            <w:pPr>
              <w:ind w:left="160"/>
              <w:spacing w:after="0" w:line="142" w:lineRule="exact"/>
              <w:rPr>
                <w:sz w:val="20"/>
                <w:szCs w:val="20"/>
                <w:color w:val="auto"/>
              </w:rPr>
            </w:pPr>
            <w:r>
              <w:rPr>
                <w:rFonts w:ascii="Arial" w:cs="Arial" w:eastAsia="Arial" w:hAnsi="Arial"/>
                <w:sz w:val="14"/>
                <w:szCs w:val="14"/>
                <w:b w:val="1"/>
                <w:bCs w:val="1"/>
                <w:color w:val="auto"/>
                <w:w w:val="81"/>
              </w:rPr>
              <w:t>except</w:t>
            </w:r>
          </w:p>
        </w:tc>
        <w:tc>
          <w:tcPr>
            <w:tcW w:w="660" w:type="dxa"/>
            <w:vAlign w:val="bottom"/>
            <w:tcBorders>
              <w:top w:val="single" w:sz="8" w:color="auto"/>
            </w:tcBorders>
          </w:tcPr>
          <w:p>
            <w:pPr>
              <w:jc w:val="center"/>
              <w:spacing w:after="0" w:line="142" w:lineRule="exact"/>
              <w:rPr>
                <w:sz w:val="20"/>
                <w:szCs w:val="20"/>
                <w:color w:val="auto"/>
              </w:rPr>
            </w:pPr>
            <w:r>
              <w:rPr>
                <w:rFonts w:ascii="Arial" w:cs="Arial" w:eastAsia="Arial" w:hAnsi="Arial"/>
                <w:sz w:val="14"/>
                <w:szCs w:val="14"/>
                <w:b w:val="1"/>
                <w:bCs w:val="1"/>
                <w:color w:val="auto"/>
                <w:w w:val="80"/>
              </w:rPr>
              <w:t>percentage)</w:t>
            </w:r>
          </w:p>
        </w:tc>
        <w:tc>
          <w:tcPr>
            <w:tcW w:w="320" w:type="dxa"/>
            <w:vAlign w:val="bottom"/>
          </w:tcPr>
          <w:p>
            <w:pPr>
              <w:spacing w:after="0"/>
              <w:rPr>
                <w:sz w:val="12"/>
                <w:szCs w:val="12"/>
                <w:color w:val="auto"/>
              </w:rPr>
            </w:pPr>
          </w:p>
        </w:tc>
        <w:tc>
          <w:tcPr>
            <w:tcW w:w="160" w:type="dxa"/>
            <w:vAlign w:val="bottom"/>
          </w:tcPr>
          <w:p>
            <w:pPr>
              <w:spacing w:after="0"/>
              <w:rPr>
                <w:sz w:val="12"/>
                <w:szCs w:val="12"/>
                <w:color w:val="auto"/>
              </w:rPr>
            </w:pPr>
          </w:p>
        </w:tc>
        <w:tc>
          <w:tcPr>
            <w:tcW w:w="740" w:type="dxa"/>
            <w:vAlign w:val="bottom"/>
            <w:tcBorders>
              <w:top w:val="single" w:sz="8" w:color="auto"/>
            </w:tcBorders>
          </w:tcPr>
          <w:p>
            <w:pPr>
              <w:spacing w:after="0"/>
              <w:rPr>
                <w:sz w:val="12"/>
                <w:szCs w:val="12"/>
                <w:color w:val="auto"/>
              </w:rPr>
            </w:pPr>
          </w:p>
        </w:tc>
        <w:tc>
          <w:tcPr>
            <w:tcW w:w="480" w:type="dxa"/>
            <w:vAlign w:val="bottom"/>
          </w:tcPr>
          <w:p>
            <w:pPr>
              <w:spacing w:after="0"/>
              <w:rPr>
                <w:sz w:val="12"/>
                <w:szCs w:val="12"/>
                <w:color w:val="auto"/>
              </w:rPr>
            </w:pPr>
          </w:p>
        </w:tc>
        <w:tc>
          <w:tcPr>
            <w:tcW w:w="440" w:type="dxa"/>
            <w:vAlign w:val="bottom"/>
            <w:tcBorders>
              <w:top w:val="single" w:sz="8" w:color="auto"/>
            </w:tcBorders>
          </w:tcPr>
          <w:p>
            <w:pPr>
              <w:spacing w:after="0"/>
              <w:rPr>
                <w:sz w:val="12"/>
                <w:szCs w:val="12"/>
                <w:color w:val="auto"/>
              </w:rPr>
            </w:pPr>
          </w:p>
        </w:tc>
        <w:tc>
          <w:tcPr>
            <w:tcW w:w="26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216"/>
        </w:trPr>
        <w:tc>
          <w:tcPr>
            <w:tcW w:w="3280" w:type="dxa"/>
            <w:vAlign w:val="bottom"/>
            <w:shd w:val="clear" w:color="auto" w:fill="CCEEFF"/>
          </w:tcPr>
          <w:p>
            <w:pPr>
              <w:spacing w:after="0"/>
              <w:rPr>
                <w:sz w:val="20"/>
                <w:szCs w:val="20"/>
                <w:color w:val="auto"/>
              </w:rPr>
            </w:pPr>
            <w:r>
              <w:rPr>
                <w:rFonts w:ascii="Arial" w:cs="Arial" w:eastAsia="Arial" w:hAnsi="Arial"/>
                <w:sz w:val="18"/>
                <w:szCs w:val="18"/>
                <w:color w:val="auto"/>
              </w:rPr>
              <w:t>Selling and marketing</w:t>
            </w:r>
          </w:p>
        </w:tc>
        <w:tc>
          <w:tcPr>
            <w:tcW w:w="2720" w:type="dxa"/>
            <w:vAlign w:val="bottom"/>
            <w:gridSpan w:val="3"/>
            <w:shd w:val="clear" w:color="auto" w:fill="CCEEFF"/>
          </w:tcPr>
          <w:p>
            <w:pPr>
              <w:jc w:val="right"/>
              <w:ind w:right="300"/>
              <w:spacing w:after="0"/>
              <w:rPr>
                <w:sz w:val="20"/>
                <w:szCs w:val="20"/>
                <w:color w:val="auto"/>
              </w:rPr>
            </w:pPr>
            <w:r>
              <w:rPr>
                <w:rFonts w:ascii="Arial" w:cs="Arial" w:eastAsia="Arial" w:hAnsi="Arial"/>
                <w:sz w:val="18"/>
                <w:szCs w:val="18"/>
                <w:color w:val="auto"/>
              </w:rPr>
              <w:t>$ 35,442</w:t>
            </w:r>
          </w:p>
        </w:tc>
        <w:tc>
          <w:tcPr>
            <w:tcW w:w="900" w:type="dxa"/>
            <w:vAlign w:val="bottom"/>
            <w:gridSpan w:val="2"/>
            <w:shd w:val="clear" w:color="auto" w:fill="CCEEFF"/>
          </w:tcPr>
          <w:p>
            <w:pPr>
              <w:jc w:val="center"/>
              <w:ind w:left="79"/>
              <w:spacing w:after="0"/>
              <w:rPr>
                <w:sz w:val="20"/>
                <w:szCs w:val="20"/>
                <w:color w:val="auto"/>
              </w:rPr>
            </w:pPr>
            <w:r>
              <w:rPr>
                <w:rFonts w:ascii="Arial" w:cs="Arial" w:eastAsia="Arial" w:hAnsi="Arial"/>
                <w:sz w:val="18"/>
                <w:szCs w:val="18"/>
                <w:color w:val="auto"/>
                <w:w w:val="98"/>
              </w:rPr>
              <w:t>$  41,158</w:t>
            </w:r>
          </w:p>
        </w:tc>
        <w:tc>
          <w:tcPr>
            <w:tcW w:w="200" w:type="dxa"/>
            <w:vAlign w:val="bottom"/>
            <w:shd w:val="clear" w:color="auto" w:fill="CCEEFF"/>
          </w:tcPr>
          <w:p>
            <w:pPr>
              <w:spacing w:after="0"/>
              <w:rPr>
                <w:sz w:val="18"/>
                <w:szCs w:val="18"/>
                <w:color w:val="auto"/>
              </w:rPr>
            </w:pPr>
          </w:p>
        </w:tc>
        <w:tc>
          <w:tcPr>
            <w:tcW w:w="1100" w:type="dxa"/>
            <w:vAlign w:val="bottom"/>
            <w:gridSpan w:val="3"/>
            <w:shd w:val="clear" w:color="auto" w:fill="CCEEFF"/>
          </w:tcPr>
          <w:p>
            <w:pPr>
              <w:jc w:val="right"/>
              <w:ind w:right="92"/>
              <w:spacing w:after="0"/>
              <w:rPr>
                <w:sz w:val="20"/>
                <w:szCs w:val="20"/>
                <w:color w:val="auto"/>
              </w:rPr>
            </w:pPr>
            <w:r>
              <w:rPr>
                <w:rFonts w:ascii="Arial" w:cs="Arial" w:eastAsia="Arial" w:hAnsi="Arial"/>
                <w:sz w:val="18"/>
                <w:szCs w:val="18"/>
                <w:color w:val="auto"/>
              </w:rPr>
              <w:t>(13.9)%</w:t>
            </w:r>
          </w:p>
        </w:tc>
        <w:tc>
          <w:tcPr>
            <w:tcW w:w="1140" w:type="dxa"/>
            <w:vAlign w:val="bottom"/>
            <w:gridSpan w:val="3"/>
            <w:shd w:val="clear" w:color="auto" w:fill="CCEEFF"/>
          </w:tcPr>
          <w:p>
            <w:pPr>
              <w:jc w:val="right"/>
              <w:ind w:right="320"/>
              <w:spacing w:after="0"/>
              <w:rPr>
                <w:sz w:val="20"/>
                <w:szCs w:val="20"/>
                <w:color w:val="auto"/>
              </w:rPr>
            </w:pPr>
            <w:r>
              <w:rPr>
                <w:rFonts w:ascii="Arial" w:cs="Arial" w:eastAsia="Arial" w:hAnsi="Arial"/>
                <w:sz w:val="18"/>
                <w:szCs w:val="18"/>
                <w:color w:val="auto"/>
              </w:rPr>
              <w:t>$102,260</w:t>
            </w:r>
          </w:p>
        </w:tc>
        <w:tc>
          <w:tcPr>
            <w:tcW w:w="90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$ 129,080</w:t>
            </w:r>
          </w:p>
        </w:tc>
        <w:tc>
          <w:tcPr>
            <w:tcW w:w="480" w:type="dxa"/>
            <w:vAlign w:val="bottom"/>
            <w:shd w:val="clear" w:color="auto" w:fill="CCEEFF"/>
          </w:tcPr>
          <w:p>
            <w:pPr>
              <w:spacing w:after="0"/>
              <w:rPr>
                <w:sz w:val="18"/>
                <w:szCs w:val="18"/>
                <w:color w:val="auto"/>
              </w:rPr>
            </w:pPr>
          </w:p>
        </w:tc>
        <w:tc>
          <w:tcPr>
            <w:tcW w:w="70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w w:val="98"/>
              </w:rPr>
              <w:t>(20.8)%</w:t>
            </w:r>
          </w:p>
        </w:tc>
        <w:tc>
          <w:tcPr>
            <w:tcW w:w="0" w:type="dxa"/>
            <w:vAlign w:val="bottom"/>
          </w:tcPr>
          <w:p>
            <w:pPr>
              <w:spacing w:after="0"/>
              <w:rPr>
                <w:sz w:val="1"/>
                <w:szCs w:val="1"/>
                <w:color w:val="auto"/>
              </w:rPr>
            </w:pPr>
          </w:p>
        </w:tc>
      </w:tr>
      <w:tr>
        <w:trPr>
          <w:trHeight w:val="222"/>
        </w:trPr>
        <w:tc>
          <w:tcPr>
            <w:tcW w:w="3280" w:type="dxa"/>
            <w:vAlign w:val="bottom"/>
          </w:tcPr>
          <w:p>
            <w:pPr>
              <w:spacing w:after="0"/>
              <w:rPr>
                <w:sz w:val="20"/>
                <w:szCs w:val="20"/>
                <w:color w:val="auto"/>
              </w:rPr>
            </w:pPr>
            <w:r>
              <w:rPr>
                <w:rFonts w:ascii="Arial" w:cs="Arial" w:eastAsia="Arial" w:hAnsi="Arial"/>
                <w:sz w:val="18"/>
                <w:szCs w:val="18"/>
                <w:color w:val="auto"/>
              </w:rPr>
              <w:t>% of net revenue</w:t>
            </w:r>
          </w:p>
        </w:tc>
        <w:tc>
          <w:tcPr>
            <w:tcW w:w="2720" w:type="dxa"/>
            <w:vAlign w:val="bottom"/>
            <w:gridSpan w:val="3"/>
          </w:tcPr>
          <w:p>
            <w:pPr>
              <w:jc w:val="right"/>
              <w:ind w:right="160"/>
              <w:spacing w:after="0"/>
              <w:rPr>
                <w:sz w:val="20"/>
                <w:szCs w:val="20"/>
                <w:color w:val="auto"/>
              </w:rPr>
            </w:pPr>
            <w:r>
              <w:rPr>
                <w:rFonts w:ascii="Arial" w:cs="Arial" w:eastAsia="Arial" w:hAnsi="Arial"/>
                <w:sz w:val="18"/>
                <w:szCs w:val="18"/>
                <w:color w:val="auto"/>
              </w:rPr>
              <w:t>4.4%</w:t>
            </w:r>
          </w:p>
        </w:tc>
        <w:tc>
          <w:tcPr>
            <w:tcW w:w="1100" w:type="dxa"/>
            <w:vAlign w:val="bottom"/>
            <w:gridSpan w:val="3"/>
          </w:tcPr>
          <w:p>
            <w:pPr>
              <w:jc w:val="right"/>
              <w:ind w:right="40"/>
              <w:spacing w:after="0"/>
              <w:rPr>
                <w:sz w:val="20"/>
                <w:szCs w:val="20"/>
                <w:color w:val="auto"/>
              </w:rPr>
            </w:pPr>
            <w:r>
              <w:rPr>
                <w:rFonts w:ascii="Arial" w:cs="Arial" w:eastAsia="Arial" w:hAnsi="Arial"/>
                <w:sz w:val="18"/>
                <w:szCs w:val="18"/>
                <w:color w:val="auto"/>
              </w:rPr>
              <w:t>5.2%</w:t>
            </w:r>
          </w:p>
        </w:tc>
        <w:tc>
          <w:tcPr>
            <w:tcW w:w="280" w:type="dxa"/>
            <w:vAlign w:val="bottom"/>
          </w:tcPr>
          <w:p>
            <w:pPr>
              <w:spacing w:after="0"/>
              <w:rPr>
                <w:sz w:val="19"/>
                <w:szCs w:val="19"/>
                <w:color w:val="auto"/>
              </w:rPr>
            </w:pPr>
          </w:p>
        </w:tc>
        <w:tc>
          <w:tcPr>
            <w:tcW w:w="440" w:type="dxa"/>
            <w:vAlign w:val="bottom"/>
          </w:tcPr>
          <w:p>
            <w:pPr>
              <w:spacing w:after="0"/>
              <w:rPr>
                <w:sz w:val="19"/>
                <w:szCs w:val="19"/>
                <w:color w:val="auto"/>
              </w:rPr>
            </w:pPr>
          </w:p>
        </w:tc>
        <w:tc>
          <w:tcPr>
            <w:tcW w:w="380" w:type="dxa"/>
            <w:vAlign w:val="bottom"/>
          </w:tcPr>
          <w:p>
            <w:pPr>
              <w:spacing w:after="0"/>
              <w:rPr>
                <w:sz w:val="19"/>
                <w:szCs w:val="19"/>
                <w:color w:val="auto"/>
              </w:rPr>
            </w:pPr>
          </w:p>
        </w:tc>
        <w:tc>
          <w:tcPr>
            <w:tcW w:w="1140" w:type="dxa"/>
            <w:vAlign w:val="bottom"/>
            <w:gridSpan w:val="3"/>
          </w:tcPr>
          <w:p>
            <w:pPr>
              <w:jc w:val="right"/>
              <w:ind w:right="160"/>
              <w:spacing w:after="0"/>
              <w:rPr>
                <w:sz w:val="20"/>
                <w:szCs w:val="20"/>
                <w:color w:val="auto"/>
              </w:rPr>
            </w:pPr>
            <w:r>
              <w:rPr>
                <w:rFonts w:ascii="Arial" w:cs="Arial" w:eastAsia="Arial" w:hAnsi="Arial"/>
                <w:sz w:val="18"/>
                <w:szCs w:val="18"/>
                <w:color w:val="auto"/>
              </w:rPr>
              <w:t>5.2%</w:t>
            </w:r>
          </w:p>
        </w:tc>
        <w:tc>
          <w:tcPr>
            <w:tcW w:w="1380" w:type="dxa"/>
            <w:vAlign w:val="bottom"/>
            <w:gridSpan w:val="3"/>
          </w:tcPr>
          <w:p>
            <w:pPr>
              <w:jc w:val="right"/>
              <w:ind w:right="320"/>
              <w:spacing w:after="0"/>
              <w:rPr>
                <w:sz w:val="20"/>
                <w:szCs w:val="20"/>
                <w:color w:val="auto"/>
              </w:rPr>
            </w:pPr>
            <w:r>
              <w:rPr>
                <w:rFonts w:ascii="Arial" w:cs="Arial" w:eastAsia="Arial" w:hAnsi="Arial"/>
                <w:sz w:val="18"/>
                <w:szCs w:val="18"/>
                <w:color w:val="auto"/>
              </w:rPr>
              <w:t>5.3%</w:t>
            </w:r>
          </w:p>
        </w:tc>
        <w:tc>
          <w:tcPr>
            <w:tcW w:w="440" w:type="dxa"/>
            <w:vAlign w:val="bottom"/>
          </w:tcPr>
          <w:p>
            <w:pPr>
              <w:spacing w:after="0"/>
              <w:rPr>
                <w:sz w:val="19"/>
                <w:szCs w:val="19"/>
                <w:color w:val="auto"/>
              </w:rPr>
            </w:pPr>
          </w:p>
        </w:tc>
        <w:tc>
          <w:tcPr>
            <w:tcW w:w="260" w:type="dxa"/>
            <w:vAlign w:val="bottom"/>
          </w:tcPr>
          <w:p>
            <w:pPr>
              <w:spacing w:after="0"/>
              <w:rPr>
                <w:sz w:val="19"/>
                <w:szCs w:val="19"/>
                <w:color w:val="auto"/>
              </w:rPr>
            </w:pPr>
          </w:p>
        </w:tc>
        <w:tc>
          <w:tcPr>
            <w:tcW w:w="0" w:type="dxa"/>
            <w:vAlign w:val="bottom"/>
          </w:tcPr>
          <w:p>
            <w:pPr>
              <w:spacing w:after="0"/>
              <w:rPr>
                <w:sz w:val="1"/>
                <w:szCs w:val="1"/>
                <w:color w:val="auto"/>
              </w:rPr>
            </w:pPr>
          </w:p>
        </w:tc>
      </w:tr>
    </w:tbl>
    <w:p>
      <w:pPr>
        <w:spacing w:after="0" w:line="147" w:lineRule="exact"/>
        <w:rPr>
          <w:sz w:val="20"/>
          <w:szCs w:val="20"/>
          <w:color w:val="auto"/>
        </w:rPr>
      </w:pPr>
    </w:p>
    <w:p>
      <w:pPr>
        <w:ind w:right="240" w:firstLine="456"/>
        <w:spacing w:after="0" w:line="306" w:lineRule="auto"/>
        <w:rPr>
          <w:sz w:val="20"/>
          <w:szCs w:val="20"/>
          <w:color w:val="auto"/>
        </w:rPr>
      </w:pPr>
      <w:r>
        <w:rPr>
          <w:rFonts w:ascii="Arial" w:cs="Arial" w:eastAsia="Arial" w:hAnsi="Arial"/>
          <w:sz w:val="16"/>
          <w:szCs w:val="16"/>
          <w:color w:val="auto"/>
        </w:rPr>
        <w:t>The decrease in selling and marketing expense for the three months ended October 31, 2009 compared to the three months ended November 1, 2008 of $5.7 million was primarily due to lower sales commissions of $1.1 million as a result of the mix of revenue. Stock-based compensation decreased $2.8 million. Additionally, various other selling and marketing costs including travel declined $1.2 million due to cost control efforts.</w:t>
      </w:r>
    </w:p>
    <w:p>
      <w:pPr>
        <w:spacing w:after="0" w:line="107" w:lineRule="exact"/>
        <w:rPr>
          <w:sz w:val="20"/>
          <w:szCs w:val="20"/>
          <w:color w:val="auto"/>
        </w:rPr>
      </w:pPr>
    </w:p>
    <w:p>
      <w:pPr>
        <w:ind w:firstLine="456"/>
        <w:spacing w:after="0" w:line="256" w:lineRule="auto"/>
        <w:rPr>
          <w:sz w:val="20"/>
          <w:szCs w:val="20"/>
          <w:color w:val="auto"/>
        </w:rPr>
      </w:pPr>
      <w:r>
        <w:rPr>
          <w:rFonts w:ascii="Arial" w:cs="Arial" w:eastAsia="Arial" w:hAnsi="Arial"/>
          <w:sz w:val="18"/>
          <w:szCs w:val="18"/>
          <w:color w:val="auto"/>
        </w:rPr>
        <w:t>The decrease in selling and marketing expense for the nine months ended October 31, 2009 compared to the nine months ended November 1, 2008 of $26.8 million was primarily due to lower salary and related expenses of $7.2 million due to lower headcount. Stock-based compensation decreased $8.9 million. Additionally, sales rep commissions decreased $4.9 million due to lower revenue and various other selling and marketing costs decreased $5.2 million due to cost control efforts.</w:t>
      </w:r>
    </w:p>
    <w:p>
      <w:pPr>
        <w:spacing w:after="0" w:line="143" w:lineRule="exact"/>
        <w:rPr>
          <w:sz w:val="20"/>
          <w:szCs w:val="20"/>
          <w:color w:val="auto"/>
        </w:rPr>
      </w:pPr>
    </w:p>
    <w:p>
      <w:pPr>
        <w:ind w:right="540" w:firstLine="456"/>
        <w:spacing w:after="0" w:line="268" w:lineRule="auto"/>
        <w:rPr>
          <w:sz w:val="20"/>
          <w:szCs w:val="20"/>
          <w:color w:val="auto"/>
        </w:rPr>
      </w:pPr>
      <w:r>
        <w:rPr>
          <w:rFonts w:ascii="Arial" w:cs="Arial" w:eastAsia="Arial" w:hAnsi="Arial"/>
          <w:sz w:val="18"/>
          <w:szCs w:val="18"/>
          <w:color w:val="auto"/>
        </w:rPr>
        <w:t>We currently expect that selling and marketing expense during the fourth quarter ending January 30, 2010 will increase moderately from the level of expense reported during the third quarter ended October 31, 2009.</w:t>
      </w:r>
    </w:p>
    <w:p>
      <w:pPr>
        <w:spacing w:after="0" w:line="213" w:lineRule="exact"/>
        <w:rPr>
          <w:sz w:val="20"/>
          <w:szCs w:val="20"/>
          <w:color w:val="auto"/>
        </w:rPr>
      </w:pPr>
    </w:p>
    <w:p>
      <w:pPr>
        <w:ind w:left="240"/>
        <w:spacing w:after="0"/>
        <w:rPr>
          <w:sz w:val="20"/>
          <w:szCs w:val="20"/>
          <w:color w:val="auto"/>
        </w:rPr>
      </w:pPr>
      <w:r>
        <w:rPr>
          <w:rFonts w:ascii="Arial" w:cs="Arial" w:eastAsia="Arial" w:hAnsi="Arial"/>
          <w:sz w:val="18"/>
          <w:szCs w:val="18"/>
          <w:i w:val="1"/>
          <w:iCs w:val="1"/>
          <w:color w:val="auto"/>
        </w:rPr>
        <w:t>General and Administrative</w:t>
      </w:r>
    </w:p>
    <w:p>
      <w:pPr>
        <w:spacing w:after="0" w:line="207"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3500" w:type="dxa"/>
            <w:vAlign w:val="bottom"/>
          </w:tcPr>
          <w:p>
            <w:pPr>
              <w:spacing w:after="0"/>
              <w:rPr>
                <w:sz w:val="14"/>
                <w:szCs w:val="14"/>
                <w:color w:val="auto"/>
              </w:rPr>
            </w:pPr>
          </w:p>
        </w:tc>
        <w:tc>
          <w:tcPr>
            <w:tcW w:w="1580" w:type="dxa"/>
            <w:vAlign w:val="bottom"/>
          </w:tcPr>
          <w:p>
            <w:pPr>
              <w:spacing w:after="0"/>
              <w:rPr>
                <w:sz w:val="14"/>
                <w:szCs w:val="14"/>
                <w:color w:val="auto"/>
              </w:rPr>
            </w:pPr>
          </w:p>
        </w:tc>
        <w:tc>
          <w:tcPr>
            <w:tcW w:w="2080" w:type="dxa"/>
            <w:vAlign w:val="bottom"/>
            <w:gridSpan w:val="5"/>
          </w:tcPr>
          <w:p>
            <w:pPr>
              <w:jc w:val="right"/>
              <w:ind w:right="520"/>
              <w:spacing w:after="0"/>
              <w:rPr>
                <w:sz w:val="20"/>
                <w:szCs w:val="20"/>
                <w:color w:val="auto"/>
              </w:rPr>
            </w:pPr>
            <w:r>
              <w:rPr>
                <w:rFonts w:ascii="Arial" w:cs="Arial" w:eastAsia="Arial" w:hAnsi="Arial"/>
                <w:sz w:val="14"/>
                <w:szCs w:val="14"/>
                <w:b w:val="1"/>
                <w:bCs w:val="1"/>
                <w:color w:val="auto"/>
              </w:rPr>
              <w:t>Three Months Ended</w:t>
            </w:r>
          </w:p>
        </w:tc>
        <w:tc>
          <w:tcPr>
            <w:tcW w:w="720" w:type="dxa"/>
            <w:vAlign w:val="bottom"/>
            <w:gridSpan w:val="2"/>
            <w:vMerge w:val="restart"/>
          </w:tcPr>
          <w:p>
            <w:pPr>
              <w:jc w:val="center"/>
              <w:ind w:left="206"/>
              <w:spacing w:after="0"/>
              <w:rPr>
                <w:sz w:val="20"/>
                <w:szCs w:val="20"/>
                <w:color w:val="auto"/>
              </w:rPr>
            </w:pPr>
            <w:r>
              <w:rPr>
                <w:rFonts w:ascii="Arial" w:cs="Arial" w:eastAsia="Arial" w:hAnsi="Arial"/>
                <w:sz w:val="14"/>
                <w:szCs w:val="14"/>
                <w:b w:val="1"/>
                <w:bCs w:val="1"/>
                <w:color w:val="auto"/>
                <w:w w:val="96"/>
              </w:rPr>
              <w:t>%</w:t>
            </w:r>
          </w:p>
        </w:tc>
        <w:tc>
          <w:tcPr>
            <w:tcW w:w="360" w:type="dxa"/>
            <w:vAlign w:val="bottom"/>
          </w:tcPr>
          <w:p>
            <w:pPr>
              <w:spacing w:after="0"/>
              <w:rPr>
                <w:sz w:val="14"/>
                <w:szCs w:val="14"/>
                <w:color w:val="auto"/>
              </w:rPr>
            </w:pPr>
          </w:p>
        </w:tc>
        <w:tc>
          <w:tcPr>
            <w:tcW w:w="160" w:type="dxa"/>
            <w:vAlign w:val="bottom"/>
          </w:tcPr>
          <w:p>
            <w:pPr>
              <w:spacing w:after="0"/>
              <w:rPr>
                <w:sz w:val="14"/>
                <w:szCs w:val="14"/>
                <w:color w:val="auto"/>
              </w:rPr>
            </w:pPr>
          </w:p>
        </w:tc>
        <w:tc>
          <w:tcPr>
            <w:tcW w:w="2380" w:type="dxa"/>
            <w:vAlign w:val="bottom"/>
            <w:gridSpan w:val="5"/>
          </w:tcPr>
          <w:p>
            <w:pPr>
              <w:jc w:val="right"/>
              <w:ind w:right="840"/>
              <w:spacing w:after="0"/>
              <w:rPr>
                <w:sz w:val="20"/>
                <w:szCs w:val="20"/>
                <w:color w:val="auto"/>
              </w:rPr>
            </w:pPr>
            <w:r>
              <w:rPr>
                <w:rFonts w:ascii="Arial" w:cs="Arial" w:eastAsia="Arial" w:hAnsi="Arial"/>
                <w:sz w:val="14"/>
                <w:szCs w:val="14"/>
                <w:b w:val="1"/>
                <w:bCs w:val="1"/>
                <w:color w:val="auto"/>
              </w:rPr>
              <w:t>Nine Months Ended</w:t>
            </w:r>
          </w:p>
        </w:tc>
        <w:tc>
          <w:tcPr>
            <w:tcW w:w="440" w:type="dxa"/>
            <w:vAlign w:val="bottom"/>
            <w:vMerge w:val="restart"/>
          </w:tcPr>
          <w:p>
            <w:pPr>
              <w:jc w:val="right"/>
              <w:ind w:right="86"/>
              <w:spacing w:after="0"/>
              <w:rPr>
                <w:sz w:val="20"/>
                <w:szCs w:val="20"/>
                <w:color w:val="auto"/>
              </w:rPr>
            </w:pPr>
            <w:r>
              <w:rPr>
                <w:rFonts w:ascii="Arial" w:cs="Arial" w:eastAsia="Arial" w:hAnsi="Arial"/>
                <w:sz w:val="14"/>
                <w:szCs w:val="14"/>
                <w:b w:val="1"/>
                <w:bCs w:val="1"/>
                <w:color w:val="auto"/>
              </w:rPr>
              <w:t>%</w:t>
            </w:r>
          </w:p>
        </w:tc>
        <w:tc>
          <w:tcPr>
            <w:tcW w:w="2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29"/>
        </w:trPr>
        <w:tc>
          <w:tcPr>
            <w:tcW w:w="3500" w:type="dxa"/>
            <w:vAlign w:val="bottom"/>
          </w:tcPr>
          <w:p>
            <w:pPr>
              <w:spacing w:after="0"/>
              <w:rPr>
                <w:sz w:val="11"/>
                <w:szCs w:val="11"/>
                <w:color w:val="auto"/>
              </w:rPr>
            </w:pPr>
          </w:p>
        </w:tc>
        <w:tc>
          <w:tcPr>
            <w:tcW w:w="1580" w:type="dxa"/>
            <w:vAlign w:val="bottom"/>
          </w:tcPr>
          <w:p>
            <w:pPr>
              <w:spacing w:after="0"/>
              <w:rPr>
                <w:sz w:val="11"/>
                <w:szCs w:val="11"/>
                <w:color w:val="auto"/>
              </w:rPr>
            </w:pPr>
          </w:p>
        </w:tc>
        <w:tc>
          <w:tcPr>
            <w:tcW w:w="980" w:type="dxa"/>
            <w:vAlign w:val="bottom"/>
            <w:tcBorders>
              <w:top w:val="single" w:sz="8" w:color="auto"/>
            </w:tcBorders>
            <w:gridSpan w:val="2"/>
          </w:tcPr>
          <w:p>
            <w:pPr>
              <w:jc w:val="right"/>
              <w:ind w:right="300"/>
              <w:spacing w:after="0" w:line="129" w:lineRule="exact"/>
              <w:rPr>
                <w:sz w:val="20"/>
                <w:szCs w:val="20"/>
                <w:color w:val="auto"/>
              </w:rPr>
            </w:pPr>
            <w:r>
              <w:rPr>
                <w:rFonts w:ascii="Arial" w:cs="Arial" w:eastAsia="Arial" w:hAnsi="Arial"/>
                <w:sz w:val="14"/>
                <w:szCs w:val="14"/>
                <w:b w:val="1"/>
                <w:bCs w:val="1"/>
                <w:color w:val="auto"/>
                <w:w w:val="85"/>
              </w:rPr>
              <w:t>October 31,</w:t>
            </w:r>
          </w:p>
        </w:tc>
        <w:tc>
          <w:tcPr>
            <w:tcW w:w="160" w:type="dxa"/>
            <w:vAlign w:val="bottom"/>
            <w:tcBorders>
              <w:top w:val="single" w:sz="8" w:color="auto"/>
            </w:tcBorders>
          </w:tcPr>
          <w:p>
            <w:pPr>
              <w:spacing w:after="0"/>
              <w:rPr>
                <w:sz w:val="11"/>
                <w:szCs w:val="11"/>
                <w:color w:val="auto"/>
              </w:rPr>
            </w:pPr>
          </w:p>
        </w:tc>
        <w:tc>
          <w:tcPr>
            <w:tcW w:w="740" w:type="dxa"/>
            <w:vAlign w:val="bottom"/>
            <w:tcBorders>
              <w:top w:val="single" w:sz="8" w:color="auto"/>
            </w:tcBorders>
          </w:tcPr>
          <w:p>
            <w:pPr>
              <w:jc w:val="right"/>
              <w:spacing w:after="0" w:line="129" w:lineRule="exact"/>
              <w:rPr>
                <w:sz w:val="20"/>
                <w:szCs w:val="20"/>
                <w:color w:val="auto"/>
              </w:rPr>
            </w:pPr>
            <w:r>
              <w:rPr>
                <w:rFonts w:ascii="Arial" w:cs="Arial" w:eastAsia="Arial" w:hAnsi="Arial"/>
                <w:sz w:val="14"/>
                <w:szCs w:val="14"/>
                <w:b w:val="1"/>
                <w:bCs w:val="1"/>
                <w:color w:val="auto"/>
                <w:w w:val="85"/>
              </w:rPr>
              <w:t>November 1,</w:t>
            </w:r>
          </w:p>
        </w:tc>
        <w:tc>
          <w:tcPr>
            <w:tcW w:w="200" w:type="dxa"/>
            <w:vAlign w:val="bottom"/>
          </w:tcPr>
          <w:p>
            <w:pPr>
              <w:spacing w:after="0"/>
              <w:rPr>
                <w:sz w:val="11"/>
                <w:szCs w:val="11"/>
                <w:color w:val="auto"/>
              </w:rPr>
            </w:pPr>
          </w:p>
        </w:tc>
        <w:tc>
          <w:tcPr>
            <w:tcW w:w="720" w:type="dxa"/>
            <w:vAlign w:val="bottom"/>
            <w:gridSpan w:val="2"/>
            <w:vMerge w:val="continue"/>
          </w:tcPr>
          <w:p>
            <w:pPr>
              <w:spacing w:after="0"/>
              <w:rPr>
                <w:sz w:val="11"/>
                <w:szCs w:val="11"/>
                <w:color w:val="auto"/>
              </w:rPr>
            </w:pPr>
          </w:p>
        </w:tc>
        <w:tc>
          <w:tcPr>
            <w:tcW w:w="360" w:type="dxa"/>
            <w:vAlign w:val="bottom"/>
          </w:tcPr>
          <w:p>
            <w:pPr>
              <w:spacing w:after="0"/>
              <w:rPr>
                <w:sz w:val="11"/>
                <w:szCs w:val="11"/>
                <w:color w:val="auto"/>
              </w:rPr>
            </w:pPr>
          </w:p>
        </w:tc>
        <w:tc>
          <w:tcPr>
            <w:tcW w:w="160" w:type="dxa"/>
            <w:vAlign w:val="bottom"/>
          </w:tcPr>
          <w:p>
            <w:pPr>
              <w:spacing w:after="0"/>
              <w:rPr>
                <w:sz w:val="11"/>
                <w:szCs w:val="11"/>
                <w:color w:val="auto"/>
              </w:rPr>
            </w:pPr>
          </w:p>
        </w:tc>
        <w:tc>
          <w:tcPr>
            <w:tcW w:w="1000" w:type="dxa"/>
            <w:vAlign w:val="bottom"/>
            <w:tcBorders>
              <w:top w:val="single" w:sz="8" w:color="auto"/>
            </w:tcBorders>
            <w:gridSpan w:val="2"/>
          </w:tcPr>
          <w:p>
            <w:pPr>
              <w:jc w:val="center"/>
              <w:ind w:right="320"/>
              <w:spacing w:after="0" w:line="129" w:lineRule="exact"/>
              <w:rPr>
                <w:sz w:val="20"/>
                <w:szCs w:val="20"/>
                <w:color w:val="auto"/>
              </w:rPr>
            </w:pPr>
            <w:r>
              <w:rPr>
                <w:rFonts w:ascii="Arial" w:cs="Arial" w:eastAsia="Arial" w:hAnsi="Arial"/>
                <w:sz w:val="14"/>
                <w:szCs w:val="14"/>
                <w:b w:val="1"/>
                <w:bCs w:val="1"/>
                <w:color w:val="auto"/>
                <w:w w:val="88"/>
              </w:rPr>
              <w:t>October 31,</w:t>
            </w:r>
          </w:p>
        </w:tc>
        <w:tc>
          <w:tcPr>
            <w:tcW w:w="160" w:type="dxa"/>
            <w:vAlign w:val="bottom"/>
            <w:tcBorders>
              <w:top w:val="single" w:sz="8" w:color="auto"/>
            </w:tcBorders>
          </w:tcPr>
          <w:p>
            <w:pPr>
              <w:spacing w:after="0"/>
              <w:rPr>
                <w:sz w:val="11"/>
                <w:szCs w:val="11"/>
                <w:color w:val="auto"/>
              </w:rPr>
            </w:pPr>
          </w:p>
        </w:tc>
        <w:tc>
          <w:tcPr>
            <w:tcW w:w="740" w:type="dxa"/>
            <w:vAlign w:val="bottom"/>
            <w:tcBorders>
              <w:top w:val="single" w:sz="8" w:color="auto"/>
            </w:tcBorders>
          </w:tcPr>
          <w:p>
            <w:pPr>
              <w:jc w:val="right"/>
              <w:spacing w:after="0" w:line="129" w:lineRule="exact"/>
              <w:rPr>
                <w:sz w:val="20"/>
                <w:szCs w:val="20"/>
                <w:color w:val="auto"/>
              </w:rPr>
            </w:pPr>
            <w:r>
              <w:rPr>
                <w:rFonts w:ascii="Arial" w:cs="Arial" w:eastAsia="Arial" w:hAnsi="Arial"/>
                <w:sz w:val="14"/>
                <w:szCs w:val="14"/>
                <w:b w:val="1"/>
                <w:bCs w:val="1"/>
                <w:color w:val="auto"/>
                <w:w w:val="85"/>
              </w:rPr>
              <w:t>November 1,</w:t>
            </w:r>
          </w:p>
        </w:tc>
        <w:tc>
          <w:tcPr>
            <w:tcW w:w="480" w:type="dxa"/>
            <w:vAlign w:val="bottom"/>
          </w:tcPr>
          <w:p>
            <w:pPr>
              <w:spacing w:after="0"/>
              <w:rPr>
                <w:sz w:val="11"/>
                <w:szCs w:val="11"/>
                <w:color w:val="auto"/>
              </w:rPr>
            </w:pPr>
          </w:p>
        </w:tc>
        <w:tc>
          <w:tcPr>
            <w:tcW w:w="440" w:type="dxa"/>
            <w:vAlign w:val="bottom"/>
            <w:vMerge w:val="continue"/>
          </w:tcPr>
          <w:p>
            <w:pPr>
              <w:spacing w:after="0"/>
              <w:rPr>
                <w:sz w:val="11"/>
                <w:szCs w:val="11"/>
                <w:color w:val="auto"/>
              </w:rPr>
            </w:pPr>
          </w:p>
        </w:tc>
        <w:tc>
          <w:tcPr>
            <w:tcW w:w="2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1"/>
        </w:trPr>
        <w:tc>
          <w:tcPr>
            <w:tcW w:w="3500" w:type="dxa"/>
            <w:vAlign w:val="bottom"/>
          </w:tcPr>
          <w:p>
            <w:pPr>
              <w:spacing w:after="0"/>
              <w:rPr>
                <w:sz w:val="14"/>
                <w:szCs w:val="14"/>
                <w:color w:val="auto"/>
              </w:rPr>
            </w:pPr>
          </w:p>
        </w:tc>
        <w:tc>
          <w:tcPr>
            <w:tcW w:w="2260" w:type="dxa"/>
            <w:vAlign w:val="bottom"/>
            <w:gridSpan w:val="2"/>
          </w:tcPr>
          <w:p>
            <w:pPr>
              <w:jc w:val="right"/>
              <w:ind w:right="132"/>
              <w:spacing w:after="0"/>
              <w:rPr>
                <w:sz w:val="20"/>
                <w:szCs w:val="20"/>
                <w:color w:val="auto"/>
              </w:rPr>
            </w:pPr>
            <w:r>
              <w:rPr>
                <w:rFonts w:ascii="Arial" w:cs="Arial" w:eastAsia="Arial" w:hAnsi="Arial"/>
                <w:sz w:val="14"/>
                <w:szCs w:val="14"/>
                <w:b w:val="1"/>
                <w:bCs w:val="1"/>
                <w:color w:val="auto"/>
              </w:rPr>
              <w:t>2009</w:t>
            </w:r>
          </w:p>
        </w:tc>
        <w:tc>
          <w:tcPr>
            <w:tcW w:w="300" w:type="dxa"/>
            <w:vAlign w:val="bottom"/>
          </w:tcPr>
          <w:p>
            <w:pPr>
              <w:spacing w:after="0"/>
              <w:rPr>
                <w:sz w:val="14"/>
                <w:szCs w:val="14"/>
                <w:color w:val="auto"/>
              </w:rPr>
            </w:pPr>
          </w:p>
        </w:tc>
        <w:tc>
          <w:tcPr>
            <w:tcW w:w="900" w:type="dxa"/>
            <w:vAlign w:val="bottom"/>
            <w:gridSpan w:val="2"/>
          </w:tcPr>
          <w:p>
            <w:pPr>
              <w:jc w:val="right"/>
              <w:ind w:right="172"/>
              <w:spacing w:after="0"/>
              <w:rPr>
                <w:sz w:val="20"/>
                <w:szCs w:val="20"/>
                <w:color w:val="auto"/>
              </w:rPr>
            </w:pPr>
            <w:r>
              <w:rPr>
                <w:rFonts w:ascii="Arial" w:cs="Arial" w:eastAsia="Arial" w:hAnsi="Arial"/>
                <w:sz w:val="14"/>
                <w:szCs w:val="14"/>
                <w:b w:val="1"/>
                <w:bCs w:val="1"/>
                <w:color w:val="auto"/>
              </w:rPr>
              <w:t>2008</w:t>
            </w:r>
          </w:p>
        </w:tc>
        <w:tc>
          <w:tcPr>
            <w:tcW w:w="200" w:type="dxa"/>
            <w:vAlign w:val="bottom"/>
          </w:tcPr>
          <w:p>
            <w:pPr>
              <w:spacing w:after="0"/>
              <w:rPr>
                <w:sz w:val="14"/>
                <w:szCs w:val="14"/>
                <w:color w:val="auto"/>
              </w:rPr>
            </w:pPr>
          </w:p>
        </w:tc>
        <w:tc>
          <w:tcPr>
            <w:tcW w:w="280" w:type="dxa"/>
            <w:vAlign w:val="bottom"/>
          </w:tcPr>
          <w:p>
            <w:pPr>
              <w:spacing w:after="0"/>
              <w:rPr>
                <w:sz w:val="14"/>
                <w:szCs w:val="14"/>
                <w:color w:val="auto"/>
              </w:rPr>
            </w:pPr>
          </w:p>
        </w:tc>
        <w:tc>
          <w:tcPr>
            <w:tcW w:w="800" w:type="dxa"/>
            <w:vAlign w:val="bottom"/>
            <w:gridSpan w:val="2"/>
          </w:tcPr>
          <w:p>
            <w:pPr>
              <w:jc w:val="center"/>
              <w:ind w:right="292"/>
              <w:spacing w:after="0"/>
              <w:rPr>
                <w:sz w:val="20"/>
                <w:szCs w:val="20"/>
                <w:color w:val="auto"/>
              </w:rPr>
            </w:pPr>
            <w:r>
              <w:rPr>
                <w:rFonts w:ascii="Arial" w:cs="Arial" w:eastAsia="Arial" w:hAnsi="Arial"/>
                <w:sz w:val="14"/>
                <w:szCs w:val="14"/>
                <w:b w:val="1"/>
                <w:bCs w:val="1"/>
                <w:color w:val="auto"/>
                <w:w w:val="85"/>
              </w:rPr>
              <w:t>Change</w:t>
            </w:r>
          </w:p>
        </w:tc>
        <w:tc>
          <w:tcPr>
            <w:tcW w:w="840" w:type="dxa"/>
            <w:vAlign w:val="bottom"/>
            <w:gridSpan w:val="2"/>
          </w:tcPr>
          <w:p>
            <w:pPr>
              <w:jc w:val="center"/>
              <w:ind w:left="99"/>
              <w:spacing w:after="0"/>
              <w:rPr>
                <w:sz w:val="20"/>
                <w:szCs w:val="20"/>
                <w:color w:val="auto"/>
              </w:rPr>
            </w:pPr>
            <w:r>
              <w:rPr>
                <w:rFonts w:ascii="Arial" w:cs="Arial" w:eastAsia="Arial" w:hAnsi="Arial"/>
                <w:sz w:val="14"/>
                <w:szCs w:val="14"/>
                <w:b w:val="1"/>
                <w:bCs w:val="1"/>
                <w:color w:val="auto"/>
                <w:w w:val="83"/>
              </w:rPr>
              <w:t>2009</w:t>
            </w:r>
          </w:p>
        </w:tc>
        <w:tc>
          <w:tcPr>
            <w:tcW w:w="320" w:type="dxa"/>
            <w:vAlign w:val="bottom"/>
          </w:tcPr>
          <w:p>
            <w:pPr>
              <w:spacing w:after="0"/>
              <w:rPr>
                <w:sz w:val="14"/>
                <w:szCs w:val="14"/>
                <w:color w:val="auto"/>
              </w:rPr>
            </w:pPr>
          </w:p>
        </w:tc>
        <w:tc>
          <w:tcPr>
            <w:tcW w:w="900" w:type="dxa"/>
            <w:vAlign w:val="bottom"/>
            <w:gridSpan w:val="2"/>
          </w:tcPr>
          <w:p>
            <w:pPr>
              <w:jc w:val="right"/>
              <w:ind w:right="172"/>
              <w:spacing w:after="0"/>
              <w:rPr>
                <w:sz w:val="20"/>
                <w:szCs w:val="20"/>
                <w:color w:val="auto"/>
              </w:rPr>
            </w:pPr>
            <w:r>
              <w:rPr>
                <w:rFonts w:ascii="Arial" w:cs="Arial" w:eastAsia="Arial" w:hAnsi="Arial"/>
                <w:sz w:val="14"/>
                <w:szCs w:val="14"/>
                <w:b w:val="1"/>
                <w:bCs w:val="1"/>
                <w:color w:val="auto"/>
              </w:rPr>
              <w:t>2008</w:t>
            </w:r>
          </w:p>
        </w:tc>
        <w:tc>
          <w:tcPr>
            <w:tcW w:w="480" w:type="dxa"/>
            <w:vAlign w:val="bottom"/>
          </w:tcPr>
          <w:p>
            <w:pPr>
              <w:spacing w:after="0"/>
              <w:rPr>
                <w:sz w:val="14"/>
                <w:szCs w:val="14"/>
                <w:color w:val="auto"/>
              </w:rPr>
            </w:pPr>
          </w:p>
        </w:tc>
        <w:tc>
          <w:tcPr>
            <w:tcW w:w="640" w:type="dxa"/>
            <w:vAlign w:val="bottom"/>
            <w:gridSpan w:val="2"/>
          </w:tcPr>
          <w:p>
            <w:pPr>
              <w:jc w:val="center"/>
              <w:ind w:right="200"/>
              <w:spacing w:after="0"/>
              <w:rPr>
                <w:sz w:val="20"/>
                <w:szCs w:val="20"/>
                <w:color w:val="auto"/>
              </w:rPr>
            </w:pPr>
            <w:r>
              <w:rPr>
                <w:rFonts w:ascii="Arial" w:cs="Arial" w:eastAsia="Arial" w:hAnsi="Arial"/>
                <w:sz w:val="14"/>
                <w:szCs w:val="14"/>
                <w:b w:val="1"/>
                <w:bCs w:val="1"/>
                <w:color w:val="auto"/>
                <w:w w:val="85"/>
              </w:rPr>
              <w:t>Change</w:t>
            </w:r>
          </w:p>
        </w:tc>
        <w:tc>
          <w:tcPr>
            <w:tcW w:w="0" w:type="dxa"/>
            <w:vAlign w:val="bottom"/>
          </w:tcPr>
          <w:p>
            <w:pPr>
              <w:spacing w:after="0"/>
              <w:rPr>
                <w:sz w:val="1"/>
                <w:szCs w:val="1"/>
                <w:color w:val="auto"/>
              </w:rPr>
            </w:pPr>
          </w:p>
        </w:tc>
      </w:tr>
      <w:tr>
        <w:trPr>
          <w:trHeight w:val="142"/>
        </w:trPr>
        <w:tc>
          <w:tcPr>
            <w:tcW w:w="3500" w:type="dxa"/>
            <w:vAlign w:val="bottom"/>
          </w:tcPr>
          <w:p>
            <w:pPr>
              <w:spacing w:after="0"/>
              <w:rPr>
                <w:sz w:val="12"/>
                <w:szCs w:val="12"/>
                <w:color w:val="auto"/>
              </w:rPr>
            </w:pPr>
          </w:p>
        </w:tc>
        <w:tc>
          <w:tcPr>
            <w:tcW w:w="1580" w:type="dxa"/>
            <w:vAlign w:val="bottom"/>
          </w:tcPr>
          <w:p>
            <w:pPr>
              <w:spacing w:after="0"/>
              <w:rPr>
                <w:sz w:val="12"/>
                <w:szCs w:val="12"/>
                <w:color w:val="auto"/>
              </w:rPr>
            </w:pPr>
          </w:p>
        </w:tc>
        <w:tc>
          <w:tcPr>
            <w:tcW w:w="680" w:type="dxa"/>
            <w:vAlign w:val="bottom"/>
            <w:tcBorders>
              <w:top w:val="single" w:sz="8" w:color="auto"/>
            </w:tcBorders>
          </w:tcPr>
          <w:p>
            <w:pPr>
              <w:spacing w:after="0"/>
              <w:rPr>
                <w:sz w:val="12"/>
                <w:szCs w:val="12"/>
                <w:color w:val="auto"/>
              </w:rPr>
            </w:pPr>
          </w:p>
        </w:tc>
        <w:tc>
          <w:tcPr>
            <w:tcW w:w="300" w:type="dxa"/>
            <w:vAlign w:val="bottom"/>
          </w:tcPr>
          <w:p>
            <w:pPr>
              <w:spacing w:after="0"/>
              <w:rPr>
                <w:sz w:val="12"/>
                <w:szCs w:val="12"/>
                <w:color w:val="auto"/>
              </w:rPr>
            </w:pPr>
          </w:p>
        </w:tc>
        <w:tc>
          <w:tcPr>
            <w:tcW w:w="160" w:type="dxa"/>
            <w:vAlign w:val="bottom"/>
          </w:tcPr>
          <w:p>
            <w:pPr>
              <w:spacing w:after="0"/>
              <w:rPr>
                <w:sz w:val="12"/>
                <w:szCs w:val="12"/>
                <w:color w:val="auto"/>
              </w:rPr>
            </w:pPr>
          </w:p>
        </w:tc>
        <w:tc>
          <w:tcPr>
            <w:tcW w:w="740" w:type="dxa"/>
            <w:vAlign w:val="bottom"/>
            <w:tcBorders>
              <w:top w:val="single" w:sz="8" w:color="auto"/>
            </w:tcBorders>
          </w:tcPr>
          <w:p>
            <w:pPr>
              <w:spacing w:after="0"/>
              <w:rPr>
                <w:sz w:val="12"/>
                <w:szCs w:val="12"/>
                <w:color w:val="auto"/>
              </w:rPr>
            </w:pPr>
          </w:p>
        </w:tc>
        <w:tc>
          <w:tcPr>
            <w:tcW w:w="200" w:type="dxa"/>
            <w:vAlign w:val="bottom"/>
          </w:tcPr>
          <w:p>
            <w:pPr>
              <w:spacing w:after="0"/>
              <w:rPr>
                <w:sz w:val="12"/>
                <w:szCs w:val="12"/>
                <w:color w:val="auto"/>
              </w:rPr>
            </w:pPr>
          </w:p>
        </w:tc>
        <w:tc>
          <w:tcPr>
            <w:tcW w:w="280" w:type="dxa"/>
            <w:vAlign w:val="bottom"/>
          </w:tcPr>
          <w:p>
            <w:pPr>
              <w:ind w:left="40"/>
              <w:spacing w:after="0" w:line="142" w:lineRule="exact"/>
              <w:rPr>
                <w:sz w:val="20"/>
                <w:szCs w:val="20"/>
                <w:color w:val="auto"/>
              </w:rPr>
            </w:pPr>
            <w:r>
              <w:rPr>
                <w:rFonts w:ascii="Arial" w:cs="Arial" w:eastAsia="Arial" w:hAnsi="Arial"/>
                <w:sz w:val="14"/>
                <w:szCs w:val="14"/>
                <w:b w:val="1"/>
                <w:bCs w:val="1"/>
                <w:color w:val="auto"/>
              </w:rPr>
              <w:t>(in</w:t>
            </w:r>
          </w:p>
        </w:tc>
        <w:tc>
          <w:tcPr>
            <w:tcW w:w="440" w:type="dxa"/>
            <w:vAlign w:val="bottom"/>
            <w:tcBorders>
              <w:top w:val="single" w:sz="8" w:color="auto"/>
            </w:tcBorders>
          </w:tcPr>
          <w:p>
            <w:pPr>
              <w:jc w:val="center"/>
              <w:spacing w:after="0"/>
              <w:rPr>
                <w:sz w:val="20"/>
                <w:szCs w:val="20"/>
                <w:color w:val="auto"/>
              </w:rPr>
            </w:pPr>
            <w:r>
              <w:rPr>
                <w:rFonts w:ascii="Arial" w:cs="Arial" w:eastAsia="Arial" w:hAnsi="Arial"/>
                <w:sz w:val="11"/>
                <w:szCs w:val="11"/>
                <w:b w:val="1"/>
                <w:bCs w:val="1"/>
                <w:color w:val="auto"/>
                <w:w w:val="74"/>
              </w:rPr>
              <w:t>thousands,</w:t>
            </w:r>
          </w:p>
        </w:tc>
        <w:tc>
          <w:tcPr>
            <w:tcW w:w="520" w:type="dxa"/>
            <w:vAlign w:val="bottom"/>
            <w:gridSpan w:val="2"/>
          </w:tcPr>
          <w:p>
            <w:pPr>
              <w:ind w:left="160"/>
              <w:spacing w:after="0" w:line="142" w:lineRule="exact"/>
              <w:rPr>
                <w:sz w:val="20"/>
                <w:szCs w:val="20"/>
                <w:color w:val="auto"/>
              </w:rPr>
            </w:pPr>
            <w:r>
              <w:rPr>
                <w:rFonts w:ascii="Arial" w:cs="Arial" w:eastAsia="Arial" w:hAnsi="Arial"/>
                <w:sz w:val="14"/>
                <w:szCs w:val="14"/>
                <w:b w:val="1"/>
                <w:bCs w:val="1"/>
                <w:color w:val="auto"/>
                <w:w w:val="76"/>
              </w:rPr>
              <w:t>except</w:t>
            </w:r>
          </w:p>
        </w:tc>
        <w:tc>
          <w:tcPr>
            <w:tcW w:w="680" w:type="dxa"/>
            <w:vAlign w:val="bottom"/>
            <w:tcBorders>
              <w:top w:val="single" w:sz="8" w:color="auto"/>
            </w:tcBorders>
          </w:tcPr>
          <w:p>
            <w:pPr>
              <w:jc w:val="center"/>
              <w:spacing w:after="0" w:line="142" w:lineRule="exact"/>
              <w:rPr>
                <w:sz w:val="20"/>
                <w:szCs w:val="20"/>
                <w:color w:val="auto"/>
              </w:rPr>
            </w:pPr>
            <w:r>
              <w:rPr>
                <w:rFonts w:ascii="Arial" w:cs="Arial" w:eastAsia="Arial" w:hAnsi="Arial"/>
                <w:sz w:val="14"/>
                <w:szCs w:val="14"/>
                <w:b w:val="1"/>
                <w:bCs w:val="1"/>
                <w:color w:val="auto"/>
                <w:w w:val="80"/>
              </w:rPr>
              <w:t>percentage)</w:t>
            </w:r>
          </w:p>
        </w:tc>
        <w:tc>
          <w:tcPr>
            <w:tcW w:w="320" w:type="dxa"/>
            <w:vAlign w:val="bottom"/>
          </w:tcPr>
          <w:p>
            <w:pPr>
              <w:spacing w:after="0"/>
              <w:rPr>
                <w:sz w:val="12"/>
                <w:szCs w:val="12"/>
                <w:color w:val="auto"/>
              </w:rPr>
            </w:pPr>
          </w:p>
        </w:tc>
        <w:tc>
          <w:tcPr>
            <w:tcW w:w="160" w:type="dxa"/>
            <w:vAlign w:val="bottom"/>
          </w:tcPr>
          <w:p>
            <w:pPr>
              <w:spacing w:after="0"/>
              <w:rPr>
                <w:sz w:val="12"/>
                <w:szCs w:val="12"/>
                <w:color w:val="auto"/>
              </w:rPr>
            </w:pPr>
          </w:p>
        </w:tc>
        <w:tc>
          <w:tcPr>
            <w:tcW w:w="740" w:type="dxa"/>
            <w:vAlign w:val="bottom"/>
            <w:tcBorders>
              <w:top w:val="single" w:sz="8" w:color="auto"/>
            </w:tcBorders>
          </w:tcPr>
          <w:p>
            <w:pPr>
              <w:spacing w:after="0"/>
              <w:rPr>
                <w:sz w:val="12"/>
                <w:szCs w:val="12"/>
                <w:color w:val="auto"/>
              </w:rPr>
            </w:pPr>
          </w:p>
        </w:tc>
        <w:tc>
          <w:tcPr>
            <w:tcW w:w="480" w:type="dxa"/>
            <w:vAlign w:val="bottom"/>
          </w:tcPr>
          <w:p>
            <w:pPr>
              <w:spacing w:after="0"/>
              <w:rPr>
                <w:sz w:val="12"/>
                <w:szCs w:val="12"/>
                <w:color w:val="auto"/>
              </w:rPr>
            </w:pPr>
          </w:p>
        </w:tc>
        <w:tc>
          <w:tcPr>
            <w:tcW w:w="440" w:type="dxa"/>
            <w:vAlign w:val="bottom"/>
            <w:tcBorders>
              <w:top w:val="single" w:sz="8" w:color="auto"/>
            </w:tcBorders>
          </w:tcPr>
          <w:p>
            <w:pPr>
              <w:spacing w:after="0"/>
              <w:rPr>
                <w:sz w:val="12"/>
                <w:szCs w:val="12"/>
                <w:color w:val="auto"/>
              </w:rPr>
            </w:pPr>
          </w:p>
        </w:tc>
        <w:tc>
          <w:tcPr>
            <w:tcW w:w="20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216"/>
        </w:trPr>
        <w:tc>
          <w:tcPr>
            <w:tcW w:w="3500" w:type="dxa"/>
            <w:vAlign w:val="bottom"/>
            <w:shd w:val="clear" w:color="auto" w:fill="CCEEFF"/>
          </w:tcPr>
          <w:p>
            <w:pPr>
              <w:spacing w:after="0"/>
              <w:rPr>
                <w:sz w:val="20"/>
                <w:szCs w:val="20"/>
                <w:color w:val="auto"/>
              </w:rPr>
            </w:pPr>
            <w:r>
              <w:rPr>
                <w:rFonts w:ascii="Arial" w:cs="Arial" w:eastAsia="Arial" w:hAnsi="Arial"/>
                <w:sz w:val="18"/>
                <w:szCs w:val="18"/>
                <w:color w:val="auto"/>
              </w:rPr>
              <w:t>General and administrative</w:t>
            </w:r>
          </w:p>
        </w:tc>
        <w:tc>
          <w:tcPr>
            <w:tcW w:w="226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$ 16,660</w:t>
            </w:r>
          </w:p>
        </w:tc>
        <w:tc>
          <w:tcPr>
            <w:tcW w:w="300" w:type="dxa"/>
            <w:vAlign w:val="bottom"/>
            <w:shd w:val="clear" w:color="auto" w:fill="CCEEFF"/>
          </w:tcPr>
          <w:p>
            <w:pPr>
              <w:spacing w:after="0"/>
              <w:rPr>
                <w:sz w:val="18"/>
                <w:szCs w:val="18"/>
                <w:color w:val="auto"/>
              </w:rPr>
            </w:pPr>
          </w:p>
        </w:tc>
        <w:tc>
          <w:tcPr>
            <w:tcW w:w="90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  28,869</w:t>
            </w:r>
          </w:p>
        </w:tc>
        <w:tc>
          <w:tcPr>
            <w:tcW w:w="200" w:type="dxa"/>
            <w:vAlign w:val="bottom"/>
            <w:shd w:val="clear" w:color="auto" w:fill="CCEEFF"/>
          </w:tcPr>
          <w:p>
            <w:pPr>
              <w:spacing w:after="0"/>
              <w:rPr>
                <w:sz w:val="18"/>
                <w:szCs w:val="18"/>
                <w:color w:val="auto"/>
              </w:rPr>
            </w:pPr>
          </w:p>
        </w:tc>
        <w:tc>
          <w:tcPr>
            <w:tcW w:w="1080" w:type="dxa"/>
            <w:vAlign w:val="bottom"/>
            <w:gridSpan w:val="3"/>
            <w:shd w:val="clear" w:color="auto" w:fill="CCEEFF"/>
          </w:tcPr>
          <w:p>
            <w:pPr>
              <w:jc w:val="right"/>
              <w:ind w:right="92"/>
              <w:spacing w:after="0"/>
              <w:rPr>
                <w:sz w:val="20"/>
                <w:szCs w:val="20"/>
                <w:color w:val="auto"/>
              </w:rPr>
            </w:pPr>
            <w:r>
              <w:rPr>
                <w:rFonts w:ascii="Arial" w:cs="Arial" w:eastAsia="Arial" w:hAnsi="Arial"/>
                <w:sz w:val="18"/>
                <w:szCs w:val="18"/>
                <w:color w:val="auto"/>
              </w:rPr>
              <w:t>(42.3)%</w:t>
            </w:r>
          </w:p>
        </w:tc>
        <w:tc>
          <w:tcPr>
            <w:tcW w:w="1160" w:type="dxa"/>
            <w:vAlign w:val="bottom"/>
            <w:gridSpan w:val="3"/>
            <w:shd w:val="clear" w:color="auto" w:fill="CCEEFF"/>
          </w:tcPr>
          <w:p>
            <w:pPr>
              <w:jc w:val="right"/>
              <w:ind w:right="320"/>
              <w:spacing w:after="0"/>
              <w:rPr>
                <w:sz w:val="20"/>
                <w:szCs w:val="20"/>
                <w:color w:val="auto"/>
              </w:rPr>
            </w:pPr>
            <w:r>
              <w:rPr>
                <w:rFonts w:ascii="Arial" w:cs="Arial" w:eastAsia="Arial" w:hAnsi="Arial"/>
                <w:sz w:val="18"/>
                <w:szCs w:val="18"/>
                <w:color w:val="auto"/>
              </w:rPr>
              <w:t>$148,856</w:t>
            </w:r>
          </w:p>
        </w:tc>
        <w:tc>
          <w:tcPr>
            <w:tcW w:w="90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  72,809</w:t>
            </w:r>
          </w:p>
        </w:tc>
        <w:tc>
          <w:tcPr>
            <w:tcW w:w="480" w:type="dxa"/>
            <w:vAlign w:val="bottom"/>
            <w:shd w:val="clear" w:color="auto" w:fill="CCEEFF"/>
          </w:tcPr>
          <w:p>
            <w:pPr>
              <w:spacing w:after="0"/>
              <w:rPr>
                <w:sz w:val="18"/>
                <w:szCs w:val="18"/>
                <w:color w:val="auto"/>
              </w:rPr>
            </w:pPr>
          </w:p>
        </w:tc>
        <w:tc>
          <w:tcPr>
            <w:tcW w:w="64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w w:val="91"/>
              </w:rPr>
              <w:t>104.4%</w:t>
            </w:r>
          </w:p>
        </w:tc>
        <w:tc>
          <w:tcPr>
            <w:tcW w:w="0" w:type="dxa"/>
            <w:vAlign w:val="bottom"/>
          </w:tcPr>
          <w:p>
            <w:pPr>
              <w:spacing w:after="0"/>
              <w:rPr>
                <w:sz w:val="1"/>
                <w:szCs w:val="1"/>
                <w:color w:val="auto"/>
              </w:rPr>
            </w:pPr>
          </w:p>
        </w:tc>
      </w:tr>
      <w:tr>
        <w:trPr>
          <w:trHeight w:val="222"/>
        </w:trPr>
        <w:tc>
          <w:tcPr>
            <w:tcW w:w="3500" w:type="dxa"/>
            <w:vAlign w:val="bottom"/>
          </w:tcPr>
          <w:p>
            <w:pPr>
              <w:spacing w:after="0"/>
              <w:rPr>
                <w:sz w:val="20"/>
                <w:szCs w:val="20"/>
                <w:color w:val="auto"/>
              </w:rPr>
            </w:pPr>
            <w:r>
              <w:rPr>
                <w:rFonts w:ascii="Arial" w:cs="Arial" w:eastAsia="Arial" w:hAnsi="Arial"/>
                <w:sz w:val="18"/>
                <w:szCs w:val="18"/>
                <w:color w:val="auto"/>
              </w:rPr>
              <w:t>% of net revenue</w:t>
            </w:r>
          </w:p>
        </w:tc>
        <w:tc>
          <w:tcPr>
            <w:tcW w:w="2560" w:type="dxa"/>
            <w:vAlign w:val="bottom"/>
            <w:gridSpan w:val="3"/>
          </w:tcPr>
          <w:p>
            <w:pPr>
              <w:jc w:val="right"/>
              <w:ind w:right="160"/>
              <w:spacing w:after="0"/>
              <w:rPr>
                <w:sz w:val="20"/>
                <w:szCs w:val="20"/>
                <w:color w:val="auto"/>
              </w:rPr>
            </w:pPr>
            <w:r>
              <w:rPr>
                <w:rFonts w:ascii="Arial" w:cs="Arial" w:eastAsia="Arial" w:hAnsi="Arial"/>
                <w:sz w:val="18"/>
                <w:szCs w:val="18"/>
                <w:color w:val="auto"/>
              </w:rPr>
              <w:t>2.1%</w:t>
            </w:r>
          </w:p>
        </w:tc>
        <w:tc>
          <w:tcPr>
            <w:tcW w:w="1100" w:type="dxa"/>
            <w:vAlign w:val="bottom"/>
            <w:gridSpan w:val="3"/>
          </w:tcPr>
          <w:p>
            <w:pPr>
              <w:jc w:val="right"/>
              <w:ind w:right="60"/>
              <w:spacing w:after="0"/>
              <w:rPr>
                <w:sz w:val="20"/>
                <w:szCs w:val="20"/>
                <w:color w:val="auto"/>
              </w:rPr>
            </w:pPr>
            <w:r>
              <w:rPr>
                <w:rFonts w:ascii="Arial" w:cs="Arial" w:eastAsia="Arial" w:hAnsi="Arial"/>
                <w:sz w:val="18"/>
                <w:szCs w:val="18"/>
                <w:color w:val="auto"/>
              </w:rPr>
              <w:t>3.6%</w:t>
            </w:r>
          </w:p>
        </w:tc>
        <w:tc>
          <w:tcPr>
            <w:tcW w:w="280" w:type="dxa"/>
            <w:vAlign w:val="bottom"/>
          </w:tcPr>
          <w:p>
            <w:pPr>
              <w:spacing w:after="0"/>
              <w:rPr>
                <w:sz w:val="19"/>
                <w:szCs w:val="19"/>
                <w:color w:val="auto"/>
              </w:rPr>
            </w:pPr>
          </w:p>
        </w:tc>
        <w:tc>
          <w:tcPr>
            <w:tcW w:w="440" w:type="dxa"/>
            <w:vAlign w:val="bottom"/>
          </w:tcPr>
          <w:p>
            <w:pPr>
              <w:spacing w:after="0"/>
              <w:rPr>
                <w:sz w:val="19"/>
                <w:szCs w:val="19"/>
                <w:color w:val="auto"/>
              </w:rPr>
            </w:pPr>
          </w:p>
        </w:tc>
        <w:tc>
          <w:tcPr>
            <w:tcW w:w="360" w:type="dxa"/>
            <w:vAlign w:val="bottom"/>
          </w:tcPr>
          <w:p>
            <w:pPr>
              <w:spacing w:after="0"/>
              <w:rPr>
                <w:sz w:val="19"/>
                <w:szCs w:val="19"/>
                <w:color w:val="auto"/>
              </w:rPr>
            </w:pPr>
          </w:p>
        </w:tc>
        <w:tc>
          <w:tcPr>
            <w:tcW w:w="1160" w:type="dxa"/>
            <w:vAlign w:val="bottom"/>
            <w:gridSpan w:val="3"/>
          </w:tcPr>
          <w:p>
            <w:pPr>
              <w:jc w:val="right"/>
              <w:ind w:right="180"/>
              <w:spacing w:after="0"/>
              <w:rPr>
                <w:sz w:val="20"/>
                <w:szCs w:val="20"/>
                <w:color w:val="auto"/>
              </w:rPr>
            </w:pPr>
            <w:r>
              <w:rPr>
                <w:rFonts w:ascii="Arial" w:cs="Arial" w:eastAsia="Arial" w:hAnsi="Arial"/>
                <w:sz w:val="18"/>
                <w:szCs w:val="18"/>
                <w:color w:val="auto"/>
              </w:rPr>
              <w:t>7.6%</w:t>
            </w:r>
          </w:p>
        </w:tc>
        <w:tc>
          <w:tcPr>
            <w:tcW w:w="1380" w:type="dxa"/>
            <w:vAlign w:val="bottom"/>
            <w:gridSpan w:val="3"/>
          </w:tcPr>
          <w:p>
            <w:pPr>
              <w:jc w:val="right"/>
              <w:ind w:right="340"/>
              <w:spacing w:after="0"/>
              <w:rPr>
                <w:sz w:val="20"/>
                <w:szCs w:val="20"/>
                <w:color w:val="auto"/>
              </w:rPr>
            </w:pPr>
            <w:r>
              <w:rPr>
                <w:rFonts w:ascii="Arial" w:cs="Arial" w:eastAsia="Arial" w:hAnsi="Arial"/>
                <w:sz w:val="18"/>
                <w:szCs w:val="18"/>
                <w:color w:val="auto"/>
              </w:rPr>
              <w:t>3.0%</w:t>
            </w:r>
          </w:p>
        </w:tc>
        <w:tc>
          <w:tcPr>
            <w:tcW w:w="44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0" w:type="dxa"/>
            <w:vAlign w:val="bottom"/>
          </w:tcPr>
          <w:p>
            <w:pPr>
              <w:spacing w:after="0"/>
              <w:rPr>
                <w:sz w:val="1"/>
                <w:szCs w:val="1"/>
                <w:color w:val="auto"/>
              </w:rPr>
            </w:pPr>
          </w:p>
        </w:tc>
      </w:tr>
    </w:tbl>
    <w:p>
      <w:pPr>
        <w:spacing w:after="0" w:line="147" w:lineRule="exact"/>
        <w:rPr>
          <w:sz w:val="20"/>
          <w:szCs w:val="20"/>
          <w:color w:val="auto"/>
        </w:rPr>
      </w:pPr>
    </w:p>
    <w:p>
      <w:pPr>
        <w:ind w:firstLine="456"/>
        <w:spacing w:after="0" w:line="291" w:lineRule="auto"/>
        <w:rPr>
          <w:sz w:val="20"/>
          <w:szCs w:val="20"/>
          <w:color w:val="auto"/>
        </w:rPr>
      </w:pPr>
      <w:r>
        <w:rPr>
          <w:rFonts w:ascii="Arial" w:cs="Arial" w:eastAsia="Arial" w:hAnsi="Arial"/>
          <w:sz w:val="16"/>
          <w:szCs w:val="16"/>
          <w:color w:val="auto"/>
        </w:rPr>
        <w:t>The decrease in general and administrative expense for the three months ended October 31, 2009 compared to the three months ended November 1, 2008 of $12.2 million was primarily due to lower legal fees as a result of insurance recoveries on previous litigation and the stage of litigation in the quarter. Various other general and administrative expenses such as outside services, consulting and temporary services decreased $1.3 million due to cost control efforts. Partially offsetting the decreases was an increase in stock-based compensation of $3.5 million due primarily to stock-based compensation recorded for performance based grants in which the achievement of the specified performance targets were determined to be attainable in the current year while the prior year included the reversal of costs for certain grants. In addition, restructuring related costs increased $0.5 million.</w:t>
      </w:r>
    </w:p>
    <w:p>
      <w:pPr>
        <w:spacing w:after="0" w:line="120" w:lineRule="exact"/>
        <w:rPr>
          <w:sz w:val="20"/>
          <w:szCs w:val="20"/>
          <w:color w:val="auto"/>
        </w:rPr>
      </w:pPr>
    </w:p>
    <w:p>
      <w:pPr>
        <w:ind w:right="20" w:firstLine="456"/>
        <w:spacing w:after="0" w:line="287" w:lineRule="auto"/>
        <w:rPr>
          <w:sz w:val="20"/>
          <w:szCs w:val="20"/>
          <w:color w:val="auto"/>
        </w:rPr>
      </w:pPr>
      <w:r>
        <w:rPr>
          <w:rFonts w:ascii="Arial" w:cs="Arial" w:eastAsia="Arial" w:hAnsi="Arial"/>
          <w:sz w:val="16"/>
          <w:szCs w:val="16"/>
          <w:color w:val="auto"/>
        </w:rPr>
        <w:t>The increase in general and administrative expense for the nine months ended October 31, 2009 compared to the nine months ended November 1, 2008 of $76.0 million was primarily the result of a $72.0 million legal settlement in connection with the class action securities litigation related to our historical stock option granting practices recorded in the three months ended May 2, 2009. Legal fees, on a net basis, increased by $16.5 million primarily due to $24.5 million of insurance recoveries related to certain litigation activity received in the first quarter ended May 3, 2008. This was partially offset by a $10.0 million settlement with the Securities and Exchange Commission (the “SEC”) investigation regarding our historical stock option granting practices and related accounting matters also recorded in the first quarter ended May 3, 2008. In addition to the settlements, the remaining increase in legal fees of approximately $2.0 million was due to increased hours spent on litigation matters, including one of our cases ramping up for trial. Restructuring related costs increased $2.7 million in connection with actions implemented in response to the economic downturn. Partially offsetting the increase in general and administrative expense was a decrease of $1.7 million in stock-based compensation and $2.2 million of lower salary and related costs due to lower headcount. Finally, various other general and administrative expenses such as outside services, consulting, temporary services and other decreased $9.7 million due to cost control efforts.</w:t>
      </w:r>
    </w:p>
    <w:p>
      <w:pPr>
        <w:spacing w:after="0" w:line="123" w:lineRule="exact"/>
        <w:rPr>
          <w:sz w:val="20"/>
          <w:szCs w:val="20"/>
          <w:color w:val="auto"/>
        </w:rPr>
      </w:pPr>
    </w:p>
    <w:p>
      <w:pPr>
        <w:ind w:right="180" w:firstLine="456"/>
        <w:spacing w:after="0" w:line="268" w:lineRule="auto"/>
        <w:rPr>
          <w:sz w:val="20"/>
          <w:szCs w:val="20"/>
          <w:color w:val="auto"/>
        </w:rPr>
      </w:pPr>
      <w:r>
        <w:rPr>
          <w:rFonts w:ascii="Arial" w:cs="Arial" w:eastAsia="Arial" w:hAnsi="Arial"/>
          <w:sz w:val="18"/>
          <w:szCs w:val="18"/>
          <w:color w:val="auto"/>
        </w:rPr>
        <w:t>We currently expect that general and administrative expense during the fourth quarter ending January 30, 2010 will increase moderately from the level of expense reported during the third quarter ended October 31, 2009.</w:t>
      </w:r>
    </w:p>
    <w:p>
      <w:pPr>
        <w:spacing w:after="0" w:line="118"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32</w:t>
      </w:r>
    </w:p>
    <w:p>
      <w:pPr>
        <w:sectPr>
          <w:pgSz w:w="11900" w:h="16838" w:orient="portrait"/>
          <w:cols w:equalWidth="0" w:num="1">
            <w:col w:w="11420"/>
          </w:cols>
          <w:pgMar w:left="240" w:top="459" w:right="239" w:bottom="1440" w:gutter="0" w:footer="0" w:header="0"/>
        </w:sectPr>
      </w:pPr>
    </w:p>
    <w:bookmarkStart w:id="32" w:name="page33"/>
    <w:bookmarkEnd w:id="32"/>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40"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pic:cNvPicPr>
                      <a:picLocks noChangeAspect="1" noChangeArrowheads="1"/>
                    </pic:cNvPicPr>
                  </pic:nvPicPr>
                  <pic:blipFill>
                    <a:blip r:embed="rId47">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left="240"/>
        <w:spacing w:after="0"/>
        <w:rPr>
          <w:sz w:val="20"/>
          <w:szCs w:val="20"/>
          <w:color w:val="auto"/>
        </w:rPr>
      </w:pPr>
      <w:r>
        <w:rPr>
          <w:rFonts w:ascii="Arial" w:cs="Arial" w:eastAsia="Arial" w:hAnsi="Arial"/>
          <w:sz w:val="18"/>
          <w:szCs w:val="18"/>
          <w:i w:val="1"/>
          <w:iCs w:val="1"/>
          <w:color w:val="auto"/>
        </w:rPr>
        <w:t>Amortization of Acquired Intangible Assets</w:t>
      </w:r>
    </w:p>
    <w:p>
      <w:pPr>
        <w:spacing w:after="0" w:line="207"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4040" w:type="dxa"/>
            <w:vAlign w:val="bottom"/>
          </w:tcPr>
          <w:p>
            <w:pPr>
              <w:spacing w:after="0"/>
              <w:rPr>
                <w:sz w:val="14"/>
                <w:szCs w:val="14"/>
                <w:color w:val="auto"/>
              </w:rPr>
            </w:pPr>
          </w:p>
        </w:tc>
        <w:tc>
          <w:tcPr>
            <w:tcW w:w="1040" w:type="dxa"/>
            <w:vAlign w:val="bottom"/>
          </w:tcPr>
          <w:p>
            <w:pPr>
              <w:spacing w:after="0"/>
              <w:rPr>
                <w:sz w:val="14"/>
                <w:szCs w:val="14"/>
                <w:color w:val="auto"/>
              </w:rPr>
            </w:pPr>
          </w:p>
        </w:tc>
        <w:tc>
          <w:tcPr>
            <w:tcW w:w="2060" w:type="dxa"/>
            <w:vAlign w:val="bottom"/>
            <w:gridSpan w:val="5"/>
          </w:tcPr>
          <w:p>
            <w:pPr>
              <w:jc w:val="right"/>
              <w:ind w:right="500"/>
              <w:spacing w:after="0"/>
              <w:rPr>
                <w:sz w:val="20"/>
                <w:szCs w:val="20"/>
                <w:color w:val="auto"/>
              </w:rPr>
            </w:pPr>
            <w:r>
              <w:rPr>
                <w:rFonts w:ascii="Arial" w:cs="Arial" w:eastAsia="Arial" w:hAnsi="Arial"/>
                <w:sz w:val="14"/>
                <w:szCs w:val="14"/>
                <w:b w:val="1"/>
                <w:bCs w:val="1"/>
                <w:color w:val="auto"/>
              </w:rPr>
              <w:t>Three Months Ended</w:t>
            </w:r>
          </w:p>
        </w:tc>
        <w:tc>
          <w:tcPr>
            <w:tcW w:w="720" w:type="dxa"/>
            <w:vAlign w:val="bottom"/>
            <w:gridSpan w:val="2"/>
            <w:vMerge w:val="restart"/>
          </w:tcPr>
          <w:p>
            <w:pPr>
              <w:jc w:val="center"/>
              <w:ind w:left="226"/>
              <w:spacing w:after="0"/>
              <w:rPr>
                <w:sz w:val="20"/>
                <w:szCs w:val="20"/>
                <w:color w:val="auto"/>
              </w:rPr>
            </w:pPr>
            <w:r>
              <w:rPr>
                <w:rFonts w:ascii="Arial" w:cs="Arial" w:eastAsia="Arial" w:hAnsi="Arial"/>
                <w:sz w:val="14"/>
                <w:szCs w:val="14"/>
                <w:b w:val="1"/>
                <w:bCs w:val="1"/>
                <w:color w:val="auto"/>
              </w:rPr>
              <w:t>%</w:t>
            </w:r>
          </w:p>
        </w:tc>
        <w:tc>
          <w:tcPr>
            <w:tcW w:w="360" w:type="dxa"/>
            <w:vAlign w:val="bottom"/>
          </w:tcPr>
          <w:p>
            <w:pPr>
              <w:spacing w:after="0"/>
              <w:rPr>
                <w:sz w:val="14"/>
                <w:szCs w:val="14"/>
                <w:color w:val="auto"/>
              </w:rPr>
            </w:pPr>
          </w:p>
        </w:tc>
        <w:tc>
          <w:tcPr>
            <w:tcW w:w="160" w:type="dxa"/>
            <w:vAlign w:val="bottom"/>
          </w:tcPr>
          <w:p>
            <w:pPr>
              <w:spacing w:after="0"/>
              <w:rPr>
                <w:sz w:val="14"/>
                <w:szCs w:val="14"/>
                <w:color w:val="auto"/>
              </w:rPr>
            </w:pPr>
          </w:p>
        </w:tc>
        <w:tc>
          <w:tcPr>
            <w:tcW w:w="2340" w:type="dxa"/>
            <w:vAlign w:val="bottom"/>
            <w:gridSpan w:val="4"/>
          </w:tcPr>
          <w:p>
            <w:pPr>
              <w:jc w:val="right"/>
              <w:ind w:right="820"/>
              <w:spacing w:after="0"/>
              <w:rPr>
                <w:sz w:val="20"/>
                <w:szCs w:val="20"/>
                <w:color w:val="auto"/>
              </w:rPr>
            </w:pPr>
            <w:r>
              <w:rPr>
                <w:rFonts w:ascii="Arial" w:cs="Arial" w:eastAsia="Arial" w:hAnsi="Arial"/>
                <w:sz w:val="14"/>
                <w:szCs w:val="14"/>
                <w:b w:val="1"/>
                <w:bCs w:val="1"/>
                <w:color w:val="auto"/>
              </w:rPr>
              <w:t>Nine Months Ended</w:t>
            </w:r>
          </w:p>
        </w:tc>
        <w:tc>
          <w:tcPr>
            <w:tcW w:w="440" w:type="dxa"/>
            <w:vAlign w:val="bottom"/>
            <w:vMerge w:val="restart"/>
          </w:tcPr>
          <w:p>
            <w:pPr>
              <w:jc w:val="right"/>
              <w:ind w:right="86"/>
              <w:spacing w:after="0"/>
              <w:rPr>
                <w:sz w:val="20"/>
                <w:szCs w:val="20"/>
                <w:color w:val="auto"/>
              </w:rPr>
            </w:pPr>
            <w:r>
              <w:rPr>
                <w:rFonts w:ascii="Arial" w:cs="Arial" w:eastAsia="Arial" w:hAnsi="Arial"/>
                <w:sz w:val="14"/>
                <w:szCs w:val="14"/>
                <w:b w:val="1"/>
                <w:bCs w:val="1"/>
                <w:color w:val="auto"/>
              </w:rPr>
              <w:t>%</w:t>
            </w:r>
          </w:p>
        </w:tc>
        <w:tc>
          <w:tcPr>
            <w:tcW w:w="26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29"/>
        </w:trPr>
        <w:tc>
          <w:tcPr>
            <w:tcW w:w="4040" w:type="dxa"/>
            <w:vAlign w:val="bottom"/>
          </w:tcPr>
          <w:p>
            <w:pPr>
              <w:spacing w:after="0"/>
              <w:rPr>
                <w:sz w:val="11"/>
                <w:szCs w:val="11"/>
                <w:color w:val="auto"/>
              </w:rPr>
            </w:pPr>
          </w:p>
        </w:tc>
        <w:tc>
          <w:tcPr>
            <w:tcW w:w="1040" w:type="dxa"/>
            <w:vAlign w:val="bottom"/>
          </w:tcPr>
          <w:p>
            <w:pPr>
              <w:spacing w:after="0"/>
              <w:rPr>
                <w:sz w:val="11"/>
                <w:szCs w:val="11"/>
                <w:color w:val="auto"/>
              </w:rPr>
            </w:pPr>
          </w:p>
        </w:tc>
        <w:tc>
          <w:tcPr>
            <w:tcW w:w="980" w:type="dxa"/>
            <w:vAlign w:val="bottom"/>
            <w:tcBorders>
              <w:top w:val="single" w:sz="8" w:color="auto"/>
            </w:tcBorders>
            <w:gridSpan w:val="2"/>
          </w:tcPr>
          <w:p>
            <w:pPr>
              <w:jc w:val="right"/>
              <w:ind w:right="300"/>
              <w:spacing w:after="0" w:line="129" w:lineRule="exact"/>
              <w:rPr>
                <w:sz w:val="20"/>
                <w:szCs w:val="20"/>
                <w:color w:val="auto"/>
              </w:rPr>
            </w:pPr>
            <w:r>
              <w:rPr>
                <w:rFonts w:ascii="Arial" w:cs="Arial" w:eastAsia="Arial" w:hAnsi="Arial"/>
                <w:sz w:val="14"/>
                <w:szCs w:val="14"/>
                <w:b w:val="1"/>
                <w:bCs w:val="1"/>
                <w:color w:val="auto"/>
                <w:w w:val="85"/>
              </w:rPr>
              <w:t>October 31,</w:t>
            </w:r>
          </w:p>
        </w:tc>
        <w:tc>
          <w:tcPr>
            <w:tcW w:w="160" w:type="dxa"/>
            <w:vAlign w:val="bottom"/>
            <w:tcBorders>
              <w:top w:val="single" w:sz="8" w:color="auto"/>
            </w:tcBorders>
          </w:tcPr>
          <w:p>
            <w:pPr>
              <w:spacing w:after="0"/>
              <w:rPr>
                <w:sz w:val="11"/>
                <w:szCs w:val="11"/>
                <w:color w:val="auto"/>
              </w:rPr>
            </w:pPr>
          </w:p>
        </w:tc>
        <w:tc>
          <w:tcPr>
            <w:tcW w:w="740" w:type="dxa"/>
            <w:vAlign w:val="bottom"/>
            <w:tcBorders>
              <w:top w:val="single" w:sz="8" w:color="auto"/>
            </w:tcBorders>
          </w:tcPr>
          <w:p>
            <w:pPr>
              <w:jc w:val="right"/>
              <w:spacing w:after="0" w:line="129" w:lineRule="exact"/>
              <w:rPr>
                <w:sz w:val="20"/>
                <w:szCs w:val="20"/>
                <w:color w:val="auto"/>
              </w:rPr>
            </w:pPr>
            <w:r>
              <w:rPr>
                <w:rFonts w:ascii="Arial" w:cs="Arial" w:eastAsia="Arial" w:hAnsi="Arial"/>
                <w:sz w:val="14"/>
                <w:szCs w:val="14"/>
                <w:b w:val="1"/>
                <w:bCs w:val="1"/>
                <w:color w:val="auto"/>
                <w:w w:val="85"/>
              </w:rPr>
              <w:t>November 1,</w:t>
            </w:r>
          </w:p>
        </w:tc>
        <w:tc>
          <w:tcPr>
            <w:tcW w:w="180" w:type="dxa"/>
            <w:vAlign w:val="bottom"/>
          </w:tcPr>
          <w:p>
            <w:pPr>
              <w:spacing w:after="0"/>
              <w:rPr>
                <w:sz w:val="11"/>
                <w:szCs w:val="11"/>
                <w:color w:val="auto"/>
              </w:rPr>
            </w:pPr>
          </w:p>
        </w:tc>
        <w:tc>
          <w:tcPr>
            <w:tcW w:w="720" w:type="dxa"/>
            <w:vAlign w:val="bottom"/>
            <w:gridSpan w:val="2"/>
            <w:vMerge w:val="continue"/>
          </w:tcPr>
          <w:p>
            <w:pPr>
              <w:spacing w:after="0"/>
              <w:rPr>
                <w:sz w:val="11"/>
                <w:szCs w:val="11"/>
                <w:color w:val="auto"/>
              </w:rPr>
            </w:pPr>
          </w:p>
        </w:tc>
        <w:tc>
          <w:tcPr>
            <w:tcW w:w="360" w:type="dxa"/>
            <w:vAlign w:val="bottom"/>
          </w:tcPr>
          <w:p>
            <w:pPr>
              <w:spacing w:after="0"/>
              <w:rPr>
                <w:sz w:val="11"/>
                <w:szCs w:val="11"/>
                <w:color w:val="auto"/>
              </w:rPr>
            </w:pPr>
          </w:p>
        </w:tc>
        <w:tc>
          <w:tcPr>
            <w:tcW w:w="160" w:type="dxa"/>
            <w:vAlign w:val="bottom"/>
          </w:tcPr>
          <w:p>
            <w:pPr>
              <w:spacing w:after="0"/>
              <w:rPr>
                <w:sz w:val="11"/>
                <w:szCs w:val="11"/>
                <w:color w:val="auto"/>
              </w:rPr>
            </w:pPr>
          </w:p>
        </w:tc>
        <w:tc>
          <w:tcPr>
            <w:tcW w:w="1140" w:type="dxa"/>
            <w:vAlign w:val="bottom"/>
            <w:tcBorders>
              <w:top w:val="single" w:sz="8" w:color="auto"/>
            </w:tcBorders>
            <w:gridSpan w:val="2"/>
          </w:tcPr>
          <w:p>
            <w:pPr>
              <w:jc w:val="center"/>
              <w:ind w:right="460"/>
              <w:spacing w:after="0" w:line="129" w:lineRule="exact"/>
              <w:rPr>
                <w:sz w:val="20"/>
                <w:szCs w:val="20"/>
                <w:color w:val="auto"/>
              </w:rPr>
            </w:pPr>
            <w:r>
              <w:rPr>
                <w:rFonts w:ascii="Arial" w:cs="Arial" w:eastAsia="Arial" w:hAnsi="Arial"/>
                <w:sz w:val="14"/>
                <w:szCs w:val="14"/>
                <w:b w:val="1"/>
                <w:bCs w:val="1"/>
                <w:color w:val="auto"/>
                <w:w w:val="88"/>
              </w:rPr>
              <w:t>October 31,</w:t>
            </w:r>
          </w:p>
        </w:tc>
        <w:tc>
          <w:tcPr>
            <w:tcW w:w="740" w:type="dxa"/>
            <w:vAlign w:val="bottom"/>
            <w:tcBorders>
              <w:top w:val="single" w:sz="8" w:color="auto"/>
            </w:tcBorders>
          </w:tcPr>
          <w:p>
            <w:pPr>
              <w:jc w:val="right"/>
              <w:spacing w:after="0" w:line="129" w:lineRule="exact"/>
              <w:rPr>
                <w:sz w:val="20"/>
                <w:szCs w:val="20"/>
                <w:color w:val="auto"/>
              </w:rPr>
            </w:pPr>
            <w:r>
              <w:rPr>
                <w:rFonts w:ascii="Arial" w:cs="Arial" w:eastAsia="Arial" w:hAnsi="Arial"/>
                <w:sz w:val="14"/>
                <w:szCs w:val="14"/>
                <w:b w:val="1"/>
                <w:bCs w:val="1"/>
                <w:color w:val="auto"/>
                <w:w w:val="85"/>
              </w:rPr>
              <w:t>November 1,</w:t>
            </w:r>
          </w:p>
        </w:tc>
        <w:tc>
          <w:tcPr>
            <w:tcW w:w="460" w:type="dxa"/>
            <w:vAlign w:val="bottom"/>
          </w:tcPr>
          <w:p>
            <w:pPr>
              <w:spacing w:after="0"/>
              <w:rPr>
                <w:sz w:val="11"/>
                <w:szCs w:val="11"/>
                <w:color w:val="auto"/>
              </w:rPr>
            </w:pPr>
          </w:p>
        </w:tc>
        <w:tc>
          <w:tcPr>
            <w:tcW w:w="440" w:type="dxa"/>
            <w:vAlign w:val="bottom"/>
            <w:vMerge w:val="continue"/>
          </w:tcPr>
          <w:p>
            <w:pPr>
              <w:spacing w:after="0"/>
              <w:rPr>
                <w:sz w:val="11"/>
                <w:szCs w:val="11"/>
                <w:color w:val="auto"/>
              </w:rPr>
            </w:pPr>
          </w:p>
        </w:tc>
        <w:tc>
          <w:tcPr>
            <w:tcW w:w="26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1"/>
        </w:trPr>
        <w:tc>
          <w:tcPr>
            <w:tcW w:w="4040" w:type="dxa"/>
            <w:vAlign w:val="bottom"/>
          </w:tcPr>
          <w:p>
            <w:pPr>
              <w:spacing w:after="0"/>
              <w:rPr>
                <w:sz w:val="14"/>
                <w:szCs w:val="14"/>
                <w:color w:val="auto"/>
              </w:rPr>
            </w:pPr>
          </w:p>
        </w:tc>
        <w:tc>
          <w:tcPr>
            <w:tcW w:w="1720" w:type="dxa"/>
            <w:vAlign w:val="bottom"/>
            <w:gridSpan w:val="2"/>
          </w:tcPr>
          <w:p>
            <w:pPr>
              <w:jc w:val="right"/>
              <w:ind w:right="132"/>
              <w:spacing w:after="0"/>
              <w:rPr>
                <w:sz w:val="20"/>
                <w:szCs w:val="20"/>
                <w:color w:val="auto"/>
              </w:rPr>
            </w:pPr>
            <w:r>
              <w:rPr>
                <w:rFonts w:ascii="Arial" w:cs="Arial" w:eastAsia="Arial" w:hAnsi="Arial"/>
                <w:sz w:val="14"/>
                <w:szCs w:val="14"/>
                <w:b w:val="1"/>
                <w:bCs w:val="1"/>
                <w:color w:val="auto"/>
              </w:rPr>
              <w:t>2009</w:t>
            </w:r>
          </w:p>
        </w:tc>
        <w:tc>
          <w:tcPr>
            <w:tcW w:w="300" w:type="dxa"/>
            <w:vAlign w:val="bottom"/>
          </w:tcPr>
          <w:p>
            <w:pPr>
              <w:spacing w:after="0"/>
              <w:rPr>
                <w:sz w:val="14"/>
                <w:szCs w:val="14"/>
                <w:color w:val="auto"/>
              </w:rPr>
            </w:pPr>
          </w:p>
        </w:tc>
        <w:tc>
          <w:tcPr>
            <w:tcW w:w="900" w:type="dxa"/>
            <w:vAlign w:val="bottom"/>
            <w:gridSpan w:val="2"/>
          </w:tcPr>
          <w:p>
            <w:pPr>
              <w:jc w:val="right"/>
              <w:ind w:right="172"/>
              <w:spacing w:after="0"/>
              <w:rPr>
                <w:sz w:val="20"/>
                <w:szCs w:val="20"/>
                <w:color w:val="auto"/>
              </w:rPr>
            </w:pPr>
            <w:r>
              <w:rPr>
                <w:rFonts w:ascii="Arial" w:cs="Arial" w:eastAsia="Arial" w:hAnsi="Arial"/>
                <w:sz w:val="14"/>
                <w:szCs w:val="14"/>
                <w:b w:val="1"/>
                <w:bCs w:val="1"/>
                <w:color w:val="auto"/>
              </w:rPr>
              <w:t>2008</w:t>
            </w:r>
          </w:p>
        </w:tc>
        <w:tc>
          <w:tcPr>
            <w:tcW w:w="180" w:type="dxa"/>
            <w:vAlign w:val="bottom"/>
          </w:tcPr>
          <w:p>
            <w:pPr>
              <w:spacing w:after="0"/>
              <w:rPr>
                <w:sz w:val="14"/>
                <w:szCs w:val="14"/>
                <w:color w:val="auto"/>
              </w:rPr>
            </w:pPr>
          </w:p>
        </w:tc>
        <w:tc>
          <w:tcPr>
            <w:tcW w:w="280" w:type="dxa"/>
            <w:vAlign w:val="bottom"/>
          </w:tcPr>
          <w:p>
            <w:pPr>
              <w:spacing w:after="0"/>
              <w:rPr>
                <w:sz w:val="14"/>
                <w:szCs w:val="14"/>
                <w:color w:val="auto"/>
              </w:rPr>
            </w:pPr>
          </w:p>
        </w:tc>
        <w:tc>
          <w:tcPr>
            <w:tcW w:w="800" w:type="dxa"/>
            <w:vAlign w:val="bottom"/>
            <w:gridSpan w:val="2"/>
          </w:tcPr>
          <w:p>
            <w:pPr>
              <w:jc w:val="center"/>
              <w:ind w:right="292"/>
              <w:spacing w:after="0"/>
              <w:rPr>
                <w:sz w:val="20"/>
                <w:szCs w:val="20"/>
                <w:color w:val="auto"/>
              </w:rPr>
            </w:pPr>
            <w:r>
              <w:rPr>
                <w:rFonts w:ascii="Arial" w:cs="Arial" w:eastAsia="Arial" w:hAnsi="Arial"/>
                <w:sz w:val="14"/>
                <w:szCs w:val="14"/>
                <w:b w:val="1"/>
                <w:bCs w:val="1"/>
                <w:color w:val="auto"/>
                <w:w w:val="85"/>
              </w:rPr>
              <w:t>Change</w:t>
            </w:r>
          </w:p>
        </w:tc>
        <w:tc>
          <w:tcPr>
            <w:tcW w:w="840" w:type="dxa"/>
            <w:vAlign w:val="bottom"/>
            <w:gridSpan w:val="2"/>
          </w:tcPr>
          <w:p>
            <w:pPr>
              <w:jc w:val="center"/>
              <w:ind w:left="79"/>
              <w:spacing w:after="0"/>
              <w:rPr>
                <w:sz w:val="20"/>
                <w:szCs w:val="20"/>
                <w:color w:val="auto"/>
              </w:rPr>
            </w:pPr>
            <w:r>
              <w:rPr>
                <w:rFonts w:ascii="Arial" w:cs="Arial" w:eastAsia="Arial" w:hAnsi="Arial"/>
                <w:sz w:val="14"/>
                <w:szCs w:val="14"/>
                <w:b w:val="1"/>
                <w:bCs w:val="1"/>
                <w:color w:val="auto"/>
                <w:w w:val="89"/>
              </w:rPr>
              <w:t>2009</w:t>
            </w:r>
          </w:p>
        </w:tc>
        <w:tc>
          <w:tcPr>
            <w:tcW w:w="460" w:type="dxa"/>
            <w:vAlign w:val="bottom"/>
          </w:tcPr>
          <w:p>
            <w:pPr>
              <w:spacing w:after="0"/>
              <w:rPr>
                <w:sz w:val="14"/>
                <w:szCs w:val="14"/>
                <w:color w:val="auto"/>
              </w:rPr>
            </w:pPr>
          </w:p>
        </w:tc>
        <w:tc>
          <w:tcPr>
            <w:tcW w:w="740" w:type="dxa"/>
            <w:vAlign w:val="bottom"/>
          </w:tcPr>
          <w:p>
            <w:pPr>
              <w:jc w:val="right"/>
              <w:ind w:right="162"/>
              <w:spacing w:after="0"/>
              <w:rPr>
                <w:sz w:val="20"/>
                <w:szCs w:val="20"/>
                <w:color w:val="auto"/>
              </w:rPr>
            </w:pPr>
            <w:r>
              <w:rPr>
                <w:rFonts w:ascii="Arial" w:cs="Arial" w:eastAsia="Arial" w:hAnsi="Arial"/>
                <w:sz w:val="14"/>
                <w:szCs w:val="14"/>
                <w:b w:val="1"/>
                <w:bCs w:val="1"/>
                <w:color w:val="auto"/>
              </w:rPr>
              <w:t>2008</w:t>
            </w:r>
          </w:p>
        </w:tc>
        <w:tc>
          <w:tcPr>
            <w:tcW w:w="460" w:type="dxa"/>
            <w:vAlign w:val="bottom"/>
          </w:tcPr>
          <w:p>
            <w:pPr>
              <w:spacing w:after="0"/>
              <w:rPr>
                <w:sz w:val="14"/>
                <w:szCs w:val="14"/>
                <w:color w:val="auto"/>
              </w:rPr>
            </w:pPr>
          </w:p>
        </w:tc>
        <w:tc>
          <w:tcPr>
            <w:tcW w:w="700" w:type="dxa"/>
            <w:vAlign w:val="bottom"/>
            <w:gridSpan w:val="2"/>
          </w:tcPr>
          <w:p>
            <w:pPr>
              <w:jc w:val="center"/>
              <w:ind w:right="260"/>
              <w:spacing w:after="0"/>
              <w:rPr>
                <w:sz w:val="20"/>
                <w:szCs w:val="20"/>
                <w:color w:val="auto"/>
              </w:rPr>
            </w:pPr>
            <w:r>
              <w:rPr>
                <w:rFonts w:ascii="Arial" w:cs="Arial" w:eastAsia="Arial" w:hAnsi="Arial"/>
                <w:sz w:val="14"/>
                <w:szCs w:val="14"/>
                <w:b w:val="1"/>
                <w:bCs w:val="1"/>
                <w:color w:val="auto"/>
                <w:w w:val="85"/>
              </w:rPr>
              <w:t>Change</w:t>
            </w:r>
          </w:p>
        </w:tc>
        <w:tc>
          <w:tcPr>
            <w:tcW w:w="0" w:type="dxa"/>
            <w:vAlign w:val="bottom"/>
          </w:tcPr>
          <w:p>
            <w:pPr>
              <w:spacing w:after="0"/>
              <w:rPr>
                <w:sz w:val="1"/>
                <w:szCs w:val="1"/>
                <w:color w:val="auto"/>
              </w:rPr>
            </w:pPr>
          </w:p>
        </w:tc>
      </w:tr>
      <w:tr>
        <w:trPr>
          <w:trHeight w:val="142"/>
        </w:trPr>
        <w:tc>
          <w:tcPr>
            <w:tcW w:w="4040" w:type="dxa"/>
            <w:vAlign w:val="bottom"/>
          </w:tcPr>
          <w:p>
            <w:pPr>
              <w:spacing w:after="0"/>
              <w:rPr>
                <w:sz w:val="12"/>
                <w:szCs w:val="12"/>
                <w:color w:val="auto"/>
              </w:rPr>
            </w:pPr>
          </w:p>
        </w:tc>
        <w:tc>
          <w:tcPr>
            <w:tcW w:w="1040" w:type="dxa"/>
            <w:vAlign w:val="bottom"/>
          </w:tcPr>
          <w:p>
            <w:pPr>
              <w:spacing w:after="0"/>
              <w:rPr>
                <w:sz w:val="12"/>
                <w:szCs w:val="12"/>
                <w:color w:val="auto"/>
              </w:rPr>
            </w:pPr>
          </w:p>
        </w:tc>
        <w:tc>
          <w:tcPr>
            <w:tcW w:w="680" w:type="dxa"/>
            <w:vAlign w:val="bottom"/>
            <w:tcBorders>
              <w:top w:val="single" w:sz="8" w:color="auto"/>
            </w:tcBorders>
          </w:tcPr>
          <w:p>
            <w:pPr>
              <w:spacing w:after="0"/>
              <w:rPr>
                <w:sz w:val="12"/>
                <w:szCs w:val="12"/>
                <w:color w:val="auto"/>
              </w:rPr>
            </w:pPr>
          </w:p>
        </w:tc>
        <w:tc>
          <w:tcPr>
            <w:tcW w:w="300" w:type="dxa"/>
            <w:vAlign w:val="bottom"/>
          </w:tcPr>
          <w:p>
            <w:pPr>
              <w:spacing w:after="0"/>
              <w:rPr>
                <w:sz w:val="12"/>
                <w:szCs w:val="12"/>
                <w:color w:val="auto"/>
              </w:rPr>
            </w:pPr>
          </w:p>
        </w:tc>
        <w:tc>
          <w:tcPr>
            <w:tcW w:w="160" w:type="dxa"/>
            <w:vAlign w:val="bottom"/>
          </w:tcPr>
          <w:p>
            <w:pPr>
              <w:spacing w:after="0"/>
              <w:rPr>
                <w:sz w:val="12"/>
                <w:szCs w:val="12"/>
                <w:color w:val="auto"/>
              </w:rPr>
            </w:pPr>
          </w:p>
        </w:tc>
        <w:tc>
          <w:tcPr>
            <w:tcW w:w="740" w:type="dxa"/>
            <w:vAlign w:val="bottom"/>
            <w:tcBorders>
              <w:top w:val="single" w:sz="8" w:color="auto"/>
            </w:tcBorders>
          </w:tcPr>
          <w:p>
            <w:pPr>
              <w:spacing w:after="0"/>
              <w:rPr>
                <w:sz w:val="12"/>
                <w:szCs w:val="12"/>
                <w:color w:val="auto"/>
              </w:rPr>
            </w:pPr>
          </w:p>
        </w:tc>
        <w:tc>
          <w:tcPr>
            <w:tcW w:w="180" w:type="dxa"/>
            <w:vAlign w:val="bottom"/>
          </w:tcPr>
          <w:p>
            <w:pPr>
              <w:spacing w:after="0"/>
              <w:rPr>
                <w:sz w:val="12"/>
                <w:szCs w:val="12"/>
                <w:color w:val="auto"/>
              </w:rPr>
            </w:pPr>
          </w:p>
        </w:tc>
        <w:tc>
          <w:tcPr>
            <w:tcW w:w="280" w:type="dxa"/>
            <w:vAlign w:val="bottom"/>
          </w:tcPr>
          <w:p>
            <w:pPr>
              <w:ind w:left="20"/>
              <w:spacing w:after="0" w:line="142" w:lineRule="exact"/>
              <w:rPr>
                <w:sz w:val="20"/>
                <w:szCs w:val="20"/>
                <w:color w:val="auto"/>
              </w:rPr>
            </w:pPr>
            <w:r>
              <w:rPr>
                <w:rFonts w:ascii="Arial" w:cs="Arial" w:eastAsia="Arial" w:hAnsi="Arial"/>
                <w:sz w:val="14"/>
                <w:szCs w:val="14"/>
                <w:b w:val="1"/>
                <w:bCs w:val="1"/>
                <w:color w:val="auto"/>
              </w:rPr>
              <w:t>(in</w:t>
            </w:r>
          </w:p>
        </w:tc>
        <w:tc>
          <w:tcPr>
            <w:tcW w:w="440" w:type="dxa"/>
            <w:vAlign w:val="bottom"/>
            <w:tcBorders>
              <w:top w:val="single" w:sz="8" w:color="auto"/>
            </w:tcBorders>
          </w:tcPr>
          <w:p>
            <w:pPr>
              <w:jc w:val="center"/>
              <w:spacing w:after="0"/>
              <w:rPr>
                <w:sz w:val="20"/>
                <w:szCs w:val="20"/>
                <w:color w:val="auto"/>
              </w:rPr>
            </w:pPr>
            <w:r>
              <w:rPr>
                <w:rFonts w:ascii="Arial" w:cs="Arial" w:eastAsia="Arial" w:hAnsi="Arial"/>
                <w:sz w:val="11"/>
                <w:szCs w:val="11"/>
                <w:b w:val="1"/>
                <w:bCs w:val="1"/>
                <w:color w:val="auto"/>
                <w:w w:val="74"/>
              </w:rPr>
              <w:t>thousands,</w:t>
            </w:r>
          </w:p>
        </w:tc>
        <w:tc>
          <w:tcPr>
            <w:tcW w:w="520" w:type="dxa"/>
            <w:vAlign w:val="bottom"/>
            <w:gridSpan w:val="2"/>
          </w:tcPr>
          <w:p>
            <w:pPr>
              <w:ind w:left="160"/>
              <w:spacing w:after="0" w:line="142" w:lineRule="exact"/>
              <w:rPr>
                <w:sz w:val="20"/>
                <w:szCs w:val="20"/>
                <w:color w:val="auto"/>
              </w:rPr>
            </w:pPr>
            <w:r>
              <w:rPr>
                <w:rFonts w:ascii="Arial" w:cs="Arial" w:eastAsia="Arial" w:hAnsi="Arial"/>
                <w:sz w:val="14"/>
                <w:szCs w:val="14"/>
                <w:b w:val="1"/>
                <w:bCs w:val="1"/>
                <w:color w:val="auto"/>
                <w:w w:val="76"/>
              </w:rPr>
              <w:t>except</w:t>
            </w:r>
          </w:p>
        </w:tc>
        <w:tc>
          <w:tcPr>
            <w:tcW w:w="680" w:type="dxa"/>
            <w:vAlign w:val="bottom"/>
            <w:tcBorders>
              <w:top w:val="single" w:sz="8" w:color="auto"/>
            </w:tcBorders>
          </w:tcPr>
          <w:p>
            <w:pPr>
              <w:jc w:val="center"/>
              <w:spacing w:after="0" w:line="142" w:lineRule="exact"/>
              <w:rPr>
                <w:sz w:val="20"/>
                <w:szCs w:val="20"/>
                <w:color w:val="auto"/>
              </w:rPr>
            </w:pPr>
            <w:r>
              <w:rPr>
                <w:rFonts w:ascii="Arial" w:cs="Arial" w:eastAsia="Arial" w:hAnsi="Arial"/>
                <w:sz w:val="14"/>
                <w:szCs w:val="14"/>
                <w:b w:val="1"/>
                <w:bCs w:val="1"/>
                <w:color w:val="auto"/>
                <w:w w:val="80"/>
              </w:rPr>
              <w:t>percentage)</w:t>
            </w:r>
          </w:p>
        </w:tc>
        <w:tc>
          <w:tcPr>
            <w:tcW w:w="460" w:type="dxa"/>
            <w:vAlign w:val="bottom"/>
          </w:tcPr>
          <w:p>
            <w:pPr>
              <w:spacing w:after="0"/>
              <w:rPr>
                <w:sz w:val="12"/>
                <w:szCs w:val="12"/>
                <w:color w:val="auto"/>
              </w:rPr>
            </w:pPr>
          </w:p>
        </w:tc>
        <w:tc>
          <w:tcPr>
            <w:tcW w:w="740" w:type="dxa"/>
            <w:vAlign w:val="bottom"/>
            <w:tcBorders>
              <w:top w:val="single" w:sz="8" w:color="auto"/>
            </w:tcBorders>
          </w:tcPr>
          <w:p>
            <w:pPr>
              <w:spacing w:after="0"/>
              <w:rPr>
                <w:sz w:val="12"/>
                <w:szCs w:val="12"/>
                <w:color w:val="auto"/>
              </w:rPr>
            </w:pPr>
          </w:p>
        </w:tc>
        <w:tc>
          <w:tcPr>
            <w:tcW w:w="460" w:type="dxa"/>
            <w:vAlign w:val="bottom"/>
          </w:tcPr>
          <w:p>
            <w:pPr>
              <w:spacing w:after="0"/>
              <w:rPr>
                <w:sz w:val="12"/>
                <w:szCs w:val="12"/>
                <w:color w:val="auto"/>
              </w:rPr>
            </w:pPr>
          </w:p>
        </w:tc>
        <w:tc>
          <w:tcPr>
            <w:tcW w:w="440" w:type="dxa"/>
            <w:vAlign w:val="bottom"/>
            <w:tcBorders>
              <w:top w:val="single" w:sz="8" w:color="auto"/>
            </w:tcBorders>
          </w:tcPr>
          <w:p>
            <w:pPr>
              <w:spacing w:after="0"/>
              <w:rPr>
                <w:sz w:val="12"/>
                <w:szCs w:val="12"/>
                <w:color w:val="auto"/>
              </w:rPr>
            </w:pPr>
          </w:p>
        </w:tc>
        <w:tc>
          <w:tcPr>
            <w:tcW w:w="26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216"/>
        </w:trPr>
        <w:tc>
          <w:tcPr>
            <w:tcW w:w="4040" w:type="dxa"/>
            <w:vAlign w:val="bottom"/>
            <w:shd w:val="clear" w:color="auto" w:fill="CCEEFF"/>
          </w:tcPr>
          <w:p>
            <w:pPr>
              <w:spacing w:after="0"/>
              <w:rPr>
                <w:sz w:val="20"/>
                <w:szCs w:val="20"/>
                <w:color w:val="auto"/>
              </w:rPr>
            </w:pPr>
            <w:r>
              <w:rPr>
                <w:rFonts w:ascii="Arial" w:cs="Arial" w:eastAsia="Arial" w:hAnsi="Arial"/>
                <w:sz w:val="18"/>
                <w:szCs w:val="18"/>
                <w:color w:val="auto"/>
              </w:rPr>
              <w:t>Amortization of acquired intangible assets</w:t>
            </w:r>
          </w:p>
        </w:tc>
        <w:tc>
          <w:tcPr>
            <w:tcW w:w="172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$ 26,450</w:t>
            </w:r>
          </w:p>
        </w:tc>
        <w:tc>
          <w:tcPr>
            <w:tcW w:w="300" w:type="dxa"/>
            <w:vAlign w:val="bottom"/>
            <w:shd w:val="clear" w:color="auto" w:fill="CCEEFF"/>
          </w:tcPr>
          <w:p>
            <w:pPr>
              <w:spacing w:after="0"/>
              <w:rPr>
                <w:sz w:val="18"/>
                <w:szCs w:val="18"/>
                <w:color w:val="auto"/>
              </w:rPr>
            </w:pPr>
          </w:p>
        </w:tc>
        <w:tc>
          <w:tcPr>
            <w:tcW w:w="90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  34,814</w:t>
            </w:r>
          </w:p>
        </w:tc>
        <w:tc>
          <w:tcPr>
            <w:tcW w:w="180" w:type="dxa"/>
            <w:vAlign w:val="bottom"/>
            <w:shd w:val="clear" w:color="auto" w:fill="CCEEFF"/>
          </w:tcPr>
          <w:p>
            <w:pPr>
              <w:spacing w:after="0"/>
              <w:rPr>
                <w:sz w:val="18"/>
                <w:szCs w:val="18"/>
                <w:color w:val="auto"/>
              </w:rPr>
            </w:pPr>
          </w:p>
        </w:tc>
        <w:tc>
          <w:tcPr>
            <w:tcW w:w="1080" w:type="dxa"/>
            <w:vAlign w:val="bottom"/>
            <w:gridSpan w:val="3"/>
            <w:shd w:val="clear" w:color="auto" w:fill="CCEEFF"/>
          </w:tcPr>
          <w:p>
            <w:pPr>
              <w:jc w:val="right"/>
              <w:ind w:right="72"/>
              <w:spacing w:after="0"/>
              <w:rPr>
                <w:sz w:val="20"/>
                <w:szCs w:val="20"/>
                <w:color w:val="auto"/>
              </w:rPr>
            </w:pPr>
            <w:r>
              <w:rPr>
                <w:rFonts w:ascii="Arial" w:cs="Arial" w:eastAsia="Arial" w:hAnsi="Arial"/>
                <w:sz w:val="18"/>
                <w:szCs w:val="18"/>
                <w:color w:val="auto"/>
              </w:rPr>
              <w:t>(24.0)%</w:t>
            </w:r>
          </w:p>
        </w:tc>
        <w:tc>
          <w:tcPr>
            <w:tcW w:w="1300" w:type="dxa"/>
            <w:vAlign w:val="bottom"/>
            <w:gridSpan w:val="3"/>
            <w:shd w:val="clear" w:color="auto" w:fill="CCEEFF"/>
          </w:tcPr>
          <w:p>
            <w:pPr>
              <w:jc w:val="right"/>
              <w:ind w:right="460"/>
              <w:spacing w:after="0"/>
              <w:rPr>
                <w:sz w:val="20"/>
                <w:szCs w:val="20"/>
                <w:color w:val="auto"/>
              </w:rPr>
            </w:pPr>
            <w:r>
              <w:rPr>
                <w:rFonts w:ascii="Arial" w:cs="Arial" w:eastAsia="Arial" w:hAnsi="Arial"/>
                <w:sz w:val="18"/>
                <w:szCs w:val="18"/>
                <w:color w:val="auto"/>
              </w:rPr>
              <w:t>$ 83,252</w:t>
            </w:r>
          </w:p>
        </w:tc>
        <w:tc>
          <w:tcPr>
            <w:tcW w:w="1200" w:type="dxa"/>
            <w:vAlign w:val="bottom"/>
            <w:gridSpan w:val="2"/>
            <w:shd w:val="clear" w:color="auto" w:fill="CCEEFF"/>
          </w:tcPr>
          <w:p>
            <w:pPr>
              <w:jc w:val="right"/>
              <w:ind w:right="460"/>
              <w:spacing w:after="0"/>
              <w:rPr>
                <w:sz w:val="20"/>
                <w:szCs w:val="20"/>
                <w:color w:val="auto"/>
              </w:rPr>
            </w:pPr>
            <w:r>
              <w:rPr>
                <w:rFonts w:ascii="Arial" w:cs="Arial" w:eastAsia="Arial" w:hAnsi="Arial"/>
                <w:sz w:val="18"/>
                <w:szCs w:val="18"/>
                <w:color w:val="auto"/>
                <w:w w:val="89"/>
              </w:rPr>
              <w:t>$ 105,049</w:t>
            </w:r>
          </w:p>
        </w:tc>
        <w:tc>
          <w:tcPr>
            <w:tcW w:w="70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w w:val="98"/>
              </w:rPr>
              <w:t>(20.7)%</w:t>
            </w:r>
          </w:p>
        </w:tc>
        <w:tc>
          <w:tcPr>
            <w:tcW w:w="0" w:type="dxa"/>
            <w:vAlign w:val="bottom"/>
          </w:tcPr>
          <w:p>
            <w:pPr>
              <w:spacing w:after="0"/>
              <w:rPr>
                <w:sz w:val="1"/>
                <w:szCs w:val="1"/>
                <w:color w:val="auto"/>
              </w:rPr>
            </w:pPr>
          </w:p>
        </w:tc>
      </w:tr>
      <w:tr>
        <w:trPr>
          <w:trHeight w:val="222"/>
        </w:trPr>
        <w:tc>
          <w:tcPr>
            <w:tcW w:w="4040" w:type="dxa"/>
            <w:vAlign w:val="bottom"/>
          </w:tcPr>
          <w:p>
            <w:pPr>
              <w:spacing w:after="0"/>
              <w:rPr>
                <w:sz w:val="20"/>
                <w:szCs w:val="20"/>
                <w:color w:val="auto"/>
              </w:rPr>
            </w:pPr>
            <w:r>
              <w:rPr>
                <w:rFonts w:ascii="Arial" w:cs="Arial" w:eastAsia="Arial" w:hAnsi="Arial"/>
                <w:sz w:val="18"/>
                <w:szCs w:val="18"/>
                <w:color w:val="auto"/>
              </w:rPr>
              <w:t>% of net revenue</w:t>
            </w:r>
          </w:p>
        </w:tc>
        <w:tc>
          <w:tcPr>
            <w:tcW w:w="2020" w:type="dxa"/>
            <w:vAlign w:val="bottom"/>
            <w:gridSpan w:val="3"/>
          </w:tcPr>
          <w:p>
            <w:pPr>
              <w:jc w:val="right"/>
              <w:ind w:right="160"/>
              <w:spacing w:after="0"/>
              <w:rPr>
                <w:sz w:val="20"/>
                <w:szCs w:val="20"/>
                <w:color w:val="auto"/>
              </w:rPr>
            </w:pPr>
            <w:r>
              <w:rPr>
                <w:rFonts w:ascii="Arial" w:cs="Arial" w:eastAsia="Arial" w:hAnsi="Arial"/>
                <w:sz w:val="18"/>
                <w:szCs w:val="18"/>
                <w:color w:val="auto"/>
              </w:rPr>
              <w:t>3.3%</w:t>
            </w:r>
          </w:p>
        </w:tc>
        <w:tc>
          <w:tcPr>
            <w:tcW w:w="1080" w:type="dxa"/>
            <w:vAlign w:val="bottom"/>
            <w:gridSpan w:val="3"/>
          </w:tcPr>
          <w:p>
            <w:pPr>
              <w:jc w:val="right"/>
              <w:ind w:right="40"/>
              <w:spacing w:after="0"/>
              <w:rPr>
                <w:sz w:val="20"/>
                <w:szCs w:val="20"/>
                <w:color w:val="auto"/>
              </w:rPr>
            </w:pPr>
            <w:r>
              <w:rPr>
                <w:rFonts w:ascii="Arial" w:cs="Arial" w:eastAsia="Arial" w:hAnsi="Arial"/>
                <w:sz w:val="18"/>
                <w:szCs w:val="18"/>
                <w:color w:val="auto"/>
              </w:rPr>
              <w:t>4.4%</w:t>
            </w:r>
          </w:p>
        </w:tc>
        <w:tc>
          <w:tcPr>
            <w:tcW w:w="280" w:type="dxa"/>
            <w:vAlign w:val="bottom"/>
          </w:tcPr>
          <w:p>
            <w:pPr>
              <w:spacing w:after="0"/>
              <w:rPr>
                <w:sz w:val="19"/>
                <w:szCs w:val="19"/>
                <w:color w:val="auto"/>
              </w:rPr>
            </w:pPr>
          </w:p>
        </w:tc>
        <w:tc>
          <w:tcPr>
            <w:tcW w:w="440" w:type="dxa"/>
            <w:vAlign w:val="bottom"/>
          </w:tcPr>
          <w:p>
            <w:pPr>
              <w:spacing w:after="0"/>
              <w:rPr>
                <w:sz w:val="19"/>
                <w:szCs w:val="19"/>
                <w:color w:val="auto"/>
              </w:rPr>
            </w:pPr>
          </w:p>
        </w:tc>
        <w:tc>
          <w:tcPr>
            <w:tcW w:w="360" w:type="dxa"/>
            <w:vAlign w:val="bottom"/>
          </w:tcPr>
          <w:p>
            <w:pPr>
              <w:spacing w:after="0"/>
              <w:rPr>
                <w:sz w:val="19"/>
                <w:szCs w:val="19"/>
                <w:color w:val="auto"/>
              </w:rPr>
            </w:pPr>
          </w:p>
        </w:tc>
        <w:tc>
          <w:tcPr>
            <w:tcW w:w="1300" w:type="dxa"/>
            <w:vAlign w:val="bottom"/>
            <w:gridSpan w:val="3"/>
          </w:tcPr>
          <w:p>
            <w:pPr>
              <w:jc w:val="right"/>
              <w:ind w:right="320"/>
              <w:spacing w:after="0"/>
              <w:rPr>
                <w:sz w:val="20"/>
                <w:szCs w:val="20"/>
                <w:color w:val="auto"/>
              </w:rPr>
            </w:pPr>
            <w:r>
              <w:rPr>
                <w:rFonts w:ascii="Arial" w:cs="Arial" w:eastAsia="Arial" w:hAnsi="Arial"/>
                <w:sz w:val="18"/>
                <w:szCs w:val="18"/>
                <w:color w:val="auto"/>
              </w:rPr>
              <w:t>4.2%</w:t>
            </w:r>
          </w:p>
        </w:tc>
        <w:tc>
          <w:tcPr>
            <w:tcW w:w="1200" w:type="dxa"/>
            <w:vAlign w:val="bottom"/>
            <w:gridSpan w:val="2"/>
          </w:tcPr>
          <w:p>
            <w:pPr>
              <w:jc w:val="right"/>
              <w:ind w:right="320"/>
              <w:spacing w:after="0"/>
              <w:rPr>
                <w:sz w:val="20"/>
                <w:szCs w:val="20"/>
                <w:color w:val="auto"/>
              </w:rPr>
            </w:pPr>
            <w:r>
              <w:rPr>
                <w:rFonts w:ascii="Arial" w:cs="Arial" w:eastAsia="Arial" w:hAnsi="Arial"/>
                <w:sz w:val="18"/>
                <w:szCs w:val="18"/>
                <w:color w:val="auto"/>
              </w:rPr>
              <w:t>4.3%</w:t>
            </w:r>
          </w:p>
        </w:tc>
        <w:tc>
          <w:tcPr>
            <w:tcW w:w="440" w:type="dxa"/>
            <w:vAlign w:val="bottom"/>
          </w:tcPr>
          <w:p>
            <w:pPr>
              <w:spacing w:after="0"/>
              <w:rPr>
                <w:sz w:val="19"/>
                <w:szCs w:val="19"/>
                <w:color w:val="auto"/>
              </w:rPr>
            </w:pPr>
          </w:p>
        </w:tc>
        <w:tc>
          <w:tcPr>
            <w:tcW w:w="260" w:type="dxa"/>
            <w:vAlign w:val="bottom"/>
          </w:tcPr>
          <w:p>
            <w:pPr>
              <w:spacing w:after="0"/>
              <w:rPr>
                <w:sz w:val="19"/>
                <w:szCs w:val="19"/>
                <w:color w:val="auto"/>
              </w:rPr>
            </w:pPr>
          </w:p>
        </w:tc>
        <w:tc>
          <w:tcPr>
            <w:tcW w:w="0" w:type="dxa"/>
            <w:vAlign w:val="bottom"/>
          </w:tcPr>
          <w:p>
            <w:pPr>
              <w:spacing w:after="0"/>
              <w:rPr>
                <w:sz w:val="1"/>
                <w:szCs w:val="1"/>
                <w:color w:val="auto"/>
              </w:rPr>
            </w:pPr>
          </w:p>
        </w:tc>
      </w:tr>
    </w:tbl>
    <w:p>
      <w:pPr>
        <w:spacing w:after="0" w:line="147" w:lineRule="exact"/>
        <w:rPr>
          <w:sz w:val="20"/>
          <w:szCs w:val="20"/>
          <w:color w:val="auto"/>
        </w:rPr>
      </w:pPr>
    </w:p>
    <w:p>
      <w:pPr>
        <w:jc w:val="both"/>
        <w:ind w:right="280" w:firstLine="456"/>
        <w:spacing w:after="0" w:line="259" w:lineRule="auto"/>
        <w:rPr>
          <w:sz w:val="20"/>
          <w:szCs w:val="20"/>
          <w:color w:val="auto"/>
        </w:rPr>
      </w:pPr>
      <w:r>
        <w:rPr>
          <w:rFonts w:ascii="Arial" w:cs="Arial" w:eastAsia="Arial" w:hAnsi="Arial"/>
          <w:sz w:val="18"/>
          <w:szCs w:val="18"/>
          <w:color w:val="auto"/>
        </w:rPr>
        <w:t>The decrease in amortization of acquired intangible assets for the three and nine months ended October 31, 2009 compared to the three and nine months ended November 1, 2008 was due to intangible assets from certain acquisitions becoming fully amortized and the effects of the write-off of certain purchased intangibles during the fourth quarter ended January 31, 2009.</w:t>
      </w:r>
    </w:p>
    <w:p>
      <w:pPr>
        <w:spacing w:after="0" w:line="221" w:lineRule="exact"/>
        <w:rPr>
          <w:sz w:val="20"/>
          <w:szCs w:val="20"/>
          <w:color w:val="auto"/>
        </w:rPr>
      </w:pPr>
    </w:p>
    <w:p>
      <w:pPr>
        <w:ind w:left="240"/>
        <w:spacing w:after="0"/>
        <w:rPr>
          <w:sz w:val="20"/>
          <w:szCs w:val="20"/>
          <w:color w:val="auto"/>
        </w:rPr>
      </w:pPr>
      <w:r>
        <w:rPr>
          <w:rFonts w:ascii="Arial" w:cs="Arial" w:eastAsia="Arial" w:hAnsi="Arial"/>
          <w:sz w:val="18"/>
          <w:szCs w:val="18"/>
          <w:i w:val="1"/>
          <w:iCs w:val="1"/>
          <w:color w:val="auto"/>
        </w:rPr>
        <w:t>Interest and Other Income (Expense), Net</w:t>
      </w:r>
    </w:p>
    <w:p>
      <w:pPr>
        <w:spacing w:after="0" w:line="207"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5080" w:type="dxa"/>
            <w:vAlign w:val="bottom"/>
          </w:tcPr>
          <w:p>
            <w:pPr>
              <w:spacing w:after="0"/>
              <w:rPr>
                <w:sz w:val="14"/>
                <w:szCs w:val="14"/>
                <w:color w:val="auto"/>
              </w:rPr>
            </w:pPr>
          </w:p>
        </w:tc>
        <w:tc>
          <w:tcPr>
            <w:tcW w:w="2040" w:type="dxa"/>
            <w:vAlign w:val="bottom"/>
            <w:gridSpan w:val="4"/>
          </w:tcPr>
          <w:p>
            <w:pPr>
              <w:jc w:val="right"/>
              <w:ind w:right="500"/>
              <w:spacing w:after="0"/>
              <w:rPr>
                <w:sz w:val="20"/>
                <w:szCs w:val="20"/>
                <w:color w:val="auto"/>
              </w:rPr>
            </w:pPr>
            <w:r>
              <w:rPr>
                <w:rFonts w:ascii="Arial" w:cs="Arial" w:eastAsia="Arial" w:hAnsi="Arial"/>
                <w:sz w:val="14"/>
                <w:szCs w:val="14"/>
                <w:b w:val="1"/>
                <w:bCs w:val="1"/>
                <w:color w:val="auto"/>
              </w:rPr>
              <w:t>Three Months Ended</w:t>
            </w:r>
          </w:p>
        </w:tc>
        <w:tc>
          <w:tcPr>
            <w:tcW w:w="740" w:type="dxa"/>
            <w:vAlign w:val="bottom"/>
            <w:gridSpan w:val="2"/>
            <w:vMerge w:val="restart"/>
          </w:tcPr>
          <w:p>
            <w:pPr>
              <w:jc w:val="right"/>
              <w:ind w:right="98"/>
              <w:spacing w:after="0"/>
              <w:rPr>
                <w:sz w:val="20"/>
                <w:szCs w:val="20"/>
                <w:color w:val="auto"/>
              </w:rPr>
            </w:pPr>
            <w:r>
              <w:rPr>
                <w:rFonts w:ascii="Arial" w:cs="Arial" w:eastAsia="Arial" w:hAnsi="Arial"/>
                <w:sz w:val="14"/>
                <w:szCs w:val="14"/>
                <w:b w:val="1"/>
                <w:bCs w:val="1"/>
                <w:color w:val="auto"/>
              </w:rPr>
              <w:t>%</w:t>
            </w:r>
          </w:p>
        </w:tc>
        <w:tc>
          <w:tcPr>
            <w:tcW w:w="360" w:type="dxa"/>
            <w:vAlign w:val="bottom"/>
          </w:tcPr>
          <w:p>
            <w:pPr>
              <w:spacing w:after="0"/>
              <w:rPr>
                <w:sz w:val="14"/>
                <w:szCs w:val="14"/>
                <w:color w:val="auto"/>
              </w:rPr>
            </w:pPr>
          </w:p>
        </w:tc>
        <w:tc>
          <w:tcPr>
            <w:tcW w:w="16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2200" w:type="dxa"/>
            <w:vAlign w:val="bottom"/>
            <w:gridSpan w:val="4"/>
          </w:tcPr>
          <w:p>
            <w:pPr>
              <w:jc w:val="right"/>
              <w:ind w:right="820"/>
              <w:spacing w:after="0"/>
              <w:rPr>
                <w:sz w:val="20"/>
                <w:szCs w:val="20"/>
                <w:color w:val="auto"/>
              </w:rPr>
            </w:pPr>
            <w:r>
              <w:rPr>
                <w:rFonts w:ascii="Arial" w:cs="Arial" w:eastAsia="Arial" w:hAnsi="Arial"/>
                <w:sz w:val="14"/>
                <w:szCs w:val="14"/>
                <w:b w:val="1"/>
                <w:bCs w:val="1"/>
                <w:color w:val="auto"/>
              </w:rPr>
              <w:t>Nine Months Ended</w:t>
            </w:r>
          </w:p>
        </w:tc>
        <w:tc>
          <w:tcPr>
            <w:tcW w:w="440" w:type="dxa"/>
            <w:vAlign w:val="bottom"/>
            <w:vMerge w:val="restart"/>
          </w:tcPr>
          <w:p>
            <w:pPr>
              <w:jc w:val="right"/>
              <w:ind w:right="86"/>
              <w:spacing w:after="0"/>
              <w:rPr>
                <w:sz w:val="20"/>
                <w:szCs w:val="20"/>
                <w:color w:val="auto"/>
              </w:rPr>
            </w:pPr>
            <w:r>
              <w:rPr>
                <w:rFonts w:ascii="Arial" w:cs="Arial" w:eastAsia="Arial" w:hAnsi="Arial"/>
                <w:sz w:val="14"/>
                <w:szCs w:val="14"/>
                <w:b w:val="1"/>
                <w:bCs w:val="1"/>
                <w:color w:val="auto"/>
              </w:rPr>
              <w:t>%</w:t>
            </w:r>
          </w:p>
        </w:tc>
        <w:tc>
          <w:tcPr>
            <w:tcW w:w="26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29"/>
        </w:trPr>
        <w:tc>
          <w:tcPr>
            <w:tcW w:w="5080" w:type="dxa"/>
            <w:vAlign w:val="bottom"/>
          </w:tcPr>
          <w:p>
            <w:pPr>
              <w:spacing w:after="0"/>
              <w:rPr>
                <w:sz w:val="11"/>
                <w:szCs w:val="11"/>
                <w:color w:val="auto"/>
              </w:rPr>
            </w:pPr>
          </w:p>
        </w:tc>
        <w:tc>
          <w:tcPr>
            <w:tcW w:w="1120" w:type="dxa"/>
            <w:vAlign w:val="bottom"/>
            <w:tcBorders>
              <w:top w:val="single" w:sz="8" w:color="auto"/>
            </w:tcBorders>
            <w:gridSpan w:val="2"/>
          </w:tcPr>
          <w:p>
            <w:pPr>
              <w:jc w:val="center"/>
              <w:ind w:right="460"/>
              <w:spacing w:after="0" w:line="129" w:lineRule="exact"/>
              <w:rPr>
                <w:sz w:val="20"/>
                <w:szCs w:val="20"/>
                <w:color w:val="auto"/>
              </w:rPr>
            </w:pPr>
            <w:r>
              <w:rPr>
                <w:rFonts w:ascii="Arial" w:cs="Arial" w:eastAsia="Arial" w:hAnsi="Arial"/>
                <w:sz w:val="14"/>
                <w:szCs w:val="14"/>
                <w:b w:val="1"/>
                <w:bCs w:val="1"/>
                <w:color w:val="auto"/>
                <w:w w:val="85"/>
              </w:rPr>
              <w:t>October 31,</w:t>
            </w:r>
          </w:p>
        </w:tc>
        <w:tc>
          <w:tcPr>
            <w:tcW w:w="740" w:type="dxa"/>
            <w:vAlign w:val="bottom"/>
            <w:tcBorders>
              <w:top w:val="single" w:sz="8" w:color="auto"/>
            </w:tcBorders>
          </w:tcPr>
          <w:p>
            <w:pPr>
              <w:jc w:val="right"/>
              <w:spacing w:after="0" w:line="129" w:lineRule="exact"/>
              <w:rPr>
                <w:sz w:val="20"/>
                <w:szCs w:val="20"/>
                <w:color w:val="auto"/>
              </w:rPr>
            </w:pPr>
            <w:r>
              <w:rPr>
                <w:rFonts w:ascii="Arial" w:cs="Arial" w:eastAsia="Arial" w:hAnsi="Arial"/>
                <w:sz w:val="14"/>
                <w:szCs w:val="14"/>
                <w:b w:val="1"/>
                <w:bCs w:val="1"/>
                <w:color w:val="auto"/>
                <w:w w:val="85"/>
              </w:rPr>
              <w:t>November 1,</w:t>
            </w:r>
          </w:p>
        </w:tc>
        <w:tc>
          <w:tcPr>
            <w:tcW w:w="180" w:type="dxa"/>
            <w:vAlign w:val="bottom"/>
          </w:tcPr>
          <w:p>
            <w:pPr>
              <w:spacing w:after="0"/>
              <w:rPr>
                <w:sz w:val="11"/>
                <w:szCs w:val="11"/>
                <w:color w:val="auto"/>
              </w:rPr>
            </w:pPr>
          </w:p>
        </w:tc>
        <w:tc>
          <w:tcPr>
            <w:tcW w:w="740" w:type="dxa"/>
            <w:vAlign w:val="bottom"/>
            <w:gridSpan w:val="2"/>
            <w:vMerge w:val="continue"/>
          </w:tcPr>
          <w:p>
            <w:pPr>
              <w:spacing w:after="0"/>
              <w:rPr>
                <w:sz w:val="11"/>
                <w:szCs w:val="11"/>
                <w:color w:val="auto"/>
              </w:rPr>
            </w:pPr>
          </w:p>
        </w:tc>
        <w:tc>
          <w:tcPr>
            <w:tcW w:w="360" w:type="dxa"/>
            <w:vAlign w:val="bottom"/>
          </w:tcPr>
          <w:p>
            <w:pPr>
              <w:spacing w:after="0"/>
              <w:rPr>
                <w:sz w:val="11"/>
                <w:szCs w:val="11"/>
                <w:color w:val="auto"/>
              </w:rPr>
            </w:pPr>
          </w:p>
        </w:tc>
        <w:tc>
          <w:tcPr>
            <w:tcW w:w="160" w:type="dxa"/>
            <w:vAlign w:val="bottom"/>
          </w:tcPr>
          <w:p>
            <w:pPr>
              <w:spacing w:after="0"/>
              <w:rPr>
                <w:sz w:val="11"/>
                <w:szCs w:val="11"/>
                <w:color w:val="auto"/>
              </w:rPr>
            </w:pPr>
          </w:p>
        </w:tc>
        <w:tc>
          <w:tcPr>
            <w:tcW w:w="1140" w:type="dxa"/>
            <w:vAlign w:val="bottom"/>
            <w:tcBorders>
              <w:top w:val="single" w:sz="8" w:color="auto"/>
            </w:tcBorders>
            <w:gridSpan w:val="3"/>
          </w:tcPr>
          <w:p>
            <w:pPr>
              <w:spacing w:after="0" w:line="129" w:lineRule="exact"/>
              <w:rPr>
                <w:sz w:val="20"/>
                <w:szCs w:val="20"/>
                <w:color w:val="auto"/>
              </w:rPr>
            </w:pPr>
            <w:r>
              <w:rPr>
                <w:rFonts w:ascii="Arial" w:cs="Arial" w:eastAsia="Arial" w:hAnsi="Arial"/>
                <w:sz w:val="14"/>
                <w:szCs w:val="14"/>
                <w:b w:val="1"/>
                <w:bCs w:val="1"/>
                <w:color w:val="auto"/>
              </w:rPr>
              <w:t>October 31,</w:t>
            </w:r>
          </w:p>
        </w:tc>
        <w:tc>
          <w:tcPr>
            <w:tcW w:w="740" w:type="dxa"/>
            <w:vAlign w:val="bottom"/>
            <w:tcBorders>
              <w:top w:val="single" w:sz="8" w:color="auto"/>
            </w:tcBorders>
          </w:tcPr>
          <w:p>
            <w:pPr>
              <w:jc w:val="right"/>
              <w:spacing w:after="0" w:line="129" w:lineRule="exact"/>
              <w:rPr>
                <w:sz w:val="20"/>
                <w:szCs w:val="20"/>
                <w:color w:val="auto"/>
              </w:rPr>
            </w:pPr>
            <w:r>
              <w:rPr>
                <w:rFonts w:ascii="Arial" w:cs="Arial" w:eastAsia="Arial" w:hAnsi="Arial"/>
                <w:sz w:val="14"/>
                <w:szCs w:val="14"/>
                <w:b w:val="1"/>
                <w:bCs w:val="1"/>
                <w:color w:val="auto"/>
                <w:w w:val="85"/>
              </w:rPr>
              <w:t>November 1,</w:t>
            </w:r>
          </w:p>
        </w:tc>
        <w:tc>
          <w:tcPr>
            <w:tcW w:w="460" w:type="dxa"/>
            <w:vAlign w:val="bottom"/>
          </w:tcPr>
          <w:p>
            <w:pPr>
              <w:spacing w:after="0"/>
              <w:rPr>
                <w:sz w:val="11"/>
                <w:szCs w:val="11"/>
                <w:color w:val="auto"/>
              </w:rPr>
            </w:pPr>
          </w:p>
        </w:tc>
        <w:tc>
          <w:tcPr>
            <w:tcW w:w="440" w:type="dxa"/>
            <w:vAlign w:val="bottom"/>
            <w:vMerge w:val="continue"/>
          </w:tcPr>
          <w:p>
            <w:pPr>
              <w:spacing w:after="0"/>
              <w:rPr>
                <w:sz w:val="11"/>
                <w:szCs w:val="11"/>
                <w:color w:val="auto"/>
              </w:rPr>
            </w:pPr>
          </w:p>
        </w:tc>
        <w:tc>
          <w:tcPr>
            <w:tcW w:w="26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1"/>
        </w:trPr>
        <w:tc>
          <w:tcPr>
            <w:tcW w:w="5080" w:type="dxa"/>
            <w:vAlign w:val="bottom"/>
          </w:tcPr>
          <w:p>
            <w:pPr>
              <w:spacing w:after="0"/>
              <w:rPr>
                <w:sz w:val="14"/>
                <w:szCs w:val="14"/>
                <w:color w:val="auto"/>
              </w:rPr>
            </w:pPr>
          </w:p>
        </w:tc>
        <w:tc>
          <w:tcPr>
            <w:tcW w:w="660" w:type="dxa"/>
            <w:vAlign w:val="bottom"/>
          </w:tcPr>
          <w:p>
            <w:pPr>
              <w:jc w:val="right"/>
              <w:ind w:right="124"/>
              <w:spacing w:after="0"/>
              <w:rPr>
                <w:sz w:val="20"/>
                <w:szCs w:val="20"/>
                <w:color w:val="auto"/>
              </w:rPr>
            </w:pPr>
            <w:r>
              <w:rPr>
                <w:rFonts w:ascii="Arial" w:cs="Arial" w:eastAsia="Arial" w:hAnsi="Arial"/>
                <w:sz w:val="14"/>
                <w:szCs w:val="14"/>
                <w:b w:val="1"/>
                <w:bCs w:val="1"/>
                <w:color w:val="auto"/>
              </w:rPr>
              <w:t>2009</w:t>
            </w:r>
          </w:p>
        </w:tc>
        <w:tc>
          <w:tcPr>
            <w:tcW w:w="460" w:type="dxa"/>
            <w:vAlign w:val="bottom"/>
          </w:tcPr>
          <w:p>
            <w:pPr>
              <w:spacing w:after="0"/>
              <w:rPr>
                <w:sz w:val="14"/>
                <w:szCs w:val="14"/>
                <w:color w:val="auto"/>
              </w:rPr>
            </w:pPr>
          </w:p>
        </w:tc>
        <w:tc>
          <w:tcPr>
            <w:tcW w:w="740" w:type="dxa"/>
            <w:vAlign w:val="bottom"/>
          </w:tcPr>
          <w:p>
            <w:pPr>
              <w:jc w:val="right"/>
              <w:ind w:right="142"/>
              <w:spacing w:after="0"/>
              <w:rPr>
                <w:sz w:val="20"/>
                <w:szCs w:val="20"/>
                <w:color w:val="auto"/>
              </w:rPr>
            </w:pPr>
            <w:r>
              <w:rPr>
                <w:rFonts w:ascii="Arial" w:cs="Arial" w:eastAsia="Arial" w:hAnsi="Arial"/>
                <w:sz w:val="14"/>
                <w:szCs w:val="14"/>
                <w:b w:val="1"/>
                <w:bCs w:val="1"/>
                <w:color w:val="auto"/>
              </w:rPr>
              <w:t>2008</w:t>
            </w:r>
          </w:p>
        </w:tc>
        <w:tc>
          <w:tcPr>
            <w:tcW w:w="180" w:type="dxa"/>
            <w:vAlign w:val="bottom"/>
          </w:tcPr>
          <w:p>
            <w:pPr>
              <w:spacing w:after="0"/>
              <w:rPr>
                <w:sz w:val="14"/>
                <w:szCs w:val="14"/>
                <w:color w:val="auto"/>
              </w:rPr>
            </w:pPr>
          </w:p>
        </w:tc>
        <w:tc>
          <w:tcPr>
            <w:tcW w:w="280" w:type="dxa"/>
            <w:vAlign w:val="bottom"/>
          </w:tcPr>
          <w:p>
            <w:pPr>
              <w:spacing w:after="0"/>
              <w:rPr>
                <w:sz w:val="14"/>
                <w:szCs w:val="14"/>
                <w:color w:val="auto"/>
              </w:rPr>
            </w:pPr>
          </w:p>
        </w:tc>
        <w:tc>
          <w:tcPr>
            <w:tcW w:w="820" w:type="dxa"/>
            <w:vAlign w:val="bottom"/>
            <w:gridSpan w:val="2"/>
          </w:tcPr>
          <w:p>
            <w:pPr>
              <w:ind w:left="20"/>
              <w:spacing w:after="0"/>
              <w:rPr>
                <w:sz w:val="20"/>
                <w:szCs w:val="20"/>
                <w:color w:val="auto"/>
              </w:rPr>
            </w:pPr>
            <w:r>
              <w:rPr>
                <w:rFonts w:ascii="Arial" w:cs="Arial" w:eastAsia="Arial" w:hAnsi="Arial"/>
                <w:sz w:val="14"/>
                <w:szCs w:val="14"/>
                <w:b w:val="1"/>
                <w:bCs w:val="1"/>
                <w:color w:val="auto"/>
              </w:rPr>
              <w:t>Change</w:t>
            </w:r>
          </w:p>
        </w:tc>
        <w:tc>
          <w:tcPr>
            <w:tcW w:w="16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540" w:type="dxa"/>
            <w:vAlign w:val="bottom"/>
          </w:tcPr>
          <w:p>
            <w:pPr>
              <w:jc w:val="right"/>
              <w:ind w:right="122"/>
              <w:spacing w:after="0"/>
              <w:rPr>
                <w:sz w:val="20"/>
                <w:szCs w:val="20"/>
                <w:color w:val="auto"/>
              </w:rPr>
            </w:pPr>
            <w:r>
              <w:rPr>
                <w:rFonts w:ascii="Arial" w:cs="Arial" w:eastAsia="Arial" w:hAnsi="Arial"/>
                <w:sz w:val="14"/>
                <w:szCs w:val="14"/>
                <w:b w:val="1"/>
                <w:bCs w:val="1"/>
                <w:color w:val="auto"/>
              </w:rPr>
              <w:t>2009</w:t>
            </w:r>
          </w:p>
        </w:tc>
        <w:tc>
          <w:tcPr>
            <w:tcW w:w="460" w:type="dxa"/>
            <w:vAlign w:val="bottom"/>
          </w:tcPr>
          <w:p>
            <w:pPr>
              <w:spacing w:after="0"/>
              <w:rPr>
                <w:sz w:val="14"/>
                <w:szCs w:val="14"/>
                <w:color w:val="auto"/>
              </w:rPr>
            </w:pPr>
          </w:p>
        </w:tc>
        <w:tc>
          <w:tcPr>
            <w:tcW w:w="740" w:type="dxa"/>
            <w:vAlign w:val="bottom"/>
          </w:tcPr>
          <w:p>
            <w:pPr>
              <w:jc w:val="right"/>
              <w:ind w:right="162"/>
              <w:spacing w:after="0"/>
              <w:rPr>
                <w:sz w:val="20"/>
                <w:szCs w:val="20"/>
                <w:color w:val="auto"/>
              </w:rPr>
            </w:pPr>
            <w:r>
              <w:rPr>
                <w:rFonts w:ascii="Arial" w:cs="Arial" w:eastAsia="Arial" w:hAnsi="Arial"/>
                <w:sz w:val="14"/>
                <w:szCs w:val="14"/>
                <w:b w:val="1"/>
                <w:bCs w:val="1"/>
                <w:color w:val="auto"/>
              </w:rPr>
              <w:t>2008</w:t>
            </w:r>
          </w:p>
        </w:tc>
        <w:tc>
          <w:tcPr>
            <w:tcW w:w="460" w:type="dxa"/>
            <w:vAlign w:val="bottom"/>
          </w:tcPr>
          <w:p>
            <w:pPr>
              <w:spacing w:after="0"/>
              <w:rPr>
                <w:sz w:val="14"/>
                <w:szCs w:val="14"/>
                <w:color w:val="auto"/>
              </w:rPr>
            </w:pPr>
          </w:p>
        </w:tc>
        <w:tc>
          <w:tcPr>
            <w:tcW w:w="700" w:type="dxa"/>
            <w:vAlign w:val="bottom"/>
            <w:gridSpan w:val="2"/>
          </w:tcPr>
          <w:p>
            <w:pPr>
              <w:jc w:val="center"/>
              <w:ind w:right="260"/>
              <w:spacing w:after="0"/>
              <w:rPr>
                <w:sz w:val="20"/>
                <w:szCs w:val="20"/>
                <w:color w:val="auto"/>
              </w:rPr>
            </w:pPr>
            <w:r>
              <w:rPr>
                <w:rFonts w:ascii="Arial" w:cs="Arial" w:eastAsia="Arial" w:hAnsi="Arial"/>
                <w:sz w:val="14"/>
                <w:szCs w:val="14"/>
                <w:b w:val="1"/>
                <w:bCs w:val="1"/>
                <w:color w:val="auto"/>
                <w:w w:val="85"/>
              </w:rPr>
              <w:t>Change</w:t>
            </w:r>
          </w:p>
        </w:tc>
        <w:tc>
          <w:tcPr>
            <w:tcW w:w="0" w:type="dxa"/>
            <w:vAlign w:val="bottom"/>
          </w:tcPr>
          <w:p>
            <w:pPr>
              <w:spacing w:after="0"/>
              <w:rPr>
                <w:sz w:val="1"/>
                <w:szCs w:val="1"/>
                <w:color w:val="auto"/>
              </w:rPr>
            </w:pPr>
          </w:p>
        </w:tc>
      </w:tr>
      <w:tr>
        <w:trPr>
          <w:trHeight w:val="142"/>
        </w:trPr>
        <w:tc>
          <w:tcPr>
            <w:tcW w:w="5080" w:type="dxa"/>
            <w:vAlign w:val="bottom"/>
          </w:tcPr>
          <w:p>
            <w:pPr>
              <w:spacing w:after="0"/>
              <w:rPr>
                <w:sz w:val="12"/>
                <w:szCs w:val="12"/>
                <w:color w:val="auto"/>
              </w:rPr>
            </w:pPr>
          </w:p>
        </w:tc>
        <w:tc>
          <w:tcPr>
            <w:tcW w:w="660" w:type="dxa"/>
            <w:vAlign w:val="bottom"/>
            <w:tcBorders>
              <w:top w:val="single" w:sz="8" w:color="auto"/>
            </w:tcBorders>
          </w:tcPr>
          <w:p>
            <w:pPr>
              <w:spacing w:after="0"/>
              <w:rPr>
                <w:sz w:val="12"/>
                <w:szCs w:val="12"/>
                <w:color w:val="auto"/>
              </w:rPr>
            </w:pPr>
          </w:p>
        </w:tc>
        <w:tc>
          <w:tcPr>
            <w:tcW w:w="460" w:type="dxa"/>
            <w:vAlign w:val="bottom"/>
          </w:tcPr>
          <w:p>
            <w:pPr>
              <w:spacing w:after="0"/>
              <w:rPr>
                <w:sz w:val="12"/>
                <w:szCs w:val="12"/>
                <w:color w:val="auto"/>
              </w:rPr>
            </w:pPr>
          </w:p>
        </w:tc>
        <w:tc>
          <w:tcPr>
            <w:tcW w:w="740" w:type="dxa"/>
            <w:vAlign w:val="bottom"/>
            <w:tcBorders>
              <w:top w:val="single" w:sz="8" w:color="auto"/>
            </w:tcBorders>
          </w:tcPr>
          <w:p>
            <w:pPr>
              <w:spacing w:after="0"/>
              <w:rPr>
                <w:sz w:val="12"/>
                <w:szCs w:val="12"/>
                <w:color w:val="auto"/>
              </w:rPr>
            </w:pPr>
          </w:p>
        </w:tc>
        <w:tc>
          <w:tcPr>
            <w:tcW w:w="180" w:type="dxa"/>
            <w:vAlign w:val="bottom"/>
          </w:tcPr>
          <w:p>
            <w:pPr>
              <w:spacing w:after="0"/>
              <w:rPr>
                <w:sz w:val="12"/>
                <w:szCs w:val="12"/>
                <w:color w:val="auto"/>
              </w:rPr>
            </w:pPr>
          </w:p>
        </w:tc>
        <w:tc>
          <w:tcPr>
            <w:tcW w:w="280" w:type="dxa"/>
            <w:vAlign w:val="bottom"/>
          </w:tcPr>
          <w:p>
            <w:pPr>
              <w:ind w:left="40"/>
              <w:spacing w:after="0" w:line="142" w:lineRule="exact"/>
              <w:rPr>
                <w:sz w:val="20"/>
                <w:szCs w:val="20"/>
                <w:color w:val="auto"/>
              </w:rPr>
            </w:pPr>
            <w:r>
              <w:rPr>
                <w:rFonts w:ascii="Arial" w:cs="Arial" w:eastAsia="Arial" w:hAnsi="Arial"/>
                <w:sz w:val="14"/>
                <w:szCs w:val="14"/>
                <w:b w:val="1"/>
                <w:bCs w:val="1"/>
                <w:color w:val="auto"/>
              </w:rPr>
              <w:t>(in</w:t>
            </w:r>
          </w:p>
        </w:tc>
        <w:tc>
          <w:tcPr>
            <w:tcW w:w="460" w:type="dxa"/>
            <w:vAlign w:val="bottom"/>
            <w:tcBorders>
              <w:top w:val="single" w:sz="8" w:color="auto"/>
            </w:tcBorders>
          </w:tcPr>
          <w:p>
            <w:pPr>
              <w:spacing w:after="0"/>
              <w:rPr>
                <w:sz w:val="20"/>
                <w:szCs w:val="20"/>
                <w:color w:val="auto"/>
              </w:rPr>
            </w:pPr>
            <w:r>
              <w:rPr>
                <w:rFonts w:ascii="Arial" w:cs="Arial" w:eastAsia="Arial" w:hAnsi="Arial"/>
                <w:sz w:val="11"/>
                <w:szCs w:val="11"/>
                <w:b w:val="1"/>
                <w:bCs w:val="1"/>
                <w:color w:val="auto"/>
                <w:w w:val="74"/>
              </w:rPr>
              <w:t>thousands,</w:t>
            </w:r>
          </w:p>
        </w:tc>
        <w:tc>
          <w:tcPr>
            <w:tcW w:w="520" w:type="dxa"/>
            <w:vAlign w:val="bottom"/>
            <w:gridSpan w:val="2"/>
          </w:tcPr>
          <w:p>
            <w:pPr>
              <w:ind w:left="140"/>
              <w:spacing w:after="0" w:line="142" w:lineRule="exact"/>
              <w:rPr>
                <w:sz w:val="20"/>
                <w:szCs w:val="20"/>
                <w:color w:val="auto"/>
              </w:rPr>
            </w:pPr>
            <w:r>
              <w:rPr>
                <w:rFonts w:ascii="Arial" w:cs="Arial" w:eastAsia="Arial" w:hAnsi="Arial"/>
                <w:sz w:val="14"/>
                <w:szCs w:val="14"/>
                <w:b w:val="1"/>
                <w:bCs w:val="1"/>
                <w:color w:val="auto"/>
                <w:w w:val="81"/>
              </w:rPr>
              <w:t>except</w:t>
            </w:r>
          </w:p>
        </w:tc>
        <w:tc>
          <w:tcPr>
            <w:tcW w:w="680" w:type="dxa"/>
            <w:vAlign w:val="bottom"/>
            <w:tcBorders>
              <w:top w:val="single" w:sz="8" w:color="auto"/>
            </w:tcBorders>
            <w:gridSpan w:val="2"/>
          </w:tcPr>
          <w:p>
            <w:pPr>
              <w:ind w:left="20"/>
              <w:spacing w:after="0" w:line="142" w:lineRule="exact"/>
              <w:rPr>
                <w:sz w:val="20"/>
                <w:szCs w:val="20"/>
                <w:color w:val="auto"/>
              </w:rPr>
            </w:pPr>
            <w:r>
              <w:rPr>
                <w:rFonts w:ascii="Arial" w:cs="Arial" w:eastAsia="Arial" w:hAnsi="Arial"/>
                <w:sz w:val="14"/>
                <w:szCs w:val="14"/>
                <w:b w:val="1"/>
                <w:bCs w:val="1"/>
                <w:color w:val="auto"/>
                <w:w w:val="80"/>
              </w:rPr>
              <w:t>percentage)</w:t>
            </w:r>
          </w:p>
        </w:tc>
        <w:tc>
          <w:tcPr>
            <w:tcW w:w="460" w:type="dxa"/>
            <w:vAlign w:val="bottom"/>
          </w:tcPr>
          <w:p>
            <w:pPr>
              <w:spacing w:after="0"/>
              <w:rPr>
                <w:sz w:val="12"/>
                <w:szCs w:val="12"/>
                <w:color w:val="auto"/>
              </w:rPr>
            </w:pPr>
          </w:p>
        </w:tc>
        <w:tc>
          <w:tcPr>
            <w:tcW w:w="740" w:type="dxa"/>
            <w:vAlign w:val="bottom"/>
            <w:tcBorders>
              <w:top w:val="single" w:sz="8" w:color="auto"/>
            </w:tcBorders>
          </w:tcPr>
          <w:p>
            <w:pPr>
              <w:spacing w:after="0"/>
              <w:rPr>
                <w:sz w:val="12"/>
                <w:szCs w:val="12"/>
                <w:color w:val="auto"/>
              </w:rPr>
            </w:pPr>
          </w:p>
        </w:tc>
        <w:tc>
          <w:tcPr>
            <w:tcW w:w="460" w:type="dxa"/>
            <w:vAlign w:val="bottom"/>
          </w:tcPr>
          <w:p>
            <w:pPr>
              <w:spacing w:after="0"/>
              <w:rPr>
                <w:sz w:val="12"/>
                <w:szCs w:val="12"/>
                <w:color w:val="auto"/>
              </w:rPr>
            </w:pPr>
          </w:p>
        </w:tc>
        <w:tc>
          <w:tcPr>
            <w:tcW w:w="440" w:type="dxa"/>
            <w:vAlign w:val="bottom"/>
            <w:tcBorders>
              <w:top w:val="single" w:sz="8" w:color="auto"/>
            </w:tcBorders>
          </w:tcPr>
          <w:p>
            <w:pPr>
              <w:spacing w:after="0"/>
              <w:rPr>
                <w:sz w:val="12"/>
                <w:szCs w:val="12"/>
                <w:color w:val="auto"/>
              </w:rPr>
            </w:pPr>
          </w:p>
        </w:tc>
        <w:tc>
          <w:tcPr>
            <w:tcW w:w="26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216"/>
        </w:trPr>
        <w:tc>
          <w:tcPr>
            <w:tcW w:w="5080" w:type="dxa"/>
            <w:vAlign w:val="bottom"/>
            <w:shd w:val="clear" w:color="auto" w:fill="CCEEFF"/>
          </w:tcPr>
          <w:p>
            <w:pPr>
              <w:spacing w:after="0"/>
              <w:rPr>
                <w:sz w:val="20"/>
                <w:szCs w:val="20"/>
                <w:color w:val="auto"/>
              </w:rPr>
            </w:pPr>
            <w:r>
              <w:rPr>
                <w:rFonts w:ascii="Arial" w:cs="Arial" w:eastAsia="Arial" w:hAnsi="Arial"/>
                <w:sz w:val="18"/>
                <w:szCs w:val="18"/>
                <w:color w:val="auto"/>
              </w:rPr>
              <w:t>Interest and other income (expense), net</w:t>
            </w:r>
          </w:p>
        </w:tc>
        <w:tc>
          <w:tcPr>
            <w:tcW w:w="1120" w:type="dxa"/>
            <w:vAlign w:val="bottom"/>
            <w:gridSpan w:val="2"/>
            <w:shd w:val="clear" w:color="auto" w:fill="CCEEFF"/>
          </w:tcPr>
          <w:p>
            <w:pPr>
              <w:jc w:val="right"/>
              <w:ind w:right="400"/>
              <w:spacing w:after="0"/>
              <w:rPr>
                <w:sz w:val="20"/>
                <w:szCs w:val="20"/>
                <w:color w:val="auto"/>
              </w:rPr>
            </w:pPr>
            <w:r>
              <w:rPr>
                <w:rFonts w:ascii="Arial" w:cs="Arial" w:eastAsia="Arial" w:hAnsi="Arial"/>
                <w:sz w:val="18"/>
                <w:szCs w:val="18"/>
                <w:color w:val="auto"/>
                <w:w w:val="90"/>
              </w:rPr>
              <w:t>$  (1,303)</w:t>
            </w:r>
          </w:p>
        </w:tc>
        <w:tc>
          <w:tcPr>
            <w:tcW w:w="920" w:type="dxa"/>
            <w:vAlign w:val="bottom"/>
            <w:gridSpan w:val="2"/>
            <w:shd w:val="clear" w:color="auto" w:fill="CCEEFF"/>
          </w:tcPr>
          <w:p>
            <w:pPr>
              <w:jc w:val="right"/>
              <w:ind w:right="180"/>
              <w:spacing w:after="0"/>
              <w:rPr>
                <w:sz w:val="20"/>
                <w:szCs w:val="20"/>
                <w:color w:val="auto"/>
              </w:rPr>
            </w:pPr>
            <w:r>
              <w:rPr>
                <w:rFonts w:ascii="Arial" w:cs="Arial" w:eastAsia="Arial" w:hAnsi="Arial"/>
                <w:sz w:val="18"/>
                <w:szCs w:val="18"/>
                <w:color w:val="auto"/>
                <w:w w:val="95"/>
              </w:rPr>
              <w:t>$  15,109</w:t>
            </w:r>
          </w:p>
        </w:tc>
        <w:tc>
          <w:tcPr>
            <w:tcW w:w="1100" w:type="dxa"/>
            <w:vAlign w:val="bottom"/>
            <w:gridSpan w:val="3"/>
            <w:shd w:val="clear" w:color="auto" w:fill="CCEEFF"/>
          </w:tcPr>
          <w:p>
            <w:pPr>
              <w:ind w:left="300"/>
              <w:spacing w:after="0"/>
              <w:rPr>
                <w:sz w:val="20"/>
                <w:szCs w:val="20"/>
                <w:color w:val="auto"/>
              </w:rPr>
            </w:pPr>
            <w:r>
              <w:rPr>
                <w:rFonts w:ascii="Arial" w:cs="Arial" w:eastAsia="Arial" w:hAnsi="Arial"/>
                <w:sz w:val="18"/>
                <w:szCs w:val="18"/>
                <w:color w:val="auto"/>
              </w:rPr>
              <w:t>(108.6)%</w:t>
            </w:r>
          </w:p>
        </w:tc>
        <w:tc>
          <w:tcPr>
            <w:tcW w:w="300" w:type="dxa"/>
            <w:vAlign w:val="bottom"/>
            <w:gridSpan w:val="2"/>
            <w:shd w:val="clear" w:color="auto" w:fill="CCEEFF"/>
          </w:tcPr>
          <w:p>
            <w:pPr>
              <w:ind w:left="160"/>
              <w:spacing w:after="0"/>
              <w:rPr>
                <w:sz w:val="20"/>
                <w:szCs w:val="20"/>
                <w:color w:val="auto"/>
              </w:rPr>
            </w:pPr>
            <w:r>
              <w:rPr>
                <w:rFonts w:ascii="Arial" w:cs="Arial" w:eastAsia="Arial" w:hAnsi="Arial"/>
                <w:sz w:val="18"/>
                <w:szCs w:val="18"/>
                <w:color w:val="auto"/>
              </w:rPr>
              <w:t>$</w:t>
            </w:r>
          </w:p>
        </w:tc>
        <w:tc>
          <w:tcPr>
            <w:tcW w:w="1000" w:type="dxa"/>
            <w:vAlign w:val="bottom"/>
            <w:gridSpan w:val="2"/>
            <w:shd w:val="clear" w:color="auto" w:fill="CCEEFF"/>
          </w:tcPr>
          <w:p>
            <w:pPr>
              <w:jc w:val="right"/>
              <w:ind w:right="460"/>
              <w:spacing w:after="0"/>
              <w:rPr>
                <w:sz w:val="20"/>
                <w:szCs w:val="20"/>
                <w:color w:val="auto"/>
              </w:rPr>
            </w:pPr>
            <w:r>
              <w:rPr>
                <w:rFonts w:ascii="Arial" w:cs="Arial" w:eastAsia="Arial" w:hAnsi="Arial"/>
                <w:sz w:val="18"/>
                <w:szCs w:val="18"/>
                <w:color w:val="auto"/>
              </w:rPr>
              <w:t>418</w:t>
            </w:r>
          </w:p>
        </w:tc>
        <w:tc>
          <w:tcPr>
            <w:tcW w:w="1200" w:type="dxa"/>
            <w:vAlign w:val="bottom"/>
            <w:gridSpan w:val="2"/>
            <w:shd w:val="clear" w:color="auto" w:fill="CCEEFF"/>
          </w:tcPr>
          <w:p>
            <w:pPr>
              <w:jc w:val="right"/>
              <w:ind w:right="460"/>
              <w:spacing w:after="0"/>
              <w:rPr>
                <w:sz w:val="20"/>
                <w:szCs w:val="20"/>
                <w:color w:val="auto"/>
              </w:rPr>
            </w:pPr>
            <w:r>
              <w:rPr>
                <w:rFonts w:ascii="Arial" w:cs="Arial" w:eastAsia="Arial" w:hAnsi="Arial"/>
                <w:sz w:val="18"/>
                <w:szCs w:val="18"/>
                <w:color w:val="auto"/>
                <w:w w:val="95"/>
              </w:rPr>
              <w:t>$  21,973</w:t>
            </w:r>
          </w:p>
        </w:tc>
        <w:tc>
          <w:tcPr>
            <w:tcW w:w="70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w w:val="98"/>
              </w:rPr>
              <w:t>(98.1)%</w:t>
            </w:r>
          </w:p>
        </w:tc>
        <w:tc>
          <w:tcPr>
            <w:tcW w:w="0" w:type="dxa"/>
            <w:vAlign w:val="bottom"/>
          </w:tcPr>
          <w:p>
            <w:pPr>
              <w:spacing w:after="0"/>
              <w:rPr>
                <w:sz w:val="1"/>
                <w:szCs w:val="1"/>
                <w:color w:val="auto"/>
              </w:rPr>
            </w:pPr>
          </w:p>
        </w:tc>
      </w:tr>
      <w:tr>
        <w:trPr>
          <w:trHeight w:val="222"/>
        </w:trPr>
        <w:tc>
          <w:tcPr>
            <w:tcW w:w="5080" w:type="dxa"/>
            <w:vAlign w:val="bottom"/>
          </w:tcPr>
          <w:p>
            <w:pPr>
              <w:spacing w:after="0"/>
              <w:rPr>
                <w:sz w:val="20"/>
                <w:szCs w:val="20"/>
                <w:color w:val="auto"/>
              </w:rPr>
            </w:pPr>
            <w:r>
              <w:rPr>
                <w:rFonts w:ascii="Arial" w:cs="Arial" w:eastAsia="Arial" w:hAnsi="Arial"/>
                <w:sz w:val="18"/>
                <w:szCs w:val="18"/>
                <w:color w:val="auto"/>
              </w:rPr>
              <w:t>% of net revenue</w:t>
            </w:r>
          </w:p>
        </w:tc>
        <w:tc>
          <w:tcPr>
            <w:tcW w:w="1120" w:type="dxa"/>
            <w:vAlign w:val="bottom"/>
            <w:gridSpan w:val="2"/>
          </w:tcPr>
          <w:p>
            <w:pPr>
              <w:jc w:val="right"/>
              <w:ind w:right="300"/>
              <w:spacing w:after="0"/>
              <w:rPr>
                <w:sz w:val="20"/>
                <w:szCs w:val="20"/>
                <w:color w:val="auto"/>
              </w:rPr>
            </w:pPr>
            <w:r>
              <w:rPr>
                <w:rFonts w:ascii="Arial" w:cs="Arial" w:eastAsia="Arial" w:hAnsi="Arial"/>
                <w:sz w:val="18"/>
                <w:szCs w:val="18"/>
                <w:color w:val="auto"/>
              </w:rPr>
              <w:t>0.2%</w:t>
            </w:r>
          </w:p>
        </w:tc>
        <w:tc>
          <w:tcPr>
            <w:tcW w:w="920" w:type="dxa"/>
            <w:vAlign w:val="bottom"/>
            <w:gridSpan w:val="2"/>
          </w:tcPr>
          <w:p>
            <w:pPr>
              <w:jc w:val="right"/>
              <w:ind w:right="20"/>
              <w:spacing w:after="0"/>
              <w:rPr>
                <w:sz w:val="20"/>
                <w:szCs w:val="20"/>
                <w:color w:val="auto"/>
              </w:rPr>
            </w:pPr>
            <w:r>
              <w:rPr>
                <w:rFonts w:ascii="Arial" w:cs="Arial" w:eastAsia="Arial" w:hAnsi="Arial"/>
                <w:sz w:val="18"/>
                <w:szCs w:val="18"/>
                <w:color w:val="auto"/>
              </w:rPr>
              <w:t>1.9%</w:t>
            </w:r>
          </w:p>
        </w:tc>
        <w:tc>
          <w:tcPr>
            <w:tcW w:w="280" w:type="dxa"/>
            <w:vAlign w:val="bottom"/>
          </w:tcPr>
          <w:p>
            <w:pPr>
              <w:spacing w:after="0"/>
              <w:rPr>
                <w:sz w:val="19"/>
                <w:szCs w:val="19"/>
                <w:color w:val="auto"/>
              </w:rPr>
            </w:pPr>
          </w:p>
        </w:tc>
        <w:tc>
          <w:tcPr>
            <w:tcW w:w="460" w:type="dxa"/>
            <w:vAlign w:val="bottom"/>
          </w:tcPr>
          <w:p>
            <w:pPr>
              <w:spacing w:after="0"/>
              <w:rPr>
                <w:sz w:val="19"/>
                <w:szCs w:val="19"/>
                <w:color w:val="auto"/>
              </w:rPr>
            </w:pPr>
          </w:p>
        </w:tc>
        <w:tc>
          <w:tcPr>
            <w:tcW w:w="360" w:type="dxa"/>
            <w:vAlign w:val="bottom"/>
          </w:tcPr>
          <w:p>
            <w:pPr>
              <w:spacing w:after="0"/>
              <w:rPr>
                <w:sz w:val="19"/>
                <w:szCs w:val="19"/>
                <w:color w:val="auto"/>
              </w:rPr>
            </w:pPr>
          </w:p>
        </w:tc>
        <w:tc>
          <w:tcPr>
            <w:tcW w:w="160" w:type="dxa"/>
            <w:vAlign w:val="bottom"/>
          </w:tcPr>
          <w:p>
            <w:pPr>
              <w:spacing w:after="0"/>
              <w:rPr>
                <w:sz w:val="19"/>
                <w:szCs w:val="19"/>
                <w:color w:val="auto"/>
              </w:rPr>
            </w:pPr>
          </w:p>
        </w:tc>
        <w:tc>
          <w:tcPr>
            <w:tcW w:w="140" w:type="dxa"/>
            <w:vAlign w:val="bottom"/>
          </w:tcPr>
          <w:p>
            <w:pPr>
              <w:spacing w:after="0"/>
              <w:rPr>
                <w:sz w:val="19"/>
                <w:szCs w:val="19"/>
                <w:color w:val="auto"/>
              </w:rPr>
            </w:pPr>
          </w:p>
        </w:tc>
        <w:tc>
          <w:tcPr>
            <w:tcW w:w="1000" w:type="dxa"/>
            <w:vAlign w:val="bottom"/>
            <w:gridSpan w:val="2"/>
          </w:tcPr>
          <w:p>
            <w:pPr>
              <w:jc w:val="right"/>
              <w:ind w:right="320"/>
              <w:spacing w:after="0"/>
              <w:rPr>
                <w:sz w:val="20"/>
                <w:szCs w:val="20"/>
                <w:color w:val="auto"/>
              </w:rPr>
            </w:pPr>
            <w:r>
              <w:rPr>
                <w:rFonts w:ascii="Arial" w:cs="Arial" w:eastAsia="Arial" w:hAnsi="Arial"/>
                <w:sz w:val="18"/>
                <w:szCs w:val="18"/>
                <w:color w:val="auto"/>
              </w:rPr>
              <w:t>0.0%</w:t>
            </w:r>
          </w:p>
        </w:tc>
        <w:tc>
          <w:tcPr>
            <w:tcW w:w="1200" w:type="dxa"/>
            <w:vAlign w:val="bottom"/>
            <w:gridSpan w:val="2"/>
          </w:tcPr>
          <w:p>
            <w:pPr>
              <w:jc w:val="right"/>
              <w:ind w:right="320"/>
              <w:spacing w:after="0"/>
              <w:rPr>
                <w:sz w:val="20"/>
                <w:szCs w:val="20"/>
                <w:color w:val="auto"/>
              </w:rPr>
            </w:pPr>
            <w:r>
              <w:rPr>
                <w:rFonts w:ascii="Arial" w:cs="Arial" w:eastAsia="Arial" w:hAnsi="Arial"/>
                <w:sz w:val="18"/>
                <w:szCs w:val="18"/>
                <w:color w:val="auto"/>
              </w:rPr>
              <w:t>0.9%</w:t>
            </w:r>
          </w:p>
        </w:tc>
        <w:tc>
          <w:tcPr>
            <w:tcW w:w="440" w:type="dxa"/>
            <w:vAlign w:val="bottom"/>
          </w:tcPr>
          <w:p>
            <w:pPr>
              <w:spacing w:after="0"/>
              <w:rPr>
                <w:sz w:val="19"/>
                <w:szCs w:val="19"/>
                <w:color w:val="auto"/>
              </w:rPr>
            </w:pPr>
          </w:p>
        </w:tc>
        <w:tc>
          <w:tcPr>
            <w:tcW w:w="260" w:type="dxa"/>
            <w:vAlign w:val="bottom"/>
          </w:tcPr>
          <w:p>
            <w:pPr>
              <w:spacing w:after="0"/>
              <w:rPr>
                <w:sz w:val="19"/>
                <w:szCs w:val="19"/>
                <w:color w:val="auto"/>
              </w:rPr>
            </w:pPr>
          </w:p>
        </w:tc>
        <w:tc>
          <w:tcPr>
            <w:tcW w:w="0" w:type="dxa"/>
            <w:vAlign w:val="bottom"/>
          </w:tcPr>
          <w:p>
            <w:pPr>
              <w:spacing w:after="0"/>
              <w:rPr>
                <w:sz w:val="1"/>
                <w:szCs w:val="1"/>
                <w:color w:val="auto"/>
              </w:rPr>
            </w:pPr>
          </w:p>
        </w:tc>
      </w:tr>
    </w:tbl>
    <w:p>
      <w:pPr>
        <w:spacing w:after="0" w:line="147" w:lineRule="exact"/>
        <w:rPr>
          <w:sz w:val="20"/>
          <w:szCs w:val="20"/>
          <w:color w:val="auto"/>
        </w:rPr>
      </w:pPr>
    </w:p>
    <w:p>
      <w:pPr>
        <w:ind w:right="80" w:firstLine="456"/>
        <w:spacing w:after="0" w:line="256" w:lineRule="auto"/>
        <w:rPr>
          <w:sz w:val="20"/>
          <w:szCs w:val="20"/>
          <w:color w:val="auto"/>
        </w:rPr>
      </w:pPr>
      <w:r>
        <w:rPr>
          <w:rFonts w:ascii="Arial" w:cs="Arial" w:eastAsia="Arial" w:hAnsi="Arial"/>
          <w:sz w:val="18"/>
          <w:szCs w:val="18"/>
          <w:color w:val="auto"/>
        </w:rPr>
        <w:t>The decrease in interest and other income (expense), net, for the three and nine months ended October 31, 2009 compared to the three and nine months ended November 1, 2008 was primarily due to a decrease in market interest rates and an increase in foreign exchange losses as a result of fluctuations in currencies, which was partially offset by an increase in cash and cash equivalent balances throughout the last two fiscal quarters and a gain on the severance fund in a foreign jurisdiction.</w:t>
      </w:r>
    </w:p>
    <w:p>
      <w:pPr>
        <w:spacing w:after="0" w:line="224" w:lineRule="exact"/>
        <w:rPr>
          <w:sz w:val="20"/>
          <w:szCs w:val="20"/>
          <w:color w:val="auto"/>
        </w:rPr>
      </w:pPr>
    </w:p>
    <w:p>
      <w:pPr>
        <w:ind w:left="240"/>
        <w:spacing w:after="0"/>
        <w:rPr>
          <w:sz w:val="20"/>
          <w:szCs w:val="20"/>
          <w:color w:val="auto"/>
        </w:rPr>
      </w:pPr>
      <w:r>
        <w:rPr>
          <w:rFonts w:ascii="Arial" w:cs="Arial" w:eastAsia="Arial" w:hAnsi="Arial"/>
          <w:sz w:val="18"/>
          <w:szCs w:val="18"/>
          <w:i w:val="1"/>
          <w:iCs w:val="1"/>
          <w:color w:val="auto"/>
        </w:rPr>
        <w:t>Interest Expense</w:t>
      </w:r>
    </w:p>
    <w:p>
      <w:pPr>
        <w:spacing w:after="0" w:line="207"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4740" w:type="dxa"/>
            <w:vAlign w:val="bottom"/>
          </w:tcPr>
          <w:p>
            <w:pPr>
              <w:spacing w:after="0"/>
              <w:rPr>
                <w:sz w:val="14"/>
                <w:szCs w:val="14"/>
                <w:color w:val="auto"/>
              </w:rPr>
            </w:pPr>
          </w:p>
        </w:tc>
        <w:tc>
          <w:tcPr>
            <w:tcW w:w="160" w:type="dxa"/>
            <w:vAlign w:val="bottom"/>
          </w:tcPr>
          <w:p>
            <w:pPr>
              <w:spacing w:after="0"/>
              <w:rPr>
                <w:sz w:val="14"/>
                <w:szCs w:val="14"/>
                <w:color w:val="auto"/>
              </w:rPr>
            </w:pPr>
          </w:p>
        </w:tc>
        <w:tc>
          <w:tcPr>
            <w:tcW w:w="2020" w:type="dxa"/>
            <w:vAlign w:val="bottom"/>
            <w:gridSpan w:val="4"/>
          </w:tcPr>
          <w:p>
            <w:pPr>
              <w:jc w:val="right"/>
              <w:ind w:right="580"/>
              <w:spacing w:after="0"/>
              <w:rPr>
                <w:sz w:val="20"/>
                <w:szCs w:val="20"/>
                <w:color w:val="auto"/>
              </w:rPr>
            </w:pPr>
            <w:r>
              <w:rPr>
                <w:rFonts w:ascii="Arial" w:cs="Arial" w:eastAsia="Arial" w:hAnsi="Arial"/>
                <w:sz w:val="14"/>
                <w:szCs w:val="14"/>
                <w:b w:val="1"/>
                <w:bCs w:val="1"/>
                <w:color w:val="auto"/>
              </w:rPr>
              <w:t>Three Months Ended</w:t>
            </w:r>
          </w:p>
        </w:tc>
        <w:tc>
          <w:tcPr>
            <w:tcW w:w="740" w:type="dxa"/>
            <w:vAlign w:val="bottom"/>
            <w:gridSpan w:val="2"/>
            <w:vMerge w:val="restart"/>
          </w:tcPr>
          <w:p>
            <w:pPr>
              <w:jc w:val="center"/>
              <w:ind w:left="246"/>
              <w:spacing w:after="0"/>
              <w:rPr>
                <w:sz w:val="20"/>
                <w:szCs w:val="20"/>
                <w:color w:val="auto"/>
              </w:rPr>
            </w:pPr>
            <w:r>
              <w:rPr>
                <w:rFonts w:ascii="Arial" w:cs="Arial" w:eastAsia="Arial" w:hAnsi="Arial"/>
                <w:sz w:val="14"/>
                <w:szCs w:val="14"/>
                <w:b w:val="1"/>
                <w:bCs w:val="1"/>
                <w:color w:val="auto"/>
              </w:rPr>
              <w:t>%</w:t>
            </w:r>
          </w:p>
        </w:tc>
        <w:tc>
          <w:tcPr>
            <w:tcW w:w="40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2480" w:type="dxa"/>
            <w:vAlign w:val="bottom"/>
            <w:gridSpan w:val="4"/>
          </w:tcPr>
          <w:p>
            <w:pPr>
              <w:jc w:val="right"/>
              <w:ind w:right="940"/>
              <w:spacing w:after="0"/>
              <w:rPr>
                <w:sz w:val="20"/>
                <w:szCs w:val="20"/>
                <w:color w:val="auto"/>
              </w:rPr>
            </w:pPr>
            <w:r>
              <w:rPr>
                <w:rFonts w:ascii="Arial" w:cs="Arial" w:eastAsia="Arial" w:hAnsi="Arial"/>
                <w:sz w:val="14"/>
                <w:szCs w:val="14"/>
                <w:b w:val="1"/>
                <w:bCs w:val="1"/>
                <w:color w:val="auto"/>
              </w:rPr>
              <w:t>Nine months Ended</w:t>
            </w:r>
          </w:p>
        </w:tc>
        <w:tc>
          <w:tcPr>
            <w:tcW w:w="440" w:type="dxa"/>
            <w:vAlign w:val="bottom"/>
            <w:vMerge w:val="restart"/>
          </w:tcPr>
          <w:p>
            <w:pPr>
              <w:jc w:val="right"/>
              <w:ind w:right="86"/>
              <w:spacing w:after="0"/>
              <w:rPr>
                <w:sz w:val="20"/>
                <w:szCs w:val="20"/>
                <w:color w:val="auto"/>
              </w:rPr>
            </w:pPr>
            <w:r>
              <w:rPr>
                <w:rFonts w:ascii="Arial" w:cs="Arial" w:eastAsia="Arial" w:hAnsi="Arial"/>
                <w:sz w:val="14"/>
                <w:szCs w:val="14"/>
                <w:b w:val="1"/>
                <w:bCs w:val="1"/>
                <w:color w:val="auto"/>
              </w:rPr>
              <w:t>%</w:t>
            </w:r>
          </w:p>
        </w:tc>
        <w:tc>
          <w:tcPr>
            <w:tcW w:w="26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29"/>
        </w:trPr>
        <w:tc>
          <w:tcPr>
            <w:tcW w:w="4740" w:type="dxa"/>
            <w:vAlign w:val="bottom"/>
          </w:tcPr>
          <w:p>
            <w:pPr>
              <w:spacing w:after="0"/>
              <w:rPr>
                <w:sz w:val="11"/>
                <w:szCs w:val="11"/>
                <w:color w:val="auto"/>
              </w:rPr>
            </w:pPr>
          </w:p>
        </w:tc>
        <w:tc>
          <w:tcPr>
            <w:tcW w:w="1220" w:type="dxa"/>
            <w:vAlign w:val="bottom"/>
            <w:tcBorders>
              <w:top w:val="single" w:sz="8" w:color="auto"/>
            </w:tcBorders>
            <w:gridSpan w:val="3"/>
          </w:tcPr>
          <w:p>
            <w:pPr>
              <w:spacing w:after="0" w:line="129" w:lineRule="exact"/>
              <w:rPr>
                <w:sz w:val="20"/>
                <w:szCs w:val="20"/>
                <w:color w:val="auto"/>
              </w:rPr>
            </w:pPr>
            <w:r>
              <w:rPr>
                <w:rFonts w:ascii="Arial" w:cs="Arial" w:eastAsia="Arial" w:hAnsi="Arial"/>
                <w:sz w:val="14"/>
                <w:szCs w:val="14"/>
                <w:b w:val="1"/>
                <w:bCs w:val="1"/>
                <w:color w:val="auto"/>
              </w:rPr>
              <w:t>October 31,</w:t>
            </w:r>
          </w:p>
        </w:tc>
        <w:tc>
          <w:tcPr>
            <w:tcW w:w="740" w:type="dxa"/>
            <w:vAlign w:val="bottom"/>
            <w:tcBorders>
              <w:top w:val="single" w:sz="8" w:color="auto"/>
            </w:tcBorders>
          </w:tcPr>
          <w:p>
            <w:pPr>
              <w:jc w:val="right"/>
              <w:spacing w:after="0" w:line="129" w:lineRule="exact"/>
              <w:rPr>
                <w:sz w:val="20"/>
                <w:szCs w:val="20"/>
                <w:color w:val="auto"/>
              </w:rPr>
            </w:pPr>
            <w:r>
              <w:rPr>
                <w:rFonts w:ascii="Arial" w:cs="Arial" w:eastAsia="Arial" w:hAnsi="Arial"/>
                <w:sz w:val="14"/>
                <w:szCs w:val="14"/>
                <w:b w:val="1"/>
                <w:bCs w:val="1"/>
                <w:color w:val="auto"/>
                <w:w w:val="83"/>
              </w:rPr>
              <w:t>November 1,</w:t>
            </w:r>
          </w:p>
        </w:tc>
        <w:tc>
          <w:tcPr>
            <w:tcW w:w="220" w:type="dxa"/>
            <w:vAlign w:val="bottom"/>
          </w:tcPr>
          <w:p>
            <w:pPr>
              <w:spacing w:after="0"/>
              <w:rPr>
                <w:sz w:val="11"/>
                <w:szCs w:val="11"/>
                <w:color w:val="auto"/>
              </w:rPr>
            </w:pPr>
          </w:p>
        </w:tc>
        <w:tc>
          <w:tcPr>
            <w:tcW w:w="740" w:type="dxa"/>
            <w:vAlign w:val="bottom"/>
            <w:gridSpan w:val="2"/>
            <w:vMerge w:val="continue"/>
          </w:tcPr>
          <w:p>
            <w:pPr>
              <w:spacing w:after="0"/>
              <w:rPr>
                <w:sz w:val="11"/>
                <w:szCs w:val="11"/>
                <w:color w:val="auto"/>
              </w:rPr>
            </w:pPr>
          </w:p>
        </w:tc>
        <w:tc>
          <w:tcPr>
            <w:tcW w:w="400" w:type="dxa"/>
            <w:vAlign w:val="bottom"/>
          </w:tcPr>
          <w:p>
            <w:pPr>
              <w:spacing w:after="0"/>
              <w:rPr>
                <w:sz w:val="11"/>
                <w:szCs w:val="11"/>
                <w:color w:val="auto"/>
              </w:rPr>
            </w:pPr>
          </w:p>
        </w:tc>
        <w:tc>
          <w:tcPr>
            <w:tcW w:w="180" w:type="dxa"/>
            <w:vAlign w:val="bottom"/>
          </w:tcPr>
          <w:p>
            <w:pPr>
              <w:spacing w:after="0"/>
              <w:rPr>
                <w:sz w:val="11"/>
                <w:szCs w:val="11"/>
                <w:color w:val="auto"/>
              </w:rPr>
            </w:pPr>
          </w:p>
        </w:tc>
        <w:tc>
          <w:tcPr>
            <w:tcW w:w="1200" w:type="dxa"/>
            <w:vAlign w:val="bottom"/>
            <w:tcBorders>
              <w:top w:val="single" w:sz="8" w:color="auto"/>
            </w:tcBorders>
            <w:gridSpan w:val="2"/>
          </w:tcPr>
          <w:p>
            <w:pPr>
              <w:jc w:val="center"/>
              <w:ind w:right="520"/>
              <w:spacing w:after="0" w:line="129" w:lineRule="exact"/>
              <w:rPr>
                <w:sz w:val="20"/>
                <w:szCs w:val="20"/>
                <w:color w:val="auto"/>
              </w:rPr>
            </w:pPr>
            <w:r>
              <w:rPr>
                <w:rFonts w:ascii="Arial" w:cs="Arial" w:eastAsia="Arial" w:hAnsi="Arial"/>
                <w:sz w:val="14"/>
                <w:szCs w:val="14"/>
                <w:b w:val="1"/>
                <w:bCs w:val="1"/>
                <w:color w:val="auto"/>
                <w:w w:val="88"/>
              </w:rPr>
              <w:t>October 31,</w:t>
            </w:r>
          </w:p>
        </w:tc>
        <w:tc>
          <w:tcPr>
            <w:tcW w:w="760" w:type="dxa"/>
            <w:vAlign w:val="bottom"/>
            <w:tcBorders>
              <w:top w:val="single" w:sz="8" w:color="auto"/>
            </w:tcBorders>
          </w:tcPr>
          <w:p>
            <w:pPr>
              <w:jc w:val="right"/>
              <w:spacing w:after="0" w:line="129" w:lineRule="exact"/>
              <w:rPr>
                <w:sz w:val="20"/>
                <w:szCs w:val="20"/>
                <w:color w:val="auto"/>
              </w:rPr>
            </w:pPr>
            <w:r>
              <w:rPr>
                <w:rFonts w:ascii="Arial" w:cs="Arial" w:eastAsia="Arial" w:hAnsi="Arial"/>
                <w:sz w:val="14"/>
                <w:szCs w:val="14"/>
                <w:b w:val="1"/>
                <w:bCs w:val="1"/>
                <w:color w:val="auto"/>
                <w:w w:val="85"/>
              </w:rPr>
              <w:t>November 1,</w:t>
            </w:r>
          </w:p>
        </w:tc>
        <w:tc>
          <w:tcPr>
            <w:tcW w:w="520" w:type="dxa"/>
            <w:vAlign w:val="bottom"/>
          </w:tcPr>
          <w:p>
            <w:pPr>
              <w:spacing w:after="0"/>
              <w:rPr>
                <w:sz w:val="11"/>
                <w:szCs w:val="11"/>
                <w:color w:val="auto"/>
              </w:rPr>
            </w:pPr>
          </w:p>
        </w:tc>
        <w:tc>
          <w:tcPr>
            <w:tcW w:w="440" w:type="dxa"/>
            <w:vAlign w:val="bottom"/>
            <w:vMerge w:val="continue"/>
          </w:tcPr>
          <w:p>
            <w:pPr>
              <w:spacing w:after="0"/>
              <w:rPr>
                <w:sz w:val="11"/>
                <w:szCs w:val="11"/>
                <w:color w:val="auto"/>
              </w:rPr>
            </w:pPr>
          </w:p>
        </w:tc>
        <w:tc>
          <w:tcPr>
            <w:tcW w:w="26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1"/>
        </w:trPr>
        <w:tc>
          <w:tcPr>
            <w:tcW w:w="4740" w:type="dxa"/>
            <w:vAlign w:val="bottom"/>
          </w:tcPr>
          <w:p>
            <w:pPr>
              <w:spacing w:after="0"/>
              <w:rPr>
                <w:sz w:val="14"/>
                <w:szCs w:val="14"/>
                <w:color w:val="auto"/>
              </w:rPr>
            </w:pPr>
          </w:p>
        </w:tc>
        <w:tc>
          <w:tcPr>
            <w:tcW w:w="160" w:type="dxa"/>
            <w:vAlign w:val="bottom"/>
          </w:tcPr>
          <w:p>
            <w:pPr>
              <w:spacing w:after="0"/>
              <w:rPr>
                <w:sz w:val="14"/>
                <w:szCs w:val="14"/>
                <w:color w:val="auto"/>
              </w:rPr>
            </w:pPr>
          </w:p>
        </w:tc>
        <w:tc>
          <w:tcPr>
            <w:tcW w:w="520" w:type="dxa"/>
            <w:vAlign w:val="bottom"/>
          </w:tcPr>
          <w:p>
            <w:pPr>
              <w:jc w:val="right"/>
              <w:ind w:right="122"/>
              <w:spacing w:after="0"/>
              <w:rPr>
                <w:sz w:val="20"/>
                <w:szCs w:val="20"/>
                <w:color w:val="auto"/>
              </w:rPr>
            </w:pPr>
            <w:r>
              <w:rPr>
                <w:rFonts w:ascii="Arial" w:cs="Arial" w:eastAsia="Arial" w:hAnsi="Arial"/>
                <w:sz w:val="14"/>
                <w:szCs w:val="14"/>
                <w:b w:val="1"/>
                <w:bCs w:val="1"/>
                <w:color w:val="auto"/>
                <w:w w:val="96"/>
              </w:rPr>
              <w:t>2009</w:t>
            </w:r>
          </w:p>
        </w:tc>
        <w:tc>
          <w:tcPr>
            <w:tcW w:w="540" w:type="dxa"/>
            <w:vAlign w:val="bottom"/>
          </w:tcPr>
          <w:p>
            <w:pPr>
              <w:spacing w:after="0"/>
              <w:rPr>
                <w:sz w:val="14"/>
                <w:szCs w:val="14"/>
                <w:color w:val="auto"/>
              </w:rPr>
            </w:pPr>
          </w:p>
        </w:tc>
        <w:tc>
          <w:tcPr>
            <w:tcW w:w="740" w:type="dxa"/>
            <w:vAlign w:val="bottom"/>
          </w:tcPr>
          <w:p>
            <w:pPr>
              <w:jc w:val="right"/>
              <w:ind w:right="162"/>
              <w:spacing w:after="0"/>
              <w:rPr>
                <w:sz w:val="20"/>
                <w:szCs w:val="20"/>
                <w:color w:val="auto"/>
              </w:rPr>
            </w:pPr>
            <w:r>
              <w:rPr>
                <w:rFonts w:ascii="Arial" w:cs="Arial" w:eastAsia="Arial" w:hAnsi="Arial"/>
                <w:sz w:val="14"/>
                <w:szCs w:val="14"/>
                <w:b w:val="1"/>
                <w:bCs w:val="1"/>
                <w:color w:val="auto"/>
              </w:rPr>
              <w:t>2008</w:t>
            </w:r>
          </w:p>
        </w:tc>
        <w:tc>
          <w:tcPr>
            <w:tcW w:w="220" w:type="dxa"/>
            <w:vAlign w:val="bottom"/>
          </w:tcPr>
          <w:p>
            <w:pPr>
              <w:spacing w:after="0"/>
              <w:rPr>
                <w:sz w:val="14"/>
                <w:szCs w:val="14"/>
                <w:color w:val="auto"/>
              </w:rPr>
            </w:pPr>
          </w:p>
        </w:tc>
        <w:tc>
          <w:tcPr>
            <w:tcW w:w="300" w:type="dxa"/>
            <w:vAlign w:val="bottom"/>
          </w:tcPr>
          <w:p>
            <w:pPr>
              <w:spacing w:after="0"/>
              <w:rPr>
                <w:sz w:val="14"/>
                <w:szCs w:val="14"/>
                <w:color w:val="auto"/>
              </w:rPr>
            </w:pPr>
          </w:p>
        </w:tc>
        <w:tc>
          <w:tcPr>
            <w:tcW w:w="840" w:type="dxa"/>
            <w:vAlign w:val="bottom"/>
            <w:gridSpan w:val="2"/>
          </w:tcPr>
          <w:p>
            <w:pPr>
              <w:jc w:val="center"/>
              <w:ind w:right="332"/>
              <w:spacing w:after="0"/>
              <w:rPr>
                <w:sz w:val="20"/>
                <w:szCs w:val="20"/>
                <w:color w:val="auto"/>
              </w:rPr>
            </w:pPr>
            <w:r>
              <w:rPr>
                <w:rFonts w:ascii="Arial" w:cs="Arial" w:eastAsia="Arial" w:hAnsi="Arial"/>
                <w:sz w:val="14"/>
                <w:szCs w:val="14"/>
                <w:b w:val="1"/>
                <w:bCs w:val="1"/>
                <w:color w:val="auto"/>
                <w:w w:val="85"/>
              </w:rPr>
              <w:t>Change</w:t>
            </w:r>
          </w:p>
        </w:tc>
        <w:tc>
          <w:tcPr>
            <w:tcW w:w="860" w:type="dxa"/>
            <w:vAlign w:val="bottom"/>
            <w:gridSpan w:val="2"/>
          </w:tcPr>
          <w:p>
            <w:pPr>
              <w:jc w:val="center"/>
              <w:ind w:left="99"/>
              <w:spacing w:after="0"/>
              <w:rPr>
                <w:sz w:val="20"/>
                <w:szCs w:val="20"/>
                <w:color w:val="auto"/>
              </w:rPr>
            </w:pPr>
            <w:r>
              <w:rPr>
                <w:rFonts w:ascii="Arial" w:cs="Arial" w:eastAsia="Arial" w:hAnsi="Arial"/>
                <w:sz w:val="14"/>
                <w:szCs w:val="14"/>
                <w:b w:val="1"/>
                <w:bCs w:val="1"/>
                <w:color w:val="auto"/>
                <w:w w:val="89"/>
              </w:rPr>
              <w:t>2009</w:t>
            </w:r>
          </w:p>
        </w:tc>
        <w:tc>
          <w:tcPr>
            <w:tcW w:w="520" w:type="dxa"/>
            <w:vAlign w:val="bottom"/>
          </w:tcPr>
          <w:p>
            <w:pPr>
              <w:spacing w:after="0"/>
              <w:rPr>
                <w:sz w:val="14"/>
                <w:szCs w:val="14"/>
                <w:color w:val="auto"/>
              </w:rPr>
            </w:pPr>
          </w:p>
        </w:tc>
        <w:tc>
          <w:tcPr>
            <w:tcW w:w="760" w:type="dxa"/>
            <w:vAlign w:val="bottom"/>
          </w:tcPr>
          <w:p>
            <w:pPr>
              <w:jc w:val="right"/>
              <w:ind w:right="162"/>
              <w:spacing w:after="0"/>
              <w:rPr>
                <w:sz w:val="20"/>
                <w:szCs w:val="20"/>
                <w:color w:val="auto"/>
              </w:rPr>
            </w:pPr>
            <w:r>
              <w:rPr>
                <w:rFonts w:ascii="Arial" w:cs="Arial" w:eastAsia="Arial" w:hAnsi="Arial"/>
                <w:sz w:val="14"/>
                <w:szCs w:val="14"/>
                <w:b w:val="1"/>
                <w:bCs w:val="1"/>
                <w:color w:val="auto"/>
              </w:rPr>
              <w:t>2008</w:t>
            </w:r>
          </w:p>
        </w:tc>
        <w:tc>
          <w:tcPr>
            <w:tcW w:w="520" w:type="dxa"/>
            <w:vAlign w:val="bottom"/>
          </w:tcPr>
          <w:p>
            <w:pPr>
              <w:spacing w:after="0"/>
              <w:rPr>
                <w:sz w:val="14"/>
                <w:szCs w:val="14"/>
                <w:color w:val="auto"/>
              </w:rPr>
            </w:pPr>
          </w:p>
        </w:tc>
        <w:tc>
          <w:tcPr>
            <w:tcW w:w="700" w:type="dxa"/>
            <w:vAlign w:val="bottom"/>
            <w:gridSpan w:val="2"/>
          </w:tcPr>
          <w:p>
            <w:pPr>
              <w:jc w:val="center"/>
              <w:ind w:right="260"/>
              <w:spacing w:after="0"/>
              <w:rPr>
                <w:sz w:val="20"/>
                <w:szCs w:val="20"/>
                <w:color w:val="auto"/>
              </w:rPr>
            </w:pPr>
            <w:r>
              <w:rPr>
                <w:rFonts w:ascii="Arial" w:cs="Arial" w:eastAsia="Arial" w:hAnsi="Arial"/>
                <w:sz w:val="14"/>
                <w:szCs w:val="14"/>
                <w:b w:val="1"/>
                <w:bCs w:val="1"/>
                <w:color w:val="auto"/>
                <w:w w:val="85"/>
              </w:rPr>
              <w:t>Change</w:t>
            </w:r>
          </w:p>
        </w:tc>
        <w:tc>
          <w:tcPr>
            <w:tcW w:w="0" w:type="dxa"/>
            <w:vAlign w:val="bottom"/>
          </w:tcPr>
          <w:p>
            <w:pPr>
              <w:spacing w:after="0"/>
              <w:rPr>
                <w:sz w:val="1"/>
                <w:szCs w:val="1"/>
                <w:color w:val="auto"/>
              </w:rPr>
            </w:pPr>
          </w:p>
        </w:tc>
      </w:tr>
      <w:tr>
        <w:trPr>
          <w:trHeight w:val="142"/>
        </w:trPr>
        <w:tc>
          <w:tcPr>
            <w:tcW w:w="4740" w:type="dxa"/>
            <w:vAlign w:val="bottom"/>
          </w:tcPr>
          <w:p>
            <w:pPr>
              <w:spacing w:after="0"/>
              <w:rPr>
                <w:sz w:val="12"/>
                <w:szCs w:val="12"/>
                <w:color w:val="auto"/>
              </w:rPr>
            </w:pPr>
          </w:p>
        </w:tc>
        <w:tc>
          <w:tcPr>
            <w:tcW w:w="160" w:type="dxa"/>
            <w:vAlign w:val="bottom"/>
            <w:tcBorders>
              <w:top w:val="single" w:sz="8" w:color="auto"/>
            </w:tcBorders>
          </w:tcPr>
          <w:p>
            <w:pPr>
              <w:spacing w:after="0"/>
              <w:rPr>
                <w:sz w:val="12"/>
                <w:szCs w:val="12"/>
                <w:color w:val="auto"/>
              </w:rPr>
            </w:pPr>
          </w:p>
        </w:tc>
        <w:tc>
          <w:tcPr>
            <w:tcW w:w="520" w:type="dxa"/>
            <w:vAlign w:val="bottom"/>
            <w:tcBorders>
              <w:top w:val="single" w:sz="8" w:color="auto"/>
            </w:tcBorders>
          </w:tcPr>
          <w:p>
            <w:pPr>
              <w:spacing w:after="0"/>
              <w:rPr>
                <w:sz w:val="12"/>
                <w:szCs w:val="12"/>
                <w:color w:val="auto"/>
              </w:rPr>
            </w:pPr>
          </w:p>
        </w:tc>
        <w:tc>
          <w:tcPr>
            <w:tcW w:w="540" w:type="dxa"/>
            <w:vAlign w:val="bottom"/>
          </w:tcPr>
          <w:p>
            <w:pPr>
              <w:spacing w:after="0"/>
              <w:rPr>
                <w:sz w:val="12"/>
                <w:szCs w:val="12"/>
                <w:color w:val="auto"/>
              </w:rPr>
            </w:pPr>
          </w:p>
        </w:tc>
        <w:tc>
          <w:tcPr>
            <w:tcW w:w="740" w:type="dxa"/>
            <w:vAlign w:val="bottom"/>
            <w:tcBorders>
              <w:top w:val="single" w:sz="8" w:color="auto"/>
            </w:tcBorders>
          </w:tcPr>
          <w:p>
            <w:pPr>
              <w:spacing w:after="0"/>
              <w:rPr>
                <w:sz w:val="12"/>
                <w:szCs w:val="12"/>
                <w:color w:val="auto"/>
              </w:rPr>
            </w:pPr>
          </w:p>
        </w:tc>
        <w:tc>
          <w:tcPr>
            <w:tcW w:w="220" w:type="dxa"/>
            <w:vAlign w:val="bottom"/>
          </w:tcPr>
          <w:p>
            <w:pPr>
              <w:spacing w:after="0"/>
              <w:rPr>
                <w:sz w:val="12"/>
                <w:szCs w:val="12"/>
                <w:color w:val="auto"/>
              </w:rPr>
            </w:pPr>
          </w:p>
        </w:tc>
        <w:tc>
          <w:tcPr>
            <w:tcW w:w="300" w:type="dxa"/>
            <w:vAlign w:val="bottom"/>
          </w:tcPr>
          <w:p>
            <w:pPr>
              <w:ind w:left="80"/>
              <w:spacing w:after="0" w:line="142" w:lineRule="exact"/>
              <w:rPr>
                <w:sz w:val="20"/>
                <w:szCs w:val="20"/>
                <w:color w:val="auto"/>
              </w:rPr>
            </w:pPr>
            <w:r>
              <w:rPr>
                <w:rFonts w:ascii="Arial" w:cs="Arial" w:eastAsia="Arial" w:hAnsi="Arial"/>
                <w:sz w:val="14"/>
                <w:szCs w:val="14"/>
                <w:b w:val="1"/>
                <w:bCs w:val="1"/>
                <w:color w:val="auto"/>
              </w:rPr>
              <w:t>(in</w:t>
            </w:r>
          </w:p>
        </w:tc>
        <w:tc>
          <w:tcPr>
            <w:tcW w:w="440" w:type="dxa"/>
            <w:vAlign w:val="bottom"/>
            <w:tcBorders>
              <w:top w:val="single" w:sz="8" w:color="auto"/>
            </w:tcBorders>
          </w:tcPr>
          <w:p>
            <w:pPr>
              <w:jc w:val="center"/>
              <w:spacing w:after="0"/>
              <w:rPr>
                <w:sz w:val="20"/>
                <w:szCs w:val="20"/>
                <w:color w:val="auto"/>
              </w:rPr>
            </w:pPr>
            <w:r>
              <w:rPr>
                <w:rFonts w:ascii="Arial" w:cs="Arial" w:eastAsia="Arial" w:hAnsi="Arial"/>
                <w:sz w:val="11"/>
                <w:szCs w:val="11"/>
                <w:b w:val="1"/>
                <w:bCs w:val="1"/>
                <w:color w:val="auto"/>
                <w:w w:val="74"/>
              </w:rPr>
              <w:t>thousands,</w:t>
            </w:r>
          </w:p>
        </w:tc>
        <w:tc>
          <w:tcPr>
            <w:tcW w:w="580" w:type="dxa"/>
            <w:vAlign w:val="bottom"/>
            <w:gridSpan w:val="2"/>
          </w:tcPr>
          <w:p>
            <w:pPr>
              <w:ind w:left="180"/>
              <w:spacing w:after="0" w:line="142" w:lineRule="exact"/>
              <w:rPr>
                <w:sz w:val="20"/>
                <w:szCs w:val="20"/>
                <w:color w:val="auto"/>
              </w:rPr>
            </w:pPr>
            <w:r>
              <w:rPr>
                <w:rFonts w:ascii="Arial" w:cs="Arial" w:eastAsia="Arial" w:hAnsi="Arial"/>
                <w:sz w:val="14"/>
                <w:szCs w:val="14"/>
                <w:b w:val="1"/>
                <w:bCs w:val="1"/>
                <w:color w:val="auto"/>
                <w:w w:val="85"/>
              </w:rPr>
              <w:t>except</w:t>
            </w:r>
          </w:p>
        </w:tc>
        <w:tc>
          <w:tcPr>
            <w:tcW w:w="680" w:type="dxa"/>
            <w:vAlign w:val="bottom"/>
            <w:tcBorders>
              <w:top w:val="single" w:sz="8" w:color="auto"/>
            </w:tcBorders>
          </w:tcPr>
          <w:p>
            <w:pPr>
              <w:jc w:val="center"/>
              <w:spacing w:after="0" w:line="142" w:lineRule="exact"/>
              <w:rPr>
                <w:sz w:val="20"/>
                <w:szCs w:val="20"/>
                <w:color w:val="auto"/>
              </w:rPr>
            </w:pPr>
            <w:r>
              <w:rPr>
                <w:rFonts w:ascii="Arial" w:cs="Arial" w:eastAsia="Arial" w:hAnsi="Arial"/>
                <w:sz w:val="14"/>
                <w:szCs w:val="14"/>
                <w:b w:val="1"/>
                <w:bCs w:val="1"/>
                <w:color w:val="auto"/>
                <w:w w:val="85"/>
              </w:rPr>
              <w:t>percentage)</w:t>
            </w:r>
          </w:p>
        </w:tc>
        <w:tc>
          <w:tcPr>
            <w:tcW w:w="520" w:type="dxa"/>
            <w:vAlign w:val="bottom"/>
          </w:tcPr>
          <w:p>
            <w:pPr>
              <w:spacing w:after="0"/>
              <w:rPr>
                <w:sz w:val="12"/>
                <w:szCs w:val="12"/>
                <w:color w:val="auto"/>
              </w:rPr>
            </w:pPr>
          </w:p>
        </w:tc>
        <w:tc>
          <w:tcPr>
            <w:tcW w:w="760" w:type="dxa"/>
            <w:vAlign w:val="bottom"/>
            <w:tcBorders>
              <w:top w:val="single" w:sz="8" w:color="auto"/>
            </w:tcBorders>
          </w:tcPr>
          <w:p>
            <w:pPr>
              <w:spacing w:after="0"/>
              <w:rPr>
                <w:sz w:val="12"/>
                <w:szCs w:val="12"/>
                <w:color w:val="auto"/>
              </w:rPr>
            </w:pPr>
          </w:p>
        </w:tc>
        <w:tc>
          <w:tcPr>
            <w:tcW w:w="520" w:type="dxa"/>
            <w:vAlign w:val="bottom"/>
          </w:tcPr>
          <w:p>
            <w:pPr>
              <w:spacing w:after="0"/>
              <w:rPr>
                <w:sz w:val="12"/>
                <w:szCs w:val="12"/>
                <w:color w:val="auto"/>
              </w:rPr>
            </w:pPr>
          </w:p>
        </w:tc>
        <w:tc>
          <w:tcPr>
            <w:tcW w:w="440" w:type="dxa"/>
            <w:vAlign w:val="bottom"/>
            <w:tcBorders>
              <w:top w:val="single" w:sz="8" w:color="auto"/>
            </w:tcBorders>
          </w:tcPr>
          <w:p>
            <w:pPr>
              <w:spacing w:after="0"/>
              <w:rPr>
                <w:sz w:val="12"/>
                <w:szCs w:val="12"/>
                <w:color w:val="auto"/>
              </w:rPr>
            </w:pPr>
          </w:p>
        </w:tc>
        <w:tc>
          <w:tcPr>
            <w:tcW w:w="26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216"/>
        </w:trPr>
        <w:tc>
          <w:tcPr>
            <w:tcW w:w="4740" w:type="dxa"/>
            <w:vAlign w:val="bottom"/>
            <w:shd w:val="clear" w:color="auto" w:fill="CCEEFF"/>
          </w:tcPr>
          <w:p>
            <w:pPr>
              <w:spacing w:after="0"/>
              <w:rPr>
                <w:sz w:val="20"/>
                <w:szCs w:val="20"/>
                <w:color w:val="auto"/>
              </w:rPr>
            </w:pPr>
            <w:r>
              <w:rPr>
                <w:rFonts w:ascii="Arial" w:cs="Arial" w:eastAsia="Arial" w:hAnsi="Arial"/>
                <w:sz w:val="18"/>
                <w:szCs w:val="18"/>
                <w:color w:val="auto"/>
              </w:rPr>
              <w:t>Interest expense</w:t>
            </w:r>
          </w:p>
        </w:tc>
        <w:tc>
          <w:tcPr>
            <w:tcW w:w="160" w:type="dxa"/>
            <w:vAlign w:val="bottom"/>
            <w:shd w:val="clear" w:color="auto" w:fill="CCEEFF"/>
          </w:tcPr>
          <w:p>
            <w:pPr>
              <w:spacing w:after="0"/>
              <w:rPr>
                <w:sz w:val="20"/>
                <w:szCs w:val="20"/>
                <w:color w:val="auto"/>
              </w:rPr>
            </w:pPr>
            <w:r>
              <w:rPr>
                <w:rFonts w:ascii="Arial" w:cs="Arial" w:eastAsia="Arial" w:hAnsi="Arial"/>
                <w:sz w:val="18"/>
                <w:szCs w:val="18"/>
                <w:color w:val="auto"/>
              </w:rPr>
              <w:t>$</w:t>
            </w:r>
          </w:p>
        </w:tc>
        <w:tc>
          <w:tcPr>
            <w:tcW w:w="5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70</w:t>
            </w:r>
          </w:p>
        </w:tc>
        <w:tc>
          <w:tcPr>
            <w:tcW w:w="540" w:type="dxa"/>
            <w:vAlign w:val="bottom"/>
            <w:shd w:val="clear" w:color="auto" w:fill="CCEEFF"/>
          </w:tcPr>
          <w:p>
            <w:pPr>
              <w:spacing w:after="0"/>
              <w:rPr>
                <w:sz w:val="18"/>
                <w:szCs w:val="18"/>
                <w:color w:val="auto"/>
              </w:rPr>
            </w:pPr>
          </w:p>
        </w:tc>
        <w:tc>
          <w:tcPr>
            <w:tcW w:w="960" w:type="dxa"/>
            <w:vAlign w:val="bottom"/>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   3,566</w:t>
            </w:r>
          </w:p>
        </w:tc>
        <w:tc>
          <w:tcPr>
            <w:tcW w:w="1140" w:type="dxa"/>
            <w:vAlign w:val="bottom"/>
            <w:gridSpan w:val="3"/>
            <w:shd w:val="clear" w:color="auto" w:fill="CCEEFF"/>
          </w:tcPr>
          <w:p>
            <w:pPr>
              <w:jc w:val="right"/>
              <w:ind w:right="112"/>
              <w:spacing w:after="0"/>
              <w:rPr>
                <w:sz w:val="20"/>
                <w:szCs w:val="20"/>
                <w:color w:val="auto"/>
              </w:rPr>
            </w:pPr>
            <w:r>
              <w:rPr>
                <w:rFonts w:ascii="Arial" w:cs="Arial" w:eastAsia="Arial" w:hAnsi="Arial"/>
                <w:sz w:val="18"/>
                <w:szCs w:val="18"/>
                <w:color w:val="auto"/>
              </w:rPr>
              <w:t>(98.0)%</w:t>
            </w:r>
          </w:p>
        </w:tc>
        <w:tc>
          <w:tcPr>
            <w:tcW w:w="86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  1,672</w:t>
            </w:r>
          </w:p>
        </w:tc>
        <w:tc>
          <w:tcPr>
            <w:tcW w:w="520" w:type="dxa"/>
            <w:vAlign w:val="bottom"/>
            <w:shd w:val="clear" w:color="auto" w:fill="CCEEFF"/>
          </w:tcPr>
          <w:p>
            <w:pPr>
              <w:spacing w:after="0"/>
              <w:rPr>
                <w:sz w:val="18"/>
                <w:szCs w:val="18"/>
                <w:color w:val="auto"/>
              </w:rPr>
            </w:pPr>
          </w:p>
        </w:tc>
        <w:tc>
          <w:tcPr>
            <w:tcW w:w="1280" w:type="dxa"/>
            <w:vAlign w:val="bottom"/>
            <w:gridSpan w:val="2"/>
            <w:shd w:val="clear" w:color="auto" w:fill="CCEEFF"/>
          </w:tcPr>
          <w:p>
            <w:pPr>
              <w:jc w:val="right"/>
              <w:ind w:right="520"/>
              <w:spacing w:after="0"/>
              <w:rPr>
                <w:sz w:val="20"/>
                <w:szCs w:val="20"/>
                <w:color w:val="auto"/>
              </w:rPr>
            </w:pPr>
            <w:r>
              <w:rPr>
                <w:rFonts w:ascii="Arial" w:cs="Arial" w:eastAsia="Arial" w:hAnsi="Arial"/>
                <w:sz w:val="18"/>
                <w:szCs w:val="18"/>
                <w:color w:val="auto"/>
                <w:w w:val="98"/>
              </w:rPr>
              <w:t>$  15,876</w:t>
            </w:r>
          </w:p>
        </w:tc>
        <w:tc>
          <w:tcPr>
            <w:tcW w:w="70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w w:val="98"/>
              </w:rPr>
              <w:t>(89.5)%</w:t>
            </w:r>
          </w:p>
        </w:tc>
        <w:tc>
          <w:tcPr>
            <w:tcW w:w="0" w:type="dxa"/>
            <w:vAlign w:val="bottom"/>
          </w:tcPr>
          <w:p>
            <w:pPr>
              <w:spacing w:after="0"/>
              <w:rPr>
                <w:sz w:val="1"/>
                <w:szCs w:val="1"/>
                <w:color w:val="auto"/>
              </w:rPr>
            </w:pPr>
          </w:p>
        </w:tc>
      </w:tr>
      <w:tr>
        <w:trPr>
          <w:trHeight w:val="222"/>
        </w:trPr>
        <w:tc>
          <w:tcPr>
            <w:tcW w:w="4740" w:type="dxa"/>
            <w:vAlign w:val="bottom"/>
          </w:tcPr>
          <w:p>
            <w:pPr>
              <w:spacing w:after="0"/>
              <w:rPr>
                <w:sz w:val="20"/>
                <w:szCs w:val="20"/>
                <w:color w:val="auto"/>
              </w:rPr>
            </w:pPr>
            <w:r>
              <w:rPr>
                <w:rFonts w:ascii="Arial" w:cs="Arial" w:eastAsia="Arial" w:hAnsi="Arial"/>
                <w:sz w:val="18"/>
                <w:szCs w:val="18"/>
                <w:color w:val="auto"/>
              </w:rPr>
              <w:t>% of net revenue</w:t>
            </w:r>
          </w:p>
        </w:tc>
        <w:tc>
          <w:tcPr>
            <w:tcW w:w="160" w:type="dxa"/>
            <w:vAlign w:val="bottom"/>
          </w:tcPr>
          <w:p>
            <w:pPr>
              <w:spacing w:after="0"/>
              <w:rPr>
                <w:sz w:val="19"/>
                <w:szCs w:val="19"/>
                <w:color w:val="auto"/>
              </w:rPr>
            </w:pPr>
          </w:p>
        </w:tc>
        <w:tc>
          <w:tcPr>
            <w:tcW w:w="1060" w:type="dxa"/>
            <w:vAlign w:val="bottom"/>
            <w:gridSpan w:val="2"/>
          </w:tcPr>
          <w:p>
            <w:pPr>
              <w:jc w:val="right"/>
              <w:ind w:right="400"/>
              <w:spacing w:after="0"/>
              <w:rPr>
                <w:sz w:val="20"/>
                <w:szCs w:val="20"/>
                <w:color w:val="auto"/>
              </w:rPr>
            </w:pPr>
            <w:r>
              <w:rPr>
                <w:rFonts w:ascii="Arial" w:cs="Arial" w:eastAsia="Arial" w:hAnsi="Arial"/>
                <w:sz w:val="18"/>
                <w:szCs w:val="18"/>
                <w:color w:val="auto"/>
              </w:rPr>
              <w:t>0.0%</w:t>
            </w:r>
          </w:p>
        </w:tc>
        <w:tc>
          <w:tcPr>
            <w:tcW w:w="960" w:type="dxa"/>
            <w:vAlign w:val="bottom"/>
            <w:gridSpan w:val="2"/>
          </w:tcPr>
          <w:p>
            <w:pPr>
              <w:jc w:val="right"/>
              <w:ind w:right="80"/>
              <w:spacing w:after="0"/>
              <w:rPr>
                <w:sz w:val="20"/>
                <w:szCs w:val="20"/>
                <w:color w:val="auto"/>
              </w:rPr>
            </w:pPr>
            <w:r>
              <w:rPr>
                <w:rFonts w:ascii="Arial" w:cs="Arial" w:eastAsia="Arial" w:hAnsi="Arial"/>
                <w:sz w:val="18"/>
                <w:szCs w:val="18"/>
                <w:color w:val="auto"/>
              </w:rPr>
              <w:t>0.5%</w:t>
            </w:r>
          </w:p>
        </w:tc>
        <w:tc>
          <w:tcPr>
            <w:tcW w:w="300" w:type="dxa"/>
            <w:vAlign w:val="bottom"/>
          </w:tcPr>
          <w:p>
            <w:pPr>
              <w:spacing w:after="0"/>
              <w:rPr>
                <w:sz w:val="19"/>
                <w:szCs w:val="19"/>
                <w:color w:val="auto"/>
              </w:rPr>
            </w:pPr>
          </w:p>
        </w:tc>
        <w:tc>
          <w:tcPr>
            <w:tcW w:w="440" w:type="dxa"/>
            <w:vAlign w:val="bottom"/>
          </w:tcPr>
          <w:p>
            <w:pPr>
              <w:spacing w:after="0"/>
              <w:rPr>
                <w:sz w:val="19"/>
                <w:szCs w:val="19"/>
                <w:color w:val="auto"/>
              </w:rPr>
            </w:pPr>
          </w:p>
        </w:tc>
        <w:tc>
          <w:tcPr>
            <w:tcW w:w="400" w:type="dxa"/>
            <w:vAlign w:val="bottom"/>
          </w:tcPr>
          <w:p>
            <w:pPr>
              <w:spacing w:after="0"/>
              <w:rPr>
                <w:sz w:val="19"/>
                <w:szCs w:val="19"/>
                <w:color w:val="auto"/>
              </w:rPr>
            </w:pPr>
          </w:p>
        </w:tc>
        <w:tc>
          <w:tcPr>
            <w:tcW w:w="1380" w:type="dxa"/>
            <w:vAlign w:val="bottom"/>
            <w:gridSpan w:val="3"/>
          </w:tcPr>
          <w:p>
            <w:pPr>
              <w:jc w:val="right"/>
              <w:ind w:right="380"/>
              <w:spacing w:after="0"/>
              <w:rPr>
                <w:sz w:val="20"/>
                <w:szCs w:val="20"/>
                <w:color w:val="auto"/>
              </w:rPr>
            </w:pPr>
            <w:r>
              <w:rPr>
                <w:rFonts w:ascii="Arial" w:cs="Arial" w:eastAsia="Arial" w:hAnsi="Arial"/>
                <w:sz w:val="18"/>
                <w:szCs w:val="18"/>
                <w:color w:val="auto"/>
              </w:rPr>
              <w:t>0.1%</w:t>
            </w:r>
          </w:p>
        </w:tc>
        <w:tc>
          <w:tcPr>
            <w:tcW w:w="1280" w:type="dxa"/>
            <w:vAlign w:val="bottom"/>
            <w:gridSpan w:val="2"/>
          </w:tcPr>
          <w:p>
            <w:pPr>
              <w:jc w:val="right"/>
              <w:ind w:right="380"/>
              <w:spacing w:after="0"/>
              <w:rPr>
                <w:sz w:val="20"/>
                <w:szCs w:val="20"/>
                <w:color w:val="auto"/>
              </w:rPr>
            </w:pPr>
            <w:r>
              <w:rPr>
                <w:rFonts w:ascii="Arial" w:cs="Arial" w:eastAsia="Arial" w:hAnsi="Arial"/>
                <w:sz w:val="18"/>
                <w:szCs w:val="18"/>
                <w:color w:val="auto"/>
              </w:rPr>
              <w:t>0.7%</w:t>
            </w:r>
          </w:p>
        </w:tc>
        <w:tc>
          <w:tcPr>
            <w:tcW w:w="440" w:type="dxa"/>
            <w:vAlign w:val="bottom"/>
          </w:tcPr>
          <w:p>
            <w:pPr>
              <w:spacing w:after="0"/>
              <w:rPr>
                <w:sz w:val="19"/>
                <w:szCs w:val="19"/>
                <w:color w:val="auto"/>
              </w:rPr>
            </w:pPr>
          </w:p>
        </w:tc>
        <w:tc>
          <w:tcPr>
            <w:tcW w:w="260" w:type="dxa"/>
            <w:vAlign w:val="bottom"/>
          </w:tcPr>
          <w:p>
            <w:pPr>
              <w:spacing w:after="0"/>
              <w:rPr>
                <w:sz w:val="19"/>
                <w:szCs w:val="19"/>
                <w:color w:val="auto"/>
              </w:rPr>
            </w:pPr>
          </w:p>
        </w:tc>
        <w:tc>
          <w:tcPr>
            <w:tcW w:w="0" w:type="dxa"/>
            <w:vAlign w:val="bottom"/>
          </w:tcPr>
          <w:p>
            <w:pPr>
              <w:spacing w:after="0"/>
              <w:rPr>
                <w:sz w:val="1"/>
                <w:szCs w:val="1"/>
                <w:color w:val="auto"/>
              </w:rPr>
            </w:pPr>
          </w:p>
        </w:tc>
      </w:tr>
    </w:tbl>
    <w:p>
      <w:pPr>
        <w:spacing w:after="0" w:line="147" w:lineRule="exact"/>
        <w:rPr>
          <w:sz w:val="20"/>
          <w:szCs w:val="20"/>
          <w:color w:val="auto"/>
        </w:rPr>
      </w:pPr>
    </w:p>
    <w:p>
      <w:pPr>
        <w:ind w:right="260" w:firstLine="456"/>
        <w:spacing w:after="0" w:line="306" w:lineRule="auto"/>
        <w:rPr>
          <w:sz w:val="20"/>
          <w:szCs w:val="20"/>
          <w:color w:val="auto"/>
        </w:rPr>
      </w:pPr>
      <w:r>
        <w:rPr>
          <w:rFonts w:ascii="Arial" w:cs="Arial" w:eastAsia="Arial" w:hAnsi="Arial"/>
          <w:sz w:val="16"/>
          <w:szCs w:val="16"/>
          <w:color w:val="auto"/>
        </w:rPr>
        <w:t>The decrease in interest expense for the three and nine months ended October 31, 2009 compared to the three and nine months ended November 1, 2008 was due to the repayment of outstanding debt during the fourth quarter ended January 31, 2009. Interest expense for the nine months ended October 31, 2009 includes interest expense from the settlement of a payroll tax penalty recorded in connection with our historical stock option granting practices.</w:t>
      </w:r>
    </w:p>
    <w:p>
      <w:pPr>
        <w:spacing w:after="0" w:line="93"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33</w:t>
      </w:r>
    </w:p>
    <w:p>
      <w:pPr>
        <w:sectPr>
          <w:pgSz w:w="11900" w:h="16838" w:orient="portrait"/>
          <w:cols w:equalWidth="0" w:num="1">
            <w:col w:w="11420"/>
          </w:cols>
          <w:pgMar w:left="240" w:top="459" w:right="239" w:bottom="1440" w:gutter="0" w:footer="0" w:header="0"/>
        </w:sectPr>
      </w:pPr>
    </w:p>
    <w:bookmarkStart w:id="33" w:name="page34"/>
    <w:bookmarkEnd w:id="33"/>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41" name="Pictur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48">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left="240"/>
        <w:spacing w:after="0"/>
        <w:rPr>
          <w:sz w:val="20"/>
          <w:szCs w:val="20"/>
          <w:color w:val="auto"/>
        </w:rPr>
      </w:pPr>
      <w:r>
        <w:rPr>
          <w:rFonts w:ascii="Arial" w:cs="Arial" w:eastAsia="Arial" w:hAnsi="Arial"/>
          <w:sz w:val="18"/>
          <w:szCs w:val="18"/>
          <w:i w:val="1"/>
          <w:iCs w:val="1"/>
          <w:color w:val="auto"/>
        </w:rPr>
        <w:t>Provision (Benefit) for Income Taxes</w:t>
      </w:r>
    </w:p>
    <w:p>
      <w:pPr>
        <w:spacing w:after="0" w:line="207"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3760" w:type="dxa"/>
            <w:vAlign w:val="bottom"/>
          </w:tcPr>
          <w:p>
            <w:pPr>
              <w:spacing w:after="0"/>
              <w:rPr>
                <w:sz w:val="14"/>
                <w:szCs w:val="14"/>
                <w:color w:val="auto"/>
              </w:rPr>
            </w:pPr>
          </w:p>
        </w:tc>
        <w:tc>
          <w:tcPr>
            <w:tcW w:w="1240" w:type="dxa"/>
            <w:vAlign w:val="bottom"/>
          </w:tcPr>
          <w:p>
            <w:pPr>
              <w:spacing w:after="0"/>
              <w:rPr>
                <w:sz w:val="14"/>
                <w:szCs w:val="14"/>
                <w:color w:val="auto"/>
              </w:rPr>
            </w:pPr>
          </w:p>
        </w:tc>
        <w:tc>
          <w:tcPr>
            <w:tcW w:w="2080" w:type="dxa"/>
            <w:vAlign w:val="bottom"/>
            <w:gridSpan w:val="5"/>
          </w:tcPr>
          <w:p>
            <w:pPr>
              <w:jc w:val="right"/>
              <w:ind w:right="520"/>
              <w:spacing w:after="0"/>
              <w:rPr>
                <w:sz w:val="20"/>
                <w:szCs w:val="20"/>
                <w:color w:val="auto"/>
              </w:rPr>
            </w:pPr>
            <w:r>
              <w:rPr>
                <w:rFonts w:ascii="Arial" w:cs="Arial" w:eastAsia="Arial" w:hAnsi="Arial"/>
                <w:sz w:val="14"/>
                <w:szCs w:val="14"/>
                <w:b w:val="1"/>
                <w:bCs w:val="1"/>
                <w:color w:val="auto"/>
              </w:rPr>
              <w:t>Three Months Ended</w:t>
            </w:r>
          </w:p>
        </w:tc>
        <w:tc>
          <w:tcPr>
            <w:tcW w:w="740" w:type="dxa"/>
            <w:vAlign w:val="bottom"/>
            <w:gridSpan w:val="2"/>
            <w:vMerge w:val="restart"/>
          </w:tcPr>
          <w:p>
            <w:pPr>
              <w:jc w:val="right"/>
              <w:ind w:right="98"/>
              <w:spacing w:after="0"/>
              <w:rPr>
                <w:sz w:val="20"/>
                <w:szCs w:val="20"/>
                <w:color w:val="auto"/>
              </w:rPr>
            </w:pPr>
            <w:r>
              <w:rPr>
                <w:rFonts w:ascii="Arial" w:cs="Arial" w:eastAsia="Arial" w:hAnsi="Arial"/>
                <w:sz w:val="14"/>
                <w:szCs w:val="14"/>
                <w:b w:val="1"/>
                <w:bCs w:val="1"/>
                <w:color w:val="auto"/>
              </w:rPr>
              <w:t>%</w:t>
            </w:r>
          </w:p>
        </w:tc>
        <w:tc>
          <w:tcPr>
            <w:tcW w:w="520" w:type="dxa"/>
            <w:vAlign w:val="bottom"/>
          </w:tcPr>
          <w:p>
            <w:pPr>
              <w:spacing w:after="0"/>
              <w:rPr>
                <w:sz w:val="14"/>
                <w:szCs w:val="14"/>
                <w:color w:val="auto"/>
              </w:rPr>
            </w:pPr>
          </w:p>
        </w:tc>
        <w:tc>
          <w:tcPr>
            <w:tcW w:w="2360" w:type="dxa"/>
            <w:vAlign w:val="bottom"/>
            <w:gridSpan w:val="4"/>
          </w:tcPr>
          <w:p>
            <w:pPr>
              <w:jc w:val="right"/>
              <w:ind w:right="840"/>
              <w:spacing w:after="0"/>
              <w:rPr>
                <w:sz w:val="20"/>
                <w:szCs w:val="20"/>
                <w:color w:val="auto"/>
              </w:rPr>
            </w:pPr>
            <w:r>
              <w:rPr>
                <w:rFonts w:ascii="Arial" w:cs="Arial" w:eastAsia="Arial" w:hAnsi="Arial"/>
                <w:sz w:val="14"/>
                <w:szCs w:val="14"/>
                <w:b w:val="1"/>
                <w:bCs w:val="1"/>
                <w:color w:val="auto"/>
              </w:rPr>
              <w:t>Nine Months Ended</w:t>
            </w:r>
          </w:p>
        </w:tc>
        <w:tc>
          <w:tcPr>
            <w:tcW w:w="460" w:type="dxa"/>
            <w:vAlign w:val="bottom"/>
            <w:vMerge w:val="restart"/>
          </w:tcPr>
          <w:p>
            <w:pPr>
              <w:jc w:val="right"/>
              <w:ind w:right="86"/>
              <w:spacing w:after="0"/>
              <w:rPr>
                <w:sz w:val="20"/>
                <w:szCs w:val="20"/>
                <w:color w:val="auto"/>
              </w:rPr>
            </w:pPr>
            <w:r>
              <w:rPr>
                <w:rFonts w:ascii="Arial" w:cs="Arial" w:eastAsia="Arial" w:hAnsi="Arial"/>
                <w:sz w:val="14"/>
                <w:szCs w:val="14"/>
                <w:b w:val="1"/>
                <w:bCs w:val="1"/>
                <w:color w:val="auto"/>
              </w:rPr>
              <w:t>%</w:t>
            </w:r>
          </w:p>
        </w:tc>
        <w:tc>
          <w:tcPr>
            <w:tcW w:w="26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29"/>
        </w:trPr>
        <w:tc>
          <w:tcPr>
            <w:tcW w:w="3760" w:type="dxa"/>
            <w:vAlign w:val="bottom"/>
          </w:tcPr>
          <w:p>
            <w:pPr>
              <w:spacing w:after="0"/>
              <w:rPr>
                <w:sz w:val="11"/>
                <w:szCs w:val="11"/>
                <w:color w:val="auto"/>
              </w:rPr>
            </w:pPr>
          </w:p>
        </w:tc>
        <w:tc>
          <w:tcPr>
            <w:tcW w:w="1240" w:type="dxa"/>
            <w:vAlign w:val="bottom"/>
          </w:tcPr>
          <w:p>
            <w:pPr>
              <w:spacing w:after="0"/>
              <w:rPr>
                <w:sz w:val="11"/>
                <w:szCs w:val="11"/>
                <w:color w:val="auto"/>
              </w:rPr>
            </w:pPr>
          </w:p>
        </w:tc>
        <w:tc>
          <w:tcPr>
            <w:tcW w:w="980" w:type="dxa"/>
            <w:vAlign w:val="bottom"/>
            <w:tcBorders>
              <w:top w:val="single" w:sz="8" w:color="auto"/>
            </w:tcBorders>
            <w:gridSpan w:val="2"/>
          </w:tcPr>
          <w:p>
            <w:pPr>
              <w:jc w:val="center"/>
              <w:ind w:right="320"/>
              <w:spacing w:after="0" w:line="129" w:lineRule="exact"/>
              <w:rPr>
                <w:sz w:val="20"/>
                <w:szCs w:val="20"/>
                <w:color w:val="auto"/>
              </w:rPr>
            </w:pPr>
            <w:r>
              <w:rPr>
                <w:rFonts w:ascii="Arial" w:cs="Arial" w:eastAsia="Arial" w:hAnsi="Arial"/>
                <w:sz w:val="14"/>
                <w:szCs w:val="14"/>
                <w:b w:val="1"/>
                <w:bCs w:val="1"/>
                <w:color w:val="auto"/>
                <w:w w:val="85"/>
              </w:rPr>
              <w:t>October 31,</w:t>
            </w:r>
          </w:p>
        </w:tc>
        <w:tc>
          <w:tcPr>
            <w:tcW w:w="160" w:type="dxa"/>
            <w:vAlign w:val="bottom"/>
            <w:tcBorders>
              <w:top w:val="single" w:sz="8" w:color="auto"/>
            </w:tcBorders>
          </w:tcPr>
          <w:p>
            <w:pPr>
              <w:spacing w:after="0"/>
              <w:rPr>
                <w:sz w:val="11"/>
                <w:szCs w:val="11"/>
                <w:color w:val="auto"/>
              </w:rPr>
            </w:pPr>
          </w:p>
        </w:tc>
        <w:tc>
          <w:tcPr>
            <w:tcW w:w="740" w:type="dxa"/>
            <w:vAlign w:val="bottom"/>
            <w:tcBorders>
              <w:top w:val="single" w:sz="8" w:color="auto"/>
            </w:tcBorders>
          </w:tcPr>
          <w:p>
            <w:pPr>
              <w:jc w:val="right"/>
              <w:spacing w:after="0" w:line="129" w:lineRule="exact"/>
              <w:rPr>
                <w:sz w:val="20"/>
                <w:szCs w:val="20"/>
                <w:color w:val="auto"/>
              </w:rPr>
            </w:pPr>
            <w:r>
              <w:rPr>
                <w:rFonts w:ascii="Arial" w:cs="Arial" w:eastAsia="Arial" w:hAnsi="Arial"/>
                <w:sz w:val="14"/>
                <w:szCs w:val="14"/>
                <w:b w:val="1"/>
                <w:bCs w:val="1"/>
                <w:color w:val="auto"/>
                <w:w w:val="85"/>
              </w:rPr>
              <w:t>November 1,</w:t>
            </w:r>
          </w:p>
        </w:tc>
        <w:tc>
          <w:tcPr>
            <w:tcW w:w="200" w:type="dxa"/>
            <w:vAlign w:val="bottom"/>
          </w:tcPr>
          <w:p>
            <w:pPr>
              <w:spacing w:after="0"/>
              <w:rPr>
                <w:sz w:val="11"/>
                <w:szCs w:val="11"/>
                <w:color w:val="auto"/>
              </w:rPr>
            </w:pPr>
          </w:p>
        </w:tc>
        <w:tc>
          <w:tcPr>
            <w:tcW w:w="740" w:type="dxa"/>
            <w:vAlign w:val="bottom"/>
            <w:gridSpan w:val="2"/>
            <w:vMerge w:val="continue"/>
          </w:tcPr>
          <w:p>
            <w:pPr>
              <w:spacing w:after="0"/>
              <w:rPr>
                <w:sz w:val="11"/>
                <w:szCs w:val="11"/>
                <w:color w:val="auto"/>
              </w:rPr>
            </w:pPr>
          </w:p>
        </w:tc>
        <w:tc>
          <w:tcPr>
            <w:tcW w:w="520" w:type="dxa"/>
            <w:vAlign w:val="bottom"/>
          </w:tcPr>
          <w:p>
            <w:pPr>
              <w:spacing w:after="0"/>
              <w:rPr>
                <w:sz w:val="11"/>
                <w:szCs w:val="11"/>
                <w:color w:val="auto"/>
              </w:rPr>
            </w:pPr>
          </w:p>
        </w:tc>
        <w:tc>
          <w:tcPr>
            <w:tcW w:w="1140" w:type="dxa"/>
            <w:vAlign w:val="bottom"/>
            <w:tcBorders>
              <w:top w:val="single" w:sz="8" w:color="auto"/>
            </w:tcBorders>
            <w:gridSpan w:val="2"/>
          </w:tcPr>
          <w:p>
            <w:pPr>
              <w:jc w:val="center"/>
              <w:ind w:right="460"/>
              <w:spacing w:after="0" w:line="129" w:lineRule="exact"/>
              <w:rPr>
                <w:sz w:val="20"/>
                <w:szCs w:val="20"/>
                <w:color w:val="auto"/>
              </w:rPr>
            </w:pPr>
            <w:r>
              <w:rPr>
                <w:rFonts w:ascii="Arial" w:cs="Arial" w:eastAsia="Arial" w:hAnsi="Arial"/>
                <w:sz w:val="14"/>
                <w:szCs w:val="14"/>
                <w:b w:val="1"/>
                <w:bCs w:val="1"/>
                <w:color w:val="auto"/>
                <w:w w:val="88"/>
              </w:rPr>
              <w:t>October 31,</w:t>
            </w:r>
          </w:p>
        </w:tc>
        <w:tc>
          <w:tcPr>
            <w:tcW w:w="760" w:type="dxa"/>
            <w:vAlign w:val="bottom"/>
            <w:tcBorders>
              <w:top w:val="single" w:sz="8" w:color="auto"/>
            </w:tcBorders>
          </w:tcPr>
          <w:p>
            <w:pPr>
              <w:jc w:val="right"/>
              <w:spacing w:after="0" w:line="129" w:lineRule="exact"/>
              <w:rPr>
                <w:sz w:val="20"/>
                <w:szCs w:val="20"/>
                <w:color w:val="auto"/>
              </w:rPr>
            </w:pPr>
            <w:r>
              <w:rPr>
                <w:rFonts w:ascii="Arial" w:cs="Arial" w:eastAsia="Arial" w:hAnsi="Arial"/>
                <w:sz w:val="14"/>
                <w:szCs w:val="14"/>
                <w:b w:val="1"/>
                <w:bCs w:val="1"/>
                <w:color w:val="auto"/>
                <w:w w:val="85"/>
              </w:rPr>
              <w:t>November 1,</w:t>
            </w:r>
          </w:p>
        </w:tc>
        <w:tc>
          <w:tcPr>
            <w:tcW w:w="460" w:type="dxa"/>
            <w:vAlign w:val="bottom"/>
          </w:tcPr>
          <w:p>
            <w:pPr>
              <w:spacing w:after="0"/>
              <w:rPr>
                <w:sz w:val="11"/>
                <w:szCs w:val="11"/>
                <w:color w:val="auto"/>
              </w:rPr>
            </w:pPr>
          </w:p>
        </w:tc>
        <w:tc>
          <w:tcPr>
            <w:tcW w:w="460" w:type="dxa"/>
            <w:vAlign w:val="bottom"/>
            <w:vMerge w:val="continue"/>
          </w:tcPr>
          <w:p>
            <w:pPr>
              <w:spacing w:after="0"/>
              <w:rPr>
                <w:sz w:val="11"/>
                <w:szCs w:val="11"/>
                <w:color w:val="auto"/>
              </w:rPr>
            </w:pPr>
          </w:p>
        </w:tc>
        <w:tc>
          <w:tcPr>
            <w:tcW w:w="26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1"/>
        </w:trPr>
        <w:tc>
          <w:tcPr>
            <w:tcW w:w="3760" w:type="dxa"/>
            <w:vAlign w:val="bottom"/>
          </w:tcPr>
          <w:p>
            <w:pPr>
              <w:spacing w:after="0"/>
              <w:rPr>
                <w:sz w:val="14"/>
                <w:szCs w:val="14"/>
                <w:color w:val="auto"/>
              </w:rPr>
            </w:pPr>
          </w:p>
        </w:tc>
        <w:tc>
          <w:tcPr>
            <w:tcW w:w="1900" w:type="dxa"/>
            <w:vAlign w:val="bottom"/>
            <w:gridSpan w:val="2"/>
          </w:tcPr>
          <w:p>
            <w:pPr>
              <w:jc w:val="right"/>
              <w:ind w:right="132"/>
              <w:spacing w:after="0"/>
              <w:rPr>
                <w:sz w:val="20"/>
                <w:szCs w:val="20"/>
                <w:color w:val="auto"/>
              </w:rPr>
            </w:pPr>
            <w:r>
              <w:rPr>
                <w:rFonts w:ascii="Arial" w:cs="Arial" w:eastAsia="Arial" w:hAnsi="Arial"/>
                <w:sz w:val="14"/>
                <w:szCs w:val="14"/>
                <w:b w:val="1"/>
                <w:bCs w:val="1"/>
                <w:color w:val="auto"/>
              </w:rPr>
              <w:t>2009</w:t>
            </w:r>
          </w:p>
        </w:tc>
        <w:tc>
          <w:tcPr>
            <w:tcW w:w="320" w:type="dxa"/>
            <w:vAlign w:val="bottom"/>
          </w:tcPr>
          <w:p>
            <w:pPr>
              <w:spacing w:after="0"/>
              <w:rPr>
                <w:sz w:val="14"/>
                <w:szCs w:val="14"/>
                <w:color w:val="auto"/>
              </w:rPr>
            </w:pPr>
          </w:p>
        </w:tc>
        <w:tc>
          <w:tcPr>
            <w:tcW w:w="900" w:type="dxa"/>
            <w:vAlign w:val="bottom"/>
            <w:gridSpan w:val="2"/>
          </w:tcPr>
          <w:p>
            <w:pPr>
              <w:jc w:val="right"/>
              <w:ind w:right="172"/>
              <w:spacing w:after="0"/>
              <w:rPr>
                <w:sz w:val="20"/>
                <w:szCs w:val="20"/>
                <w:color w:val="auto"/>
              </w:rPr>
            </w:pPr>
            <w:r>
              <w:rPr>
                <w:rFonts w:ascii="Arial" w:cs="Arial" w:eastAsia="Arial" w:hAnsi="Arial"/>
                <w:sz w:val="14"/>
                <w:szCs w:val="14"/>
                <w:b w:val="1"/>
                <w:bCs w:val="1"/>
                <w:color w:val="auto"/>
              </w:rPr>
              <w:t>2008</w:t>
            </w:r>
          </w:p>
        </w:tc>
        <w:tc>
          <w:tcPr>
            <w:tcW w:w="200" w:type="dxa"/>
            <w:vAlign w:val="bottom"/>
          </w:tcPr>
          <w:p>
            <w:pPr>
              <w:spacing w:after="0"/>
              <w:rPr>
                <w:sz w:val="14"/>
                <w:szCs w:val="14"/>
                <w:color w:val="auto"/>
              </w:rPr>
            </w:pPr>
          </w:p>
        </w:tc>
        <w:tc>
          <w:tcPr>
            <w:tcW w:w="280" w:type="dxa"/>
            <w:vAlign w:val="bottom"/>
          </w:tcPr>
          <w:p>
            <w:pPr>
              <w:spacing w:after="0"/>
              <w:rPr>
                <w:sz w:val="14"/>
                <w:szCs w:val="14"/>
                <w:color w:val="auto"/>
              </w:rPr>
            </w:pPr>
          </w:p>
        </w:tc>
        <w:tc>
          <w:tcPr>
            <w:tcW w:w="980" w:type="dxa"/>
            <w:vAlign w:val="bottom"/>
            <w:gridSpan w:val="2"/>
          </w:tcPr>
          <w:p>
            <w:pPr>
              <w:spacing w:after="0"/>
              <w:rPr>
                <w:sz w:val="20"/>
                <w:szCs w:val="20"/>
                <w:color w:val="auto"/>
              </w:rPr>
            </w:pPr>
            <w:r>
              <w:rPr>
                <w:rFonts w:ascii="Arial" w:cs="Arial" w:eastAsia="Arial" w:hAnsi="Arial"/>
                <w:sz w:val="14"/>
                <w:szCs w:val="14"/>
                <w:b w:val="1"/>
                <w:bCs w:val="1"/>
                <w:color w:val="auto"/>
              </w:rPr>
              <w:t>Change</w:t>
            </w:r>
          </w:p>
        </w:tc>
        <w:tc>
          <w:tcPr>
            <w:tcW w:w="680" w:type="dxa"/>
            <w:vAlign w:val="bottom"/>
          </w:tcPr>
          <w:p>
            <w:pPr>
              <w:jc w:val="center"/>
              <w:spacing w:after="0"/>
              <w:rPr>
                <w:sz w:val="20"/>
                <w:szCs w:val="20"/>
                <w:color w:val="auto"/>
              </w:rPr>
            </w:pPr>
            <w:r>
              <w:rPr>
                <w:rFonts w:ascii="Arial" w:cs="Arial" w:eastAsia="Arial" w:hAnsi="Arial"/>
                <w:sz w:val="14"/>
                <w:szCs w:val="14"/>
                <w:b w:val="1"/>
                <w:bCs w:val="1"/>
                <w:color w:val="auto"/>
                <w:w w:val="89"/>
              </w:rPr>
              <w:t>2009</w:t>
            </w:r>
          </w:p>
        </w:tc>
        <w:tc>
          <w:tcPr>
            <w:tcW w:w="460" w:type="dxa"/>
            <w:vAlign w:val="bottom"/>
          </w:tcPr>
          <w:p>
            <w:pPr>
              <w:spacing w:after="0"/>
              <w:rPr>
                <w:sz w:val="14"/>
                <w:szCs w:val="14"/>
                <w:color w:val="auto"/>
              </w:rPr>
            </w:pPr>
          </w:p>
        </w:tc>
        <w:tc>
          <w:tcPr>
            <w:tcW w:w="760" w:type="dxa"/>
            <w:vAlign w:val="bottom"/>
          </w:tcPr>
          <w:p>
            <w:pPr>
              <w:jc w:val="right"/>
              <w:ind w:right="162"/>
              <w:spacing w:after="0"/>
              <w:rPr>
                <w:sz w:val="20"/>
                <w:szCs w:val="20"/>
                <w:color w:val="auto"/>
              </w:rPr>
            </w:pPr>
            <w:r>
              <w:rPr>
                <w:rFonts w:ascii="Arial" w:cs="Arial" w:eastAsia="Arial" w:hAnsi="Arial"/>
                <w:sz w:val="14"/>
                <w:szCs w:val="14"/>
                <w:b w:val="1"/>
                <w:bCs w:val="1"/>
                <w:color w:val="auto"/>
              </w:rPr>
              <w:t>2008</w:t>
            </w:r>
          </w:p>
        </w:tc>
        <w:tc>
          <w:tcPr>
            <w:tcW w:w="460" w:type="dxa"/>
            <w:vAlign w:val="bottom"/>
          </w:tcPr>
          <w:p>
            <w:pPr>
              <w:spacing w:after="0"/>
              <w:rPr>
                <w:sz w:val="14"/>
                <w:szCs w:val="14"/>
                <w:color w:val="auto"/>
              </w:rPr>
            </w:pPr>
          </w:p>
        </w:tc>
        <w:tc>
          <w:tcPr>
            <w:tcW w:w="720" w:type="dxa"/>
            <w:vAlign w:val="bottom"/>
            <w:gridSpan w:val="2"/>
          </w:tcPr>
          <w:p>
            <w:pPr>
              <w:ind w:left="20"/>
              <w:spacing w:after="0"/>
              <w:rPr>
                <w:sz w:val="20"/>
                <w:szCs w:val="20"/>
                <w:color w:val="auto"/>
              </w:rPr>
            </w:pPr>
            <w:r>
              <w:rPr>
                <w:rFonts w:ascii="Arial" w:cs="Arial" w:eastAsia="Arial" w:hAnsi="Arial"/>
                <w:sz w:val="14"/>
                <w:szCs w:val="14"/>
                <w:b w:val="1"/>
                <w:bCs w:val="1"/>
                <w:color w:val="auto"/>
              </w:rPr>
              <w:t>Change</w:t>
            </w:r>
          </w:p>
        </w:tc>
        <w:tc>
          <w:tcPr>
            <w:tcW w:w="0" w:type="dxa"/>
            <w:vAlign w:val="bottom"/>
          </w:tcPr>
          <w:p>
            <w:pPr>
              <w:spacing w:after="0"/>
              <w:rPr>
                <w:sz w:val="1"/>
                <w:szCs w:val="1"/>
                <w:color w:val="auto"/>
              </w:rPr>
            </w:pPr>
          </w:p>
        </w:tc>
      </w:tr>
      <w:tr>
        <w:trPr>
          <w:trHeight w:val="142"/>
        </w:trPr>
        <w:tc>
          <w:tcPr>
            <w:tcW w:w="3760" w:type="dxa"/>
            <w:vAlign w:val="bottom"/>
          </w:tcPr>
          <w:p>
            <w:pPr>
              <w:spacing w:after="0"/>
              <w:rPr>
                <w:sz w:val="12"/>
                <w:szCs w:val="12"/>
                <w:color w:val="auto"/>
              </w:rPr>
            </w:pPr>
          </w:p>
        </w:tc>
        <w:tc>
          <w:tcPr>
            <w:tcW w:w="1240" w:type="dxa"/>
            <w:vAlign w:val="bottom"/>
          </w:tcPr>
          <w:p>
            <w:pPr>
              <w:spacing w:after="0"/>
              <w:rPr>
                <w:sz w:val="12"/>
                <w:szCs w:val="12"/>
                <w:color w:val="auto"/>
              </w:rPr>
            </w:pPr>
          </w:p>
        </w:tc>
        <w:tc>
          <w:tcPr>
            <w:tcW w:w="660" w:type="dxa"/>
            <w:vAlign w:val="bottom"/>
            <w:tcBorders>
              <w:top w:val="single" w:sz="8" w:color="auto"/>
            </w:tcBorders>
          </w:tcPr>
          <w:p>
            <w:pPr>
              <w:spacing w:after="0"/>
              <w:rPr>
                <w:sz w:val="12"/>
                <w:szCs w:val="12"/>
                <w:color w:val="auto"/>
              </w:rPr>
            </w:pPr>
          </w:p>
        </w:tc>
        <w:tc>
          <w:tcPr>
            <w:tcW w:w="320" w:type="dxa"/>
            <w:vAlign w:val="bottom"/>
          </w:tcPr>
          <w:p>
            <w:pPr>
              <w:spacing w:after="0"/>
              <w:rPr>
                <w:sz w:val="12"/>
                <w:szCs w:val="12"/>
                <w:color w:val="auto"/>
              </w:rPr>
            </w:pPr>
          </w:p>
        </w:tc>
        <w:tc>
          <w:tcPr>
            <w:tcW w:w="160" w:type="dxa"/>
            <w:vAlign w:val="bottom"/>
          </w:tcPr>
          <w:p>
            <w:pPr>
              <w:spacing w:after="0"/>
              <w:rPr>
                <w:sz w:val="12"/>
                <w:szCs w:val="12"/>
                <w:color w:val="auto"/>
              </w:rPr>
            </w:pPr>
          </w:p>
        </w:tc>
        <w:tc>
          <w:tcPr>
            <w:tcW w:w="740" w:type="dxa"/>
            <w:vAlign w:val="bottom"/>
            <w:tcBorders>
              <w:top w:val="single" w:sz="8" w:color="auto"/>
            </w:tcBorders>
          </w:tcPr>
          <w:p>
            <w:pPr>
              <w:spacing w:after="0"/>
              <w:rPr>
                <w:sz w:val="12"/>
                <w:szCs w:val="12"/>
                <w:color w:val="auto"/>
              </w:rPr>
            </w:pPr>
          </w:p>
        </w:tc>
        <w:tc>
          <w:tcPr>
            <w:tcW w:w="200" w:type="dxa"/>
            <w:vAlign w:val="bottom"/>
          </w:tcPr>
          <w:p>
            <w:pPr>
              <w:spacing w:after="0"/>
              <w:rPr>
                <w:sz w:val="12"/>
                <w:szCs w:val="12"/>
                <w:color w:val="auto"/>
              </w:rPr>
            </w:pPr>
          </w:p>
        </w:tc>
        <w:tc>
          <w:tcPr>
            <w:tcW w:w="280" w:type="dxa"/>
            <w:vAlign w:val="bottom"/>
          </w:tcPr>
          <w:p>
            <w:pPr>
              <w:ind w:left="40"/>
              <w:spacing w:after="0" w:line="142" w:lineRule="exact"/>
              <w:rPr>
                <w:sz w:val="20"/>
                <w:szCs w:val="20"/>
                <w:color w:val="auto"/>
              </w:rPr>
            </w:pPr>
            <w:r>
              <w:rPr>
                <w:rFonts w:ascii="Arial" w:cs="Arial" w:eastAsia="Arial" w:hAnsi="Arial"/>
                <w:sz w:val="14"/>
                <w:szCs w:val="14"/>
                <w:b w:val="1"/>
                <w:bCs w:val="1"/>
                <w:color w:val="auto"/>
              </w:rPr>
              <w:t>(in</w:t>
            </w:r>
          </w:p>
        </w:tc>
        <w:tc>
          <w:tcPr>
            <w:tcW w:w="460" w:type="dxa"/>
            <w:vAlign w:val="bottom"/>
            <w:tcBorders>
              <w:top w:val="single" w:sz="8" w:color="auto"/>
            </w:tcBorders>
          </w:tcPr>
          <w:p>
            <w:pPr>
              <w:spacing w:after="0"/>
              <w:rPr>
                <w:sz w:val="20"/>
                <w:szCs w:val="20"/>
                <w:color w:val="auto"/>
              </w:rPr>
            </w:pPr>
            <w:r>
              <w:rPr>
                <w:rFonts w:ascii="Arial" w:cs="Arial" w:eastAsia="Arial" w:hAnsi="Arial"/>
                <w:sz w:val="11"/>
                <w:szCs w:val="11"/>
                <w:b w:val="1"/>
                <w:bCs w:val="1"/>
                <w:color w:val="auto"/>
                <w:w w:val="74"/>
              </w:rPr>
              <w:t>thousands,</w:t>
            </w:r>
          </w:p>
        </w:tc>
        <w:tc>
          <w:tcPr>
            <w:tcW w:w="520" w:type="dxa"/>
            <w:vAlign w:val="bottom"/>
          </w:tcPr>
          <w:p>
            <w:pPr>
              <w:ind w:left="140"/>
              <w:spacing w:after="0" w:line="142" w:lineRule="exact"/>
              <w:rPr>
                <w:sz w:val="20"/>
                <w:szCs w:val="20"/>
                <w:color w:val="auto"/>
              </w:rPr>
            </w:pPr>
            <w:r>
              <w:rPr>
                <w:rFonts w:ascii="Arial" w:cs="Arial" w:eastAsia="Arial" w:hAnsi="Arial"/>
                <w:sz w:val="14"/>
                <w:szCs w:val="14"/>
                <w:b w:val="1"/>
                <w:bCs w:val="1"/>
                <w:color w:val="auto"/>
                <w:w w:val="81"/>
              </w:rPr>
              <w:t>except</w:t>
            </w:r>
          </w:p>
        </w:tc>
        <w:tc>
          <w:tcPr>
            <w:tcW w:w="680" w:type="dxa"/>
            <w:vAlign w:val="bottom"/>
            <w:tcBorders>
              <w:top w:val="single" w:sz="8" w:color="auto"/>
            </w:tcBorders>
          </w:tcPr>
          <w:p>
            <w:pPr>
              <w:jc w:val="center"/>
              <w:spacing w:after="0" w:line="142" w:lineRule="exact"/>
              <w:rPr>
                <w:sz w:val="20"/>
                <w:szCs w:val="20"/>
                <w:color w:val="auto"/>
              </w:rPr>
            </w:pPr>
            <w:r>
              <w:rPr>
                <w:rFonts w:ascii="Arial" w:cs="Arial" w:eastAsia="Arial" w:hAnsi="Arial"/>
                <w:sz w:val="14"/>
                <w:szCs w:val="14"/>
                <w:b w:val="1"/>
                <w:bCs w:val="1"/>
                <w:color w:val="auto"/>
                <w:w w:val="83"/>
              </w:rPr>
              <w:t>percentage)</w:t>
            </w:r>
          </w:p>
        </w:tc>
        <w:tc>
          <w:tcPr>
            <w:tcW w:w="460" w:type="dxa"/>
            <w:vAlign w:val="bottom"/>
          </w:tcPr>
          <w:p>
            <w:pPr>
              <w:spacing w:after="0"/>
              <w:rPr>
                <w:sz w:val="12"/>
                <w:szCs w:val="12"/>
                <w:color w:val="auto"/>
              </w:rPr>
            </w:pPr>
          </w:p>
        </w:tc>
        <w:tc>
          <w:tcPr>
            <w:tcW w:w="760" w:type="dxa"/>
            <w:vAlign w:val="bottom"/>
            <w:tcBorders>
              <w:top w:val="single" w:sz="8" w:color="auto"/>
            </w:tcBorders>
          </w:tcPr>
          <w:p>
            <w:pPr>
              <w:spacing w:after="0"/>
              <w:rPr>
                <w:sz w:val="12"/>
                <w:szCs w:val="12"/>
                <w:color w:val="auto"/>
              </w:rPr>
            </w:pPr>
          </w:p>
        </w:tc>
        <w:tc>
          <w:tcPr>
            <w:tcW w:w="460" w:type="dxa"/>
            <w:vAlign w:val="bottom"/>
          </w:tcPr>
          <w:p>
            <w:pPr>
              <w:spacing w:after="0"/>
              <w:rPr>
                <w:sz w:val="12"/>
                <w:szCs w:val="12"/>
                <w:color w:val="auto"/>
              </w:rPr>
            </w:pPr>
          </w:p>
        </w:tc>
        <w:tc>
          <w:tcPr>
            <w:tcW w:w="460" w:type="dxa"/>
            <w:vAlign w:val="bottom"/>
            <w:tcBorders>
              <w:top w:val="single" w:sz="8" w:color="auto"/>
            </w:tcBorders>
          </w:tcPr>
          <w:p>
            <w:pPr>
              <w:spacing w:after="0"/>
              <w:rPr>
                <w:sz w:val="12"/>
                <w:szCs w:val="12"/>
                <w:color w:val="auto"/>
              </w:rPr>
            </w:pPr>
          </w:p>
        </w:tc>
        <w:tc>
          <w:tcPr>
            <w:tcW w:w="26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216"/>
        </w:trPr>
        <w:tc>
          <w:tcPr>
            <w:tcW w:w="3760" w:type="dxa"/>
            <w:vAlign w:val="bottom"/>
            <w:shd w:val="clear" w:color="auto" w:fill="CCEEFF"/>
          </w:tcPr>
          <w:p>
            <w:pPr>
              <w:spacing w:after="0"/>
              <w:rPr>
                <w:sz w:val="20"/>
                <w:szCs w:val="20"/>
                <w:color w:val="auto"/>
              </w:rPr>
            </w:pPr>
            <w:r>
              <w:rPr>
                <w:rFonts w:ascii="Arial" w:cs="Arial" w:eastAsia="Arial" w:hAnsi="Arial"/>
                <w:sz w:val="18"/>
                <w:szCs w:val="18"/>
                <w:color w:val="auto"/>
              </w:rPr>
              <w:t>Provision (benefit) for income taxes</w:t>
            </w:r>
          </w:p>
        </w:tc>
        <w:tc>
          <w:tcPr>
            <w:tcW w:w="2220" w:type="dxa"/>
            <w:vAlign w:val="bottom"/>
            <w:gridSpan w:val="3"/>
            <w:shd w:val="clear" w:color="auto" w:fill="CCEEFF"/>
          </w:tcPr>
          <w:p>
            <w:pPr>
              <w:jc w:val="right"/>
              <w:ind w:right="260"/>
              <w:spacing w:after="0"/>
              <w:rPr>
                <w:sz w:val="20"/>
                <w:szCs w:val="20"/>
                <w:color w:val="auto"/>
              </w:rPr>
            </w:pPr>
            <w:r>
              <w:rPr>
                <w:rFonts w:ascii="Arial" w:cs="Arial" w:eastAsia="Arial" w:hAnsi="Arial"/>
                <w:sz w:val="18"/>
                <w:szCs w:val="18"/>
                <w:color w:val="auto"/>
              </w:rPr>
              <w:t>$ (32,916)</w:t>
            </w:r>
          </w:p>
        </w:tc>
        <w:tc>
          <w:tcPr>
            <w:tcW w:w="90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  13,443</w:t>
            </w:r>
          </w:p>
        </w:tc>
        <w:tc>
          <w:tcPr>
            <w:tcW w:w="200" w:type="dxa"/>
            <w:vAlign w:val="bottom"/>
            <w:shd w:val="clear" w:color="auto" w:fill="CCEEFF"/>
          </w:tcPr>
          <w:p>
            <w:pPr>
              <w:spacing w:after="0"/>
              <w:rPr>
                <w:sz w:val="18"/>
                <w:szCs w:val="18"/>
                <w:color w:val="auto"/>
              </w:rPr>
            </w:pPr>
          </w:p>
        </w:tc>
        <w:tc>
          <w:tcPr>
            <w:tcW w:w="1260" w:type="dxa"/>
            <w:vAlign w:val="bottom"/>
            <w:gridSpan w:val="3"/>
            <w:shd w:val="clear" w:color="auto" w:fill="CCEEFF"/>
          </w:tcPr>
          <w:p>
            <w:pPr>
              <w:ind w:left="280"/>
              <w:spacing w:after="0"/>
              <w:rPr>
                <w:sz w:val="20"/>
                <w:szCs w:val="20"/>
                <w:color w:val="auto"/>
              </w:rPr>
            </w:pPr>
            <w:r>
              <w:rPr>
                <w:rFonts w:ascii="Arial" w:cs="Arial" w:eastAsia="Arial" w:hAnsi="Arial"/>
                <w:sz w:val="18"/>
                <w:szCs w:val="18"/>
                <w:color w:val="auto"/>
              </w:rPr>
              <w:t>(344.9)%</w:t>
            </w:r>
          </w:p>
        </w:tc>
        <w:tc>
          <w:tcPr>
            <w:tcW w:w="1140" w:type="dxa"/>
            <w:vAlign w:val="bottom"/>
            <w:gridSpan w:val="2"/>
            <w:shd w:val="clear" w:color="auto" w:fill="CCEEFF"/>
          </w:tcPr>
          <w:p>
            <w:pPr>
              <w:jc w:val="right"/>
              <w:ind w:right="400"/>
              <w:spacing w:after="0"/>
              <w:rPr>
                <w:sz w:val="20"/>
                <w:szCs w:val="20"/>
                <w:color w:val="auto"/>
              </w:rPr>
            </w:pPr>
            <w:r>
              <w:rPr>
                <w:rFonts w:ascii="Arial" w:cs="Arial" w:eastAsia="Arial" w:hAnsi="Arial"/>
                <w:sz w:val="18"/>
                <w:szCs w:val="18"/>
                <w:color w:val="auto"/>
                <w:w w:val="87"/>
              </w:rPr>
              <w:t>$ (21,563)</w:t>
            </w:r>
          </w:p>
        </w:tc>
        <w:tc>
          <w:tcPr>
            <w:tcW w:w="760" w:type="dxa"/>
            <w:vAlign w:val="bottom"/>
            <w:shd w:val="clear" w:color="auto" w:fill="CCEEFF"/>
          </w:tcPr>
          <w:p>
            <w:pPr>
              <w:jc w:val="right"/>
              <w:spacing w:after="0"/>
              <w:rPr>
                <w:sz w:val="20"/>
                <w:szCs w:val="20"/>
                <w:color w:val="auto"/>
              </w:rPr>
            </w:pPr>
            <w:r>
              <w:rPr>
                <w:rFonts w:ascii="Arial" w:cs="Arial" w:eastAsia="Arial" w:hAnsi="Arial"/>
                <w:sz w:val="18"/>
                <w:szCs w:val="18"/>
                <w:color w:val="auto"/>
                <w:w w:val="98"/>
              </w:rPr>
              <w:t>$  28,300</w:t>
            </w:r>
          </w:p>
        </w:tc>
        <w:tc>
          <w:tcPr>
            <w:tcW w:w="460" w:type="dxa"/>
            <w:vAlign w:val="bottom"/>
            <w:shd w:val="clear" w:color="auto" w:fill="CCEEFF"/>
          </w:tcPr>
          <w:p>
            <w:pPr>
              <w:spacing w:after="0"/>
              <w:rPr>
                <w:sz w:val="18"/>
                <w:szCs w:val="18"/>
                <w:color w:val="auto"/>
              </w:rPr>
            </w:pPr>
          </w:p>
        </w:tc>
        <w:tc>
          <w:tcPr>
            <w:tcW w:w="720" w:type="dxa"/>
            <w:vAlign w:val="bottom"/>
            <w:gridSpan w:val="2"/>
            <w:shd w:val="clear" w:color="auto" w:fill="CCEEFF"/>
          </w:tcPr>
          <w:p>
            <w:pPr>
              <w:spacing w:after="0"/>
              <w:rPr>
                <w:sz w:val="20"/>
                <w:szCs w:val="20"/>
                <w:color w:val="auto"/>
              </w:rPr>
            </w:pPr>
            <w:r>
              <w:rPr>
                <w:rFonts w:ascii="Arial" w:cs="Arial" w:eastAsia="Arial" w:hAnsi="Arial"/>
                <w:sz w:val="18"/>
                <w:szCs w:val="18"/>
                <w:color w:val="auto"/>
                <w:w w:val="95"/>
              </w:rPr>
              <w:t>(176.2)%</w:t>
            </w:r>
          </w:p>
        </w:tc>
        <w:tc>
          <w:tcPr>
            <w:tcW w:w="0" w:type="dxa"/>
            <w:vAlign w:val="bottom"/>
          </w:tcPr>
          <w:p>
            <w:pPr>
              <w:spacing w:after="0"/>
              <w:rPr>
                <w:sz w:val="1"/>
                <w:szCs w:val="1"/>
                <w:color w:val="auto"/>
              </w:rPr>
            </w:pPr>
          </w:p>
        </w:tc>
      </w:tr>
      <w:tr>
        <w:trPr>
          <w:trHeight w:val="222"/>
        </w:trPr>
        <w:tc>
          <w:tcPr>
            <w:tcW w:w="3760" w:type="dxa"/>
            <w:vAlign w:val="bottom"/>
          </w:tcPr>
          <w:p>
            <w:pPr>
              <w:spacing w:after="0"/>
              <w:rPr>
                <w:sz w:val="20"/>
                <w:szCs w:val="20"/>
                <w:color w:val="auto"/>
              </w:rPr>
            </w:pPr>
            <w:r>
              <w:rPr>
                <w:rFonts w:ascii="Arial" w:cs="Arial" w:eastAsia="Arial" w:hAnsi="Arial"/>
                <w:sz w:val="18"/>
                <w:szCs w:val="18"/>
                <w:color w:val="auto"/>
              </w:rPr>
              <w:t>% of pre-tax income</w:t>
            </w:r>
          </w:p>
        </w:tc>
        <w:tc>
          <w:tcPr>
            <w:tcW w:w="2220" w:type="dxa"/>
            <w:vAlign w:val="bottom"/>
            <w:gridSpan w:val="3"/>
          </w:tcPr>
          <w:p>
            <w:pPr>
              <w:jc w:val="right"/>
              <w:ind w:right="160"/>
              <w:spacing w:after="0"/>
              <w:rPr>
                <w:sz w:val="20"/>
                <w:szCs w:val="20"/>
                <w:color w:val="auto"/>
              </w:rPr>
            </w:pPr>
            <w:r>
              <w:rPr>
                <w:rFonts w:ascii="Arial" w:cs="Arial" w:eastAsia="Arial" w:hAnsi="Arial"/>
                <w:sz w:val="18"/>
                <w:szCs w:val="18"/>
                <w:color w:val="auto"/>
              </w:rPr>
              <w:t>19.5%</w:t>
            </w:r>
          </w:p>
        </w:tc>
        <w:tc>
          <w:tcPr>
            <w:tcW w:w="1100" w:type="dxa"/>
            <w:vAlign w:val="bottom"/>
            <w:gridSpan w:val="3"/>
          </w:tcPr>
          <w:p>
            <w:pPr>
              <w:jc w:val="right"/>
              <w:ind w:right="60"/>
              <w:spacing w:after="0"/>
              <w:rPr>
                <w:sz w:val="20"/>
                <w:szCs w:val="20"/>
                <w:color w:val="auto"/>
              </w:rPr>
            </w:pPr>
            <w:r>
              <w:rPr>
                <w:rFonts w:ascii="Arial" w:cs="Arial" w:eastAsia="Arial" w:hAnsi="Arial"/>
                <w:sz w:val="18"/>
                <w:szCs w:val="18"/>
                <w:color w:val="auto"/>
              </w:rPr>
              <w:t>15.9%</w:t>
            </w:r>
          </w:p>
        </w:tc>
        <w:tc>
          <w:tcPr>
            <w:tcW w:w="280" w:type="dxa"/>
            <w:vAlign w:val="bottom"/>
          </w:tcPr>
          <w:p>
            <w:pPr>
              <w:spacing w:after="0"/>
              <w:rPr>
                <w:sz w:val="19"/>
                <w:szCs w:val="19"/>
                <w:color w:val="auto"/>
              </w:rPr>
            </w:pPr>
          </w:p>
        </w:tc>
        <w:tc>
          <w:tcPr>
            <w:tcW w:w="460" w:type="dxa"/>
            <w:vAlign w:val="bottom"/>
          </w:tcPr>
          <w:p>
            <w:pPr>
              <w:spacing w:after="0"/>
              <w:rPr>
                <w:sz w:val="19"/>
                <w:szCs w:val="19"/>
                <w:color w:val="auto"/>
              </w:rPr>
            </w:pPr>
          </w:p>
        </w:tc>
        <w:tc>
          <w:tcPr>
            <w:tcW w:w="520" w:type="dxa"/>
            <w:vAlign w:val="bottom"/>
          </w:tcPr>
          <w:p>
            <w:pPr>
              <w:spacing w:after="0"/>
              <w:rPr>
                <w:sz w:val="19"/>
                <w:szCs w:val="19"/>
                <w:color w:val="auto"/>
              </w:rPr>
            </w:pPr>
          </w:p>
        </w:tc>
        <w:tc>
          <w:tcPr>
            <w:tcW w:w="1140" w:type="dxa"/>
            <w:vAlign w:val="bottom"/>
            <w:gridSpan w:val="2"/>
          </w:tcPr>
          <w:p>
            <w:pPr>
              <w:jc w:val="right"/>
              <w:ind w:right="320"/>
              <w:spacing w:after="0"/>
              <w:rPr>
                <w:sz w:val="20"/>
                <w:szCs w:val="20"/>
                <w:color w:val="auto"/>
              </w:rPr>
            </w:pPr>
            <w:r>
              <w:rPr>
                <w:rFonts w:ascii="Arial" w:cs="Arial" w:eastAsia="Arial" w:hAnsi="Arial"/>
                <w:sz w:val="18"/>
                <w:szCs w:val="18"/>
                <w:color w:val="auto"/>
              </w:rPr>
              <w:t>17.0%</w:t>
            </w:r>
          </w:p>
        </w:tc>
        <w:tc>
          <w:tcPr>
            <w:tcW w:w="1220" w:type="dxa"/>
            <w:vAlign w:val="bottom"/>
            <w:gridSpan w:val="2"/>
          </w:tcPr>
          <w:p>
            <w:pPr>
              <w:jc w:val="right"/>
              <w:ind w:right="320"/>
              <w:spacing w:after="0"/>
              <w:rPr>
                <w:sz w:val="20"/>
                <w:szCs w:val="20"/>
                <w:color w:val="auto"/>
              </w:rPr>
            </w:pPr>
            <w:r>
              <w:rPr>
                <w:rFonts w:ascii="Arial" w:cs="Arial" w:eastAsia="Arial" w:hAnsi="Arial"/>
                <w:sz w:val="18"/>
                <w:szCs w:val="18"/>
                <w:color w:val="auto"/>
              </w:rPr>
              <w:t>11.8%</w:t>
            </w:r>
          </w:p>
        </w:tc>
        <w:tc>
          <w:tcPr>
            <w:tcW w:w="460" w:type="dxa"/>
            <w:vAlign w:val="bottom"/>
          </w:tcPr>
          <w:p>
            <w:pPr>
              <w:spacing w:after="0"/>
              <w:rPr>
                <w:sz w:val="19"/>
                <w:szCs w:val="19"/>
                <w:color w:val="auto"/>
              </w:rPr>
            </w:pPr>
          </w:p>
        </w:tc>
        <w:tc>
          <w:tcPr>
            <w:tcW w:w="260" w:type="dxa"/>
            <w:vAlign w:val="bottom"/>
          </w:tcPr>
          <w:p>
            <w:pPr>
              <w:spacing w:after="0"/>
              <w:rPr>
                <w:sz w:val="19"/>
                <w:szCs w:val="19"/>
                <w:color w:val="auto"/>
              </w:rPr>
            </w:pPr>
          </w:p>
        </w:tc>
        <w:tc>
          <w:tcPr>
            <w:tcW w:w="0" w:type="dxa"/>
            <w:vAlign w:val="bottom"/>
          </w:tcPr>
          <w:p>
            <w:pPr>
              <w:spacing w:after="0"/>
              <w:rPr>
                <w:sz w:val="1"/>
                <w:szCs w:val="1"/>
                <w:color w:val="auto"/>
              </w:rPr>
            </w:pPr>
          </w:p>
        </w:tc>
      </w:tr>
    </w:tbl>
    <w:p>
      <w:pPr>
        <w:spacing w:after="0" w:line="147" w:lineRule="exact"/>
        <w:rPr>
          <w:sz w:val="20"/>
          <w:szCs w:val="20"/>
          <w:color w:val="auto"/>
        </w:rPr>
      </w:pPr>
    </w:p>
    <w:p>
      <w:pPr>
        <w:ind w:firstLine="456"/>
        <w:spacing w:after="0" w:line="288" w:lineRule="auto"/>
        <w:rPr>
          <w:sz w:val="20"/>
          <w:szCs w:val="20"/>
          <w:color w:val="auto"/>
        </w:rPr>
      </w:pPr>
      <w:r>
        <w:rPr>
          <w:rFonts w:ascii="Arial" w:cs="Arial" w:eastAsia="Arial" w:hAnsi="Arial"/>
          <w:sz w:val="16"/>
          <w:szCs w:val="16"/>
          <w:color w:val="auto"/>
        </w:rPr>
        <w:t>The effective tax rates in any given quarter are influenced by non-tax-deductible expenses, such as stock-based compensation expense, amortization of acquired intangibles, and accounting for uncertain tax positions in accordance with the Financial Accounting Standards Board (“FASB”) Accounting Standards Codification (“ASC”) 740, “Income Tax” (“ASC 740”). In addition to the quarterly income tax provision, the effective tax rate for the three months ended October 31, 2009 was impacted due to the expiration of statute of limitations in multiple jurisdictions, which reduced our uncertain tax benefits by approximately $27.4 million, along with the adjustment of taxes payable of $5.3 million related to periods in 2002 through 2006 of a non-U.S. entity, and by a reduction of $2.4 million in an unrecognized tax benefits due to a settlement of an audit in a non-U.S. jurisdiction. For the nine months ended October 31, 2009, the provision includes a reduction of $33.2 million due to the statute of limitations lapsing for uncertain tax positions, an increase in our provision due to the impact of a non-U.S. corporate tax rate change of $6.2 million, favorable audit settlements in non-U.S. jurisdictions decreasing the provision by $5.0 million and the adjustment of taxes payable by $5.3 million related to a non-U.S. entity.</w:t>
      </w:r>
    </w:p>
    <w:p>
      <w:pPr>
        <w:spacing w:after="0" w:line="106"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34</w:t>
      </w:r>
    </w:p>
    <w:p>
      <w:pPr>
        <w:sectPr>
          <w:pgSz w:w="11900" w:h="16838" w:orient="portrait"/>
          <w:cols w:equalWidth="0" w:num="1">
            <w:col w:w="11420"/>
          </w:cols>
          <w:pgMar w:left="240" w:top="459" w:right="239" w:bottom="1440" w:gutter="0" w:footer="0" w:header="0"/>
        </w:sectPr>
      </w:pPr>
    </w:p>
    <w:bookmarkStart w:id="34" w:name="page35"/>
    <w:bookmarkEnd w:id="34"/>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42" name="Picture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49">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left="240"/>
        <w:spacing w:after="0"/>
        <w:rPr>
          <w:sz w:val="20"/>
          <w:szCs w:val="20"/>
          <w:color w:val="auto"/>
        </w:rPr>
      </w:pPr>
      <w:r>
        <w:rPr>
          <w:rFonts w:ascii="Arial" w:cs="Arial" w:eastAsia="Arial" w:hAnsi="Arial"/>
          <w:sz w:val="18"/>
          <w:szCs w:val="18"/>
          <w:b w:val="1"/>
          <w:bCs w:val="1"/>
          <w:i w:val="1"/>
          <w:iCs w:val="1"/>
          <w:color w:val="auto"/>
        </w:rPr>
        <w:t>Liquidity and Capital Resources</w:t>
      </w:r>
    </w:p>
    <w:p>
      <w:pPr>
        <w:spacing w:after="0" w:line="90" w:lineRule="exact"/>
        <w:rPr>
          <w:sz w:val="20"/>
          <w:szCs w:val="20"/>
          <w:color w:val="auto"/>
        </w:rPr>
      </w:pPr>
    </w:p>
    <w:p>
      <w:pPr>
        <w:jc w:val="both"/>
        <w:ind w:right="80" w:firstLine="456"/>
        <w:spacing w:after="0" w:line="259" w:lineRule="auto"/>
        <w:rPr>
          <w:sz w:val="20"/>
          <w:szCs w:val="20"/>
          <w:color w:val="auto"/>
        </w:rPr>
      </w:pPr>
      <w:r>
        <w:rPr>
          <w:rFonts w:ascii="Arial" w:cs="Arial" w:eastAsia="Arial" w:hAnsi="Arial"/>
          <w:sz w:val="18"/>
          <w:szCs w:val="18"/>
          <w:color w:val="auto"/>
        </w:rPr>
        <w:t>Our principal source of liquidity as of October 31, 2009 consisted of approximately $1.0 billion of cash and cash equivalents and $416.8 million of short-term investments. Since our inception, we have financed our operations through a combination of sales of equity securities, debt financing and cash generated by operations.</w:t>
      </w:r>
    </w:p>
    <w:p>
      <w:pPr>
        <w:spacing w:after="0" w:line="221" w:lineRule="exact"/>
        <w:rPr>
          <w:sz w:val="20"/>
          <w:szCs w:val="20"/>
          <w:color w:val="auto"/>
        </w:rPr>
      </w:pPr>
    </w:p>
    <w:p>
      <w:pPr>
        <w:ind w:left="240"/>
        <w:spacing w:after="0"/>
        <w:rPr>
          <w:sz w:val="20"/>
          <w:szCs w:val="20"/>
          <w:color w:val="auto"/>
        </w:rPr>
      </w:pPr>
      <w:r>
        <w:rPr>
          <w:rFonts w:ascii="Arial" w:cs="Arial" w:eastAsia="Arial" w:hAnsi="Arial"/>
          <w:sz w:val="18"/>
          <w:szCs w:val="18"/>
          <w:i w:val="1"/>
          <w:iCs w:val="1"/>
          <w:color w:val="auto"/>
        </w:rPr>
        <w:t>Net Cash Provided by Operating Activities</w:t>
      </w:r>
    </w:p>
    <w:p>
      <w:pPr>
        <w:spacing w:after="0" w:line="90" w:lineRule="exact"/>
        <w:rPr>
          <w:sz w:val="20"/>
          <w:szCs w:val="20"/>
          <w:color w:val="auto"/>
        </w:rPr>
      </w:pPr>
    </w:p>
    <w:p>
      <w:pPr>
        <w:ind w:right="60" w:firstLine="456"/>
        <w:spacing w:after="0" w:line="287" w:lineRule="auto"/>
        <w:rPr>
          <w:sz w:val="20"/>
          <w:szCs w:val="20"/>
          <w:color w:val="auto"/>
        </w:rPr>
      </w:pPr>
      <w:r>
        <w:rPr>
          <w:rFonts w:ascii="Arial" w:cs="Arial" w:eastAsia="Arial" w:hAnsi="Arial"/>
          <w:sz w:val="16"/>
          <w:szCs w:val="16"/>
          <w:color w:val="auto"/>
        </w:rPr>
        <w:t>Net cash provided by operating activities of $530.4 million for the nine months ended October 31, 2009 included $394.9 million from net income adjusted for non-cash items and $135.5 million of net cash provided by changes in working capital items. Improvements in working capital included a decrease in inventories of $83.5 million as we decreased our inventory levels earlier in the year in light of the economic downturn and have experienced capacity constraints as we have attempted to restore the levels. In addition, accounts payable increased by $172.1 million due to our on-going efforts to manage payment periods with vendors. Accrued employee compensation also increased by $35.1 million due primarily to an increase in accrued bonuses. Finally, deferred income increased due to our distributors increasing inventory levels in anticipation of increased sales as the overall economic environment improves. Significant working capital changes offsetting positive cash flows for the nine months ended October 31, 2009 related to an increase in accounts receivable of $172.2 million due to the higher revenue during the three months ended October 31, 2009. In addition, income taxes payable decreased by $29.1 million due to the reversal of tax contingency reserves during the current fiscal year as a result of the expiration of the statute of limitations related to certain items and favorable outcomes on audit closures in foreign jurisdictions during fiscal 2010.</w:t>
      </w:r>
    </w:p>
    <w:p>
      <w:pPr>
        <w:spacing w:after="0" w:line="123" w:lineRule="exact"/>
        <w:rPr>
          <w:sz w:val="20"/>
          <w:szCs w:val="20"/>
          <w:color w:val="auto"/>
        </w:rPr>
      </w:pPr>
    </w:p>
    <w:p>
      <w:pPr>
        <w:ind w:firstLine="456"/>
        <w:spacing w:after="0" w:line="289" w:lineRule="auto"/>
        <w:rPr>
          <w:sz w:val="20"/>
          <w:szCs w:val="20"/>
          <w:color w:val="auto"/>
        </w:rPr>
      </w:pPr>
      <w:r>
        <w:rPr>
          <w:rFonts w:ascii="Arial" w:cs="Arial" w:eastAsia="Arial" w:hAnsi="Arial"/>
          <w:sz w:val="16"/>
          <w:szCs w:val="16"/>
          <w:color w:val="auto"/>
        </w:rPr>
        <w:t>Net cash provided by operating activities of $571.5 million for the nine months ended November 1, 2008 included $521.0 million from net income adjusted for non-cash items and $50.5 million of net cash provided by changes in working capital. Improvements in working capital included a decrease in inventories of $95.9 million related to the completion of contractual obligations under the original supply agreement with Intel as well as concentrated efforts to reduce inventory levels. Prepaid and other assets decreased $61.8 million due primarily to the utilization of prepaid foundry capacity and receipt of prepaid wafers. Significant working capital changes offsetting positive cash flows included an increase in accounts receivable of $65.8 million due primarily to the timing of revenue recorded toward the end of the quarter as well as timing of payments received from customers. In addition, accrued liabilities decreased by $23.7 million attributable to a decrease in accrued contingent consideration as milestones were achieved. Finally, accrued employee compensation increased $17.6 million due primarily to an increase in accrued vacation, accrued salaries due to timing of the payroll cycle and accrued bonuses.</w:t>
      </w:r>
    </w:p>
    <w:p>
      <w:pPr>
        <w:spacing w:after="0" w:line="199" w:lineRule="exact"/>
        <w:rPr>
          <w:sz w:val="20"/>
          <w:szCs w:val="20"/>
          <w:color w:val="auto"/>
        </w:rPr>
      </w:pPr>
    </w:p>
    <w:p>
      <w:pPr>
        <w:ind w:left="240"/>
        <w:spacing w:after="0"/>
        <w:rPr>
          <w:sz w:val="20"/>
          <w:szCs w:val="20"/>
          <w:color w:val="auto"/>
        </w:rPr>
      </w:pPr>
      <w:r>
        <w:rPr>
          <w:rFonts w:ascii="Arial" w:cs="Arial" w:eastAsia="Arial" w:hAnsi="Arial"/>
          <w:sz w:val="18"/>
          <w:szCs w:val="18"/>
          <w:i w:val="1"/>
          <w:iCs w:val="1"/>
          <w:color w:val="auto"/>
        </w:rPr>
        <w:t>Net Cash Used in Investing Activities</w:t>
      </w:r>
    </w:p>
    <w:p>
      <w:pPr>
        <w:spacing w:after="0" w:line="90" w:lineRule="exact"/>
        <w:rPr>
          <w:sz w:val="20"/>
          <w:szCs w:val="20"/>
          <w:color w:val="auto"/>
        </w:rPr>
      </w:pPr>
    </w:p>
    <w:p>
      <w:pPr>
        <w:ind w:firstLine="456"/>
        <w:spacing w:after="0" w:line="294" w:lineRule="auto"/>
        <w:rPr>
          <w:sz w:val="20"/>
          <w:szCs w:val="20"/>
          <w:color w:val="auto"/>
        </w:rPr>
      </w:pPr>
      <w:r>
        <w:rPr>
          <w:rFonts w:ascii="Arial" w:cs="Arial" w:eastAsia="Arial" w:hAnsi="Arial"/>
          <w:sz w:val="16"/>
          <w:szCs w:val="16"/>
          <w:color w:val="auto"/>
        </w:rPr>
        <w:t>Net cash used in investing activities was $444.0 million for the nine months ended October 31, 2009 compared to $43.0 million for the nine months ended November 1, 2008. The cash flows for the nine months ended October 31, 2009 was due primarily to the net purchase of investments of $416.7 million as we began to implement our new investment strategy, purchases of property and equipment of $14.8 million and purchases of technology licenses for $12.6 million. The cash flows for the nine months ended November 1, 2008 was due to purchases of property and equipment of $59.3 million, purchases of investments of $10.2 million, partially offset by sales and maturities of investments of $29.2 million.</w:t>
      </w:r>
    </w:p>
    <w:p>
      <w:pPr>
        <w:spacing w:after="0" w:line="197" w:lineRule="exact"/>
        <w:rPr>
          <w:sz w:val="20"/>
          <w:szCs w:val="20"/>
          <w:color w:val="auto"/>
        </w:rPr>
      </w:pPr>
    </w:p>
    <w:p>
      <w:pPr>
        <w:ind w:left="240"/>
        <w:spacing w:after="0"/>
        <w:rPr>
          <w:sz w:val="20"/>
          <w:szCs w:val="20"/>
          <w:color w:val="auto"/>
        </w:rPr>
      </w:pPr>
      <w:r>
        <w:rPr>
          <w:rFonts w:ascii="Arial" w:cs="Arial" w:eastAsia="Arial" w:hAnsi="Arial"/>
          <w:sz w:val="18"/>
          <w:szCs w:val="18"/>
          <w:i w:val="1"/>
          <w:iCs w:val="1"/>
          <w:color w:val="auto"/>
        </w:rPr>
        <w:t>Net Cash Provided by (Used in) Financing Activities</w:t>
      </w:r>
    </w:p>
    <w:p>
      <w:pPr>
        <w:spacing w:after="0" w:line="90" w:lineRule="exact"/>
        <w:rPr>
          <w:sz w:val="20"/>
          <w:szCs w:val="20"/>
          <w:color w:val="auto"/>
        </w:rPr>
      </w:pPr>
    </w:p>
    <w:p>
      <w:pPr>
        <w:ind w:right="140" w:firstLine="456"/>
        <w:spacing w:after="0" w:line="255" w:lineRule="auto"/>
        <w:rPr>
          <w:sz w:val="20"/>
          <w:szCs w:val="20"/>
          <w:color w:val="auto"/>
        </w:rPr>
      </w:pPr>
      <w:r>
        <w:rPr>
          <w:rFonts w:ascii="Arial" w:cs="Arial" w:eastAsia="Arial" w:hAnsi="Arial"/>
          <w:sz w:val="18"/>
          <w:szCs w:val="18"/>
          <w:color w:val="auto"/>
        </w:rPr>
        <w:t>Net cash provided by financing activities was $33.6 million for the nine months ended October 31, 2009 compared to net cash used in financing activities of $124.2 million for the nine months ended November 1, 2008. For the nine months ended October 31, 2009, cash flows were attributable to proceeds from the issuance of common shares under our stock options plans and employee stock purchase plan. For the nine months ended November 1, 2008, cash flows were attributable to principal payments on debt obligations and capital leases partially offset by proceeds from the issuance of common shares under our stock option plans and employee stock purchase plan.</w:t>
      </w:r>
    </w:p>
    <w:p>
      <w:pPr>
        <w:spacing w:after="0" w:line="224" w:lineRule="exact"/>
        <w:rPr>
          <w:sz w:val="20"/>
          <w:szCs w:val="20"/>
          <w:color w:val="auto"/>
        </w:rPr>
      </w:pPr>
    </w:p>
    <w:p>
      <w:pPr>
        <w:ind w:left="240"/>
        <w:spacing w:after="0"/>
        <w:rPr>
          <w:sz w:val="20"/>
          <w:szCs w:val="20"/>
          <w:color w:val="auto"/>
        </w:rPr>
      </w:pPr>
      <w:r>
        <w:rPr>
          <w:rFonts w:ascii="Arial" w:cs="Arial" w:eastAsia="Arial" w:hAnsi="Arial"/>
          <w:sz w:val="18"/>
          <w:szCs w:val="18"/>
          <w:b w:val="1"/>
          <w:bCs w:val="1"/>
          <w:i w:val="1"/>
          <w:iCs w:val="1"/>
          <w:color w:val="auto"/>
        </w:rPr>
        <w:t>Contractual Obligations and Commitments</w:t>
      </w:r>
    </w:p>
    <w:p>
      <w:pPr>
        <w:spacing w:after="0" w:line="90" w:lineRule="exact"/>
        <w:rPr>
          <w:sz w:val="20"/>
          <w:szCs w:val="20"/>
          <w:color w:val="auto"/>
        </w:rPr>
      </w:pPr>
    </w:p>
    <w:p>
      <w:pPr>
        <w:ind w:left="460"/>
        <w:spacing w:after="0"/>
        <w:rPr>
          <w:sz w:val="20"/>
          <w:szCs w:val="20"/>
          <w:color w:val="auto"/>
        </w:rPr>
      </w:pPr>
      <w:r>
        <w:rPr>
          <w:rFonts w:ascii="Arial" w:cs="Arial" w:eastAsia="Arial" w:hAnsi="Arial"/>
          <w:sz w:val="16"/>
          <w:szCs w:val="16"/>
          <w:color w:val="auto"/>
        </w:rPr>
        <w:t>In February 2005 and as amended in March 2005, we entered into an agreement with a foundry to reserve and secure foundry fabrication capacity for a</w:t>
      </w:r>
    </w:p>
    <w:p>
      <w:pPr>
        <w:spacing w:after="0" w:line="38" w:lineRule="exact"/>
        <w:rPr>
          <w:sz w:val="20"/>
          <w:szCs w:val="20"/>
          <w:color w:val="auto"/>
        </w:rPr>
      </w:pPr>
    </w:p>
    <w:p>
      <w:pPr>
        <w:spacing w:after="0"/>
        <w:rPr>
          <w:sz w:val="20"/>
          <w:szCs w:val="20"/>
          <w:color w:val="auto"/>
        </w:rPr>
      </w:pPr>
      <w:r>
        <w:rPr>
          <w:rFonts w:ascii="Arial" w:cs="Arial" w:eastAsia="Arial" w:hAnsi="Arial"/>
          <w:sz w:val="16"/>
          <w:szCs w:val="16"/>
          <w:color w:val="auto"/>
        </w:rPr>
        <w:t>fixed number of wafers at agreed upon prices for a period of five and a half years beginning on October 1, 2005. In return, we agreed to pay the foundry</w:t>
      </w:r>
    </w:p>
    <w:p>
      <w:pPr>
        <w:spacing w:after="0" w:line="32" w:lineRule="exact"/>
        <w:rPr>
          <w:sz w:val="20"/>
          <w:szCs w:val="20"/>
          <w:color w:val="auto"/>
        </w:rPr>
      </w:pPr>
    </w:p>
    <w:p>
      <w:pPr>
        <w:spacing w:after="0"/>
        <w:rPr>
          <w:sz w:val="20"/>
          <w:szCs w:val="20"/>
          <w:color w:val="auto"/>
        </w:rPr>
      </w:pPr>
      <w:r>
        <w:rPr>
          <w:rFonts w:ascii="Arial" w:cs="Arial" w:eastAsia="Arial" w:hAnsi="Arial"/>
          <w:sz w:val="16"/>
          <w:szCs w:val="16"/>
          <w:color w:val="auto"/>
        </w:rPr>
        <w:t>$174.2 million over a period of 18 months. The amendment extended the term of the agreement and the agreed upon pricing terms until December 31, 2015. As</w:t>
      </w:r>
    </w:p>
    <w:p>
      <w:pPr>
        <w:spacing w:after="0" w:line="32" w:lineRule="exact"/>
        <w:rPr>
          <w:sz w:val="20"/>
          <w:szCs w:val="20"/>
          <w:color w:val="auto"/>
        </w:rPr>
      </w:pPr>
    </w:p>
    <w:p>
      <w:pPr>
        <w:spacing w:after="0"/>
        <w:rPr>
          <w:sz w:val="20"/>
          <w:szCs w:val="20"/>
          <w:color w:val="auto"/>
        </w:rPr>
      </w:pPr>
      <w:r>
        <w:rPr>
          <w:rFonts w:ascii="Arial" w:cs="Arial" w:eastAsia="Arial" w:hAnsi="Arial"/>
          <w:sz w:val="16"/>
          <w:szCs w:val="16"/>
          <w:color w:val="auto"/>
        </w:rPr>
        <w:t>of October 31, 2009, all payments (included in prepaids and other current assets and other non-current assets) had been made and approximately $162.2 million</w:t>
      </w:r>
    </w:p>
    <w:p>
      <w:pPr>
        <w:spacing w:after="0" w:line="32" w:lineRule="exact"/>
        <w:rPr>
          <w:sz w:val="20"/>
          <w:szCs w:val="20"/>
          <w:color w:val="auto"/>
        </w:rPr>
      </w:pPr>
    </w:p>
    <w:p>
      <w:pPr>
        <w:spacing w:after="0"/>
        <w:rPr>
          <w:sz w:val="20"/>
          <w:szCs w:val="20"/>
          <w:color w:val="auto"/>
        </w:rPr>
      </w:pPr>
      <w:r>
        <w:rPr>
          <w:rFonts w:ascii="Arial" w:cs="Arial" w:eastAsia="Arial" w:hAnsi="Arial"/>
          <w:sz w:val="18"/>
          <w:szCs w:val="18"/>
          <w:color w:val="auto"/>
        </w:rPr>
        <w:t>of the prepayment had been utilized. At October 31, 2009, there were no outstanding commitments under the agreement.</w:t>
      </w:r>
    </w:p>
    <w:p>
      <w:pPr>
        <w:spacing w:after="0" w:line="151"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35</w:t>
      </w:r>
    </w:p>
    <w:p>
      <w:pPr>
        <w:sectPr>
          <w:pgSz w:w="11900" w:h="16838" w:orient="portrait"/>
          <w:cols w:equalWidth="0" w:num="1">
            <w:col w:w="11400"/>
          </w:cols>
          <w:pgMar w:left="240" w:top="459" w:right="259" w:bottom="1440" w:gutter="0" w:footer="0" w:header="0"/>
        </w:sectPr>
      </w:pPr>
    </w:p>
    <w:bookmarkStart w:id="35" w:name="page36"/>
    <w:bookmarkEnd w:id="35"/>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43" name="Pictur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50">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260" w:firstLine="456"/>
        <w:spacing w:after="0" w:line="370" w:lineRule="auto"/>
        <w:rPr>
          <w:sz w:val="20"/>
          <w:szCs w:val="20"/>
          <w:color w:val="auto"/>
        </w:rPr>
      </w:pPr>
      <w:r>
        <w:rPr>
          <w:rFonts w:ascii="Arial" w:cs="Arial" w:eastAsia="Arial" w:hAnsi="Arial"/>
          <w:sz w:val="15"/>
          <w:szCs w:val="15"/>
          <w:color w:val="auto"/>
        </w:rPr>
        <w:t>Under our manufacturing relationships with foundries, cancellation of all outstanding purchase orders are allowed but require repayment of all expenses incurred through the date of cancellation. As of October 31, 2009, the amount of open purchase orders to these foundries was approximately $139.7 million.</w:t>
      </w:r>
    </w:p>
    <w:p>
      <w:pPr>
        <w:spacing w:after="0" w:line="62" w:lineRule="exact"/>
        <w:rPr>
          <w:sz w:val="20"/>
          <w:szCs w:val="20"/>
          <w:color w:val="auto"/>
        </w:rPr>
      </w:pPr>
    </w:p>
    <w:p>
      <w:pPr>
        <w:ind w:left="460"/>
        <w:spacing w:after="0"/>
        <w:rPr>
          <w:sz w:val="20"/>
          <w:szCs w:val="20"/>
          <w:color w:val="auto"/>
        </w:rPr>
      </w:pPr>
      <w:r>
        <w:rPr>
          <w:rFonts w:ascii="Arial" w:cs="Arial" w:eastAsia="Arial" w:hAnsi="Arial"/>
          <w:sz w:val="16"/>
          <w:szCs w:val="16"/>
          <w:color w:val="auto"/>
        </w:rPr>
        <w:t>As of October 31, 2009, we had approximately $21.2 million of other outstanding non-cancelable purchase orders for capital purchase obligations.</w:t>
      </w:r>
    </w:p>
    <w:p>
      <w:pPr>
        <w:spacing w:after="0" w:line="194" w:lineRule="exact"/>
        <w:rPr>
          <w:sz w:val="20"/>
          <w:szCs w:val="20"/>
          <w:color w:val="auto"/>
        </w:rPr>
      </w:pPr>
    </w:p>
    <w:p>
      <w:pPr>
        <w:ind w:right="20" w:firstLine="456"/>
        <w:spacing w:after="0" w:line="268" w:lineRule="auto"/>
        <w:rPr>
          <w:sz w:val="20"/>
          <w:szCs w:val="20"/>
          <w:color w:val="auto"/>
        </w:rPr>
      </w:pPr>
      <w:r>
        <w:rPr>
          <w:rFonts w:ascii="Arial" w:cs="Arial" w:eastAsia="Arial" w:hAnsi="Arial"/>
          <w:sz w:val="18"/>
          <w:szCs w:val="18"/>
          <w:color w:val="auto"/>
        </w:rPr>
        <w:t>The following table summarizes our contractual obligations as of October 31, 2009 and the effect such obligations are expected to have on our liquidity and cash flow in future periods (in thousands):</w:t>
      </w:r>
    </w:p>
    <w:p>
      <w:pPr>
        <w:spacing w:after="0" w:line="168"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5900" w:type="dxa"/>
            <w:vAlign w:val="bottom"/>
          </w:tcPr>
          <w:p>
            <w:pPr>
              <w:spacing w:after="0"/>
              <w:rPr>
                <w:sz w:val="14"/>
                <w:szCs w:val="14"/>
                <w:color w:val="auto"/>
              </w:rPr>
            </w:pPr>
          </w:p>
        </w:tc>
        <w:tc>
          <w:tcPr>
            <w:tcW w:w="80" w:type="dxa"/>
            <w:vAlign w:val="bottom"/>
            <w:tcBorders>
              <w:bottom w:val="single" w:sz="8" w:color="auto"/>
            </w:tcBorders>
          </w:tcPr>
          <w:p>
            <w:pPr>
              <w:spacing w:after="0"/>
              <w:rPr>
                <w:sz w:val="14"/>
                <w:szCs w:val="14"/>
                <w:color w:val="auto"/>
              </w:rPr>
            </w:pPr>
          </w:p>
        </w:tc>
        <w:tc>
          <w:tcPr>
            <w:tcW w:w="720" w:type="dxa"/>
            <w:vAlign w:val="bottom"/>
            <w:tcBorders>
              <w:bottom w:val="single" w:sz="8" w:color="auto"/>
            </w:tcBorders>
          </w:tcPr>
          <w:p>
            <w:pPr>
              <w:spacing w:after="0"/>
              <w:rPr>
                <w:sz w:val="14"/>
                <w:szCs w:val="14"/>
                <w:color w:val="auto"/>
              </w:rPr>
            </w:pPr>
          </w:p>
        </w:tc>
        <w:tc>
          <w:tcPr>
            <w:tcW w:w="220" w:type="dxa"/>
            <w:vAlign w:val="bottom"/>
            <w:tcBorders>
              <w:bottom w:val="single" w:sz="8" w:color="auto"/>
            </w:tcBorders>
          </w:tcPr>
          <w:p>
            <w:pPr>
              <w:spacing w:after="0"/>
              <w:rPr>
                <w:sz w:val="14"/>
                <w:szCs w:val="14"/>
                <w:color w:val="auto"/>
              </w:rPr>
            </w:pPr>
          </w:p>
        </w:tc>
        <w:tc>
          <w:tcPr>
            <w:tcW w:w="580" w:type="dxa"/>
            <w:vAlign w:val="bottom"/>
            <w:tcBorders>
              <w:bottom w:val="single" w:sz="8" w:color="auto"/>
            </w:tcBorders>
          </w:tcPr>
          <w:p>
            <w:pPr>
              <w:spacing w:after="0"/>
              <w:rPr>
                <w:sz w:val="14"/>
                <w:szCs w:val="14"/>
                <w:color w:val="auto"/>
              </w:rPr>
            </w:pPr>
          </w:p>
        </w:tc>
        <w:tc>
          <w:tcPr>
            <w:tcW w:w="220" w:type="dxa"/>
            <w:vAlign w:val="bottom"/>
            <w:tcBorders>
              <w:bottom w:val="single" w:sz="8" w:color="auto"/>
            </w:tcBorders>
          </w:tcPr>
          <w:p>
            <w:pPr>
              <w:spacing w:after="0"/>
              <w:rPr>
                <w:sz w:val="14"/>
                <w:szCs w:val="14"/>
                <w:color w:val="auto"/>
              </w:rPr>
            </w:pPr>
          </w:p>
        </w:tc>
        <w:tc>
          <w:tcPr>
            <w:tcW w:w="2100" w:type="dxa"/>
            <w:vAlign w:val="bottom"/>
            <w:tcBorders>
              <w:bottom w:val="single" w:sz="8" w:color="auto"/>
            </w:tcBorders>
            <w:gridSpan w:val="5"/>
          </w:tcPr>
          <w:p>
            <w:pPr>
              <w:jc w:val="right"/>
              <w:ind w:right="377"/>
              <w:spacing w:after="0"/>
              <w:rPr>
                <w:sz w:val="20"/>
                <w:szCs w:val="20"/>
                <w:color w:val="auto"/>
              </w:rPr>
            </w:pPr>
            <w:r>
              <w:rPr>
                <w:rFonts w:ascii="Arial" w:cs="Arial" w:eastAsia="Arial" w:hAnsi="Arial"/>
                <w:sz w:val="14"/>
                <w:szCs w:val="14"/>
                <w:b w:val="1"/>
                <w:bCs w:val="1"/>
                <w:color w:val="auto"/>
                <w:w w:val="98"/>
              </w:rPr>
              <w:t>Payments Due by Period</w:t>
            </w:r>
          </w:p>
        </w:tc>
        <w:tc>
          <w:tcPr>
            <w:tcW w:w="200" w:type="dxa"/>
            <w:vAlign w:val="bottom"/>
            <w:tcBorders>
              <w:bottom w:val="single" w:sz="8" w:color="auto"/>
            </w:tcBorders>
          </w:tcPr>
          <w:p>
            <w:pPr>
              <w:spacing w:after="0"/>
              <w:rPr>
                <w:sz w:val="14"/>
                <w:szCs w:val="14"/>
                <w:color w:val="auto"/>
              </w:rPr>
            </w:pPr>
          </w:p>
        </w:tc>
        <w:tc>
          <w:tcPr>
            <w:tcW w:w="500" w:type="dxa"/>
            <w:vAlign w:val="bottom"/>
            <w:tcBorders>
              <w:bottom w:val="single" w:sz="8" w:color="auto"/>
            </w:tcBorders>
          </w:tcPr>
          <w:p>
            <w:pPr>
              <w:spacing w:after="0"/>
              <w:rPr>
                <w:sz w:val="14"/>
                <w:szCs w:val="14"/>
                <w:color w:val="auto"/>
              </w:rPr>
            </w:pPr>
          </w:p>
        </w:tc>
        <w:tc>
          <w:tcPr>
            <w:tcW w:w="220" w:type="dxa"/>
            <w:vAlign w:val="bottom"/>
            <w:tcBorders>
              <w:bottom w:val="single" w:sz="8" w:color="auto"/>
            </w:tcBorders>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580" w:type="dxa"/>
            <w:vAlign w:val="bottom"/>
            <w:tcBorders>
              <w:bottom w:val="single" w:sz="8" w:color="auto"/>
            </w:tcBorders>
          </w:tcPr>
          <w:p>
            <w:pPr>
              <w:spacing w:after="0"/>
              <w:rPr>
                <w:sz w:val="14"/>
                <w:szCs w:val="14"/>
                <w:color w:val="auto"/>
              </w:rPr>
            </w:pPr>
          </w:p>
        </w:tc>
      </w:tr>
      <w:tr>
        <w:trPr>
          <w:trHeight w:val="129"/>
        </w:trPr>
        <w:tc>
          <w:tcPr>
            <w:tcW w:w="590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720" w:type="dxa"/>
            <w:vAlign w:val="bottom"/>
          </w:tcPr>
          <w:p>
            <w:pPr>
              <w:jc w:val="center"/>
              <w:spacing w:after="0" w:line="129" w:lineRule="exact"/>
              <w:rPr>
                <w:sz w:val="20"/>
                <w:szCs w:val="20"/>
                <w:color w:val="auto"/>
              </w:rPr>
            </w:pPr>
            <w:r>
              <w:rPr>
                <w:rFonts w:ascii="Arial" w:cs="Arial" w:eastAsia="Arial" w:hAnsi="Arial"/>
                <w:sz w:val="14"/>
                <w:szCs w:val="14"/>
                <w:b w:val="1"/>
                <w:bCs w:val="1"/>
                <w:color w:val="auto"/>
                <w:w w:val="85"/>
              </w:rPr>
              <w:t>Fiscal</w:t>
            </w:r>
          </w:p>
        </w:tc>
        <w:tc>
          <w:tcPr>
            <w:tcW w:w="220" w:type="dxa"/>
            <w:vAlign w:val="bottom"/>
          </w:tcPr>
          <w:p>
            <w:pPr>
              <w:spacing w:after="0"/>
              <w:rPr>
                <w:sz w:val="11"/>
                <w:szCs w:val="11"/>
                <w:color w:val="auto"/>
              </w:rPr>
            </w:pPr>
          </w:p>
        </w:tc>
        <w:tc>
          <w:tcPr>
            <w:tcW w:w="580" w:type="dxa"/>
            <w:vAlign w:val="bottom"/>
          </w:tcPr>
          <w:p>
            <w:pPr>
              <w:jc w:val="right"/>
              <w:ind w:right="39"/>
              <w:spacing w:after="0" w:line="129" w:lineRule="exact"/>
              <w:rPr>
                <w:sz w:val="20"/>
                <w:szCs w:val="20"/>
                <w:color w:val="auto"/>
              </w:rPr>
            </w:pPr>
            <w:r>
              <w:rPr>
                <w:rFonts w:ascii="Arial" w:cs="Arial" w:eastAsia="Arial" w:hAnsi="Arial"/>
                <w:sz w:val="14"/>
                <w:szCs w:val="14"/>
                <w:b w:val="1"/>
                <w:bCs w:val="1"/>
                <w:color w:val="auto"/>
              </w:rPr>
              <w:t>Fiscal</w:t>
            </w:r>
          </w:p>
        </w:tc>
        <w:tc>
          <w:tcPr>
            <w:tcW w:w="220" w:type="dxa"/>
            <w:vAlign w:val="bottom"/>
          </w:tcPr>
          <w:p>
            <w:pPr>
              <w:spacing w:after="0"/>
              <w:rPr>
                <w:sz w:val="11"/>
                <w:szCs w:val="11"/>
                <w:color w:val="auto"/>
              </w:rPr>
            </w:pPr>
          </w:p>
        </w:tc>
        <w:tc>
          <w:tcPr>
            <w:tcW w:w="580" w:type="dxa"/>
            <w:vAlign w:val="bottom"/>
          </w:tcPr>
          <w:p>
            <w:pPr>
              <w:jc w:val="right"/>
              <w:ind w:right="42"/>
              <w:spacing w:after="0" w:line="129" w:lineRule="exact"/>
              <w:rPr>
                <w:sz w:val="20"/>
                <w:szCs w:val="20"/>
                <w:color w:val="auto"/>
              </w:rPr>
            </w:pPr>
            <w:r>
              <w:rPr>
                <w:rFonts w:ascii="Arial" w:cs="Arial" w:eastAsia="Arial" w:hAnsi="Arial"/>
                <w:sz w:val="14"/>
                <w:szCs w:val="14"/>
                <w:b w:val="1"/>
                <w:bCs w:val="1"/>
                <w:color w:val="auto"/>
              </w:rPr>
              <w:t>Fiscal</w:t>
            </w:r>
          </w:p>
        </w:tc>
        <w:tc>
          <w:tcPr>
            <w:tcW w:w="220" w:type="dxa"/>
            <w:vAlign w:val="bottom"/>
          </w:tcPr>
          <w:p>
            <w:pPr>
              <w:spacing w:after="0"/>
              <w:rPr>
                <w:sz w:val="11"/>
                <w:szCs w:val="11"/>
                <w:color w:val="auto"/>
              </w:rPr>
            </w:pPr>
          </w:p>
        </w:tc>
        <w:tc>
          <w:tcPr>
            <w:tcW w:w="580" w:type="dxa"/>
            <w:vAlign w:val="bottom"/>
          </w:tcPr>
          <w:p>
            <w:pPr>
              <w:ind w:left="120"/>
              <w:spacing w:after="0" w:line="129" w:lineRule="exact"/>
              <w:rPr>
                <w:sz w:val="20"/>
                <w:szCs w:val="20"/>
                <w:color w:val="auto"/>
              </w:rPr>
            </w:pPr>
            <w:r>
              <w:rPr>
                <w:rFonts w:ascii="Arial" w:cs="Arial" w:eastAsia="Arial" w:hAnsi="Arial"/>
                <w:sz w:val="14"/>
                <w:szCs w:val="14"/>
                <w:b w:val="1"/>
                <w:bCs w:val="1"/>
                <w:color w:val="auto"/>
              </w:rPr>
              <w:t>Fiscal</w:t>
            </w:r>
          </w:p>
        </w:tc>
        <w:tc>
          <w:tcPr>
            <w:tcW w:w="220" w:type="dxa"/>
            <w:vAlign w:val="bottom"/>
          </w:tcPr>
          <w:p>
            <w:pPr>
              <w:spacing w:after="0"/>
              <w:rPr>
                <w:sz w:val="11"/>
                <w:szCs w:val="11"/>
                <w:color w:val="auto"/>
              </w:rPr>
            </w:pPr>
          </w:p>
        </w:tc>
        <w:tc>
          <w:tcPr>
            <w:tcW w:w="500" w:type="dxa"/>
            <w:vAlign w:val="bottom"/>
          </w:tcPr>
          <w:p>
            <w:pPr>
              <w:jc w:val="right"/>
              <w:spacing w:after="0" w:line="129" w:lineRule="exact"/>
              <w:rPr>
                <w:sz w:val="20"/>
                <w:szCs w:val="20"/>
                <w:color w:val="auto"/>
              </w:rPr>
            </w:pPr>
            <w:r>
              <w:rPr>
                <w:rFonts w:ascii="Arial" w:cs="Arial" w:eastAsia="Arial" w:hAnsi="Arial"/>
                <w:sz w:val="14"/>
                <w:szCs w:val="14"/>
                <w:b w:val="1"/>
                <w:bCs w:val="1"/>
                <w:color w:val="auto"/>
              </w:rPr>
              <w:t>Fiscal</w:t>
            </w:r>
          </w:p>
        </w:tc>
        <w:tc>
          <w:tcPr>
            <w:tcW w:w="200" w:type="dxa"/>
            <w:vAlign w:val="bottom"/>
          </w:tcPr>
          <w:p>
            <w:pPr>
              <w:spacing w:after="0"/>
              <w:rPr>
                <w:sz w:val="11"/>
                <w:szCs w:val="11"/>
                <w:color w:val="auto"/>
              </w:rPr>
            </w:pPr>
          </w:p>
        </w:tc>
        <w:tc>
          <w:tcPr>
            <w:tcW w:w="500" w:type="dxa"/>
            <w:vAlign w:val="bottom"/>
          </w:tcPr>
          <w:p>
            <w:pPr>
              <w:jc w:val="center"/>
              <w:spacing w:after="0" w:line="129" w:lineRule="exact"/>
              <w:rPr>
                <w:sz w:val="20"/>
                <w:szCs w:val="20"/>
                <w:color w:val="auto"/>
              </w:rPr>
            </w:pPr>
            <w:r>
              <w:rPr>
                <w:rFonts w:ascii="Arial" w:cs="Arial" w:eastAsia="Arial" w:hAnsi="Arial"/>
                <w:sz w:val="14"/>
                <w:szCs w:val="14"/>
                <w:b w:val="1"/>
                <w:bCs w:val="1"/>
                <w:color w:val="auto"/>
                <w:w w:val="93"/>
              </w:rPr>
              <w:t>There-</w:t>
            </w:r>
          </w:p>
        </w:tc>
        <w:tc>
          <w:tcPr>
            <w:tcW w:w="2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580" w:type="dxa"/>
            <w:vAlign w:val="bottom"/>
          </w:tcPr>
          <w:p>
            <w:pPr>
              <w:spacing w:after="0"/>
              <w:rPr>
                <w:sz w:val="11"/>
                <w:szCs w:val="11"/>
                <w:color w:val="auto"/>
              </w:rPr>
            </w:pPr>
          </w:p>
        </w:tc>
      </w:tr>
      <w:tr>
        <w:trPr>
          <w:trHeight w:val="161"/>
        </w:trPr>
        <w:tc>
          <w:tcPr>
            <w:tcW w:w="590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720" w:type="dxa"/>
            <w:vAlign w:val="bottom"/>
          </w:tcPr>
          <w:p>
            <w:pPr>
              <w:jc w:val="center"/>
              <w:spacing w:after="0"/>
              <w:rPr>
                <w:sz w:val="20"/>
                <w:szCs w:val="20"/>
                <w:color w:val="auto"/>
              </w:rPr>
            </w:pPr>
            <w:r>
              <w:rPr>
                <w:rFonts w:ascii="Arial" w:cs="Arial" w:eastAsia="Arial" w:hAnsi="Arial"/>
                <w:sz w:val="14"/>
                <w:szCs w:val="14"/>
                <w:b w:val="1"/>
                <w:bCs w:val="1"/>
                <w:color w:val="auto"/>
                <w:w w:val="89"/>
              </w:rPr>
              <w:t>2010</w:t>
            </w:r>
          </w:p>
        </w:tc>
        <w:tc>
          <w:tcPr>
            <w:tcW w:w="800" w:type="dxa"/>
            <w:vAlign w:val="bottom"/>
            <w:gridSpan w:val="2"/>
          </w:tcPr>
          <w:p>
            <w:pPr>
              <w:jc w:val="right"/>
              <w:ind w:right="79"/>
              <w:spacing w:after="0"/>
              <w:rPr>
                <w:sz w:val="20"/>
                <w:szCs w:val="20"/>
                <w:color w:val="auto"/>
              </w:rPr>
            </w:pPr>
            <w:r>
              <w:rPr>
                <w:rFonts w:ascii="Arial" w:cs="Arial" w:eastAsia="Arial" w:hAnsi="Arial"/>
                <w:sz w:val="14"/>
                <w:szCs w:val="14"/>
                <w:b w:val="1"/>
                <w:bCs w:val="1"/>
                <w:color w:val="auto"/>
              </w:rPr>
              <w:t>2011</w:t>
            </w:r>
          </w:p>
        </w:tc>
        <w:tc>
          <w:tcPr>
            <w:tcW w:w="800" w:type="dxa"/>
            <w:vAlign w:val="bottom"/>
            <w:gridSpan w:val="2"/>
          </w:tcPr>
          <w:p>
            <w:pPr>
              <w:jc w:val="right"/>
              <w:ind w:right="82"/>
              <w:spacing w:after="0"/>
              <w:rPr>
                <w:sz w:val="20"/>
                <w:szCs w:val="20"/>
                <w:color w:val="auto"/>
              </w:rPr>
            </w:pPr>
            <w:r>
              <w:rPr>
                <w:rFonts w:ascii="Arial" w:cs="Arial" w:eastAsia="Arial" w:hAnsi="Arial"/>
                <w:sz w:val="14"/>
                <w:szCs w:val="14"/>
                <w:b w:val="1"/>
                <w:bCs w:val="1"/>
                <w:color w:val="auto"/>
              </w:rPr>
              <w:t>2012</w:t>
            </w:r>
          </w:p>
        </w:tc>
        <w:tc>
          <w:tcPr>
            <w:tcW w:w="800" w:type="dxa"/>
            <w:vAlign w:val="bottom"/>
            <w:gridSpan w:val="2"/>
          </w:tcPr>
          <w:p>
            <w:pPr>
              <w:jc w:val="center"/>
              <w:ind w:left="139"/>
              <w:spacing w:after="0"/>
              <w:rPr>
                <w:sz w:val="20"/>
                <w:szCs w:val="20"/>
                <w:color w:val="auto"/>
              </w:rPr>
            </w:pPr>
            <w:r>
              <w:rPr>
                <w:rFonts w:ascii="Arial" w:cs="Arial" w:eastAsia="Arial" w:hAnsi="Arial"/>
                <w:sz w:val="14"/>
                <w:szCs w:val="14"/>
                <w:b w:val="1"/>
                <w:bCs w:val="1"/>
                <w:color w:val="auto"/>
                <w:w w:val="83"/>
              </w:rPr>
              <w:t>2013</w:t>
            </w:r>
          </w:p>
        </w:tc>
        <w:tc>
          <w:tcPr>
            <w:tcW w:w="720" w:type="dxa"/>
            <w:vAlign w:val="bottom"/>
            <w:gridSpan w:val="2"/>
          </w:tcPr>
          <w:p>
            <w:pPr>
              <w:jc w:val="center"/>
              <w:ind w:left="119"/>
              <w:spacing w:after="0"/>
              <w:rPr>
                <w:sz w:val="20"/>
                <w:szCs w:val="20"/>
                <w:color w:val="auto"/>
              </w:rPr>
            </w:pPr>
            <w:r>
              <w:rPr>
                <w:rFonts w:ascii="Arial" w:cs="Arial" w:eastAsia="Arial" w:hAnsi="Arial"/>
                <w:sz w:val="14"/>
                <w:szCs w:val="14"/>
                <w:b w:val="1"/>
                <w:bCs w:val="1"/>
                <w:color w:val="auto"/>
                <w:w w:val="89"/>
              </w:rPr>
              <w:t>2014</w:t>
            </w:r>
          </w:p>
        </w:tc>
        <w:tc>
          <w:tcPr>
            <w:tcW w:w="200" w:type="dxa"/>
            <w:vAlign w:val="bottom"/>
          </w:tcPr>
          <w:p>
            <w:pPr>
              <w:spacing w:after="0"/>
              <w:rPr>
                <w:sz w:val="14"/>
                <w:szCs w:val="14"/>
                <w:color w:val="auto"/>
              </w:rPr>
            </w:pPr>
          </w:p>
        </w:tc>
        <w:tc>
          <w:tcPr>
            <w:tcW w:w="500" w:type="dxa"/>
            <w:vAlign w:val="bottom"/>
          </w:tcPr>
          <w:p>
            <w:pPr>
              <w:jc w:val="center"/>
              <w:spacing w:after="0"/>
              <w:rPr>
                <w:sz w:val="20"/>
                <w:szCs w:val="20"/>
                <w:color w:val="auto"/>
              </w:rPr>
            </w:pPr>
            <w:r>
              <w:rPr>
                <w:rFonts w:ascii="Arial" w:cs="Arial" w:eastAsia="Arial" w:hAnsi="Arial"/>
                <w:sz w:val="14"/>
                <w:szCs w:val="14"/>
                <w:b w:val="1"/>
                <w:bCs w:val="1"/>
                <w:color w:val="auto"/>
                <w:w w:val="92"/>
              </w:rPr>
              <w:t>after</w:t>
            </w:r>
          </w:p>
        </w:tc>
        <w:tc>
          <w:tcPr>
            <w:tcW w:w="22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580" w:type="dxa"/>
            <w:vAlign w:val="bottom"/>
          </w:tcPr>
          <w:p>
            <w:pPr>
              <w:jc w:val="right"/>
              <w:ind w:right="116"/>
              <w:spacing w:after="0"/>
              <w:rPr>
                <w:sz w:val="20"/>
                <w:szCs w:val="20"/>
                <w:color w:val="auto"/>
              </w:rPr>
            </w:pPr>
            <w:r>
              <w:rPr>
                <w:rFonts w:ascii="Arial" w:cs="Arial" w:eastAsia="Arial" w:hAnsi="Arial"/>
                <w:sz w:val="14"/>
                <w:szCs w:val="14"/>
                <w:b w:val="1"/>
                <w:bCs w:val="1"/>
                <w:color w:val="auto"/>
              </w:rPr>
              <w:t>Total</w:t>
            </w:r>
          </w:p>
        </w:tc>
      </w:tr>
      <w:tr>
        <w:trPr>
          <w:trHeight w:val="129"/>
        </w:trPr>
        <w:tc>
          <w:tcPr>
            <w:tcW w:w="5900" w:type="dxa"/>
            <w:vAlign w:val="bottom"/>
          </w:tcPr>
          <w:p>
            <w:pPr>
              <w:spacing w:after="0"/>
              <w:rPr>
                <w:sz w:val="11"/>
                <w:szCs w:val="11"/>
                <w:color w:val="auto"/>
              </w:rPr>
            </w:pPr>
          </w:p>
        </w:tc>
        <w:tc>
          <w:tcPr>
            <w:tcW w:w="80" w:type="dxa"/>
            <w:vAlign w:val="bottom"/>
            <w:tcBorders>
              <w:top w:val="single" w:sz="8" w:color="auto"/>
            </w:tcBorders>
          </w:tcPr>
          <w:p>
            <w:pPr>
              <w:spacing w:after="0"/>
              <w:rPr>
                <w:sz w:val="11"/>
                <w:szCs w:val="11"/>
                <w:color w:val="auto"/>
              </w:rPr>
            </w:pPr>
          </w:p>
        </w:tc>
        <w:tc>
          <w:tcPr>
            <w:tcW w:w="720" w:type="dxa"/>
            <w:vAlign w:val="bottom"/>
            <w:tcBorders>
              <w:top w:val="single" w:sz="8" w:color="auto"/>
            </w:tcBorders>
          </w:tcPr>
          <w:p>
            <w:pPr>
              <w:jc w:val="center"/>
              <w:spacing w:after="0" w:line="129" w:lineRule="exact"/>
              <w:rPr>
                <w:sz w:val="20"/>
                <w:szCs w:val="20"/>
                <w:color w:val="auto"/>
              </w:rPr>
            </w:pPr>
            <w:r>
              <w:rPr>
                <w:rFonts w:ascii="Arial" w:cs="Arial" w:eastAsia="Arial" w:hAnsi="Arial"/>
                <w:sz w:val="14"/>
                <w:szCs w:val="14"/>
                <w:b w:val="1"/>
                <w:bCs w:val="1"/>
                <w:color w:val="auto"/>
                <w:w w:val="89"/>
              </w:rPr>
              <w:t>(remaining</w:t>
            </w:r>
          </w:p>
        </w:tc>
        <w:tc>
          <w:tcPr>
            <w:tcW w:w="220" w:type="dxa"/>
            <w:vAlign w:val="bottom"/>
          </w:tcPr>
          <w:p>
            <w:pPr>
              <w:spacing w:after="0"/>
              <w:rPr>
                <w:sz w:val="11"/>
                <w:szCs w:val="11"/>
                <w:color w:val="auto"/>
              </w:rPr>
            </w:pPr>
          </w:p>
        </w:tc>
        <w:tc>
          <w:tcPr>
            <w:tcW w:w="580" w:type="dxa"/>
            <w:vAlign w:val="bottom"/>
            <w:tcBorders>
              <w:top w:val="single" w:sz="8" w:color="auto"/>
            </w:tcBorders>
          </w:tcPr>
          <w:p>
            <w:pPr>
              <w:spacing w:after="0"/>
              <w:rPr>
                <w:sz w:val="11"/>
                <w:szCs w:val="11"/>
                <w:color w:val="auto"/>
              </w:rPr>
            </w:pPr>
          </w:p>
        </w:tc>
        <w:tc>
          <w:tcPr>
            <w:tcW w:w="220" w:type="dxa"/>
            <w:vAlign w:val="bottom"/>
          </w:tcPr>
          <w:p>
            <w:pPr>
              <w:spacing w:after="0"/>
              <w:rPr>
                <w:sz w:val="11"/>
                <w:szCs w:val="11"/>
                <w:color w:val="auto"/>
              </w:rPr>
            </w:pPr>
          </w:p>
        </w:tc>
        <w:tc>
          <w:tcPr>
            <w:tcW w:w="580" w:type="dxa"/>
            <w:vAlign w:val="bottom"/>
            <w:tcBorders>
              <w:top w:val="single" w:sz="8" w:color="auto"/>
            </w:tcBorders>
          </w:tcPr>
          <w:p>
            <w:pPr>
              <w:spacing w:after="0"/>
              <w:rPr>
                <w:sz w:val="11"/>
                <w:szCs w:val="11"/>
                <w:color w:val="auto"/>
              </w:rPr>
            </w:pPr>
          </w:p>
        </w:tc>
        <w:tc>
          <w:tcPr>
            <w:tcW w:w="220" w:type="dxa"/>
            <w:vAlign w:val="bottom"/>
          </w:tcPr>
          <w:p>
            <w:pPr>
              <w:spacing w:after="0"/>
              <w:rPr>
                <w:sz w:val="11"/>
                <w:szCs w:val="11"/>
                <w:color w:val="auto"/>
              </w:rPr>
            </w:pPr>
          </w:p>
        </w:tc>
        <w:tc>
          <w:tcPr>
            <w:tcW w:w="580" w:type="dxa"/>
            <w:vAlign w:val="bottom"/>
            <w:tcBorders>
              <w:top w:val="single" w:sz="8" w:color="auto"/>
            </w:tcBorders>
          </w:tcPr>
          <w:p>
            <w:pPr>
              <w:spacing w:after="0"/>
              <w:rPr>
                <w:sz w:val="11"/>
                <w:szCs w:val="11"/>
                <w:color w:val="auto"/>
              </w:rPr>
            </w:pPr>
          </w:p>
        </w:tc>
        <w:tc>
          <w:tcPr>
            <w:tcW w:w="220" w:type="dxa"/>
            <w:vAlign w:val="bottom"/>
          </w:tcPr>
          <w:p>
            <w:pPr>
              <w:spacing w:after="0"/>
              <w:rPr>
                <w:sz w:val="11"/>
                <w:szCs w:val="11"/>
                <w:color w:val="auto"/>
              </w:rPr>
            </w:pPr>
          </w:p>
        </w:tc>
        <w:tc>
          <w:tcPr>
            <w:tcW w:w="500" w:type="dxa"/>
            <w:vAlign w:val="bottom"/>
            <w:tcBorders>
              <w:top w:val="single" w:sz="8" w:color="auto"/>
            </w:tcBorders>
          </w:tcPr>
          <w:p>
            <w:pPr>
              <w:spacing w:after="0"/>
              <w:rPr>
                <w:sz w:val="11"/>
                <w:szCs w:val="11"/>
                <w:color w:val="auto"/>
              </w:rPr>
            </w:pPr>
          </w:p>
        </w:tc>
        <w:tc>
          <w:tcPr>
            <w:tcW w:w="200" w:type="dxa"/>
            <w:vAlign w:val="bottom"/>
          </w:tcPr>
          <w:p>
            <w:pPr>
              <w:spacing w:after="0"/>
              <w:rPr>
                <w:sz w:val="11"/>
                <w:szCs w:val="11"/>
                <w:color w:val="auto"/>
              </w:rPr>
            </w:pPr>
          </w:p>
        </w:tc>
        <w:tc>
          <w:tcPr>
            <w:tcW w:w="500" w:type="dxa"/>
            <w:vAlign w:val="bottom"/>
            <w:tcBorders>
              <w:top w:val="single" w:sz="8" w:color="auto"/>
            </w:tcBorders>
          </w:tcPr>
          <w:p>
            <w:pPr>
              <w:spacing w:after="0"/>
              <w:rPr>
                <w:sz w:val="11"/>
                <w:szCs w:val="11"/>
                <w:color w:val="auto"/>
              </w:rPr>
            </w:pPr>
          </w:p>
        </w:tc>
        <w:tc>
          <w:tcPr>
            <w:tcW w:w="220" w:type="dxa"/>
            <w:vAlign w:val="bottom"/>
          </w:tcPr>
          <w:p>
            <w:pPr>
              <w:spacing w:after="0"/>
              <w:rPr>
                <w:sz w:val="11"/>
                <w:szCs w:val="11"/>
                <w:color w:val="auto"/>
              </w:rPr>
            </w:pPr>
          </w:p>
        </w:tc>
        <w:tc>
          <w:tcPr>
            <w:tcW w:w="100" w:type="dxa"/>
            <w:vAlign w:val="bottom"/>
            <w:tcBorders>
              <w:top w:val="single" w:sz="8" w:color="auto"/>
            </w:tcBorders>
          </w:tcPr>
          <w:p>
            <w:pPr>
              <w:spacing w:after="0"/>
              <w:rPr>
                <w:sz w:val="11"/>
                <w:szCs w:val="11"/>
                <w:color w:val="auto"/>
              </w:rPr>
            </w:pPr>
          </w:p>
        </w:tc>
        <w:tc>
          <w:tcPr>
            <w:tcW w:w="580" w:type="dxa"/>
            <w:vAlign w:val="bottom"/>
            <w:tcBorders>
              <w:top w:val="single" w:sz="8" w:color="auto"/>
            </w:tcBorders>
          </w:tcPr>
          <w:p>
            <w:pPr>
              <w:spacing w:after="0"/>
              <w:rPr>
                <w:sz w:val="11"/>
                <w:szCs w:val="11"/>
                <w:color w:val="auto"/>
              </w:rPr>
            </w:pPr>
          </w:p>
        </w:tc>
      </w:tr>
      <w:tr>
        <w:trPr>
          <w:trHeight w:val="161"/>
        </w:trPr>
        <w:tc>
          <w:tcPr>
            <w:tcW w:w="5900" w:type="dxa"/>
            <w:vAlign w:val="bottom"/>
          </w:tcPr>
          <w:p>
            <w:pPr>
              <w:spacing w:after="0"/>
              <w:rPr>
                <w:sz w:val="14"/>
                <w:szCs w:val="14"/>
                <w:color w:val="auto"/>
              </w:rPr>
            </w:pPr>
          </w:p>
        </w:tc>
        <w:tc>
          <w:tcPr>
            <w:tcW w:w="800" w:type="dxa"/>
            <w:vAlign w:val="bottom"/>
            <w:gridSpan w:val="2"/>
          </w:tcPr>
          <w:p>
            <w:pPr>
              <w:jc w:val="center"/>
              <w:spacing w:after="0"/>
              <w:rPr>
                <w:sz w:val="20"/>
                <w:szCs w:val="20"/>
                <w:color w:val="auto"/>
              </w:rPr>
            </w:pPr>
            <w:r>
              <w:rPr>
                <w:rFonts w:ascii="Arial" w:cs="Arial" w:eastAsia="Arial" w:hAnsi="Arial"/>
                <w:sz w:val="14"/>
                <w:szCs w:val="14"/>
                <w:b w:val="1"/>
                <w:bCs w:val="1"/>
                <w:color w:val="auto"/>
                <w:w w:val="85"/>
              </w:rPr>
              <w:t>three months)</w:t>
            </w:r>
          </w:p>
        </w:tc>
        <w:tc>
          <w:tcPr>
            <w:tcW w:w="220" w:type="dxa"/>
            <w:vAlign w:val="bottom"/>
          </w:tcPr>
          <w:p>
            <w:pPr>
              <w:spacing w:after="0"/>
              <w:rPr>
                <w:sz w:val="14"/>
                <w:szCs w:val="14"/>
                <w:color w:val="auto"/>
              </w:rPr>
            </w:pPr>
          </w:p>
        </w:tc>
        <w:tc>
          <w:tcPr>
            <w:tcW w:w="58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58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58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500" w:type="dxa"/>
            <w:vAlign w:val="bottom"/>
          </w:tcPr>
          <w:p>
            <w:pPr>
              <w:spacing w:after="0"/>
              <w:rPr>
                <w:sz w:val="14"/>
                <w:szCs w:val="14"/>
                <w:color w:val="auto"/>
              </w:rPr>
            </w:pPr>
          </w:p>
        </w:tc>
        <w:tc>
          <w:tcPr>
            <w:tcW w:w="200" w:type="dxa"/>
            <w:vAlign w:val="bottom"/>
          </w:tcPr>
          <w:p>
            <w:pPr>
              <w:spacing w:after="0"/>
              <w:rPr>
                <w:sz w:val="14"/>
                <w:szCs w:val="14"/>
                <w:color w:val="auto"/>
              </w:rPr>
            </w:pPr>
          </w:p>
        </w:tc>
        <w:tc>
          <w:tcPr>
            <w:tcW w:w="50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580" w:type="dxa"/>
            <w:vAlign w:val="bottom"/>
          </w:tcPr>
          <w:p>
            <w:pPr>
              <w:spacing w:after="0"/>
              <w:rPr>
                <w:sz w:val="14"/>
                <w:szCs w:val="14"/>
                <w:color w:val="auto"/>
              </w:rPr>
            </w:pPr>
          </w:p>
        </w:tc>
      </w:tr>
      <w:tr>
        <w:trPr>
          <w:trHeight w:val="216"/>
        </w:trPr>
        <w:tc>
          <w:tcPr>
            <w:tcW w:w="5900" w:type="dxa"/>
            <w:vAlign w:val="bottom"/>
            <w:shd w:val="clear" w:color="auto" w:fill="CCEEFF"/>
          </w:tcPr>
          <w:p>
            <w:pPr>
              <w:spacing w:after="0"/>
              <w:rPr>
                <w:sz w:val="20"/>
                <w:szCs w:val="20"/>
                <w:color w:val="auto"/>
              </w:rPr>
            </w:pPr>
            <w:r>
              <w:rPr>
                <w:rFonts w:ascii="Arial" w:cs="Arial" w:eastAsia="Arial" w:hAnsi="Arial"/>
                <w:sz w:val="18"/>
                <w:szCs w:val="18"/>
                <w:color w:val="auto"/>
              </w:rPr>
              <w:t>Contractual obligations:</w:t>
            </w:r>
          </w:p>
        </w:tc>
        <w:tc>
          <w:tcPr>
            <w:tcW w:w="80" w:type="dxa"/>
            <w:vAlign w:val="bottom"/>
            <w:shd w:val="clear" w:color="auto" w:fill="CCEEFF"/>
          </w:tcPr>
          <w:p>
            <w:pPr>
              <w:spacing w:after="0"/>
              <w:rPr>
                <w:sz w:val="18"/>
                <w:szCs w:val="18"/>
                <w:color w:val="auto"/>
              </w:rPr>
            </w:pPr>
          </w:p>
        </w:tc>
        <w:tc>
          <w:tcPr>
            <w:tcW w:w="72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58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58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58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50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50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spacing w:after="0"/>
              <w:rPr>
                <w:sz w:val="18"/>
                <w:szCs w:val="18"/>
                <w:color w:val="auto"/>
              </w:rPr>
            </w:pPr>
          </w:p>
        </w:tc>
      </w:tr>
      <w:tr>
        <w:trPr>
          <w:trHeight w:val="216"/>
        </w:trPr>
        <w:tc>
          <w:tcPr>
            <w:tcW w:w="5900" w:type="dxa"/>
            <w:vAlign w:val="bottom"/>
          </w:tcPr>
          <w:p>
            <w:pPr>
              <w:ind w:left="440"/>
              <w:spacing w:after="0"/>
              <w:rPr>
                <w:sz w:val="20"/>
                <w:szCs w:val="20"/>
                <w:color w:val="auto"/>
              </w:rPr>
            </w:pPr>
            <w:r>
              <w:rPr>
                <w:rFonts w:ascii="Arial" w:cs="Arial" w:eastAsia="Arial" w:hAnsi="Arial"/>
                <w:sz w:val="18"/>
                <w:szCs w:val="18"/>
                <w:color w:val="auto"/>
              </w:rPr>
              <w:t>Operating leases</w:t>
            </w:r>
          </w:p>
        </w:tc>
        <w:tc>
          <w:tcPr>
            <w:tcW w:w="80" w:type="dxa"/>
            <w:vAlign w:val="bottom"/>
          </w:tcPr>
          <w:p>
            <w:pPr>
              <w:jc w:val="right"/>
              <w:spacing w:after="0"/>
              <w:rPr>
                <w:sz w:val="20"/>
                <w:szCs w:val="20"/>
                <w:color w:val="auto"/>
              </w:rPr>
            </w:pPr>
            <w:r>
              <w:rPr>
                <w:rFonts w:ascii="Arial" w:cs="Arial" w:eastAsia="Arial" w:hAnsi="Arial"/>
                <w:sz w:val="15"/>
                <w:szCs w:val="15"/>
                <w:color w:val="auto"/>
                <w:w w:val="71"/>
              </w:rPr>
              <w:t>$</w:t>
            </w:r>
          </w:p>
        </w:tc>
        <w:tc>
          <w:tcPr>
            <w:tcW w:w="720" w:type="dxa"/>
            <w:vAlign w:val="bottom"/>
          </w:tcPr>
          <w:p>
            <w:pPr>
              <w:jc w:val="right"/>
              <w:spacing w:after="0"/>
              <w:rPr>
                <w:sz w:val="20"/>
                <w:szCs w:val="20"/>
                <w:color w:val="auto"/>
              </w:rPr>
            </w:pPr>
            <w:r>
              <w:rPr>
                <w:rFonts w:ascii="Arial" w:cs="Arial" w:eastAsia="Arial" w:hAnsi="Arial"/>
                <w:sz w:val="18"/>
                <w:szCs w:val="18"/>
                <w:color w:val="auto"/>
              </w:rPr>
              <w:t>9,154</w:t>
            </w:r>
          </w:p>
        </w:tc>
        <w:tc>
          <w:tcPr>
            <w:tcW w:w="800" w:type="dxa"/>
            <w:vAlign w:val="bottom"/>
            <w:gridSpan w:val="2"/>
          </w:tcPr>
          <w:p>
            <w:pPr>
              <w:jc w:val="right"/>
              <w:spacing w:after="0"/>
              <w:rPr>
                <w:sz w:val="20"/>
                <w:szCs w:val="20"/>
                <w:color w:val="auto"/>
              </w:rPr>
            </w:pPr>
            <w:r>
              <w:rPr>
                <w:rFonts w:ascii="Arial" w:cs="Arial" w:eastAsia="Arial" w:hAnsi="Arial"/>
                <w:sz w:val="18"/>
                <w:szCs w:val="18"/>
                <w:color w:val="auto"/>
              </w:rPr>
              <w:t>$33,445</w:t>
            </w:r>
          </w:p>
        </w:tc>
        <w:tc>
          <w:tcPr>
            <w:tcW w:w="800" w:type="dxa"/>
            <w:vAlign w:val="bottom"/>
            <w:gridSpan w:val="2"/>
          </w:tcPr>
          <w:p>
            <w:pPr>
              <w:jc w:val="right"/>
              <w:spacing w:after="0"/>
              <w:rPr>
                <w:sz w:val="20"/>
                <w:szCs w:val="20"/>
                <w:color w:val="auto"/>
              </w:rPr>
            </w:pPr>
            <w:r>
              <w:rPr>
                <w:rFonts w:ascii="Arial" w:cs="Arial" w:eastAsia="Arial" w:hAnsi="Arial"/>
                <w:sz w:val="18"/>
                <w:szCs w:val="18"/>
                <w:color w:val="auto"/>
              </w:rPr>
              <w:t>$22,909</w:t>
            </w:r>
          </w:p>
        </w:tc>
        <w:tc>
          <w:tcPr>
            <w:tcW w:w="800" w:type="dxa"/>
            <w:vAlign w:val="bottom"/>
            <w:gridSpan w:val="2"/>
          </w:tcPr>
          <w:p>
            <w:pPr>
              <w:jc w:val="center"/>
              <w:ind w:left="139"/>
              <w:spacing w:after="0"/>
              <w:rPr>
                <w:sz w:val="20"/>
                <w:szCs w:val="20"/>
                <w:color w:val="auto"/>
              </w:rPr>
            </w:pPr>
            <w:r>
              <w:rPr>
                <w:rFonts w:ascii="Arial" w:cs="Arial" w:eastAsia="Arial" w:hAnsi="Arial"/>
                <w:sz w:val="18"/>
                <w:szCs w:val="18"/>
                <w:color w:val="auto"/>
                <w:w w:val="89"/>
              </w:rPr>
              <w:t>$15,515</w:t>
            </w:r>
          </w:p>
        </w:tc>
        <w:tc>
          <w:tcPr>
            <w:tcW w:w="720" w:type="dxa"/>
            <w:vAlign w:val="bottom"/>
            <w:gridSpan w:val="2"/>
          </w:tcPr>
          <w:p>
            <w:pPr>
              <w:jc w:val="center"/>
              <w:ind w:left="139"/>
              <w:spacing w:after="0"/>
              <w:rPr>
                <w:sz w:val="20"/>
                <w:szCs w:val="20"/>
                <w:color w:val="auto"/>
              </w:rPr>
            </w:pPr>
            <w:r>
              <w:rPr>
                <w:rFonts w:ascii="Arial" w:cs="Arial" w:eastAsia="Arial" w:hAnsi="Arial"/>
                <w:sz w:val="18"/>
                <w:szCs w:val="18"/>
                <w:color w:val="auto"/>
                <w:w w:val="90"/>
              </w:rPr>
              <w:t>$2,999</w:t>
            </w:r>
          </w:p>
        </w:tc>
        <w:tc>
          <w:tcPr>
            <w:tcW w:w="700" w:type="dxa"/>
            <w:vAlign w:val="bottom"/>
            <w:gridSpan w:val="2"/>
          </w:tcPr>
          <w:p>
            <w:pPr>
              <w:jc w:val="center"/>
              <w:ind w:left="112"/>
              <w:spacing w:after="0"/>
              <w:rPr>
                <w:sz w:val="20"/>
                <w:szCs w:val="20"/>
                <w:color w:val="auto"/>
              </w:rPr>
            </w:pPr>
            <w:r>
              <w:rPr>
                <w:rFonts w:ascii="Arial" w:cs="Arial" w:eastAsia="Arial" w:hAnsi="Arial"/>
                <w:sz w:val="18"/>
                <w:szCs w:val="18"/>
                <w:color w:val="auto"/>
                <w:w w:val="90"/>
              </w:rPr>
              <w:t>$9,720</w:t>
            </w:r>
          </w:p>
        </w:tc>
        <w:tc>
          <w:tcPr>
            <w:tcW w:w="32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580" w:type="dxa"/>
            <w:vAlign w:val="bottom"/>
          </w:tcPr>
          <w:p>
            <w:pPr>
              <w:jc w:val="right"/>
              <w:spacing w:after="0"/>
              <w:rPr>
                <w:sz w:val="20"/>
                <w:szCs w:val="20"/>
                <w:color w:val="auto"/>
              </w:rPr>
            </w:pPr>
            <w:r>
              <w:rPr>
                <w:rFonts w:ascii="Arial" w:cs="Arial" w:eastAsia="Arial" w:hAnsi="Arial"/>
                <w:sz w:val="18"/>
                <w:szCs w:val="18"/>
                <w:color w:val="auto"/>
              </w:rPr>
              <w:t>93,742</w:t>
            </w:r>
          </w:p>
        </w:tc>
      </w:tr>
      <w:tr>
        <w:trPr>
          <w:trHeight w:val="216"/>
        </w:trPr>
        <w:tc>
          <w:tcPr>
            <w:tcW w:w="5900" w:type="dxa"/>
            <w:vAlign w:val="bottom"/>
            <w:shd w:val="clear" w:color="auto" w:fill="CCEEFF"/>
          </w:tcPr>
          <w:p>
            <w:pPr>
              <w:ind w:left="440"/>
              <w:spacing w:after="0"/>
              <w:rPr>
                <w:sz w:val="20"/>
                <w:szCs w:val="20"/>
                <w:color w:val="auto"/>
              </w:rPr>
            </w:pPr>
            <w:r>
              <w:rPr>
                <w:rFonts w:ascii="Arial" w:cs="Arial" w:eastAsia="Arial" w:hAnsi="Arial"/>
                <w:sz w:val="18"/>
                <w:szCs w:val="18"/>
                <w:color w:val="auto"/>
              </w:rPr>
              <w:t>Capital lease obligations</w:t>
            </w:r>
          </w:p>
        </w:tc>
        <w:tc>
          <w:tcPr>
            <w:tcW w:w="80" w:type="dxa"/>
            <w:vAlign w:val="bottom"/>
            <w:shd w:val="clear" w:color="auto" w:fill="CCEEFF"/>
          </w:tcPr>
          <w:p>
            <w:pPr>
              <w:spacing w:after="0"/>
              <w:rPr>
                <w:sz w:val="18"/>
                <w:szCs w:val="18"/>
                <w:color w:val="auto"/>
              </w:rPr>
            </w:pPr>
          </w:p>
        </w:tc>
        <w:tc>
          <w:tcPr>
            <w:tcW w:w="7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521</w:t>
            </w:r>
          </w:p>
        </w:tc>
        <w:tc>
          <w:tcPr>
            <w:tcW w:w="80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2,084</w:t>
            </w:r>
          </w:p>
        </w:tc>
        <w:tc>
          <w:tcPr>
            <w:tcW w:w="80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522</w:t>
            </w:r>
          </w:p>
        </w:tc>
        <w:tc>
          <w:tcPr>
            <w:tcW w:w="220" w:type="dxa"/>
            <w:vAlign w:val="bottom"/>
            <w:shd w:val="clear" w:color="auto" w:fill="CCEEFF"/>
          </w:tcPr>
          <w:p>
            <w:pPr>
              <w:spacing w:after="0"/>
              <w:rPr>
                <w:sz w:val="18"/>
                <w:szCs w:val="18"/>
                <w:color w:val="auto"/>
              </w:rPr>
            </w:pPr>
          </w:p>
        </w:tc>
        <w:tc>
          <w:tcPr>
            <w:tcW w:w="580" w:type="dxa"/>
            <w:vAlign w:val="bottom"/>
            <w:shd w:val="clear" w:color="auto" w:fill="CCEEFF"/>
          </w:tcPr>
          <w:p>
            <w:pPr>
              <w:ind w:left="320"/>
              <w:spacing w:after="0"/>
              <w:rPr>
                <w:sz w:val="20"/>
                <w:szCs w:val="20"/>
                <w:color w:val="auto"/>
              </w:rPr>
            </w:pPr>
            <w:r>
              <w:rPr>
                <w:rFonts w:ascii="Arial" w:cs="Arial" w:eastAsia="Arial" w:hAnsi="Arial"/>
                <w:sz w:val="18"/>
                <w:szCs w:val="18"/>
                <w:color w:val="auto"/>
              </w:rPr>
              <w:t>—</w:t>
            </w:r>
          </w:p>
        </w:tc>
        <w:tc>
          <w:tcPr>
            <w:tcW w:w="220" w:type="dxa"/>
            <w:vAlign w:val="bottom"/>
            <w:shd w:val="clear" w:color="auto" w:fill="CCEEFF"/>
          </w:tcPr>
          <w:p>
            <w:pPr>
              <w:spacing w:after="0"/>
              <w:rPr>
                <w:sz w:val="18"/>
                <w:szCs w:val="18"/>
                <w:color w:val="auto"/>
              </w:rPr>
            </w:pPr>
          </w:p>
        </w:tc>
        <w:tc>
          <w:tcPr>
            <w:tcW w:w="500" w:type="dxa"/>
            <w:vAlign w:val="bottom"/>
            <w:shd w:val="clear" w:color="auto" w:fill="CCEEFF"/>
          </w:tcPr>
          <w:p>
            <w:pPr>
              <w:jc w:val="right"/>
              <w:ind w:right="17"/>
              <w:spacing w:after="0"/>
              <w:rPr>
                <w:sz w:val="20"/>
                <w:szCs w:val="20"/>
                <w:color w:val="auto"/>
              </w:rPr>
            </w:pPr>
            <w:r>
              <w:rPr>
                <w:rFonts w:ascii="Arial" w:cs="Arial" w:eastAsia="Arial" w:hAnsi="Arial"/>
                <w:sz w:val="18"/>
                <w:szCs w:val="18"/>
                <w:color w:val="auto"/>
              </w:rPr>
              <w:t>—</w:t>
            </w:r>
          </w:p>
        </w:tc>
        <w:tc>
          <w:tcPr>
            <w:tcW w:w="200" w:type="dxa"/>
            <w:vAlign w:val="bottom"/>
            <w:shd w:val="clear" w:color="auto" w:fill="CCEEFF"/>
          </w:tcPr>
          <w:p>
            <w:pPr>
              <w:spacing w:after="0"/>
              <w:rPr>
                <w:sz w:val="18"/>
                <w:szCs w:val="18"/>
                <w:color w:val="auto"/>
              </w:rPr>
            </w:pPr>
          </w:p>
        </w:tc>
        <w:tc>
          <w:tcPr>
            <w:tcW w:w="500" w:type="dxa"/>
            <w:vAlign w:val="bottom"/>
            <w:shd w:val="clear" w:color="auto" w:fill="CCEEFF"/>
          </w:tcPr>
          <w:p>
            <w:pPr>
              <w:ind w:left="240"/>
              <w:spacing w:after="0"/>
              <w:rPr>
                <w:sz w:val="20"/>
                <w:szCs w:val="20"/>
                <w:color w:val="auto"/>
              </w:rPr>
            </w:pPr>
            <w:r>
              <w:rPr>
                <w:rFonts w:ascii="Arial" w:cs="Arial" w:eastAsia="Arial" w:hAnsi="Arial"/>
                <w:sz w:val="18"/>
                <w:szCs w:val="18"/>
                <w:color w:val="auto"/>
              </w:rPr>
              <w:t>—</w:t>
            </w:r>
          </w:p>
        </w:tc>
        <w:tc>
          <w:tcPr>
            <w:tcW w:w="2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3,127</w:t>
            </w:r>
          </w:p>
        </w:tc>
      </w:tr>
      <w:tr>
        <w:trPr>
          <w:trHeight w:val="216"/>
        </w:trPr>
        <w:tc>
          <w:tcPr>
            <w:tcW w:w="5900" w:type="dxa"/>
            <w:vAlign w:val="bottom"/>
          </w:tcPr>
          <w:p>
            <w:pPr>
              <w:ind w:left="440"/>
              <w:spacing w:after="0"/>
              <w:rPr>
                <w:sz w:val="20"/>
                <w:szCs w:val="20"/>
                <w:color w:val="auto"/>
              </w:rPr>
            </w:pPr>
            <w:r>
              <w:rPr>
                <w:rFonts w:ascii="Arial" w:cs="Arial" w:eastAsia="Arial" w:hAnsi="Arial"/>
                <w:sz w:val="18"/>
                <w:szCs w:val="18"/>
                <w:color w:val="auto"/>
              </w:rPr>
              <w:t>Purchase commitments to foundries</w:t>
            </w:r>
          </w:p>
        </w:tc>
        <w:tc>
          <w:tcPr>
            <w:tcW w:w="80" w:type="dxa"/>
            <w:vAlign w:val="bottom"/>
          </w:tcPr>
          <w:p>
            <w:pPr>
              <w:spacing w:after="0"/>
              <w:rPr>
                <w:sz w:val="18"/>
                <w:szCs w:val="18"/>
                <w:color w:val="auto"/>
              </w:rPr>
            </w:pPr>
          </w:p>
        </w:tc>
        <w:tc>
          <w:tcPr>
            <w:tcW w:w="720" w:type="dxa"/>
            <w:vAlign w:val="bottom"/>
          </w:tcPr>
          <w:p>
            <w:pPr>
              <w:jc w:val="right"/>
              <w:spacing w:after="0"/>
              <w:rPr>
                <w:sz w:val="20"/>
                <w:szCs w:val="20"/>
                <w:color w:val="auto"/>
              </w:rPr>
            </w:pPr>
            <w:r>
              <w:rPr>
                <w:rFonts w:ascii="Arial" w:cs="Arial" w:eastAsia="Arial" w:hAnsi="Arial"/>
                <w:sz w:val="18"/>
                <w:szCs w:val="18"/>
                <w:color w:val="auto"/>
              </w:rPr>
              <w:t>139,740</w:t>
            </w:r>
          </w:p>
        </w:tc>
        <w:tc>
          <w:tcPr>
            <w:tcW w:w="22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rPr>
              <w:t>—</w:t>
            </w:r>
          </w:p>
        </w:tc>
        <w:tc>
          <w:tcPr>
            <w:tcW w:w="220" w:type="dxa"/>
            <w:vAlign w:val="bottom"/>
          </w:tcPr>
          <w:p>
            <w:pPr>
              <w:spacing w:after="0"/>
              <w:rPr>
                <w:sz w:val="18"/>
                <w:szCs w:val="18"/>
                <w:color w:val="auto"/>
              </w:rPr>
            </w:pPr>
          </w:p>
        </w:tc>
        <w:tc>
          <w:tcPr>
            <w:tcW w:w="580" w:type="dxa"/>
            <w:vAlign w:val="bottom"/>
          </w:tcPr>
          <w:p>
            <w:pPr>
              <w:jc w:val="right"/>
              <w:ind w:right="2"/>
              <w:spacing w:after="0"/>
              <w:rPr>
                <w:sz w:val="20"/>
                <w:szCs w:val="20"/>
                <w:color w:val="auto"/>
              </w:rPr>
            </w:pPr>
            <w:r>
              <w:rPr>
                <w:rFonts w:ascii="Arial" w:cs="Arial" w:eastAsia="Arial" w:hAnsi="Arial"/>
                <w:sz w:val="18"/>
                <w:szCs w:val="18"/>
                <w:color w:val="auto"/>
              </w:rPr>
              <w:t>—</w:t>
            </w:r>
          </w:p>
        </w:tc>
        <w:tc>
          <w:tcPr>
            <w:tcW w:w="220" w:type="dxa"/>
            <w:vAlign w:val="bottom"/>
          </w:tcPr>
          <w:p>
            <w:pPr>
              <w:spacing w:after="0"/>
              <w:rPr>
                <w:sz w:val="18"/>
                <w:szCs w:val="18"/>
                <w:color w:val="auto"/>
              </w:rPr>
            </w:pPr>
          </w:p>
        </w:tc>
        <w:tc>
          <w:tcPr>
            <w:tcW w:w="580" w:type="dxa"/>
            <w:vAlign w:val="bottom"/>
          </w:tcPr>
          <w:p>
            <w:pPr>
              <w:ind w:left="320"/>
              <w:spacing w:after="0"/>
              <w:rPr>
                <w:sz w:val="20"/>
                <w:szCs w:val="20"/>
                <w:color w:val="auto"/>
              </w:rPr>
            </w:pPr>
            <w:r>
              <w:rPr>
                <w:rFonts w:ascii="Arial" w:cs="Arial" w:eastAsia="Arial" w:hAnsi="Arial"/>
                <w:sz w:val="18"/>
                <w:szCs w:val="18"/>
                <w:color w:val="auto"/>
              </w:rPr>
              <w:t>—</w:t>
            </w:r>
          </w:p>
        </w:tc>
        <w:tc>
          <w:tcPr>
            <w:tcW w:w="220" w:type="dxa"/>
            <w:vAlign w:val="bottom"/>
          </w:tcPr>
          <w:p>
            <w:pPr>
              <w:spacing w:after="0"/>
              <w:rPr>
                <w:sz w:val="18"/>
                <w:szCs w:val="18"/>
                <w:color w:val="auto"/>
              </w:rPr>
            </w:pPr>
          </w:p>
        </w:tc>
        <w:tc>
          <w:tcPr>
            <w:tcW w:w="500" w:type="dxa"/>
            <w:vAlign w:val="bottom"/>
          </w:tcPr>
          <w:p>
            <w:pPr>
              <w:jc w:val="right"/>
              <w:ind w:right="17"/>
              <w:spacing w:after="0"/>
              <w:rPr>
                <w:sz w:val="20"/>
                <w:szCs w:val="20"/>
                <w:color w:val="auto"/>
              </w:rPr>
            </w:pPr>
            <w:r>
              <w:rPr>
                <w:rFonts w:ascii="Arial" w:cs="Arial" w:eastAsia="Arial" w:hAnsi="Arial"/>
                <w:sz w:val="18"/>
                <w:szCs w:val="18"/>
                <w:color w:val="auto"/>
              </w:rPr>
              <w:t>—</w:t>
            </w:r>
          </w:p>
        </w:tc>
        <w:tc>
          <w:tcPr>
            <w:tcW w:w="200" w:type="dxa"/>
            <w:vAlign w:val="bottom"/>
          </w:tcPr>
          <w:p>
            <w:pPr>
              <w:spacing w:after="0"/>
              <w:rPr>
                <w:sz w:val="18"/>
                <w:szCs w:val="18"/>
                <w:color w:val="auto"/>
              </w:rPr>
            </w:pPr>
          </w:p>
        </w:tc>
        <w:tc>
          <w:tcPr>
            <w:tcW w:w="500" w:type="dxa"/>
            <w:vAlign w:val="bottom"/>
          </w:tcPr>
          <w:p>
            <w:pPr>
              <w:ind w:left="240"/>
              <w:spacing w:after="0"/>
              <w:rPr>
                <w:sz w:val="20"/>
                <w:szCs w:val="20"/>
                <w:color w:val="auto"/>
              </w:rPr>
            </w:pPr>
            <w:r>
              <w:rPr>
                <w:rFonts w:ascii="Arial" w:cs="Arial" w:eastAsia="Arial" w:hAnsi="Arial"/>
                <w:sz w:val="18"/>
                <w:szCs w:val="18"/>
                <w:color w:val="auto"/>
              </w:rPr>
              <w:t>—</w:t>
            </w:r>
          </w:p>
        </w:tc>
        <w:tc>
          <w:tcPr>
            <w:tcW w:w="2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w w:val="86"/>
              </w:rPr>
              <w:t>139,740</w:t>
            </w:r>
          </w:p>
        </w:tc>
      </w:tr>
      <w:tr>
        <w:trPr>
          <w:trHeight w:val="216"/>
        </w:trPr>
        <w:tc>
          <w:tcPr>
            <w:tcW w:w="5900" w:type="dxa"/>
            <w:vAlign w:val="bottom"/>
            <w:shd w:val="clear" w:color="auto" w:fill="CCEEFF"/>
          </w:tcPr>
          <w:p>
            <w:pPr>
              <w:ind w:left="440"/>
              <w:spacing w:after="0"/>
              <w:rPr>
                <w:sz w:val="20"/>
                <w:szCs w:val="20"/>
                <w:color w:val="auto"/>
              </w:rPr>
            </w:pPr>
            <w:r>
              <w:rPr>
                <w:rFonts w:ascii="Arial" w:cs="Arial" w:eastAsia="Arial" w:hAnsi="Arial"/>
                <w:sz w:val="18"/>
                <w:szCs w:val="18"/>
                <w:color w:val="auto"/>
              </w:rPr>
              <w:t>Capital purchase obligations</w:t>
            </w:r>
          </w:p>
        </w:tc>
        <w:tc>
          <w:tcPr>
            <w:tcW w:w="80" w:type="dxa"/>
            <w:vAlign w:val="bottom"/>
            <w:tcBorders>
              <w:bottom w:val="single" w:sz="8" w:color="auto"/>
            </w:tcBorders>
            <w:shd w:val="clear" w:color="auto" w:fill="CCEEFF"/>
          </w:tcPr>
          <w:p>
            <w:pPr>
              <w:spacing w:after="0"/>
              <w:rPr>
                <w:sz w:val="18"/>
                <w:szCs w:val="18"/>
                <w:color w:val="auto"/>
              </w:rPr>
            </w:pPr>
          </w:p>
        </w:tc>
        <w:tc>
          <w:tcPr>
            <w:tcW w:w="72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21,156</w:t>
            </w:r>
          </w:p>
        </w:tc>
        <w:tc>
          <w:tcPr>
            <w:tcW w:w="220" w:type="dxa"/>
            <w:vAlign w:val="bottom"/>
            <w:shd w:val="clear" w:color="auto" w:fill="CCEEFF"/>
          </w:tcPr>
          <w:p>
            <w:pPr>
              <w:spacing w:after="0"/>
              <w:rPr>
                <w:sz w:val="18"/>
                <w:szCs w:val="18"/>
                <w:color w:val="auto"/>
              </w:rPr>
            </w:pPr>
          </w:p>
        </w:tc>
        <w:tc>
          <w:tcPr>
            <w:tcW w:w="58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220" w:type="dxa"/>
            <w:vAlign w:val="bottom"/>
            <w:shd w:val="clear" w:color="auto" w:fill="CCEEFF"/>
          </w:tcPr>
          <w:p>
            <w:pPr>
              <w:spacing w:after="0"/>
              <w:rPr>
                <w:sz w:val="18"/>
                <w:szCs w:val="18"/>
                <w:color w:val="auto"/>
              </w:rPr>
            </w:pPr>
          </w:p>
        </w:tc>
        <w:tc>
          <w:tcPr>
            <w:tcW w:w="580" w:type="dxa"/>
            <w:vAlign w:val="bottom"/>
            <w:tcBorders>
              <w:bottom w:val="single" w:sz="8" w:color="auto"/>
            </w:tcBorders>
            <w:shd w:val="clear" w:color="auto" w:fill="CCEEFF"/>
          </w:tcPr>
          <w:p>
            <w:pPr>
              <w:jc w:val="right"/>
              <w:ind w:right="2"/>
              <w:spacing w:after="0"/>
              <w:rPr>
                <w:sz w:val="20"/>
                <w:szCs w:val="20"/>
                <w:color w:val="auto"/>
              </w:rPr>
            </w:pPr>
            <w:r>
              <w:rPr>
                <w:rFonts w:ascii="Arial" w:cs="Arial" w:eastAsia="Arial" w:hAnsi="Arial"/>
                <w:sz w:val="18"/>
                <w:szCs w:val="18"/>
                <w:color w:val="auto"/>
              </w:rPr>
              <w:t>—</w:t>
            </w:r>
          </w:p>
        </w:tc>
        <w:tc>
          <w:tcPr>
            <w:tcW w:w="220" w:type="dxa"/>
            <w:vAlign w:val="bottom"/>
            <w:shd w:val="clear" w:color="auto" w:fill="CCEEFF"/>
          </w:tcPr>
          <w:p>
            <w:pPr>
              <w:spacing w:after="0"/>
              <w:rPr>
                <w:sz w:val="18"/>
                <w:szCs w:val="18"/>
                <w:color w:val="auto"/>
              </w:rPr>
            </w:pPr>
          </w:p>
        </w:tc>
        <w:tc>
          <w:tcPr>
            <w:tcW w:w="580" w:type="dxa"/>
            <w:vAlign w:val="bottom"/>
            <w:tcBorders>
              <w:bottom w:val="single" w:sz="8" w:color="auto"/>
            </w:tcBorders>
            <w:shd w:val="clear" w:color="auto" w:fill="CCEEFF"/>
          </w:tcPr>
          <w:p>
            <w:pPr>
              <w:ind w:left="320"/>
              <w:spacing w:after="0"/>
              <w:rPr>
                <w:sz w:val="20"/>
                <w:szCs w:val="20"/>
                <w:color w:val="auto"/>
              </w:rPr>
            </w:pPr>
            <w:r>
              <w:rPr>
                <w:rFonts w:ascii="Arial" w:cs="Arial" w:eastAsia="Arial" w:hAnsi="Arial"/>
                <w:sz w:val="18"/>
                <w:szCs w:val="18"/>
                <w:color w:val="auto"/>
              </w:rPr>
              <w:t>—</w:t>
            </w:r>
          </w:p>
        </w:tc>
        <w:tc>
          <w:tcPr>
            <w:tcW w:w="220" w:type="dxa"/>
            <w:vAlign w:val="bottom"/>
            <w:shd w:val="clear" w:color="auto" w:fill="CCEEFF"/>
          </w:tcPr>
          <w:p>
            <w:pPr>
              <w:spacing w:after="0"/>
              <w:rPr>
                <w:sz w:val="18"/>
                <w:szCs w:val="18"/>
                <w:color w:val="auto"/>
              </w:rPr>
            </w:pPr>
          </w:p>
        </w:tc>
        <w:tc>
          <w:tcPr>
            <w:tcW w:w="500" w:type="dxa"/>
            <w:vAlign w:val="bottom"/>
            <w:tcBorders>
              <w:bottom w:val="single" w:sz="8" w:color="auto"/>
            </w:tcBorders>
            <w:shd w:val="clear" w:color="auto" w:fill="CCEEFF"/>
          </w:tcPr>
          <w:p>
            <w:pPr>
              <w:jc w:val="right"/>
              <w:ind w:right="17"/>
              <w:spacing w:after="0"/>
              <w:rPr>
                <w:sz w:val="20"/>
                <w:szCs w:val="20"/>
                <w:color w:val="auto"/>
              </w:rPr>
            </w:pPr>
            <w:r>
              <w:rPr>
                <w:rFonts w:ascii="Arial" w:cs="Arial" w:eastAsia="Arial" w:hAnsi="Arial"/>
                <w:sz w:val="18"/>
                <w:szCs w:val="18"/>
                <w:color w:val="auto"/>
              </w:rPr>
              <w:t>—</w:t>
            </w:r>
          </w:p>
        </w:tc>
        <w:tc>
          <w:tcPr>
            <w:tcW w:w="200" w:type="dxa"/>
            <w:vAlign w:val="bottom"/>
            <w:shd w:val="clear" w:color="auto" w:fill="CCEEFF"/>
          </w:tcPr>
          <w:p>
            <w:pPr>
              <w:spacing w:after="0"/>
              <w:rPr>
                <w:sz w:val="18"/>
                <w:szCs w:val="18"/>
                <w:color w:val="auto"/>
              </w:rPr>
            </w:pPr>
          </w:p>
        </w:tc>
        <w:tc>
          <w:tcPr>
            <w:tcW w:w="500" w:type="dxa"/>
            <w:vAlign w:val="bottom"/>
            <w:tcBorders>
              <w:bottom w:val="single" w:sz="8" w:color="auto"/>
            </w:tcBorders>
            <w:shd w:val="clear" w:color="auto" w:fill="CCEEFF"/>
          </w:tcPr>
          <w:p>
            <w:pPr>
              <w:ind w:left="240"/>
              <w:spacing w:after="0"/>
              <w:rPr>
                <w:sz w:val="20"/>
                <w:szCs w:val="20"/>
                <w:color w:val="auto"/>
              </w:rPr>
            </w:pPr>
            <w:r>
              <w:rPr>
                <w:rFonts w:ascii="Arial" w:cs="Arial" w:eastAsia="Arial" w:hAnsi="Arial"/>
                <w:sz w:val="18"/>
                <w:szCs w:val="18"/>
                <w:color w:val="auto"/>
              </w:rPr>
              <w:t>—</w:t>
            </w:r>
          </w:p>
        </w:tc>
        <w:tc>
          <w:tcPr>
            <w:tcW w:w="220" w:type="dxa"/>
            <w:vAlign w:val="bottom"/>
            <w:shd w:val="clear" w:color="auto" w:fill="CCEEFF"/>
          </w:tcPr>
          <w:p>
            <w:pPr>
              <w:spacing w:after="0"/>
              <w:rPr>
                <w:sz w:val="18"/>
                <w:szCs w:val="18"/>
                <w:color w:val="auto"/>
              </w:rPr>
            </w:pPr>
          </w:p>
        </w:tc>
        <w:tc>
          <w:tcPr>
            <w:tcW w:w="100" w:type="dxa"/>
            <w:vAlign w:val="bottom"/>
            <w:tcBorders>
              <w:bottom w:val="single" w:sz="8" w:color="auto"/>
            </w:tcBorders>
            <w:shd w:val="clear" w:color="auto" w:fill="CCEEFF"/>
          </w:tcPr>
          <w:p>
            <w:pPr>
              <w:spacing w:after="0"/>
              <w:rPr>
                <w:sz w:val="18"/>
                <w:szCs w:val="18"/>
                <w:color w:val="auto"/>
              </w:rPr>
            </w:pPr>
          </w:p>
        </w:tc>
        <w:tc>
          <w:tcPr>
            <w:tcW w:w="58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21,156</w:t>
            </w:r>
          </w:p>
        </w:tc>
      </w:tr>
      <w:tr>
        <w:trPr>
          <w:trHeight w:val="222"/>
        </w:trPr>
        <w:tc>
          <w:tcPr>
            <w:tcW w:w="5900" w:type="dxa"/>
            <w:vAlign w:val="bottom"/>
          </w:tcPr>
          <w:p>
            <w:pPr>
              <w:spacing w:after="0"/>
              <w:rPr>
                <w:sz w:val="20"/>
                <w:szCs w:val="20"/>
                <w:color w:val="auto"/>
              </w:rPr>
            </w:pPr>
            <w:r>
              <w:rPr>
                <w:rFonts w:ascii="Arial" w:cs="Arial" w:eastAsia="Arial" w:hAnsi="Arial"/>
                <w:sz w:val="18"/>
                <w:szCs w:val="18"/>
                <w:color w:val="auto"/>
              </w:rPr>
              <w:t>Total contractual cash obligations</w:t>
            </w:r>
          </w:p>
        </w:tc>
        <w:tc>
          <w:tcPr>
            <w:tcW w:w="80" w:type="dxa"/>
            <w:vAlign w:val="bottom"/>
          </w:tcPr>
          <w:p>
            <w:pPr>
              <w:jc w:val="right"/>
              <w:spacing w:after="0"/>
              <w:rPr>
                <w:sz w:val="20"/>
                <w:szCs w:val="20"/>
                <w:color w:val="auto"/>
              </w:rPr>
            </w:pPr>
            <w:r>
              <w:rPr>
                <w:rFonts w:ascii="Arial" w:cs="Arial" w:eastAsia="Arial" w:hAnsi="Arial"/>
                <w:sz w:val="15"/>
                <w:szCs w:val="15"/>
                <w:color w:val="auto"/>
                <w:w w:val="71"/>
              </w:rPr>
              <w:t>$</w:t>
            </w:r>
          </w:p>
        </w:tc>
        <w:tc>
          <w:tcPr>
            <w:tcW w:w="720" w:type="dxa"/>
            <w:vAlign w:val="bottom"/>
          </w:tcPr>
          <w:p>
            <w:pPr>
              <w:jc w:val="right"/>
              <w:spacing w:after="0"/>
              <w:rPr>
                <w:sz w:val="20"/>
                <w:szCs w:val="20"/>
                <w:color w:val="auto"/>
              </w:rPr>
            </w:pPr>
            <w:r>
              <w:rPr>
                <w:rFonts w:ascii="Arial" w:cs="Arial" w:eastAsia="Arial" w:hAnsi="Arial"/>
                <w:sz w:val="18"/>
                <w:szCs w:val="18"/>
                <w:color w:val="auto"/>
              </w:rPr>
              <w:t>170,571</w:t>
            </w:r>
          </w:p>
        </w:tc>
        <w:tc>
          <w:tcPr>
            <w:tcW w:w="800" w:type="dxa"/>
            <w:vAlign w:val="bottom"/>
            <w:gridSpan w:val="2"/>
          </w:tcPr>
          <w:p>
            <w:pPr>
              <w:jc w:val="right"/>
              <w:spacing w:after="0"/>
              <w:rPr>
                <w:sz w:val="20"/>
                <w:szCs w:val="20"/>
                <w:color w:val="auto"/>
              </w:rPr>
            </w:pPr>
            <w:r>
              <w:rPr>
                <w:rFonts w:ascii="Arial" w:cs="Arial" w:eastAsia="Arial" w:hAnsi="Arial"/>
                <w:sz w:val="18"/>
                <w:szCs w:val="18"/>
                <w:u w:val="single" w:color="auto"/>
                <w:color w:val="auto"/>
              </w:rPr>
              <w:t>$</w:t>
            </w:r>
            <w:r>
              <w:rPr>
                <w:rFonts w:ascii="Arial" w:cs="Arial" w:eastAsia="Arial" w:hAnsi="Arial"/>
                <w:sz w:val="18"/>
                <w:szCs w:val="18"/>
                <w:color w:val="auto"/>
              </w:rPr>
              <w:t>35,529</w:t>
            </w:r>
          </w:p>
        </w:tc>
        <w:tc>
          <w:tcPr>
            <w:tcW w:w="800" w:type="dxa"/>
            <w:vAlign w:val="bottom"/>
            <w:gridSpan w:val="2"/>
          </w:tcPr>
          <w:p>
            <w:pPr>
              <w:jc w:val="right"/>
              <w:spacing w:after="0"/>
              <w:rPr>
                <w:sz w:val="20"/>
                <w:szCs w:val="20"/>
                <w:color w:val="auto"/>
              </w:rPr>
            </w:pPr>
            <w:r>
              <w:rPr>
                <w:rFonts w:ascii="Arial" w:cs="Arial" w:eastAsia="Arial" w:hAnsi="Arial"/>
                <w:sz w:val="18"/>
                <w:szCs w:val="18"/>
                <w:u w:val="single" w:color="auto"/>
                <w:color w:val="auto"/>
              </w:rPr>
              <w:t>$</w:t>
            </w:r>
            <w:r>
              <w:rPr>
                <w:rFonts w:ascii="Arial" w:cs="Arial" w:eastAsia="Arial" w:hAnsi="Arial"/>
                <w:sz w:val="18"/>
                <w:szCs w:val="18"/>
                <w:color w:val="auto"/>
              </w:rPr>
              <w:t>23,431</w:t>
            </w:r>
          </w:p>
        </w:tc>
        <w:tc>
          <w:tcPr>
            <w:tcW w:w="800" w:type="dxa"/>
            <w:vAlign w:val="bottom"/>
            <w:gridSpan w:val="2"/>
          </w:tcPr>
          <w:p>
            <w:pPr>
              <w:jc w:val="center"/>
              <w:ind w:left="139"/>
              <w:spacing w:after="0"/>
              <w:rPr>
                <w:sz w:val="20"/>
                <w:szCs w:val="20"/>
                <w:color w:val="auto"/>
              </w:rPr>
            </w:pPr>
            <w:r>
              <w:rPr>
                <w:rFonts w:ascii="Arial" w:cs="Arial" w:eastAsia="Arial" w:hAnsi="Arial"/>
                <w:sz w:val="18"/>
                <w:szCs w:val="18"/>
                <w:u w:val="single" w:color="auto"/>
                <w:color w:val="auto"/>
                <w:w w:val="89"/>
              </w:rPr>
              <w:t>$</w:t>
            </w:r>
            <w:r>
              <w:rPr>
                <w:rFonts w:ascii="Arial" w:cs="Arial" w:eastAsia="Arial" w:hAnsi="Arial"/>
                <w:sz w:val="18"/>
                <w:szCs w:val="18"/>
                <w:color w:val="auto"/>
                <w:w w:val="89"/>
              </w:rPr>
              <w:t>15,515</w:t>
            </w:r>
          </w:p>
        </w:tc>
        <w:tc>
          <w:tcPr>
            <w:tcW w:w="720" w:type="dxa"/>
            <w:vAlign w:val="bottom"/>
            <w:gridSpan w:val="2"/>
          </w:tcPr>
          <w:p>
            <w:pPr>
              <w:jc w:val="center"/>
              <w:ind w:left="139"/>
              <w:spacing w:after="0"/>
              <w:rPr>
                <w:sz w:val="20"/>
                <w:szCs w:val="20"/>
                <w:color w:val="auto"/>
              </w:rPr>
            </w:pPr>
            <w:r>
              <w:rPr>
                <w:rFonts w:ascii="Arial" w:cs="Arial" w:eastAsia="Arial" w:hAnsi="Arial"/>
                <w:sz w:val="18"/>
                <w:szCs w:val="18"/>
                <w:u w:val="single" w:color="auto"/>
                <w:color w:val="auto"/>
                <w:w w:val="90"/>
              </w:rPr>
              <w:t>$</w:t>
            </w:r>
            <w:r>
              <w:rPr>
                <w:rFonts w:ascii="Arial" w:cs="Arial" w:eastAsia="Arial" w:hAnsi="Arial"/>
                <w:sz w:val="18"/>
                <w:szCs w:val="18"/>
                <w:color w:val="auto"/>
                <w:w w:val="90"/>
              </w:rPr>
              <w:t>2,999</w:t>
            </w:r>
          </w:p>
        </w:tc>
        <w:tc>
          <w:tcPr>
            <w:tcW w:w="700" w:type="dxa"/>
            <w:vAlign w:val="bottom"/>
            <w:gridSpan w:val="2"/>
          </w:tcPr>
          <w:p>
            <w:pPr>
              <w:jc w:val="center"/>
              <w:ind w:left="112"/>
              <w:spacing w:after="0"/>
              <w:rPr>
                <w:sz w:val="20"/>
                <w:szCs w:val="20"/>
                <w:color w:val="auto"/>
              </w:rPr>
            </w:pPr>
            <w:r>
              <w:rPr>
                <w:rFonts w:ascii="Arial" w:cs="Arial" w:eastAsia="Arial" w:hAnsi="Arial"/>
                <w:sz w:val="18"/>
                <w:szCs w:val="18"/>
                <w:u w:val="single" w:color="auto"/>
                <w:color w:val="auto"/>
                <w:w w:val="90"/>
              </w:rPr>
              <w:t>$</w:t>
            </w:r>
            <w:r>
              <w:rPr>
                <w:rFonts w:ascii="Arial" w:cs="Arial" w:eastAsia="Arial" w:hAnsi="Arial"/>
                <w:sz w:val="18"/>
                <w:szCs w:val="18"/>
                <w:color w:val="auto"/>
                <w:w w:val="90"/>
              </w:rPr>
              <w:t>9,720</w:t>
            </w:r>
          </w:p>
        </w:tc>
        <w:tc>
          <w:tcPr>
            <w:tcW w:w="320" w:type="dxa"/>
            <w:vAlign w:val="bottom"/>
            <w:gridSpan w:val="2"/>
          </w:tcPr>
          <w:p>
            <w:pPr>
              <w:jc w:val="right"/>
              <w:spacing w:after="0"/>
              <w:rPr>
                <w:sz w:val="20"/>
                <w:szCs w:val="20"/>
                <w:color w:val="auto"/>
              </w:rPr>
            </w:pPr>
            <w:r>
              <w:rPr>
                <w:rFonts w:ascii="Arial" w:cs="Arial" w:eastAsia="Arial" w:hAnsi="Arial"/>
                <w:sz w:val="18"/>
                <w:szCs w:val="18"/>
                <w:u w:val="single" w:color="auto"/>
                <w:color w:val="auto"/>
              </w:rPr>
              <w:t>$</w:t>
            </w:r>
          </w:p>
        </w:tc>
        <w:tc>
          <w:tcPr>
            <w:tcW w:w="580" w:type="dxa"/>
            <w:vAlign w:val="bottom"/>
          </w:tcPr>
          <w:p>
            <w:pPr>
              <w:jc w:val="right"/>
              <w:spacing w:after="0"/>
              <w:rPr>
                <w:sz w:val="20"/>
                <w:szCs w:val="20"/>
                <w:color w:val="auto"/>
              </w:rPr>
            </w:pPr>
            <w:r>
              <w:rPr>
                <w:rFonts w:ascii="Arial" w:cs="Arial" w:eastAsia="Arial" w:hAnsi="Arial"/>
                <w:sz w:val="18"/>
                <w:szCs w:val="18"/>
                <w:color w:val="auto"/>
                <w:w w:val="86"/>
              </w:rPr>
              <w:t>257,765</w:t>
            </w:r>
          </w:p>
        </w:tc>
      </w:tr>
      <w:tr>
        <w:trPr>
          <w:trHeight w:val="20"/>
        </w:trPr>
        <w:tc>
          <w:tcPr>
            <w:tcW w:w="590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720" w:type="dxa"/>
            <w:vAlign w:val="bottom"/>
            <w:tcBorders>
              <w:top w:val="single" w:sz="8" w:color="auto"/>
              <w:bottom w:val="single" w:sz="8" w:color="auto"/>
            </w:tcBorders>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500" w:type="dxa"/>
            <w:vAlign w:val="bottom"/>
            <w:tcBorders>
              <w:top w:val="single" w:sz="8" w:color="auto"/>
              <w:bottom w:val="single" w:sz="8" w:color="auto"/>
            </w:tcBorders>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500" w:type="dxa"/>
            <w:vAlign w:val="bottom"/>
            <w:tcBorders>
              <w:top w:val="single" w:sz="8" w:color="auto"/>
              <w:bottom w:val="single" w:sz="8" w:color="auto"/>
            </w:tcBorders>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r>
    </w:tbl>
    <w:p>
      <w:pPr>
        <w:spacing w:after="0" w:line="167" w:lineRule="exact"/>
        <w:rPr>
          <w:sz w:val="20"/>
          <w:szCs w:val="20"/>
          <w:color w:val="auto"/>
        </w:rPr>
      </w:pPr>
    </w:p>
    <w:p>
      <w:pPr>
        <w:ind w:left="460"/>
        <w:spacing w:after="0"/>
        <w:rPr>
          <w:sz w:val="20"/>
          <w:szCs w:val="20"/>
          <w:color w:val="auto"/>
        </w:rPr>
      </w:pPr>
      <w:r>
        <w:rPr>
          <w:rFonts w:ascii="Arial" w:cs="Arial" w:eastAsia="Arial" w:hAnsi="Arial"/>
          <w:sz w:val="16"/>
          <w:szCs w:val="16"/>
          <w:color w:val="auto"/>
        </w:rPr>
        <w:t>Included in operating lease commitments are lease payments for computer-aided-design software license agreements and airplane lease commitments.</w:t>
      </w:r>
    </w:p>
    <w:p>
      <w:pPr>
        <w:spacing w:after="0" w:line="194" w:lineRule="exact"/>
        <w:rPr>
          <w:sz w:val="20"/>
          <w:szCs w:val="20"/>
          <w:color w:val="auto"/>
        </w:rPr>
      </w:pPr>
    </w:p>
    <w:p>
      <w:pPr>
        <w:ind w:right="80" w:firstLine="456"/>
        <w:spacing w:after="0" w:line="254" w:lineRule="auto"/>
        <w:rPr>
          <w:sz w:val="20"/>
          <w:szCs w:val="20"/>
          <w:color w:val="auto"/>
        </w:rPr>
      </w:pPr>
      <w:r>
        <w:rPr>
          <w:rFonts w:ascii="Arial" w:cs="Arial" w:eastAsia="Arial" w:hAnsi="Arial"/>
          <w:sz w:val="18"/>
          <w:szCs w:val="18"/>
          <w:color w:val="auto"/>
        </w:rPr>
        <w:t>In addition to the above commitments and contingencies, as of October 31, 2009, we recorded $93.4 million of unrecognized tax benefits as liabilities in accordance with ASC 740. We also recorded a liability for potential interest and penalties of $20.5 million and $7.7 million, respectively, as of October 31, 2009. During the next 12 months, we believe that audit resolutions and the expiration of statute of limitations could potentially reduce our unrecognized tax benefit by approximately $12.6 million. However, this amount can change because we continue to have ongoing negotiations with various tax authorities throughout the year. At this time, we are unable to make a reasonably reliable estimate of the amount of payments in each year beyond 12 months due to uncertainties in the timing of tax audit outcomes.</w:t>
      </w:r>
    </w:p>
    <w:p>
      <w:pPr>
        <w:spacing w:after="0" w:line="144" w:lineRule="exact"/>
        <w:rPr>
          <w:sz w:val="20"/>
          <w:szCs w:val="20"/>
          <w:color w:val="auto"/>
        </w:rPr>
      </w:pPr>
    </w:p>
    <w:p>
      <w:pPr>
        <w:ind w:firstLine="456"/>
        <w:spacing w:after="0" w:line="286" w:lineRule="auto"/>
        <w:rPr>
          <w:sz w:val="20"/>
          <w:szCs w:val="20"/>
          <w:color w:val="auto"/>
        </w:rPr>
      </w:pPr>
      <w:r>
        <w:rPr>
          <w:rFonts w:ascii="Arial" w:cs="Arial" w:eastAsia="Arial" w:hAnsi="Arial"/>
          <w:sz w:val="16"/>
          <w:szCs w:val="16"/>
          <w:i w:val="1"/>
          <w:iCs w:val="1"/>
          <w:color w:val="auto"/>
        </w:rPr>
        <w:t xml:space="preserve">Prospective capital needs: </w:t>
      </w:r>
      <w:r>
        <w:rPr>
          <w:rFonts w:ascii="Arial" w:cs="Arial" w:eastAsia="Arial" w:hAnsi="Arial"/>
          <w:sz w:val="16"/>
          <w:szCs w:val="16"/>
          <w:color w:val="auto"/>
        </w:rPr>
        <w:t>We believe that our existing cash, cash equivalents and marketable securities, together with cash generated from operations and</w:t>
      </w:r>
      <w:r>
        <w:rPr>
          <w:rFonts w:ascii="Arial" w:cs="Arial" w:eastAsia="Arial" w:hAnsi="Arial"/>
          <w:sz w:val="16"/>
          <w:szCs w:val="16"/>
          <w:i w:val="1"/>
          <w:iCs w:val="1"/>
          <w:color w:val="auto"/>
        </w:rPr>
        <w:t xml:space="preserve"> </w:t>
      </w:r>
      <w:r>
        <w:rPr>
          <w:rFonts w:ascii="Arial" w:cs="Arial" w:eastAsia="Arial" w:hAnsi="Arial"/>
          <w:sz w:val="16"/>
          <w:szCs w:val="16"/>
          <w:color w:val="auto"/>
        </w:rPr>
        <w:t>from exercise of employee stock options, will be sufficient to cover our working capital needs, capital expenditures, investment requirements and commitments for at least the next 12 months. Our capital requirements will depend on many factors, including our rate of sales growth, market acceptance of our products, costs of securing access to adequate manufacturing capacity, the timing and extent of research and development projects, costs of making improvements to facilities and increases in operating expenses, which are all subject to uncertainty. However, we are named as defendants to several litigation actions and an unfavorable outcome in such actions could have a material adverse effect on our cash flows. To the extent that our existing cash, cash equivalents and investment balances and cash generated by operations are insufficient to fund our future activities, we may need to raise additional funds through public or private debt or equity financing. We may enter into additional acquisitions of businesses, assets, products, technologies or other strategic arrangements in the future, which could also require us to seek debt or equity financing. Additional equity financing or convertible debt financing may be dilutive to our current shareholders. If we elect to raise additional funds, we may not be able to obtain such funds on a timely basis or on acceptable terms, if at all. If we raise additional funds by issuing additional equity or convertible debt securities, the ownership percentages of existing shareholders would be reduced. In addition, the equity or debt securities that we issue may have rights, preferences or privileges senior to our common shares.</w:t>
      </w:r>
    </w:p>
    <w:p>
      <w:pPr>
        <w:spacing w:after="0" w:line="205" w:lineRule="exact"/>
        <w:rPr>
          <w:sz w:val="20"/>
          <w:szCs w:val="20"/>
          <w:color w:val="auto"/>
        </w:rPr>
      </w:pPr>
    </w:p>
    <w:p>
      <w:pPr>
        <w:ind w:left="240"/>
        <w:spacing w:after="0"/>
        <w:rPr>
          <w:sz w:val="20"/>
          <w:szCs w:val="20"/>
          <w:color w:val="auto"/>
        </w:rPr>
      </w:pPr>
      <w:r>
        <w:rPr>
          <w:rFonts w:ascii="Arial" w:cs="Arial" w:eastAsia="Arial" w:hAnsi="Arial"/>
          <w:sz w:val="18"/>
          <w:szCs w:val="18"/>
          <w:b w:val="1"/>
          <w:bCs w:val="1"/>
          <w:i w:val="1"/>
          <w:iCs w:val="1"/>
          <w:color w:val="auto"/>
        </w:rPr>
        <w:t>Off-Balance Sheet Arrangements</w:t>
      </w:r>
    </w:p>
    <w:p>
      <w:pPr>
        <w:spacing w:after="0" w:line="90" w:lineRule="exact"/>
        <w:rPr>
          <w:sz w:val="20"/>
          <w:szCs w:val="20"/>
          <w:color w:val="auto"/>
        </w:rPr>
      </w:pPr>
    </w:p>
    <w:p>
      <w:pPr>
        <w:ind w:left="460"/>
        <w:spacing w:after="0"/>
        <w:rPr>
          <w:sz w:val="20"/>
          <w:szCs w:val="20"/>
          <w:color w:val="auto"/>
        </w:rPr>
      </w:pPr>
      <w:r>
        <w:rPr>
          <w:rFonts w:ascii="Arial" w:cs="Arial" w:eastAsia="Arial" w:hAnsi="Arial"/>
          <w:sz w:val="16"/>
          <w:szCs w:val="16"/>
          <w:color w:val="auto"/>
        </w:rPr>
        <w:t>As of October 31, 2009, we did not have any material off-balance-sheet arrangements, as defined in Item 303(a)(4)(ii) of SEC Regulation S-K.</w:t>
      </w:r>
    </w:p>
    <w:p>
      <w:pPr>
        <w:spacing w:after="0" w:line="181"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36</w:t>
      </w:r>
    </w:p>
    <w:p>
      <w:pPr>
        <w:sectPr>
          <w:pgSz w:w="11900" w:h="16838" w:orient="portrait"/>
          <w:cols w:equalWidth="0" w:num="1">
            <w:col w:w="11420"/>
          </w:cols>
          <w:pgMar w:left="240" w:top="459" w:right="239" w:bottom="1440" w:gutter="0" w:footer="0" w:header="0"/>
        </w:sectPr>
      </w:pPr>
    </w:p>
    <w:bookmarkStart w:id="36" w:name="page37"/>
    <w:bookmarkEnd w:id="36"/>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44" name="Picture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pic:cNvPicPr>
                      <a:picLocks noChangeAspect="1" noChangeArrowheads="1"/>
                    </pic:cNvPicPr>
                  </pic:nvPicPr>
                  <pic:blipFill>
                    <a:blip r:embed="rId51">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left="240"/>
        <w:spacing w:after="0"/>
        <w:rPr>
          <w:sz w:val="20"/>
          <w:szCs w:val="20"/>
          <w:color w:val="auto"/>
        </w:rPr>
      </w:pPr>
      <w:r>
        <w:rPr>
          <w:rFonts w:ascii="Arial" w:cs="Arial" w:eastAsia="Arial" w:hAnsi="Arial"/>
          <w:sz w:val="18"/>
          <w:szCs w:val="18"/>
          <w:b w:val="1"/>
          <w:bCs w:val="1"/>
          <w:i w:val="1"/>
          <w:iCs w:val="1"/>
          <w:color w:val="auto"/>
        </w:rPr>
        <w:t>Recent Accounting Pronouncements</w:t>
      </w:r>
    </w:p>
    <w:p>
      <w:pPr>
        <w:spacing w:after="0" w:line="90" w:lineRule="exact"/>
        <w:rPr>
          <w:sz w:val="20"/>
          <w:szCs w:val="20"/>
          <w:color w:val="auto"/>
        </w:rPr>
      </w:pPr>
    </w:p>
    <w:p>
      <w:pPr>
        <w:ind w:right="20" w:firstLine="456"/>
        <w:spacing w:after="0" w:line="290" w:lineRule="auto"/>
        <w:rPr>
          <w:sz w:val="20"/>
          <w:szCs w:val="20"/>
          <w:color w:val="auto"/>
        </w:rPr>
      </w:pPr>
      <w:r>
        <w:rPr>
          <w:rFonts w:ascii="Arial" w:cs="Arial" w:eastAsia="Arial" w:hAnsi="Arial"/>
          <w:sz w:val="16"/>
          <w:szCs w:val="16"/>
          <w:color w:val="auto"/>
        </w:rPr>
        <w:t>In June 2009, the FASB issued the FASB ASC 105-10, “Generally Accepted Accounting Principles – Overall” (“ASC 105-10”). ASC105-10 establishes the FASB Accounting Standards Codification (the “Codification”), the authoritative guidance for U.S. GAAP. The Codification, which changes the referencing of financial standards, became effective for interim and annual periods ending on or after September 15, 2009. The Codification is now the single source of authoritative U.S. GAAP (other than guidance issued by the SEC) superseding all existing all non-SEC accounting and reporting standards. All other non-SEC accounting literature not included in the Codification is considered non-authoritative. The Codification does not change U.S. GAAP. We adopted the Codification during the quarter ended October 31, 2009. Adoption of the Codification did not have any substantive impact on our financial position or results of operations. References made to FASB guidance throughout the document have been updated for the Codification.</w:t>
      </w:r>
    </w:p>
    <w:p>
      <w:pPr>
        <w:spacing w:after="0" w:line="118" w:lineRule="exact"/>
        <w:rPr>
          <w:sz w:val="20"/>
          <w:szCs w:val="20"/>
          <w:color w:val="auto"/>
        </w:rPr>
      </w:pPr>
    </w:p>
    <w:p>
      <w:pPr>
        <w:ind w:firstLine="456"/>
        <w:spacing w:after="0" w:line="294" w:lineRule="auto"/>
        <w:rPr>
          <w:sz w:val="20"/>
          <w:szCs w:val="20"/>
          <w:color w:val="auto"/>
        </w:rPr>
      </w:pPr>
      <w:r>
        <w:rPr>
          <w:rFonts w:ascii="Arial" w:cs="Arial" w:eastAsia="Arial" w:hAnsi="Arial"/>
          <w:sz w:val="16"/>
          <w:szCs w:val="16"/>
          <w:color w:val="auto"/>
        </w:rPr>
        <w:t>In September 2009, the FASB issued new accounting guidance related to the revenue recognition of multiple element arrangements. The new guidance states that if vendor specific objective evidence or third party evidence for deliverables in an arrangement cannot be determined, companies will be required to develop a best estimate of the selling price to separate deliverables and allocate arrangement consideration using the relative selling price method. The accounting guidance will be applied prospectively and will become effective during the first quarter of fiscal year 2011. Early adoption is allowed. We are currently evaluating the impact of this accounting guidance on our financial position and results of operations.</w:t>
      </w:r>
    </w:p>
    <w:p>
      <w:pPr>
        <w:spacing w:after="0" w:line="197" w:lineRule="exact"/>
        <w:rPr>
          <w:sz w:val="20"/>
          <w:szCs w:val="20"/>
          <w:color w:val="auto"/>
        </w:rPr>
      </w:pPr>
    </w:p>
    <w:p>
      <w:pPr>
        <w:ind w:left="240"/>
        <w:spacing w:after="0"/>
        <w:rPr>
          <w:sz w:val="20"/>
          <w:szCs w:val="20"/>
          <w:color w:val="auto"/>
        </w:rPr>
      </w:pPr>
      <w:r>
        <w:rPr>
          <w:rFonts w:ascii="Arial" w:cs="Arial" w:eastAsia="Arial" w:hAnsi="Arial"/>
          <w:sz w:val="18"/>
          <w:szCs w:val="18"/>
          <w:b w:val="1"/>
          <w:bCs w:val="1"/>
          <w:i w:val="1"/>
          <w:iCs w:val="1"/>
          <w:color w:val="auto"/>
        </w:rPr>
        <w:t>Related Party Transactions</w:t>
      </w:r>
    </w:p>
    <w:p>
      <w:pPr>
        <w:spacing w:after="0" w:line="90" w:lineRule="exact"/>
        <w:rPr>
          <w:sz w:val="20"/>
          <w:szCs w:val="20"/>
          <w:color w:val="auto"/>
        </w:rPr>
      </w:pPr>
    </w:p>
    <w:p>
      <w:pPr>
        <w:ind w:right="20" w:firstLine="456"/>
        <w:spacing w:after="0" w:line="286" w:lineRule="auto"/>
        <w:rPr>
          <w:sz w:val="20"/>
          <w:szCs w:val="20"/>
          <w:color w:val="auto"/>
        </w:rPr>
      </w:pPr>
      <w:r>
        <w:rPr>
          <w:rFonts w:ascii="Arial" w:cs="Arial" w:eastAsia="Arial" w:hAnsi="Arial"/>
          <w:sz w:val="16"/>
          <w:szCs w:val="16"/>
          <w:color w:val="auto"/>
        </w:rPr>
        <w:t>On August 19, 2005, through our subsidiaries Marvell Semiconductor, Inc. (“MSI”) and Marvell International Ltd. (“MIL”), we entered into a License and Manufacturing Services Agreement with C2 Microsystems, Inc. (the “C2Micro License Agreement”). The C2Micro License Agreement has substantially similar terms as our other license and manufacturing services agreements with other third parties for similar technology. We recognized $0.9 million and none of revenue under the C2Micro License Agreement during the three months ended October 31, 2009 and November 1, 2008, respectively. We recognized $0.9 million and $2.6 million of revenue under the C2Micro License Agreement during the nine months ended October 31, 2009 and November 1, 2008, respectively. As of October 31, 2009, we had received a prepayment of $0.6 million from C2 Microsystems for the manufacturing of certain products. Dr. Sehat Sutardja, our President and Chief Executive Officer, and Weili Dai, the Vice President of Sales for Communications and Consumer Business of MSI and Vice President and General Manager of Communications and Computing Business Unit of MSI, through their ownership and control of Estopia LLC, are indirect shareholders of C2 Microsystems. Dr. Sehat Sutardja and Weili Dai are husband and wife. Kuo Wei (Herbert) Chang, a member of our Board of Directors, is a member of the board of directors of C2 Microsystems and through his ownership, and control of C-Squared venture entities, is also an indirect shareholder of C2 Microsystems. Dr. Pantas Sutardja, our Vice President, Chief Technology Officer and Chief Research and Development Officer, is also a shareholder of C2 Microsystems.</w:t>
      </w:r>
    </w:p>
    <w:p>
      <w:pPr>
        <w:spacing w:after="0" w:line="127" w:lineRule="exact"/>
        <w:rPr>
          <w:sz w:val="20"/>
          <w:szCs w:val="20"/>
          <w:color w:val="auto"/>
        </w:rPr>
      </w:pPr>
    </w:p>
    <w:p>
      <w:pPr>
        <w:ind w:right="40" w:firstLine="456"/>
        <w:spacing w:after="0" w:line="288" w:lineRule="auto"/>
        <w:rPr>
          <w:sz w:val="20"/>
          <w:szCs w:val="20"/>
          <w:color w:val="auto"/>
        </w:rPr>
      </w:pPr>
      <w:r>
        <w:rPr>
          <w:rFonts w:ascii="Arial" w:cs="Arial" w:eastAsia="Arial" w:hAnsi="Arial"/>
          <w:sz w:val="16"/>
          <w:szCs w:val="16"/>
          <w:color w:val="auto"/>
        </w:rPr>
        <w:t>On January 8, 2007, through our subsidiary MIL, we entered into a Library/IP/Software Evaluation License Agreement (the “Evaluation License Agreement”), with VeriSilicon Holdings Co., Ltd. (“VeriSilicon”). The Evaluation License Agreement has no consideration. We incurred $50 and $31,000 of royalty expense from VeriSilicon under a core license agreement assumed from our acquisition of the semiconductor design business of UTStarcom, Inc. during the three months ended October 31, 2009 and November 1, 2008, respectively. We incurred $6,000 and $140,000 of royalty expense under the same license agreement during the nine months ended October 31, 2009 and November 1, 2008, respectively. This core license agreement had been assumed by VeriSilicon after its acquisition of certain assets from LSI Corporation. On March 30, 2009, we entered into an addendum to this core license agreement with VeriSilicon. We recorded a license fee of $0.5 million and maintenance fees of $80,000 during the first quarter ended May 2, 2009. On June 30, 2009, we entered into the second addendum to the technology license agreement with VeriSilicon for VeriSilicon to perform services for a fee of $40,000. Weili Dai’s brother (and Dr. Sehat Sutardja’s brother-in-law) is the Chairman, President and Chief Executive Officer of VeriSilicon. Ms. Dai is also a shareholder of VeriSilicon.</w:t>
      </w:r>
    </w:p>
    <w:p>
      <w:pPr>
        <w:spacing w:after="0" w:line="120" w:lineRule="exact"/>
        <w:rPr>
          <w:sz w:val="20"/>
          <w:szCs w:val="20"/>
          <w:color w:val="auto"/>
        </w:rPr>
      </w:pPr>
    </w:p>
    <w:p>
      <w:pPr>
        <w:ind w:right="100" w:firstLine="456"/>
        <w:spacing w:after="0" w:line="254" w:lineRule="auto"/>
        <w:rPr>
          <w:sz w:val="20"/>
          <w:szCs w:val="20"/>
          <w:color w:val="auto"/>
        </w:rPr>
      </w:pPr>
      <w:r>
        <w:rPr>
          <w:rFonts w:ascii="Arial" w:cs="Arial" w:eastAsia="Arial" w:hAnsi="Arial"/>
          <w:sz w:val="18"/>
          <w:szCs w:val="18"/>
          <w:color w:val="auto"/>
        </w:rPr>
        <w:t>On September 28, 2007, through our subsidiary MIL, we entered into a Master Technology Agreement (the “Technology Agreement”) with Sonics, Inc. (“Sonics”), pursuant to which we have licensed technology from Sonics. The Technology Agreement has substantially similar terms as our other license agreements with other third parties for similar technology. We paid $0.1 million under the Technology Agreement for the license and related maintenance during fiscal 2009. Kuo Wei (Herbert) Chang, a member of our Board of Directors, serves as a member of the board of directors of Sonics and has a direct and/or indirect ownership interest in the equity of Sonics. There was no expense incurred related to the Technology Agreement during the three and nine months ended October 31, 2009 and November 1, 2008.</w:t>
      </w:r>
    </w:p>
    <w:p>
      <w:pPr>
        <w:spacing w:after="0" w:line="131"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37</w:t>
      </w:r>
    </w:p>
    <w:p>
      <w:pPr>
        <w:sectPr>
          <w:pgSz w:w="11900" w:h="16838" w:orient="portrait"/>
          <w:cols w:equalWidth="0" w:num="1">
            <w:col w:w="11400"/>
          </w:cols>
          <w:pgMar w:left="240" w:top="459" w:right="259" w:bottom="1440" w:gutter="0" w:footer="0" w:header="0"/>
        </w:sectPr>
      </w:pPr>
    </w:p>
    <w:bookmarkStart w:id="37" w:name="page38"/>
    <w:bookmarkEnd w:id="37"/>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45" name="Picture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52">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left="460"/>
        <w:spacing w:after="0"/>
        <w:rPr>
          <w:sz w:val="20"/>
          <w:szCs w:val="20"/>
          <w:color w:val="auto"/>
        </w:rPr>
      </w:pPr>
      <w:r>
        <w:rPr>
          <w:rFonts w:ascii="Arial" w:cs="Arial" w:eastAsia="Arial" w:hAnsi="Arial"/>
          <w:sz w:val="16"/>
          <w:szCs w:val="16"/>
          <w:color w:val="auto"/>
        </w:rPr>
        <w:t>On October 31, 2007, we entered into a License Agreement with Vivante Corporation (the “Vivante Agreement”). The Vivante Agreement has substantially</w:t>
      </w:r>
    </w:p>
    <w:p>
      <w:pPr>
        <w:spacing w:after="0" w:line="38" w:lineRule="exact"/>
        <w:rPr>
          <w:sz w:val="20"/>
          <w:szCs w:val="20"/>
          <w:color w:val="auto"/>
        </w:rPr>
      </w:pPr>
    </w:p>
    <w:p>
      <w:pPr>
        <w:spacing w:after="0"/>
        <w:rPr>
          <w:sz w:val="20"/>
          <w:szCs w:val="20"/>
          <w:color w:val="auto"/>
        </w:rPr>
      </w:pPr>
      <w:r>
        <w:rPr>
          <w:rFonts w:ascii="Arial" w:cs="Arial" w:eastAsia="Arial" w:hAnsi="Arial"/>
          <w:sz w:val="16"/>
          <w:szCs w:val="16"/>
          <w:color w:val="auto"/>
        </w:rPr>
        <w:t>similar terms as we would expect to obtain for license agreements with other third parties for similar technology. We recorded none and $0.2 million of expense</w:t>
      </w:r>
    </w:p>
    <w:p>
      <w:pPr>
        <w:spacing w:after="0" w:line="32" w:lineRule="exact"/>
        <w:rPr>
          <w:sz w:val="20"/>
          <w:szCs w:val="20"/>
          <w:color w:val="auto"/>
        </w:rPr>
      </w:pPr>
    </w:p>
    <w:p>
      <w:pPr>
        <w:spacing w:after="0"/>
        <w:rPr>
          <w:sz w:val="20"/>
          <w:szCs w:val="20"/>
          <w:color w:val="auto"/>
        </w:rPr>
      </w:pPr>
      <w:r>
        <w:rPr>
          <w:rFonts w:ascii="Arial" w:cs="Arial" w:eastAsia="Arial" w:hAnsi="Arial"/>
          <w:sz w:val="16"/>
          <w:szCs w:val="16"/>
          <w:color w:val="auto"/>
        </w:rPr>
        <w:t>during the three and nine months ended November 1, 2008, respectively, in connection with the Vivante Agreement. In August 2008, we entered into a</w:t>
      </w:r>
    </w:p>
    <w:p>
      <w:pPr>
        <w:spacing w:after="0" w:line="32" w:lineRule="exact"/>
        <w:rPr>
          <w:sz w:val="20"/>
          <w:szCs w:val="20"/>
          <w:color w:val="auto"/>
        </w:rPr>
      </w:pPr>
    </w:p>
    <w:p>
      <w:pPr>
        <w:spacing w:after="0"/>
        <w:rPr>
          <w:sz w:val="20"/>
          <w:szCs w:val="20"/>
          <w:color w:val="auto"/>
        </w:rPr>
      </w:pPr>
      <w:r>
        <w:rPr>
          <w:rFonts w:ascii="Arial" w:cs="Arial" w:eastAsia="Arial" w:hAnsi="Arial"/>
          <w:sz w:val="16"/>
          <w:szCs w:val="16"/>
          <w:color w:val="auto"/>
        </w:rPr>
        <w:t>Technology License Agreement with Vivante. This Technology License Agreement, as amended, also has substantially similar terms as we would expect to</w:t>
      </w:r>
    </w:p>
    <w:p>
      <w:pPr>
        <w:spacing w:after="0" w:line="32" w:lineRule="exact"/>
        <w:rPr>
          <w:sz w:val="20"/>
          <w:szCs w:val="20"/>
          <w:color w:val="auto"/>
        </w:rPr>
      </w:pPr>
    </w:p>
    <w:p>
      <w:pPr>
        <w:spacing w:after="0"/>
        <w:rPr>
          <w:sz w:val="20"/>
          <w:szCs w:val="20"/>
          <w:color w:val="auto"/>
        </w:rPr>
      </w:pPr>
      <w:r>
        <w:rPr>
          <w:rFonts w:ascii="Arial" w:cs="Arial" w:eastAsia="Arial" w:hAnsi="Arial"/>
          <w:sz w:val="16"/>
          <w:szCs w:val="16"/>
          <w:color w:val="auto"/>
        </w:rPr>
        <w:t>obtain for license agreements with other third parties for similar technology. We recorded $2.0 million for the license fee and $0.2 million of maintenance during</w:t>
      </w:r>
    </w:p>
    <w:p>
      <w:pPr>
        <w:spacing w:after="0" w:line="32" w:lineRule="exact"/>
        <w:rPr>
          <w:sz w:val="20"/>
          <w:szCs w:val="20"/>
          <w:color w:val="auto"/>
        </w:rPr>
      </w:pPr>
    </w:p>
    <w:p>
      <w:pPr>
        <w:spacing w:after="0"/>
        <w:rPr>
          <w:sz w:val="20"/>
          <w:szCs w:val="20"/>
          <w:color w:val="auto"/>
        </w:rPr>
      </w:pPr>
      <w:r>
        <w:rPr>
          <w:rFonts w:ascii="Arial" w:cs="Arial" w:eastAsia="Arial" w:hAnsi="Arial"/>
          <w:sz w:val="16"/>
          <w:szCs w:val="16"/>
          <w:color w:val="auto"/>
        </w:rPr>
        <w:t>fiscal 2009 in connection with this Technology License Agreement. In January 2009, we entered into an agreement with Vivante to disclose certain cell libraries</w:t>
      </w:r>
    </w:p>
    <w:p>
      <w:pPr>
        <w:spacing w:after="0" w:line="32" w:lineRule="exact"/>
        <w:rPr>
          <w:sz w:val="20"/>
          <w:szCs w:val="20"/>
          <w:color w:val="auto"/>
        </w:rPr>
      </w:pPr>
    </w:p>
    <w:p>
      <w:pPr>
        <w:spacing w:after="0"/>
        <w:rPr>
          <w:sz w:val="20"/>
          <w:szCs w:val="20"/>
          <w:color w:val="auto"/>
        </w:rPr>
      </w:pPr>
      <w:r>
        <w:rPr>
          <w:rFonts w:ascii="Arial" w:cs="Arial" w:eastAsia="Arial" w:hAnsi="Arial"/>
          <w:sz w:val="16"/>
          <w:szCs w:val="16"/>
          <w:color w:val="auto"/>
        </w:rPr>
        <w:t>to Vivante at no additional cost. In April 2009, we entered into an amendment to the Technology License Agreement with Vivante. We recorded $1.0 million for</w:t>
      </w:r>
    </w:p>
    <w:p>
      <w:pPr>
        <w:spacing w:after="0" w:line="32" w:lineRule="exact"/>
        <w:rPr>
          <w:sz w:val="20"/>
          <w:szCs w:val="20"/>
          <w:color w:val="auto"/>
        </w:rPr>
      </w:pPr>
    </w:p>
    <w:p>
      <w:pPr>
        <w:spacing w:after="0"/>
        <w:rPr>
          <w:sz w:val="20"/>
          <w:szCs w:val="20"/>
          <w:color w:val="auto"/>
        </w:rPr>
      </w:pPr>
      <w:r>
        <w:rPr>
          <w:rFonts w:ascii="Arial" w:cs="Arial" w:eastAsia="Arial" w:hAnsi="Arial"/>
          <w:sz w:val="16"/>
          <w:szCs w:val="16"/>
          <w:color w:val="auto"/>
        </w:rPr>
        <w:t>the license fee and $70,000 of maintenance during the first quarter ended May 2, 2009 in connection with the amendment to the Technology License Agreement.</w:t>
      </w:r>
    </w:p>
    <w:p>
      <w:pPr>
        <w:spacing w:after="0" w:line="32" w:lineRule="exact"/>
        <w:rPr>
          <w:sz w:val="20"/>
          <w:szCs w:val="20"/>
          <w:color w:val="auto"/>
        </w:rPr>
      </w:pPr>
    </w:p>
    <w:p>
      <w:pPr>
        <w:spacing w:after="0"/>
        <w:rPr>
          <w:sz w:val="20"/>
          <w:szCs w:val="20"/>
          <w:color w:val="auto"/>
        </w:rPr>
      </w:pPr>
      <w:r>
        <w:rPr>
          <w:rFonts w:ascii="Arial" w:cs="Arial" w:eastAsia="Arial" w:hAnsi="Arial"/>
          <w:sz w:val="16"/>
          <w:szCs w:val="16"/>
          <w:color w:val="auto"/>
        </w:rPr>
        <w:t>In June 2009, we entered into the second amendment to the Technology License Agreement with Vivante and recorded $0.5 million for the license fee and</w:t>
      </w:r>
    </w:p>
    <w:p>
      <w:pPr>
        <w:spacing w:after="0" w:line="32" w:lineRule="exact"/>
        <w:rPr>
          <w:sz w:val="20"/>
          <w:szCs w:val="20"/>
          <w:color w:val="auto"/>
        </w:rPr>
      </w:pPr>
    </w:p>
    <w:p>
      <w:pPr>
        <w:spacing w:after="0"/>
        <w:rPr>
          <w:sz w:val="20"/>
          <w:szCs w:val="20"/>
          <w:color w:val="auto"/>
        </w:rPr>
      </w:pPr>
      <w:r>
        <w:rPr>
          <w:rFonts w:ascii="Arial" w:cs="Arial" w:eastAsia="Arial" w:hAnsi="Arial"/>
          <w:sz w:val="16"/>
          <w:szCs w:val="16"/>
          <w:color w:val="auto"/>
        </w:rPr>
        <w:t>$50,000 of maintenance during the three months ended August 1, 2009. Dr. Sehat Sutardja and Weili Dai, through their ownership and control of Estopia LLC,</w:t>
      </w:r>
    </w:p>
    <w:p>
      <w:pPr>
        <w:spacing w:after="0" w:line="32" w:lineRule="exact"/>
        <w:rPr>
          <w:sz w:val="20"/>
          <w:szCs w:val="20"/>
          <w:color w:val="auto"/>
        </w:rPr>
      </w:pPr>
    </w:p>
    <w:p>
      <w:pPr>
        <w:spacing w:after="0"/>
        <w:rPr>
          <w:sz w:val="20"/>
          <w:szCs w:val="20"/>
          <w:color w:val="auto"/>
        </w:rPr>
      </w:pPr>
      <w:r>
        <w:rPr>
          <w:rFonts w:ascii="Arial" w:cs="Arial" w:eastAsia="Arial" w:hAnsi="Arial"/>
          <w:sz w:val="16"/>
          <w:szCs w:val="16"/>
          <w:color w:val="auto"/>
        </w:rPr>
        <w:t>are indirect shareholders of Vivante. In addition, Dr. Sehat Sutardja is also a direct shareholder and Chairman of the board of directors of Vivante. Weili Dai’s</w:t>
      </w:r>
    </w:p>
    <w:p>
      <w:pPr>
        <w:spacing w:after="0" w:line="32" w:lineRule="exact"/>
        <w:rPr>
          <w:sz w:val="20"/>
          <w:szCs w:val="20"/>
          <w:color w:val="auto"/>
        </w:rPr>
      </w:pPr>
    </w:p>
    <w:p>
      <w:pPr>
        <w:spacing w:after="0"/>
        <w:rPr>
          <w:sz w:val="20"/>
          <w:szCs w:val="20"/>
          <w:color w:val="auto"/>
        </w:rPr>
      </w:pPr>
      <w:r>
        <w:rPr>
          <w:rFonts w:ascii="Arial" w:cs="Arial" w:eastAsia="Arial" w:hAnsi="Arial"/>
          <w:sz w:val="16"/>
          <w:szCs w:val="16"/>
          <w:color w:val="auto"/>
        </w:rPr>
        <w:t>brother (and Dr. Sehat Sutardja’s brother-in-law) is the Chief Executive Officer of Vivante. Kuo Wei (Herbert) Chang, a member of our Board of Directors,</w:t>
      </w:r>
    </w:p>
    <w:p>
      <w:pPr>
        <w:spacing w:after="0" w:line="32" w:lineRule="exact"/>
        <w:rPr>
          <w:sz w:val="20"/>
          <w:szCs w:val="20"/>
          <w:color w:val="auto"/>
        </w:rPr>
      </w:pPr>
    </w:p>
    <w:p>
      <w:pPr>
        <w:spacing w:after="0"/>
        <w:rPr>
          <w:sz w:val="20"/>
          <w:szCs w:val="20"/>
          <w:color w:val="auto"/>
        </w:rPr>
      </w:pPr>
      <w:r>
        <w:rPr>
          <w:rFonts w:ascii="Arial" w:cs="Arial" w:eastAsia="Arial" w:hAnsi="Arial"/>
          <w:sz w:val="18"/>
          <w:szCs w:val="18"/>
          <w:color w:val="auto"/>
        </w:rPr>
        <w:t>through his ownership and control of C-Squared venture entities, is also an indirect shareholder of Vivante.</w:t>
      </w:r>
    </w:p>
    <w:p>
      <w:pPr>
        <w:spacing w:after="0" w:line="280" w:lineRule="exact"/>
        <w:rPr>
          <w:sz w:val="20"/>
          <w:szCs w:val="20"/>
          <w:color w:val="auto"/>
        </w:rPr>
      </w:pPr>
    </w:p>
    <w:p>
      <w:pPr>
        <w:spacing w:after="0"/>
        <w:tabs>
          <w:tab w:leader="none" w:pos="1020" w:val="left"/>
        </w:tabs>
        <w:rPr>
          <w:sz w:val="20"/>
          <w:szCs w:val="20"/>
          <w:color w:val="auto"/>
        </w:rPr>
      </w:pPr>
      <w:r>
        <w:rPr>
          <w:rFonts w:ascii="Arial" w:cs="Arial" w:eastAsia="Arial" w:hAnsi="Arial"/>
          <w:sz w:val="18"/>
          <w:szCs w:val="18"/>
          <w:b w:val="1"/>
          <w:bCs w:val="1"/>
          <w:color w:val="auto"/>
        </w:rPr>
        <w:t>Item 3.</w:t>
      </w:r>
      <w:r>
        <w:rPr>
          <w:sz w:val="20"/>
          <w:szCs w:val="20"/>
          <w:color w:val="auto"/>
        </w:rPr>
        <w:tab/>
      </w:r>
      <w:r>
        <w:rPr>
          <w:rFonts w:ascii="Arial" w:cs="Arial" w:eastAsia="Arial" w:hAnsi="Arial"/>
          <w:sz w:val="16"/>
          <w:szCs w:val="16"/>
          <w:b w:val="1"/>
          <w:bCs w:val="1"/>
          <w:color w:val="auto"/>
        </w:rPr>
        <w:t>Quantitative and Qualitative Disclosures About Market Risk</w:t>
      </w:r>
    </w:p>
    <w:p>
      <w:pPr>
        <w:spacing w:after="0" w:line="96" w:lineRule="exact"/>
        <w:rPr>
          <w:sz w:val="20"/>
          <w:szCs w:val="20"/>
          <w:color w:val="auto"/>
        </w:rPr>
      </w:pPr>
    </w:p>
    <w:p>
      <w:pPr>
        <w:ind w:right="20" w:firstLine="456"/>
        <w:spacing w:after="0" w:line="290" w:lineRule="auto"/>
        <w:rPr>
          <w:sz w:val="20"/>
          <w:szCs w:val="20"/>
          <w:color w:val="auto"/>
        </w:rPr>
      </w:pPr>
      <w:r>
        <w:rPr>
          <w:rFonts w:ascii="Arial" w:cs="Arial" w:eastAsia="Arial" w:hAnsi="Arial"/>
          <w:sz w:val="16"/>
          <w:szCs w:val="16"/>
          <w:i w:val="1"/>
          <w:iCs w:val="1"/>
          <w:color w:val="auto"/>
        </w:rPr>
        <w:t xml:space="preserve">Interest Rate Risk. </w:t>
      </w:r>
      <w:r>
        <w:rPr>
          <w:rFonts w:ascii="Arial" w:cs="Arial" w:eastAsia="Arial" w:hAnsi="Arial"/>
          <w:sz w:val="16"/>
          <w:szCs w:val="16"/>
          <w:color w:val="auto"/>
        </w:rPr>
        <w:t>We invest our excess cash primarily in highly liquid debt instruments of the U.S. government and its agencies, time deposits, money</w:t>
      </w:r>
      <w:r>
        <w:rPr>
          <w:rFonts w:ascii="Arial" w:cs="Arial" w:eastAsia="Arial" w:hAnsi="Arial"/>
          <w:sz w:val="16"/>
          <w:szCs w:val="16"/>
          <w:i w:val="1"/>
          <w:iCs w:val="1"/>
          <w:color w:val="auto"/>
        </w:rPr>
        <w:t xml:space="preserve"> </w:t>
      </w:r>
      <w:r>
        <w:rPr>
          <w:rFonts w:ascii="Arial" w:cs="Arial" w:eastAsia="Arial" w:hAnsi="Arial"/>
          <w:sz w:val="16"/>
          <w:szCs w:val="16"/>
          <w:color w:val="auto"/>
        </w:rPr>
        <w:t>market mutual funds and corporate securities. These investments are generally classified as available-for-sale and, consequently, are recorded on our balance sheets at fair market value with their related unrealized gain or loss reflected as a component of accumulated other comprehensive income in stockholders’ equity. Investments in both fixed rate and floating rate interest earning securities carry a degree of interest rate risk. Fixed rate securities may have their fair market value adversely impacted due to a rise in interest rates, while floating rate securities may produce less income than predicted if interest rates fall. Due to the strength of our balance sheet, the relatively short-term nature of our investment portfolio and our ability to hold investments to maturity, we do not believe that an immediate 10% increase in interest rates would have a material effect on the fair market value of our portfolio or on our operating results or cash flows.</w:t>
      </w:r>
    </w:p>
    <w:p>
      <w:pPr>
        <w:spacing w:after="0" w:line="118" w:lineRule="exact"/>
        <w:rPr>
          <w:sz w:val="20"/>
          <w:szCs w:val="20"/>
          <w:color w:val="auto"/>
        </w:rPr>
      </w:pPr>
    </w:p>
    <w:p>
      <w:pPr>
        <w:ind w:right="100" w:firstLine="456"/>
        <w:spacing w:after="0" w:line="291" w:lineRule="auto"/>
        <w:rPr>
          <w:sz w:val="20"/>
          <w:szCs w:val="20"/>
          <w:color w:val="auto"/>
        </w:rPr>
      </w:pPr>
      <w:r>
        <w:rPr>
          <w:rFonts w:ascii="Arial" w:cs="Arial" w:eastAsia="Arial" w:hAnsi="Arial"/>
          <w:sz w:val="16"/>
          <w:szCs w:val="16"/>
          <w:color w:val="auto"/>
        </w:rPr>
        <w:t>As of October 31, 2009 and January 31, 2009, our investment portfolio included $41.7 million and $41.9 million, respectively, in par value of auction rate securities. Auction rate securities are usually found in the form of municipal bonds, preferred stock, pools of student loans or collateralized debt obligations with contractual maturities generally between 20 and 30 years and whose interest rates are reset every seven to 35 days through an auction process. At the end of each reset period, investors can sell or continue to hold the securities at par. Our auction rate securities are all backed by student loans originated under the Federal Family Education Loan Program (the “FFELP”) and are over-collateralized, insured and guaranteed by the U.S. Federal Department of Education (the “DOE”). All auction rate securities held by us are rated by the major independent rating agencies as either AAA or Aaa at the time of purchase.</w:t>
      </w:r>
    </w:p>
    <w:p>
      <w:pPr>
        <w:spacing w:after="0" w:line="120" w:lineRule="exact"/>
        <w:rPr>
          <w:sz w:val="20"/>
          <w:szCs w:val="20"/>
          <w:color w:val="auto"/>
        </w:rPr>
      </w:pPr>
    </w:p>
    <w:p>
      <w:pPr>
        <w:jc w:val="both"/>
        <w:ind w:right="40" w:firstLine="456"/>
        <w:spacing w:after="0" w:line="323" w:lineRule="auto"/>
        <w:rPr>
          <w:sz w:val="20"/>
          <w:szCs w:val="20"/>
          <w:color w:val="auto"/>
        </w:rPr>
      </w:pPr>
      <w:r>
        <w:rPr>
          <w:rFonts w:ascii="Arial" w:cs="Arial" w:eastAsia="Arial" w:hAnsi="Arial"/>
          <w:sz w:val="15"/>
          <w:szCs w:val="15"/>
          <w:color w:val="auto"/>
        </w:rPr>
        <w:t>In the fourth quarter ended January 31, 2009, UBS, one of the brokers in which we purchase auction rates securities from, offered a settlement where UBS has the right to call and sell one of the auction securities we purchased from them at par value of $5 million at a future date. As a result of our participation in this settlement, we included the put option from the settlement in the long term investments and elected to the fair value option to measure the put option at fair value. We also elected to transfer this auction rate security to trading securities from available-for-sale as our intent is to exercise the put option at a future date.</w:t>
      </w:r>
    </w:p>
    <w:p>
      <w:pPr>
        <w:spacing w:after="0" w:line="98" w:lineRule="exact"/>
        <w:rPr>
          <w:sz w:val="20"/>
          <w:szCs w:val="20"/>
          <w:color w:val="auto"/>
        </w:rPr>
      </w:pPr>
    </w:p>
    <w:p>
      <w:pPr>
        <w:ind w:right="60" w:firstLine="456"/>
        <w:spacing w:after="0" w:line="294" w:lineRule="auto"/>
        <w:rPr>
          <w:sz w:val="20"/>
          <w:szCs w:val="20"/>
          <w:color w:val="auto"/>
        </w:rPr>
      </w:pPr>
      <w:r>
        <w:rPr>
          <w:rFonts w:ascii="Arial" w:cs="Arial" w:eastAsia="Arial" w:hAnsi="Arial"/>
          <w:sz w:val="16"/>
          <w:szCs w:val="16"/>
          <w:color w:val="auto"/>
        </w:rPr>
        <w:t>As of October 31, 2009, the estimated fair values of the auction rate securities were $2.4 million less than their par value. We have less than 2.8% of our total cash invested in these auction rate securities, a balance of approximately $1.5 billion in cash, cash equivalents and short-term investments other than auction rate securities, and we continue to generate positive cash flow on a quarterly basis. As we have no intent to sell and it is more likely than not that we will not be required to sell the auction rate securities prior to recovery, we concluded the decline in fair values was temporary and recorded the unrealized loss to accumulated other comprehensive loss, a component of shareholders’ equity as of October 31, 2009.</w:t>
      </w:r>
    </w:p>
    <w:p>
      <w:pPr>
        <w:spacing w:after="0" w:line="116" w:lineRule="exact"/>
        <w:rPr>
          <w:sz w:val="20"/>
          <w:szCs w:val="20"/>
          <w:color w:val="auto"/>
        </w:rPr>
      </w:pPr>
    </w:p>
    <w:p>
      <w:pPr>
        <w:ind w:right="140" w:firstLine="456"/>
        <w:spacing w:after="0" w:line="259" w:lineRule="auto"/>
        <w:rPr>
          <w:sz w:val="20"/>
          <w:szCs w:val="20"/>
          <w:color w:val="auto"/>
        </w:rPr>
      </w:pPr>
      <w:r>
        <w:rPr>
          <w:rFonts w:ascii="Arial" w:cs="Arial" w:eastAsia="Arial" w:hAnsi="Arial"/>
          <w:sz w:val="18"/>
          <w:szCs w:val="18"/>
          <w:color w:val="auto"/>
        </w:rPr>
        <w:t>To the extent we determine that any impairment is other-than-temporary, the impairment would be recorded to earnings. In addition, we have concluded that the auctions for these securities may continue to fail for at least the next 12 months and as a result, these auction rate securities have been classified as long-term investments as of October 31, 2009.</w:t>
      </w:r>
    </w:p>
    <w:p>
      <w:pPr>
        <w:spacing w:after="0" w:line="127"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38</w:t>
      </w:r>
    </w:p>
    <w:p>
      <w:pPr>
        <w:sectPr>
          <w:pgSz w:w="11900" w:h="16838" w:orient="portrait"/>
          <w:cols w:equalWidth="0" w:num="1">
            <w:col w:w="11420"/>
          </w:cols>
          <w:pgMar w:left="240" w:top="459" w:right="239" w:bottom="1440" w:gutter="0" w:footer="0" w:header="0"/>
        </w:sectPr>
      </w:pPr>
    </w:p>
    <w:bookmarkStart w:id="38" w:name="page39"/>
    <w:bookmarkEnd w:id="38"/>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46" name="Picture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pic:cNvPicPr>
                      <a:picLocks noChangeAspect="1" noChangeArrowheads="1"/>
                    </pic:cNvPicPr>
                  </pic:nvPicPr>
                  <pic:blipFill>
                    <a:blip r:embed="rId53">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left="460"/>
        <w:spacing w:after="0"/>
        <w:rPr>
          <w:sz w:val="20"/>
          <w:szCs w:val="20"/>
          <w:color w:val="auto"/>
        </w:rPr>
      </w:pPr>
      <w:r>
        <w:rPr>
          <w:rFonts w:ascii="Arial" w:cs="Arial" w:eastAsia="Arial" w:hAnsi="Arial"/>
          <w:sz w:val="16"/>
          <w:szCs w:val="16"/>
          <w:color w:val="auto"/>
        </w:rPr>
        <w:t>At any time, fluctuations in interest rates could affect interest earnings on our cash and cash equivalents, or the fair value of our investment portfolio.</w:t>
      </w:r>
    </w:p>
    <w:p>
      <w:pPr>
        <w:spacing w:after="0" w:line="194" w:lineRule="exact"/>
        <w:rPr>
          <w:sz w:val="20"/>
          <w:szCs w:val="20"/>
          <w:color w:val="auto"/>
        </w:rPr>
      </w:pPr>
    </w:p>
    <w:p>
      <w:pPr>
        <w:ind w:right="80" w:firstLine="456"/>
        <w:spacing w:after="0" w:line="298" w:lineRule="auto"/>
        <w:rPr>
          <w:sz w:val="20"/>
          <w:szCs w:val="20"/>
          <w:color w:val="auto"/>
        </w:rPr>
      </w:pPr>
      <w:r>
        <w:rPr>
          <w:rFonts w:ascii="Arial" w:cs="Arial" w:eastAsia="Arial" w:hAnsi="Arial"/>
          <w:sz w:val="16"/>
          <w:szCs w:val="16"/>
          <w:i w:val="1"/>
          <w:iCs w:val="1"/>
          <w:color w:val="auto"/>
        </w:rPr>
        <w:t>Investment Risk</w:t>
      </w:r>
      <w:r>
        <w:rPr>
          <w:rFonts w:ascii="Arial" w:cs="Arial" w:eastAsia="Arial" w:hAnsi="Arial"/>
          <w:sz w:val="16"/>
          <w:szCs w:val="16"/>
          <w:color w:val="auto"/>
        </w:rPr>
        <w:t>. We invest in equity instruments of privately held companies for business and strategic purposes. These investments, which totaled</w:t>
      </w:r>
      <w:r>
        <w:rPr>
          <w:rFonts w:ascii="Arial" w:cs="Arial" w:eastAsia="Arial" w:hAnsi="Arial"/>
          <w:sz w:val="16"/>
          <w:szCs w:val="16"/>
          <w:i w:val="1"/>
          <w:iCs w:val="1"/>
          <w:color w:val="auto"/>
        </w:rPr>
        <w:t xml:space="preserve"> </w:t>
      </w:r>
      <w:r>
        <w:rPr>
          <w:rFonts w:ascii="Arial" w:cs="Arial" w:eastAsia="Arial" w:hAnsi="Arial"/>
          <w:sz w:val="16"/>
          <w:szCs w:val="16"/>
          <w:color w:val="auto"/>
        </w:rPr>
        <w:t>$7.1 million at October 31, 2009, are included in other non-current assets in the accompanying balance sheets and are accounted for under the cost method because our ownership is less than 20% and we do not have the ability to exercise significant influence over the operations of these companies. We monitor these investments for impairment and make appropriate reductions in carrying value when an impairment is deemed to be other than temporary.</w:t>
      </w:r>
    </w:p>
    <w:p>
      <w:pPr>
        <w:spacing w:after="0" w:line="113" w:lineRule="exact"/>
        <w:rPr>
          <w:sz w:val="20"/>
          <w:szCs w:val="20"/>
          <w:color w:val="auto"/>
        </w:rPr>
      </w:pPr>
    </w:p>
    <w:p>
      <w:pPr>
        <w:ind w:right="60" w:firstLine="456"/>
        <w:spacing w:after="0" w:line="290" w:lineRule="auto"/>
        <w:rPr>
          <w:sz w:val="20"/>
          <w:szCs w:val="20"/>
          <w:color w:val="auto"/>
        </w:rPr>
      </w:pPr>
      <w:r>
        <w:rPr>
          <w:rFonts w:ascii="Arial" w:cs="Arial" w:eastAsia="Arial" w:hAnsi="Arial"/>
          <w:sz w:val="16"/>
          <w:szCs w:val="16"/>
          <w:i w:val="1"/>
          <w:iCs w:val="1"/>
          <w:color w:val="auto"/>
        </w:rPr>
        <w:t xml:space="preserve">Foreign Currency Exchange Risk. </w:t>
      </w:r>
      <w:r>
        <w:rPr>
          <w:rFonts w:ascii="Arial" w:cs="Arial" w:eastAsia="Arial" w:hAnsi="Arial"/>
          <w:sz w:val="16"/>
          <w:szCs w:val="16"/>
          <w:color w:val="auto"/>
        </w:rPr>
        <w:t>Substantially all of our sales and the majority of our expenses are denominated in U.S. dollars. As a result, we have</w:t>
      </w:r>
      <w:r>
        <w:rPr>
          <w:rFonts w:ascii="Arial" w:cs="Arial" w:eastAsia="Arial" w:hAnsi="Arial"/>
          <w:sz w:val="16"/>
          <w:szCs w:val="16"/>
          <w:i w:val="1"/>
          <w:iCs w:val="1"/>
          <w:color w:val="auto"/>
        </w:rPr>
        <w:t xml:space="preserve"> </w:t>
      </w:r>
      <w:r>
        <w:rPr>
          <w:rFonts w:ascii="Arial" w:cs="Arial" w:eastAsia="Arial" w:hAnsi="Arial"/>
          <w:sz w:val="16"/>
          <w:szCs w:val="16"/>
          <w:color w:val="auto"/>
        </w:rPr>
        <w:t>limited exposure to foreign currency exchange risk. Since we operate in many countries, we pay certain payroll and other operating expenses in local currencies. We also hold certain assets and liabilities, including potential local tax liabilities, in local currency on our balance sheet. We record the related effects of foreign exchange fluctuations on local currency expenses, assets and liabilities to other income and expense. Significant fluctuations in exchange rates in countries where we incur expenses or record assets or liabilities in local currency could affect our business and operating results in the future. Thus, we may experience both realized and unrealized foreign currency gains and losses due to these local currency exposures. There is also a risk that our customers may be negatively impacted in their ability to purchase our products priced in U.S. dollars when there has been significant volatility in foreign currency exchange rates.</w:t>
      </w:r>
    </w:p>
    <w:p>
      <w:pPr>
        <w:spacing w:after="0" w:line="118" w:lineRule="exact"/>
        <w:rPr>
          <w:sz w:val="20"/>
          <w:szCs w:val="20"/>
          <w:color w:val="auto"/>
        </w:rPr>
      </w:pPr>
    </w:p>
    <w:p>
      <w:pPr>
        <w:ind w:right="100" w:firstLine="456"/>
        <w:spacing w:after="0" w:line="289" w:lineRule="auto"/>
        <w:rPr>
          <w:sz w:val="20"/>
          <w:szCs w:val="20"/>
          <w:color w:val="auto"/>
        </w:rPr>
      </w:pPr>
      <w:r>
        <w:rPr>
          <w:rFonts w:ascii="Arial" w:cs="Arial" w:eastAsia="Arial" w:hAnsi="Arial"/>
          <w:sz w:val="16"/>
          <w:szCs w:val="16"/>
          <w:color w:val="auto"/>
        </w:rPr>
        <w:t>Occasionally, we will enter into short-term forward exchange contracts to hedge exposures for purchases denominated in foreign currencies, such as the Israeli Shekel. We do not enter into derivative financial instruments for trading or speculative purposes. Generally, our practice is to hedge only the most significant of our foreign exchange exposures, typically for one to 12 months. We may choose not to hedge certain foreign exchange exposures due to immateriality, offsetting exposures, prohibitive economic cost of hedging particular exposures, and limited availability of appropriate hedging instruments. As of October 31, 2009, we had $26.4 million of notional value in forward contracts designated as cash flow hedges with an unrealized gain of $1.6 million and $12.3 million of notional value in forward contracts not designated as hedges with a realized loss of $31,000. We had no forward contracts as of January 31, 2009. For more information see Note 5 – Derivative Financial Instruments in our notes to unaudited condensed consolidated financial statements. If foreign currency rates were to fluctuate by 10% from rates as of October 31, 2009, our consolidated financial position, operating results and cash flows could be materially affected.</w:t>
      </w:r>
    </w:p>
    <w:p>
      <w:pPr>
        <w:spacing w:after="0" w:line="234" w:lineRule="exact"/>
        <w:rPr>
          <w:sz w:val="20"/>
          <w:szCs w:val="20"/>
          <w:color w:val="auto"/>
        </w:rPr>
      </w:pPr>
    </w:p>
    <w:p>
      <w:pPr>
        <w:spacing w:after="0"/>
        <w:tabs>
          <w:tab w:leader="none" w:pos="1020" w:val="left"/>
        </w:tabs>
        <w:rPr>
          <w:sz w:val="20"/>
          <w:szCs w:val="20"/>
          <w:color w:val="auto"/>
        </w:rPr>
      </w:pPr>
      <w:r>
        <w:rPr>
          <w:rFonts w:ascii="Arial" w:cs="Arial" w:eastAsia="Arial" w:hAnsi="Arial"/>
          <w:sz w:val="18"/>
          <w:szCs w:val="18"/>
          <w:b w:val="1"/>
          <w:bCs w:val="1"/>
          <w:color w:val="auto"/>
        </w:rPr>
        <w:t>Item 4.</w:t>
      </w:r>
      <w:r>
        <w:rPr>
          <w:sz w:val="20"/>
          <w:szCs w:val="20"/>
          <w:color w:val="auto"/>
        </w:rPr>
        <w:tab/>
      </w:r>
      <w:r>
        <w:rPr>
          <w:rFonts w:ascii="Arial" w:cs="Arial" w:eastAsia="Arial" w:hAnsi="Arial"/>
          <w:sz w:val="15"/>
          <w:szCs w:val="15"/>
          <w:b w:val="1"/>
          <w:bCs w:val="1"/>
          <w:color w:val="auto"/>
        </w:rPr>
        <w:t>Controls and Procedures</w:t>
      </w:r>
    </w:p>
    <w:p>
      <w:pPr>
        <w:spacing w:after="0" w:line="96" w:lineRule="exact"/>
        <w:rPr>
          <w:sz w:val="20"/>
          <w:szCs w:val="20"/>
          <w:color w:val="auto"/>
        </w:rPr>
      </w:pPr>
    </w:p>
    <w:p>
      <w:pPr>
        <w:ind w:left="240"/>
        <w:spacing w:after="0"/>
        <w:rPr>
          <w:sz w:val="20"/>
          <w:szCs w:val="20"/>
          <w:color w:val="auto"/>
        </w:rPr>
      </w:pPr>
      <w:r>
        <w:rPr>
          <w:rFonts w:ascii="Arial" w:cs="Arial" w:eastAsia="Arial" w:hAnsi="Arial"/>
          <w:sz w:val="18"/>
          <w:szCs w:val="18"/>
          <w:b w:val="1"/>
          <w:bCs w:val="1"/>
          <w:i w:val="1"/>
          <w:iCs w:val="1"/>
          <w:color w:val="auto"/>
        </w:rPr>
        <w:t>Management’s Evaluation of Disclosure Controls and Procedures</w:t>
      </w:r>
    </w:p>
    <w:p>
      <w:pPr>
        <w:spacing w:after="0" w:line="90" w:lineRule="exact"/>
        <w:rPr>
          <w:sz w:val="20"/>
          <w:szCs w:val="20"/>
          <w:color w:val="auto"/>
        </w:rPr>
      </w:pPr>
    </w:p>
    <w:p>
      <w:pPr>
        <w:ind w:right="140" w:firstLine="456"/>
        <w:spacing w:after="0" w:line="291" w:lineRule="auto"/>
        <w:rPr>
          <w:sz w:val="20"/>
          <w:szCs w:val="20"/>
          <w:color w:val="auto"/>
        </w:rPr>
      </w:pPr>
      <w:r>
        <w:rPr>
          <w:rFonts w:ascii="Arial" w:cs="Arial" w:eastAsia="Arial" w:hAnsi="Arial"/>
          <w:sz w:val="16"/>
          <w:szCs w:val="16"/>
          <w:color w:val="auto"/>
        </w:rPr>
        <w:t>Our management, with the participation of our Chief Executive Officer and our Chief Financial Officer, has evaluated the effectiveness of our disclosure controls and procedures (as defined in Rule 13a-15(e) of the Securities Exchange Act of 1934, as amended (the “Exchange Act”)). Disclosure controls and procedures are designed to ensure that information required to be disclosed is recorded, processed, summarized and reported within the time periods specified in the rules and forms of the SEC and that such information is accumulated and communicated to management, including the Chief Executive Officer and Chief Financial Officer, as appropriate, to allow timely decisions regarding required disclosure. Based on this evaluation, our Chief Executive Officer and Chief Financial Officer concluded that, as of October 31, 2009, our disclosure controls and procedures were effective.</w:t>
      </w:r>
    </w:p>
    <w:p>
      <w:pPr>
        <w:spacing w:after="0" w:line="201" w:lineRule="exact"/>
        <w:rPr>
          <w:sz w:val="20"/>
          <w:szCs w:val="20"/>
          <w:color w:val="auto"/>
        </w:rPr>
      </w:pPr>
    </w:p>
    <w:p>
      <w:pPr>
        <w:ind w:left="240"/>
        <w:spacing w:after="0"/>
        <w:rPr>
          <w:sz w:val="20"/>
          <w:szCs w:val="20"/>
          <w:color w:val="auto"/>
        </w:rPr>
      </w:pPr>
      <w:r>
        <w:rPr>
          <w:rFonts w:ascii="Arial" w:cs="Arial" w:eastAsia="Arial" w:hAnsi="Arial"/>
          <w:sz w:val="18"/>
          <w:szCs w:val="18"/>
          <w:b w:val="1"/>
          <w:bCs w:val="1"/>
          <w:i w:val="1"/>
          <w:iCs w:val="1"/>
          <w:color w:val="auto"/>
        </w:rPr>
        <w:t>Changes in Internal Control Over Financial Reporting</w:t>
      </w:r>
    </w:p>
    <w:p>
      <w:pPr>
        <w:spacing w:after="0" w:line="90" w:lineRule="exact"/>
        <w:rPr>
          <w:sz w:val="20"/>
          <w:szCs w:val="20"/>
          <w:color w:val="auto"/>
        </w:rPr>
      </w:pPr>
    </w:p>
    <w:p>
      <w:pPr>
        <w:ind w:right="60" w:firstLine="456"/>
        <w:spacing w:after="0" w:line="268" w:lineRule="auto"/>
        <w:rPr>
          <w:sz w:val="20"/>
          <w:szCs w:val="20"/>
          <w:color w:val="auto"/>
        </w:rPr>
      </w:pPr>
      <w:r>
        <w:rPr>
          <w:rFonts w:ascii="Arial" w:cs="Arial" w:eastAsia="Arial" w:hAnsi="Arial"/>
          <w:sz w:val="18"/>
          <w:szCs w:val="18"/>
          <w:color w:val="auto"/>
        </w:rPr>
        <w:t>There were no changes in our internal control over financial reporting during the three months ended October 31, 2009 that have materially affected, or are reasonably likely to materially affect, our internal control over financial reporting.</w:t>
      </w:r>
    </w:p>
    <w:p>
      <w:pPr>
        <w:spacing w:after="0" w:line="213" w:lineRule="exact"/>
        <w:rPr>
          <w:sz w:val="20"/>
          <w:szCs w:val="20"/>
          <w:color w:val="auto"/>
        </w:rPr>
      </w:pPr>
    </w:p>
    <w:p>
      <w:pPr>
        <w:ind w:left="240"/>
        <w:spacing w:after="0"/>
        <w:rPr>
          <w:sz w:val="20"/>
          <w:szCs w:val="20"/>
          <w:color w:val="auto"/>
        </w:rPr>
      </w:pPr>
      <w:r>
        <w:rPr>
          <w:rFonts w:ascii="Arial" w:cs="Arial" w:eastAsia="Arial" w:hAnsi="Arial"/>
          <w:sz w:val="18"/>
          <w:szCs w:val="18"/>
          <w:b w:val="1"/>
          <w:bCs w:val="1"/>
          <w:i w:val="1"/>
          <w:iCs w:val="1"/>
          <w:color w:val="auto"/>
        </w:rPr>
        <w:t>Limitation on Effectiveness of Controls</w:t>
      </w:r>
    </w:p>
    <w:p>
      <w:pPr>
        <w:spacing w:after="0" w:line="90" w:lineRule="exact"/>
        <w:rPr>
          <w:sz w:val="20"/>
          <w:szCs w:val="20"/>
          <w:color w:val="auto"/>
        </w:rPr>
      </w:pPr>
    </w:p>
    <w:p>
      <w:pPr>
        <w:ind w:firstLine="456"/>
        <w:spacing w:after="0" w:line="294" w:lineRule="auto"/>
        <w:rPr>
          <w:sz w:val="20"/>
          <w:szCs w:val="20"/>
          <w:color w:val="auto"/>
        </w:rPr>
      </w:pPr>
      <w:r>
        <w:rPr>
          <w:rFonts w:ascii="Arial" w:cs="Arial" w:eastAsia="Arial" w:hAnsi="Arial"/>
          <w:sz w:val="16"/>
          <w:szCs w:val="16"/>
          <w:color w:val="auto"/>
        </w:rPr>
        <w:t>It should be noted that any system of controls, however well designed and operated, can provide only reasonable, and not absolute, assurance that the objectives of the system are met. The design of any control system is based, in part, upon the benefits of the control system relative to its costs. Control systems can be circumvented by the individual acts of some persons, by collusion of two or more people, or by management override of the control. In addition, over time, controls may become inadequate because of changes in conditions, or the degree of compliance with the policies and procedures may deteriorate. In addition, the design of any control system is based in part upon certain assumptions about the likelihood of future events.</w:t>
      </w:r>
    </w:p>
    <w:p>
      <w:pPr>
        <w:spacing w:after="0" w:line="102"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39</w:t>
      </w:r>
    </w:p>
    <w:p>
      <w:pPr>
        <w:sectPr>
          <w:pgSz w:w="11900" w:h="16838" w:orient="portrait"/>
          <w:cols w:equalWidth="0" w:num="1">
            <w:col w:w="11420"/>
          </w:cols>
          <w:pgMar w:left="240" w:top="459" w:right="239" w:bottom="1440" w:gutter="0" w:footer="0" w:header="0"/>
        </w:sectPr>
      </w:pPr>
    </w:p>
    <w:bookmarkStart w:id="39" w:name="page40"/>
    <w:bookmarkEnd w:id="39"/>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47" name="Picture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pic:cNvPicPr>
                      <a:picLocks noChangeAspect="1" noChangeArrowheads="1"/>
                    </pic:cNvPicPr>
                  </pic:nvPicPr>
                  <pic:blipFill>
                    <a:blip r:embed="rId54">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PART II. OTHER INFORMATION</w:t>
      </w:r>
    </w:p>
    <w:p>
      <w:pPr>
        <w:spacing w:after="0" w:line="212" w:lineRule="exact"/>
        <w:rPr>
          <w:sz w:val="20"/>
          <w:szCs w:val="20"/>
          <w:color w:val="auto"/>
        </w:rPr>
      </w:pPr>
    </w:p>
    <w:p>
      <w:pPr>
        <w:spacing w:after="0"/>
        <w:tabs>
          <w:tab w:leader="none" w:pos="1020" w:val="left"/>
        </w:tabs>
        <w:rPr>
          <w:sz w:val="20"/>
          <w:szCs w:val="20"/>
          <w:color w:val="auto"/>
        </w:rPr>
      </w:pPr>
      <w:r>
        <w:rPr>
          <w:rFonts w:ascii="Arial" w:cs="Arial" w:eastAsia="Arial" w:hAnsi="Arial"/>
          <w:sz w:val="18"/>
          <w:szCs w:val="18"/>
          <w:b w:val="1"/>
          <w:bCs w:val="1"/>
          <w:color w:val="auto"/>
        </w:rPr>
        <w:t>Item 1.</w:t>
      </w:r>
      <w:r>
        <w:rPr>
          <w:sz w:val="20"/>
          <w:szCs w:val="20"/>
          <w:color w:val="auto"/>
        </w:rPr>
        <w:tab/>
      </w:r>
      <w:r>
        <w:rPr>
          <w:rFonts w:ascii="Arial" w:cs="Arial" w:eastAsia="Arial" w:hAnsi="Arial"/>
          <w:sz w:val="15"/>
          <w:szCs w:val="15"/>
          <w:b w:val="1"/>
          <w:bCs w:val="1"/>
          <w:color w:val="auto"/>
        </w:rPr>
        <w:t>Legal Proceedings</w:t>
      </w:r>
    </w:p>
    <w:p>
      <w:pPr>
        <w:spacing w:after="0" w:line="96" w:lineRule="exact"/>
        <w:rPr>
          <w:sz w:val="20"/>
          <w:szCs w:val="20"/>
          <w:color w:val="auto"/>
        </w:rPr>
      </w:pPr>
    </w:p>
    <w:p>
      <w:pPr>
        <w:ind w:right="100" w:firstLine="456"/>
        <w:spacing w:after="0" w:line="259" w:lineRule="auto"/>
        <w:rPr>
          <w:sz w:val="20"/>
          <w:szCs w:val="20"/>
          <w:color w:val="auto"/>
        </w:rPr>
      </w:pPr>
      <w:r>
        <w:rPr>
          <w:rFonts w:ascii="Arial" w:cs="Arial" w:eastAsia="Arial" w:hAnsi="Arial"/>
          <w:sz w:val="18"/>
          <w:szCs w:val="18"/>
          <w:color w:val="auto"/>
        </w:rPr>
        <w:t>The information set forth under Note 9 – Commitments and Contingencies (Contingencies) of our notes to unaudited condensed consolidated financial statements, included in Part I, Item 1, is incorporated herein by reference. For additional discussion of certain risks associated with legal proceedings, see Part II, Item 1A, “Risk Factors,” immediately below.</w:t>
      </w:r>
    </w:p>
    <w:p>
      <w:pPr>
        <w:spacing w:after="0" w:line="256" w:lineRule="exact"/>
        <w:rPr>
          <w:sz w:val="20"/>
          <w:szCs w:val="20"/>
          <w:color w:val="auto"/>
        </w:rPr>
      </w:pPr>
    </w:p>
    <w:p>
      <w:pPr>
        <w:spacing w:after="0"/>
        <w:tabs>
          <w:tab w:leader="none" w:pos="1020" w:val="left"/>
        </w:tabs>
        <w:rPr>
          <w:sz w:val="20"/>
          <w:szCs w:val="20"/>
          <w:color w:val="auto"/>
        </w:rPr>
      </w:pPr>
      <w:r>
        <w:rPr>
          <w:rFonts w:ascii="Arial" w:cs="Arial" w:eastAsia="Arial" w:hAnsi="Arial"/>
          <w:sz w:val="18"/>
          <w:szCs w:val="18"/>
          <w:b w:val="1"/>
          <w:bCs w:val="1"/>
          <w:color w:val="auto"/>
        </w:rPr>
        <w:t>Item 1A.</w:t>
      </w:r>
      <w:r>
        <w:rPr>
          <w:sz w:val="20"/>
          <w:szCs w:val="20"/>
          <w:color w:val="auto"/>
        </w:rPr>
        <w:tab/>
      </w:r>
      <w:r>
        <w:rPr>
          <w:rFonts w:ascii="Arial" w:cs="Arial" w:eastAsia="Arial" w:hAnsi="Arial"/>
          <w:sz w:val="15"/>
          <w:szCs w:val="15"/>
          <w:b w:val="1"/>
          <w:bCs w:val="1"/>
          <w:color w:val="auto"/>
        </w:rPr>
        <w:t>Risk Factors</w:t>
      </w:r>
    </w:p>
    <w:p>
      <w:pPr>
        <w:spacing w:after="0" w:line="96" w:lineRule="exact"/>
        <w:rPr>
          <w:sz w:val="20"/>
          <w:szCs w:val="20"/>
          <w:color w:val="auto"/>
        </w:rPr>
      </w:pPr>
    </w:p>
    <w:p>
      <w:pPr>
        <w:ind w:right="220" w:firstLine="456"/>
        <w:spacing w:after="0" w:line="298" w:lineRule="auto"/>
        <w:rPr>
          <w:sz w:val="20"/>
          <w:szCs w:val="20"/>
          <w:color w:val="auto"/>
        </w:rPr>
      </w:pPr>
      <w:r>
        <w:rPr>
          <w:rFonts w:ascii="Arial" w:cs="Arial" w:eastAsia="Arial" w:hAnsi="Arial"/>
          <w:sz w:val="16"/>
          <w:szCs w:val="16"/>
          <w:i w:val="1"/>
          <w:iCs w:val="1"/>
          <w:color w:val="auto"/>
        </w:rPr>
        <w:t>Before deciding to purchase, hold or sell our common shares, you should carefully consider the risks described below in addition to the other cautionary statements and risks described elsewhere and the other information contained in this Quarterly Report on Form 10-Q and in our other filings with the SEC, including our Annual Report on Form 10-K for the year ended January 31, 2009 and subsequent reports on Forms 10-Q and 8-K. Many of these risks and uncertainties are beyond our control, including business cycles and seasonal trends of the computing, semiconductor and related industries.</w:t>
      </w:r>
    </w:p>
    <w:p>
      <w:pPr>
        <w:spacing w:after="0" w:line="113" w:lineRule="exact"/>
        <w:rPr>
          <w:sz w:val="20"/>
          <w:szCs w:val="20"/>
          <w:color w:val="auto"/>
        </w:rPr>
      </w:pPr>
    </w:p>
    <w:p>
      <w:pPr>
        <w:spacing w:after="0"/>
        <w:rPr>
          <w:sz w:val="20"/>
          <w:szCs w:val="20"/>
          <w:color w:val="auto"/>
        </w:rPr>
      </w:pPr>
      <w:r>
        <w:rPr>
          <w:rFonts w:ascii="Arial" w:cs="Arial" w:eastAsia="Arial" w:hAnsi="Arial"/>
          <w:sz w:val="18"/>
          <w:szCs w:val="18"/>
          <w:b w:val="1"/>
          <w:bCs w:val="1"/>
          <w:i w:val="1"/>
          <w:iCs w:val="1"/>
          <w:color w:val="auto"/>
        </w:rPr>
        <w:t>Our financial condition and results of operations may vary, which may cause the price of our common shares to decline.</w:t>
      </w:r>
    </w:p>
    <w:p>
      <w:pPr>
        <w:spacing w:after="0" w:line="171" w:lineRule="exact"/>
        <w:rPr>
          <w:sz w:val="20"/>
          <w:szCs w:val="20"/>
          <w:color w:val="auto"/>
        </w:rPr>
      </w:pPr>
    </w:p>
    <w:p>
      <w:pPr>
        <w:ind w:right="260" w:firstLine="456"/>
        <w:spacing w:after="0" w:line="268" w:lineRule="auto"/>
        <w:rPr>
          <w:sz w:val="20"/>
          <w:szCs w:val="20"/>
          <w:color w:val="auto"/>
        </w:rPr>
      </w:pPr>
      <w:r>
        <w:rPr>
          <w:rFonts w:ascii="Arial" w:cs="Arial" w:eastAsia="Arial" w:hAnsi="Arial"/>
          <w:sz w:val="18"/>
          <w:szCs w:val="18"/>
          <w:color w:val="auto"/>
        </w:rPr>
        <w:t>Our quarterly operating results have fluctuated in the past and could do so in the future. Because our operating results are difficult to predict, you should not rely on quarterly comparisons of our results of operations as an indication of our future performance.</w:t>
      </w:r>
    </w:p>
    <w:p>
      <w:pPr>
        <w:spacing w:after="0" w:line="132" w:lineRule="exact"/>
        <w:rPr>
          <w:sz w:val="20"/>
          <w:szCs w:val="20"/>
          <w:color w:val="auto"/>
        </w:rPr>
      </w:pPr>
    </w:p>
    <w:p>
      <w:pPr>
        <w:ind w:right="20" w:firstLine="456"/>
        <w:spacing w:after="0" w:line="268" w:lineRule="auto"/>
        <w:rPr>
          <w:sz w:val="20"/>
          <w:szCs w:val="20"/>
          <w:color w:val="auto"/>
        </w:rPr>
      </w:pPr>
      <w:r>
        <w:rPr>
          <w:rFonts w:ascii="Arial" w:cs="Arial" w:eastAsia="Arial" w:hAnsi="Arial"/>
          <w:sz w:val="18"/>
          <w:szCs w:val="18"/>
          <w:color w:val="auto"/>
        </w:rPr>
        <w:t>Fluctuations in our operating results may be due to a number of factors, including, but not limited to, those listed below and those identified throughout this “Risk Factors” section:</w:t>
      </w:r>
    </w:p>
    <w:p>
      <w:pPr>
        <w:spacing w:after="0" w:line="51" w:lineRule="exact"/>
        <w:rPr>
          <w:sz w:val="20"/>
          <w:szCs w:val="20"/>
          <w:color w:val="auto"/>
        </w:rPr>
      </w:pPr>
    </w:p>
    <w:p>
      <w:pPr>
        <w:ind w:left="900" w:right="320" w:hanging="446"/>
        <w:spacing w:after="0" w:line="268" w:lineRule="auto"/>
        <w:tabs>
          <w:tab w:leader="none" w:pos="900" w:val="left"/>
        </w:tabs>
        <w:numPr>
          <w:ilvl w:val="0"/>
          <w:numId w:val="4"/>
        </w:numPr>
        <w:rPr>
          <w:rFonts w:ascii="Arial" w:cs="Arial" w:eastAsia="Arial" w:hAnsi="Arial"/>
          <w:sz w:val="18"/>
          <w:szCs w:val="18"/>
          <w:color w:val="auto"/>
        </w:rPr>
      </w:pPr>
      <w:r>
        <w:rPr>
          <w:rFonts w:ascii="Arial" w:cs="Arial" w:eastAsia="Arial" w:hAnsi="Arial"/>
          <w:sz w:val="18"/>
          <w:szCs w:val="18"/>
          <w:color w:val="auto"/>
        </w:rPr>
        <w:t>general economic and political conditions and specific conditions in the markets we address, including the continuing volatility in the technology sector and semiconductor industry, and current general economic volatility;</w:t>
      </w:r>
    </w:p>
    <w:p>
      <w:pPr>
        <w:spacing w:after="0" w:line="50" w:lineRule="exact"/>
        <w:rPr>
          <w:rFonts w:ascii="Arial" w:cs="Arial" w:eastAsia="Arial" w:hAnsi="Arial"/>
          <w:sz w:val="18"/>
          <w:szCs w:val="18"/>
          <w:color w:val="auto"/>
        </w:rPr>
      </w:pPr>
    </w:p>
    <w:p>
      <w:pPr>
        <w:ind w:left="900" w:hanging="446"/>
        <w:spacing w:after="0"/>
        <w:tabs>
          <w:tab w:leader="none" w:pos="900" w:val="left"/>
        </w:tabs>
        <w:numPr>
          <w:ilvl w:val="0"/>
          <w:numId w:val="4"/>
        </w:numPr>
        <w:rPr>
          <w:rFonts w:ascii="Arial" w:cs="Arial" w:eastAsia="Arial" w:hAnsi="Arial"/>
          <w:sz w:val="18"/>
          <w:szCs w:val="18"/>
          <w:color w:val="auto"/>
        </w:rPr>
      </w:pPr>
      <w:r>
        <w:rPr>
          <w:rFonts w:ascii="Arial" w:cs="Arial" w:eastAsia="Arial" w:hAnsi="Arial"/>
          <w:sz w:val="18"/>
          <w:szCs w:val="18"/>
          <w:color w:val="auto"/>
        </w:rPr>
        <w:t>order or shipment cancellations, rescheduling or deferrals of significant customer orders;</w:t>
      </w:r>
    </w:p>
    <w:p>
      <w:pPr>
        <w:spacing w:after="0" w:line="90" w:lineRule="exact"/>
        <w:rPr>
          <w:rFonts w:ascii="Arial" w:cs="Arial" w:eastAsia="Arial" w:hAnsi="Arial"/>
          <w:sz w:val="18"/>
          <w:szCs w:val="18"/>
          <w:color w:val="auto"/>
        </w:rPr>
      </w:pPr>
    </w:p>
    <w:p>
      <w:pPr>
        <w:ind w:left="900" w:right="120" w:hanging="446"/>
        <w:spacing w:after="0" w:line="268" w:lineRule="auto"/>
        <w:tabs>
          <w:tab w:leader="none" w:pos="900" w:val="left"/>
        </w:tabs>
        <w:numPr>
          <w:ilvl w:val="0"/>
          <w:numId w:val="4"/>
        </w:numPr>
        <w:rPr>
          <w:rFonts w:ascii="Arial" w:cs="Arial" w:eastAsia="Arial" w:hAnsi="Arial"/>
          <w:sz w:val="18"/>
          <w:szCs w:val="18"/>
          <w:color w:val="auto"/>
        </w:rPr>
      </w:pPr>
      <w:r>
        <w:rPr>
          <w:rFonts w:ascii="Arial" w:cs="Arial" w:eastAsia="Arial" w:hAnsi="Arial"/>
          <w:sz w:val="18"/>
          <w:szCs w:val="18"/>
          <w:color w:val="auto"/>
        </w:rPr>
        <w:t>our ability to scale our operations in response to changes in demand for our existing products and services or demand for new products requested by our customers;</w:t>
      </w:r>
    </w:p>
    <w:p>
      <w:pPr>
        <w:spacing w:after="0" w:line="50" w:lineRule="exact"/>
        <w:rPr>
          <w:rFonts w:ascii="Arial" w:cs="Arial" w:eastAsia="Arial" w:hAnsi="Arial"/>
          <w:sz w:val="18"/>
          <w:szCs w:val="18"/>
          <w:color w:val="auto"/>
        </w:rPr>
      </w:pPr>
    </w:p>
    <w:p>
      <w:pPr>
        <w:ind w:left="900" w:hanging="446"/>
        <w:spacing w:after="0"/>
        <w:tabs>
          <w:tab w:leader="none" w:pos="900" w:val="left"/>
        </w:tabs>
        <w:numPr>
          <w:ilvl w:val="0"/>
          <w:numId w:val="4"/>
        </w:numPr>
        <w:rPr>
          <w:rFonts w:ascii="Arial" w:cs="Arial" w:eastAsia="Arial" w:hAnsi="Arial"/>
          <w:sz w:val="18"/>
          <w:szCs w:val="18"/>
          <w:color w:val="auto"/>
        </w:rPr>
      </w:pPr>
      <w:r>
        <w:rPr>
          <w:rFonts w:ascii="Arial" w:cs="Arial" w:eastAsia="Arial" w:hAnsi="Arial"/>
          <w:sz w:val="18"/>
          <w:szCs w:val="18"/>
          <w:color w:val="auto"/>
        </w:rPr>
        <w:t>gain or loss of a key customer, design win or order;</w:t>
      </w:r>
    </w:p>
    <w:p>
      <w:pPr>
        <w:spacing w:after="0" w:line="90" w:lineRule="exact"/>
        <w:rPr>
          <w:rFonts w:ascii="Arial" w:cs="Arial" w:eastAsia="Arial" w:hAnsi="Arial"/>
          <w:sz w:val="18"/>
          <w:szCs w:val="18"/>
          <w:color w:val="auto"/>
        </w:rPr>
      </w:pPr>
    </w:p>
    <w:p>
      <w:pPr>
        <w:ind w:left="900" w:hanging="446"/>
        <w:spacing w:after="0"/>
        <w:tabs>
          <w:tab w:leader="none" w:pos="900" w:val="left"/>
        </w:tabs>
        <w:numPr>
          <w:ilvl w:val="0"/>
          <w:numId w:val="4"/>
        </w:numPr>
        <w:rPr>
          <w:rFonts w:ascii="Arial" w:cs="Arial" w:eastAsia="Arial" w:hAnsi="Arial"/>
          <w:sz w:val="18"/>
          <w:szCs w:val="18"/>
          <w:color w:val="auto"/>
        </w:rPr>
      </w:pPr>
      <w:r>
        <w:rPr>
          <w:rFonts w:ascii="Arial" w:cs="Arial" w:eastAsia="Arial" w:hAnsi="Arial"/>
          <w:sz w:val="18"/>
          <w:szCs w:val="18"/>
          <w:color w:val="auto"/>
        </w:rPr>
        <w:t>our ability to maintain a competitive cost structure for our manufacturing and assembly and test processes;</w:t>
      </w:r>
    </w:p>
    <w:p>
      <w:pPr>
        <w:spacing w:after="0" w:line="90" w:lineRule="exact"/>
        <w:rPr>
          <w:rFonts w:ascii="Arial" w:cs="Arial" w:eastAsia="Arial" w:hAnsi="Arial"/>
          <w:sz w:val="18"/>
          <w:szCs w:val="18"/>
          <w:color w:val="auto"/>
        </w:rPr>
      </w:pPr>
    </w:p>
    <w:p>
      <w:pPr>
        <w:ind w:left="900" w:hanging="446"/>
        <w:spacing w:after="0"/>
        <w:tabs>
          <w:tab w:leader="none" w:pos="900" w:val="left"/>
        </w:tabs>
        <w:numPr>
          <w:ilvl w:val="0"/>
          <w:numId w:val="4"/>
        </w:numPr>
        <w:rPr>
          <w:rFonts w:ascii="Arial" w:cs="Arial" w:eastAsia="Arial" w:hAnsi="Arial"/>
          <w:sz w:val="18"/>
          <w:szCs w:val="18"/>
          <w:color w:val="auto"/>
        </w:rPr>
      </w:pPr>
      <w:r>
        <w:rPr>
          <w:rFonts w:ascii="Arial" w:cs="Arial" w:eastAsia="Arial" w:hAnsi="Arial"/>
          <w:sz w:val="18"/>
          <w:szCs w:val="18"/>
          <w:color w:val="auto"/>
        </w:rPr>
        <w:t>failure to qualify our products or our suppliers’ manufacturing lines;</w:t>
      </w:r>
    </w:p>
    <w:p>
      <w:pPr>
        <w:spacing w:after="0" w:line="90" w:lineRule="exact"/>
        <w:rPr>
          <w:rFonts w:ascii="Arial" w:cs="Arial" w:eastAsia="Arial" w:hAnsi="Arial"/>
          <w:sz w:val="18"/>
          <w:szCs w:val="18"/>
          <w:color w:val="auto"/>
        </w:rPr>
      </w:pPr>
    </w:p>
    <w:p>
      <w:pPr>
        <w:ind w:left="900" w:hanging="446"/>
        <w:spacing w:after="0"/>
        <w:tabs>
          <w:tab w:leader="none" w:pos="900" w:val="left"/>
        </w:tabs>
        <w:numPr>
          <w:ilvl w:val="0"/>
          <w:numId w:val="4"/>
        </w:numPr>
        <w:rPr>
          <w:rFonts w:ascii="Arial" w:cs="Arial" w:eastAsia="Arial" w:hAnsi="Arial"/>
          <w:sz w:val="18"/>
          <w:szCs w:val="18"/>
          <w:color w:val="auto"/>
        </w:rPr>
      </w:pPr>
      <w:r>
        <w:rPr>
          <w:rFonts w:ascii="Arial" w:cs="Arial" w:eastAsia="Arial" w:hAnsi="Arial"/>
          <w:sz w:val="18"/>
          <w:szCs w:val="18"/>
          <w:color w:val="auto"/>
        </w:rPr>
        <w:t>our ability to exercise stringent quality control measures to obtain high yields;</w:t>
      </w:r>
    </w:p>
    <w:p>
      <w:pPr>
        <w:spacing w:after="0" w:line="90" w:lineRule="exact"/>
        <w:rPr>
          <w:rFonts w:ascii="Arial" w:cs="Arial" w:eastAsia="Arial" w:hAnsi="Arial"/>
          <w:sz w:val="18"/>
          <w:szCs w:val="18"/>
          <w:color w:val="auto"/>
        </w:rPr>
      </w:pPr>
    </w:p>
    <w:p>
      <w:pPr>
        <w:ind w:left="900" w:hanging="446"/>
        <w:spacing w:after="0"/>
        <w:tabs>
          <w:tab w:leader="none" w:pos="900" w:val="left"/>
        </w:tabs>
        <w:numPr>
          <w:ilvl w:val="0"/>
          <w:numId w:val="4"/>
        </w:numPr>
        <w:rPr>
          <w:rFonts w:ascii="Arial" w:cs="Arial" w:eastAsia="Arial" w:hAnsi="Arial"/>
          <w:sz w:val="18"/>
          <w:szCs w:val="18"/>
          <w:color w:val="auto"/>
        </w:rPr>
      </w:pPr>
      <w:r>
        <w:rPr>
          <w:rFonts w:ascii="Arial" w:cs="Arial" w:eastAsia="Arial" w:hAnsi="Arial"/>
          <w:sz w:val="18"/>
          <w:szCs w:val="18"/>
          <w:color w:val="auto"/>
        </w:rPr>
        <w:t>effective and timely update of equipment and facilities as required for leading edge production capabilities; and</w:t>
      </w:r>
    </w:p>
    <w:p>
      <w:pPr>
        <w:spacing w:after="0" w:line="90" w:lineRule="exact"/>
        <w:rPr>
          <w:rFonts w:ascii="Arial" w:cs="Arial" w:eastAsia="Arial" w:hAnsi="Arial"/>
          <w:sz w:val="18"/>
          <w:szCs w:val="18"/>
          <w:color w:val="auto"/>
        </w:rPr>
      </w:pPr>
    </w:p>
    <w:p>
      <w:pPr>
        <w:ind w:left="900" w:hanging="446"/>
        <w:spacing w:after="0" w:line="268" w:lineRule="auto"/>
        <w:tabs>
          <w:tab w:leader="none" w:pos="900" w:val="left"/>
        </w:tabs>
        <w:numPr>
          <w:ilvl w:val="0"/>
          <w:numId w:val="4"/>
        </w:numPr>
        <w:rPr>
          <w:rFonts w:ascii="Arial" w:cs="Arial" w:eastAsia="Arial" w:hAnsi="Arial"/>
          <w:sz w:val="18"/>
          <w:szCs w:val="18"/>
          <w:color w:val="auto"/>
        </w:rPr>
      </w:pPr>
      <w:r>
        <w:rPr>
          <w:rFonts w:ascii="Arial" w:cs="Arial" w:eastAsia="Arial" w:hAnsi="Arial"/>
          <w:sz w:val="18"/>
          <w:szCs w:val="18"/>
          <w:color w:val="auto"/>
        </w:rPr>
        <w:t>any litigation related to our intellectual property that could result in substantial costs and a diversion of management’s attention and resources that are needed to successfully maintain and grow our business.</w:t>
      </w:r>
    </w:p>
    <w:p>
      <w:pPr>
        <w:spacing w:after="0" w:line="132" w:lineRule="exact"/>
        <w:rPr>
          <w:sz w:val="20"/>
          <w:szCs w:val="20"/>
          <w:color w:val="auto"/>
        </w:rPr>
      </w:pPr>
    </w:p>
    <w:p>
      <w:pPr>
        <w:ind w:right="20" w:firstLine="456"/>
        <w:spacing w:after="0" w:line="294" w:lineRule="auto"/>
        <w:rPr>
          <w:sz w:val="20"/>
          <w:szCs w:val="20"/>
          <w:color w:val="auto"/>
        </w:rPr>
      </w:pPr>
      <w:r>
        <w:rPr>
          <w:rFonts w:ascii="Arial" w:cs="Arial" w:eastAsia="Arial" w:hAnsi="Arial"/>
          <w:sz w:val="16"/>
          <w:szCs w:val="16"/>
          <w:color w:val="auto"/>
        </w:rPr>
        <w:t>Due to fluctuations in our quarterly operating results and other factors, the price at which our common shares will trade is likely to continue to be highly volatile. In future periods, if our revenues or operating results are below our estimates or the estimates or expectations of public market analysts and investors, our stock price could decline. On average, technology companies have been subject to a greater number of securities class action claims than companies in many other industries as a result of stock price volatility. If our stock price is volatile, we may become involved in this type of litigation. Any litigation could result in substantial costs and a diversion of management’s attention and resources that are needed to successfully maintain and grow our business.</w:t>
      </w:r>
    </w:p>
    <w:p>
      <w:pPr>
        <w:spacing w:after="0" w:line="116" w:lineRule="exact"/>
        <w:rPr>
          <w:sz w:val="20"/>
          <w:szCs w:val="20"/>
          <w:color w:val="auto"/>
        </w:rPr>
      </w:pPr>
    </w:p>
    <w:p>
      <w:pPr>
        <w:ind w:right="180"/>
        <w:spacing w:after="0" w:line="268" w:lineRule="auto"/>
        <w:rPr>
          <w:sz w:val="20"/>
          <w:szCs w:val="20"/>
          <w:color w:val="auto"/>
        </w:rPr>
      </w:pPr>
      <w:r>
        <w:rPr>
          <w:rFonts w:ascii="Arial" w:cs="Arial" w:eastAsia="Arial" w:hAnsi="Arial"/>
          <w:sz w:val="18"/>
          <w:szCs w:val="18"/>
          <w:b w:val="1"/>
          <w:bCs w:val="1"/>
          <w:i w:val="1"/>
          <w:iCs w:val="1"/>
          <w:color w:val="auto"/>
        </w:rPr>
        <w:t>Our business, financial condition and results of operations may be adversely impacted by the recent global financial crisis. As a result, our financial results and the market price of our common shares may decline.</w:t>
      </w:r>
    </w:p>
    <w:p>
      <w:pPr>
        <w:spacing w:after="0" w:line="132" w:lineRule="exact"/>
        <w:rPr>
          <w:sz w:val="20"/>
          <w:szCs w:val="20"/>
          <w:color w:val="auto"/>
        </w:rPr>
      </w:pPr>
    </w:p>
    <w:p>
      <w:pPr>
        <w:ind w:right="120" w:firstLine="456"/>
        <w:spacing w:after="0" w:line="256" w:lineRule="auto"/>
        <w:rPr>
          <w:sz w:val="20"/>
          <w:szCs w:val="20"/>
          <w:color w:val="auto"/>
        </w:rPr>
      </w:pPr>
      <w:r>
        <w:rPr>
          <w:rFonts w:ascii="Arial" w:cs="Arial" w:eastAsia="Arial" w:hAnsi="Arial"/>
          <w:sz w:val="18"/>
          <w:szCs w:val="18"/>
          <w:color w:val="auto"/>
        </w:rPr>
        <w:t>We operate primarily in the semiconductor industry, which is cyclical and subject to rapid change and evolving industry standards. From time to time, this industry has experienced significant demand downturns. These downturns are characterized by decreases in product demand, excess customer inventories and sometimes accelerated erosion of prices. These factors could cause substantial fluctuations in our revenue and results of operations. In addition, during these downturns some competitors may become</w:t>
      </w:r>
    </w:p>
    <w:p>
      <w:pPr>
        <w:spacing w:after="0" w:line="130"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40</w:t>
      </w:r>
    </w:p>
    <w:p>
      <w:pPr>
        <w:sectPr>
          <w:pgSz w:w="11900" w:h="16838" w:orient="portrait"/>
          <w:cols w:equalWidth="0" w:num="1">
            <w:col w:w="11420"/>
          </w:cols>
          <w:pgMar w:left="240" w:top="459" w:right="239" w:bottom="1440" w:gutter="0" w:footer="0" w:header="0"/>
        </w:sectPr>
      </w:pPr>
    </w:p>
    <w:bookmarkStart w:id="40" w:name="page41"/>
    <w:bookmarkEnd w:id="40"/>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48" name="Picture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pic:cNvPicPr>
                      <a:picLocks noChangeAspect="1" noChangeArrowheads="1"/>
                    </pic:cNvPicPr>
                  </pic:nvPicPr>
                  <pic:blipFill>
                    <a:blip r:embed="rId55">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spacing w:after="0" w:line="255" w:lineRule="auto"/>
        <w:rPr>
          <w:sz w:val="20"/>
          <w:szCs w:val="20"/>
          <w:color w:val="auto"/>
        </w:rPr>
      </w:pPr>
      <w:r>
        <w:rPr>
          <w:rFonts w:ascii="Arial" w:cs="Arial" w:eastAsia="Arial" w:hAnsi="Arial"/>
          <w:sz w:val="18"/>
          <w:szCs w:val="18"/>
          <w:color w:val="auto"/>
        </w:rPr>
        <w:t>more aggressive in their pricing practices, which would adversely impact our gross margin. Furthermore, our foundry partners often require significant amounts of financing in order to build wafer fabrication facilities. If they are unable to obtain financing and anticipated capacity is not completed, we may experience a shortage of capacity, which could increase our costs or reduce our ability to meet customer demand. Any downturns in the current environment may be severe and prolonged, and any failure of the markets in which we operate to fully recover from downturns could seriously impact our revenue and harm our business, financial condition and results of operations.</w:t>
      </w:r>
    </w:p>
    <w:p>
      <w:pPr>
        <w:spacing w:after="0" w:line="143" w:lineRule="exact"/>
        <w:rPr>
          <w:sz w:val="20"/>
          <w:szCs w:val="20"/>
          <w:color w:val="auto"/>
        </w:rPr>
      </w:pPr>
    </w:p>
    <w:p>
      <w:pPr>
        <w:ind w:right="20" w:firstLine="456"/>
        <w:spacing w:after="0" w:line="286" w:lineRule="auto"/>
        <w:rPr>
          <w:sz w:val="20"/>
          <w:szCs w:val="20"/>
          <w:color w:val="auto"/>
        </w:rPr>
      </w:pPr>
      <w:r>
        <w:rPr>
          <w:rFonts w:ascii="Arial" w:cs="Arial" w:eastAsia="Arial" w:hAnsi="Arial"/>
          <w:sz w:val="16"/>
          <w:szCs w:val="16"/>
          <w:color w:val="auto"/>
        </w:rPr>
        <w:t>The global credit and financial markets over the past year experienced extreme volatility and disruptions, including severely diminished liquidity and credit availability, decreased consumer confidence, lower economic growth, volatile energy costs, increased unemployment rates, and uncertainty about economic stability. As a result, we experienced cancellations, deferrals and a significant slowdown in orders, which resulted in lower revenue levels that could continue for the foreseeable future. These conditions make it difficult for our customers, our vendors and us to accurately forecast and plan future business activities, and could cause global businesses to further slow spending on our products and services, which would delay and lengthen sales cycles. During challenging economic times our customers and distributors may face issues gaining timely access to sufficient credit, which could impact their ability to make timely payments to us. If that were to occur, we may be required to increase our allowance for doubtful accounts and our days sales outstanding would increase. We cannot predict the timing, strength or duration of any economic slowdown or subsequent economic recovery, globally, or in the hard disk drive or in the semiconductor industry. If the economy or markets in which we operate deteriorate from current levels, our business, financial condition and results of operations will likely be materially and adversely affected. Additionally, the combination of our lengthy sales cycle coupled with challenging macroeconomic conditions could adversely impact our results of operations.</w:t>
      </w:r>
    </w:p>
    <w:p>
      <w:pPr>
        <w:spacing w:after="0" w:line="127" w:lineRule="exact"/>
        <w:rPr>
          <w:sz w:val="20"/>
          <w:szCs w:val="20"/>
          <w:color w:val="auto"/>
        </w:rPr>
      </w:pPr>
    </w:p>
    <w:p>
      <w:pPr>
        <w:spacing w:after="0"/>
        <w:rPr>
          <w:sz w:val="20"/>
          <w:szCs w:val="20"/>
          <w:color w:val="auto"/>
        </w:rPr>
      </w:pPr>
      <w:r>
        <w:rPr>
          <w:rFonts w:ascii="Arial" w:cs="Arial" w:eastAsia="Arial" w:hAnsi="Arial"/>
          <w:sz w:val="18"/>
          <w:szCs w:val="18"/>
          <w:b w:val="1"/>
          <w:bCs w:val="1"/>
          <w:i w:val="1"/>
          <w:iCs w:val="1"/>
          <w:color w:val="auto"/>
        </w:rPr>
        <w:t>Changes in our management may cause uncertainty in, or be disruptive to, our business.</w:t>
      </w:r>
    </w:p>
    <w:p>
      <w:pPr>
        <w:spacing w:after="0" w:line="171" w:lineRule="exact"/>
        <w:rPr>
          <w:sz w:val="20"/>
          <w:szCs w:val="20"/>
          <w:color w:val="auto"/>
        </w:rPr>
      </w:pPr>
    </w:p>
    <w:p>
      <w:pPr>
        <w:ind w:right="40" w:firstLine="456"/>
        <w:spacing w:after="0" w:line="287" w:lineRule="auto"/>
        <w:rPr>
          <w:sz w:val="20"/>
          <w:szCs w:val="20"/>
          <w:color w:val="auto"/>
        </w:rPr>
      </w:pPr>
      <w:r>
        <w:rPr>
          <w:rFonts w:ascii="Arial" w:cs="Arial" w:eastAsia="Arial" w:hAnsi="Arial"/>
          <w:sz w:val="16"/>
          <w:szCs w:val="16"/>
          <w:color w:val="auto"/>
        </w:rPr>
        <w:t>We have experienced significant changes in our management and our board of directors in recent years. For example, in 2008, we hired a new chief financial officer and a new general counsel. Since October 2008, our chief financial officer has also served as our interim chief operating officer, and we have reassigned many of the duties that had previously been allocated to the chief operating officer to other employees. In light of our current operating structure and effectiveness, our board of directors has reevaluated whether we need a chief operating officer and determined that appointing a permanent chief operating officer at this time is not necessary. Thus, we have suspended our search for a permanent chief operating officer. In addition, three of the independent directors currently on our board of directors joined the board in or subsequent to October 2007, and in April 2009, an independent director was appointed to a new position of lead independent director. Although we will endeavor to implement any director and management transition in as non-disruptive a manner as possible, any such transition might impact our business, and give rise to uncertainty among customers, investors, vendors, employees and others concerning our future direction and performance. This could adversely affect our business, financial condition, results of operations and cash flows, and our ability to execute our business model could be impaired.</w:t>
      </w:r>
    </w:p>
    <w:p>
      <w:pPr>
        <w:spacing w:after="0" w:line="123" w:lineRule="exact"/>
        <w:rPr>
          <w:sz w:val="20"/>
          <w:szCs w:val="20"/>
          <w:color w:val="auto"/>
        </w:rPr>
      </w:pPr>
    </w:p>
    <w:p>
      <w:pPr>
        <w:ind w:right="700"/>
        <w:spacing w:after="0" w:line="332" w:lineRule="auto"/>
        <w:rPr>
          <w:sz w:val="20"/>
          <w:szCs w:val="20"/>
          <w:color w:val="auto"/>
        </w:rPr>
      </w:pPr>
      <w:r>
        <w:rPr>
          <w:rFonts w:ascii="Arial" w:cs="Arial" w:eastAsia="Arial" w:hAnsi="Arial"/>
          <w:sz w:val="16"/>
          <w:szCs w:val="16"/>
          <w:b w:val="1"/>
          <w:bCs w:val="1"/>
          <w:i w:val="1"/>
          <w:iCs w:val="1"/>
          <w:color w:val="auto"/>
        </w:rPr>
        <w:t>We have made and may continue to make acquisitions and investments, which could divert management’s attention, cause ownership dilution to our shareholders, be difficult to integrate and adversely affect our results of operations and share price.</w:t>
      </w:r>
    </w:p>
    <w:p>
      <w:pPr>
        <w:spacing w:after="0" w:line="85" w:lineRule="exact"/>
        <w:rPr>
          <w:sz w:val="20"/>
          <w:szCs w:val="20"/>
          <w:color w:val="auto"/>
        </w:rPr>
      </w:pPr>
    </w:p>
    <w:p>
      <w:pPr>
        <w:ind w:right="40" w:firstLine="456"/>
        <w:spacing w:after="0" w:line="294" w:lineRule="auto"/>
        <w:rPr>
          <w:sz w:val="20"/>
          <w:szCs w:val="20"/>
          <w:color w:val="auto"/>
        </w:rPr>
      </w:pPr>
      <w:r>
        <w:rPr>
          <w:rFonts w:ascii="Arial" w:cs="Arial" w:eastAsia="Arial" w:hAnsi="Arial"/>
          <w:sz w:val="16"/>
          <w:szCs w:val="16"/>
          <w:color w:val="auto"/>
        </w:rPr>
        <w:t>We expect to continue to make acquisitions of, and investments in, businesses that offer complementary products, services and technologies, augment our market segment coverage, or enhance our technological capabilities. In the past three fiscal years, we have completed the acquisition of the communications and applications processor business of Intel and other small acquisitions. We may also enter into strategic alliances or joint ventures to achieve these goals. We cannot assure you that we will be able to identify suitable acquisition, investment, alliance or joint venture opportunities in the future, or that we will be able to consummate any such transactions or relationships on terms and conditions acceptable to us, or that such transactions or relationships will be successful.</w:t>
      </w:r>
    </w:p>
    <w:p>
      <w:pPr>
        <w:spacing w:after="0" w:line="116" w:lineRule="exact"/>
        <w:rPr>
          <w:sz w:val="20"/>
          <w:szCs w:val="20"/>
          <w:color w:val="auto"/>
        </w:rPr>
      </w:pPr>
    </w:p>
    <w:p>
      <w:pPr>
        <w:ind w:firstLine="456"/>
        <w:spacing w:after="0" w:line="256" w:lineRule="auto"/>
        <w:rPr>
          <w:sz w:val="20"/>
          <w:szCs w:val="20"/>
          <w:color w:val="auto"/>
        </w:rPr>
      </w:pPr>
      <w:r>
        <w:rPr>
          <w:rFonts w:ascii="Arial" w:cs="Arial" w:eastAsia="Arial" w:hAnsi="Arial"/>
          <w:sz w:val="18"/>
          <w:szCs w:val="18"/>
          <w:color w:val="auto"/>
        </w:rPr>
        <w:t>Integrating newly acquired businesses or technologies typically entail many risks that could put a strain on our resources, could be costly and time consuming, and might not be successful. In addition, any acquisitions could materially harm our results of operations or liquidity as a result of either the issuance of dilutive equity securities or payment of cash. Moreover, such acquisitions could divert our management’s attention from other business concerns and also result in customer dissatisfaction. In addition, we</w:t>
      </w:r>
    </w:p>
    <w:p>
      <w:pPr>
        <w:spacing w:after="0" w:line="130"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41</w:t>
      </w:r>
    </w:p>
    <w:p>
      <w:pPr>
        <w:sectPr>
          <w:pgSz w:w="11900" w:h="16838" w:orient="portrait"/>
          <w:cols w:equalWidth="0" w:num="1">
            <w:col w:w="11420"/>
          </w:cols>
          <w:pgMar w:left="240" w:top="459" w:right="239" w:bottom="1440" w:gutter="0" w:footer="0" w:header="0"/>
        </w:sectPr>
      </w:pPr>
    </w:p>
    <w:bookmarkStart w:id="41" w:name="page42"/>
    <w:bookmarkEnd w:id="41"/>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49" name="Picture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pic:cNvPicPr>
                      <a:picLocks noChangeAspect="1" noChangeArrowheads="1"/>
                    </pic:cNvPicPr>
                  </pic:nvPicPr>
                  <pic:blipFill>
                    <a:blip r:embed="rId56">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900"/>
        <w:spacing w:after="0" w:line="332" w:lineRule="auto"/>
        <w:rPr>
          <w:sz w:val="20"/>
          <w:szCs w:val="20"/>
          <w:color w:val="auto"/>
        </w:rPr>
      </w:pPr>
      <w:r>
        <w:rPr>
          <w:rFonts w:ascii="Arial" w:cs="Arial" w:eastAsia="Arial" w:hAnsi="Arial"/>
          <w:sz w:val="16"/>
          <w:szCs w:val="16"/>
          <w:color w:val="auto"/>
        </w:rPr>
        <w:t>might lose key employees of the newly acquired organizations during the acquisition process. The acquisition of another company or its products and technologies may also require us to enter into a geographic or business market in which we have little or no prior experience.</w:t>
      </w:r>
    </w:p>
    <w:p>
      <w:pPr>
        <w:spacing w:after="0" w:line="85" w:lineRule="exact"/>
        <w:rPr>
          <w:sz w:val="20"/>
          <w:szCs w:val="20"/>
          <w:color w:val="auto"/>
        </w:rPr>
      </w:pPr>
    </w:p>
    <w:p>
      <w:pPr>
        <w:ind w:right="80" w:firstLine="456"/>
        <w:spacing w:after="0" w:line="294" w:lineRule="auto"/>
        <w:rPr>
          <w:sz w:val="20"/>
          <w:szCs w:val="20"/>
          <w:color w:val="auto"/>
        </w:rPr>
      </w:pPr>
      <w:r>
        <w:rPr>
          <w:rFonts w:ascii="Arial" w:cs="Arial" w:eastAsia="Arial" w:hAnsi="Arial"/>
          <w:sz w:val="16"/>
          <w:szCs w:val="16"/>
          <w:color w:val="auto"/>
        </w:rPr>
        <w:t>In addition, the purchase price of any acquired businesses may exceed the current fair values of the net tangible assets of the acquired businesses. As a result, we would be required to record material amounts of goodwill, acquired in-process research and development, charges and other intangible assets, which could result in significant impairment and acquired in-process research and development charges and amortization expense in future periods. It may also be necessary for us to take other financial charges and reserves as a result of acquisitions, such as inventory write-downs. These charges, in addition to the results of operations of such acquired businesses, could have a material adverse effect on our business, financial condition and results of operations.</w:t>
      </w:r>
    </w:p>
    <w:p>
      <w:pPr>
        <w:spacing w:after="0" w:line="116" w:lineRule="exact"/>
        <w:rPr>
          <w:sz w:val="20"/>
          <w:szCs w:val="20"/>
          <w:color w:val="auto"/>
        </w:rPr>
      </w:pPr>
    </w:p>
    <w:p>
      <w:pPr>
        <w:spacing w:after="0"/>
        <w:rPr>
          <w:sz w:val="20"/>
          <w:szCs w:val="20"/>
          <w:color w:val="auto"/>
        </w:rPr>
      </w:pPr>
      <w:r>
        <w:rPr>
          <w:rFonts w:ascii="Arial" w:cs="Arial" w:eastAsia="Arial" w:hAnsi="Arial"/>
          <w:sz w:val="18"/>
          <w:szCs w:val="18"/>
          <w:b w:val="1"/>
          <w:bCs w:val="1"/>
          <w:i w:val="1"/>
          <w:iCs w:val="1"/>
          <w:color w:val="auto"/>
        </w:rPr>
        <w:t>We are exposed to potential impairment charges on certain assets.</w:t>
      </w:r>
    </w:p>
    <w:p>
      <w:pPr>
        <w:spacing w:after="0" w:line="171" w:lineRule="exact"/>
        <w:rPr>
          <w:sz w:val="20"/>
          <w:szCs w:val="20"/>
          <w:color w:val="auto"/>
        </w:rPr>
      </w:pPr>
    </w:p>
    <w:p>
      <w:pPr>
        <w:ind w:right="20" w:firstLine="456"/>
        <w:spacing w:after="0" w:line="288" w:lineRule="auto"/>
        <w:rPr>
          <w:sz w:val="20"/>
          <w:szCs w:val="20"/>
          <w:color w:val="auto"/>
        </w:rPr>
      </w:pPr>
      <w:r>
        <w:rPr>
          <w:rFonts w:ascii="Arial" w:cs="Arial" w:eastAsia="Arial" w:hAnsi="Arial"/>
          <w:sz w:val="16"/>
          <w:szCs w:val="16"/>
          <w:color w:val="auto"/>
        </w:rPr>
        <w:t>Over the past several years, we have made several acquisitions. As a result of these acquisitions, we had approximately $2.0 billion of goodwill and $203.4 million of intangible assets on our balance sheet as of October 31, 2009. Under GAAP, we are required to review our intangible assets for impairment whenever events or changes in circumstances indicate that the carrying value of these assets may not be recoverable. If the businesses acquired fail to meet our expectations set out at the time of the acquisition or if our market capitalization adjusted for control premiums and other factors declines to below our carrying value, we could incur significant impairment charges, which could negatively impact our financial results. For example, as a result of our analysis related to acquired intangible assets, we recorded an impairment charge of $15.6 million in the fourth quarter ended January 31, 2009. In addition, from time to time, we have made investments in other private companies. If the companies that we invest in are unable to execute their plans and succeed in their respective markets, we may not benefit from such investments, and we could potentially lose the amounts we invest. In addition, we evaluate our investment portfolio on a regular basis to determine if impairments have occurred. Impairment charges could have a material impact on our results of operations in any period.</w:t>
      </w:r>
    </w:p>
    <w:p>
      <w:pPr>
        <w:spacing w:after="0" w:line="120" w:lineRule="exact"/>
        <w:rPr>
          <w:sz w:val="20"/>
          <w:szCs w:val="20"/>
          <w:color w:val="auto"/>
        </w:rPr>
      </w:pPr>
    </w:p>
    <w:p>
      <w:pPr>
        <w:ind w:right="280"/>
        <w:spacing w:after="0" w:line="268" w:lineRule="auto"/>
        <w:rPr>
          <w:sz w:val="20"/>
          <w:szCs w:val="20"/>
          <w:color w:val="auto"/>
        </w:rPr>
      </w:pPr>
      <w:r>
        <w:rPr>
          <w:rFonts w:ascii="Arial" w:cs="Arial" w:eastAsia="Arial" w:hAnsi="Arial"/>
          <w:sz w:val="18"/>
          <w:szCs w:val="18"/>
          <w:b w:val="1"/>
          <w:bCs w:val="1"/>
          <w:i w:val="1"/>
          <w:iCs w:val="1"/>
          <w:color w:val="auto"/>
        </w:rPr>
        <w:t>A significant portion of our business is dependent on the hard disk drive industry, which is highly cyclical, experiences rapid technological change, and is facing increased competition from alternative technologies.</w:t>
      </w:r>
    </w:p>
    <w:p>
      <w:pPr>
        <w:spacing w:after="0" w:line="132" w:lineRule="exact"/>
        <w:rPr>
          <w:sz w:val="20"/>
          <w:szCs w:val="20"/>
          <w:color w:val="auto"/>
        </w:rPr>
      </w:pPr>
    </w:p>
    <w:p>
      <w:pPr>
        <w:ind w:firstLine="456"/>
        <w:spacing w:after="0" w:line="290" w:lineRule="auto"/>
        <w:rPr>
          <w:sz w:val="20"/>
          <w:szCs w:val="20"/>
          <w:color w:val="auto"/>
        </w:rPr>
      </w:pPr>
      <w:r>
        <w:rPr>
          <w:rFonts w:ascii="Arial" w:cs="Arial" w:eastAsia="Arial" w:hAnsi="Arial"/>
          <w:sz w:val="16"/>
          <w:szCs w:val="16"/>
          <w:color w:val="auto"/>
        </w:rPr>
        <w:t>The hard disk drive industry is intensely competitive, and the technology changes rapidly. As a result, this industry is highly cyclical, with periods of increased demand and rapid growth followed by periods of oversupply and subsequent contraction. These cycles may affect us because some of our customers are participants in this industry. Hard disk drive manufacturers tend to order more components than they may need during growth periods, and sharply reduce orders for components during periods of contraction. In addition, advances in existing technologies and the introduction of new technologies may result in lower demand for disk drive storage devices, thereby reducing demand for our products. Rapid technological changes in the hard disk drive industry often result in significant and rapid shifts in market share among the industry’s participants. If the hard disk drive manufacturers using our products do not retain or increase their market share, our sales may decrease.</w:t>
      </w:r>
    </w:p>
    <w:p>
      <w:pPr>
        <w:spacing w:after="0" w:line="118" w:lineRule="exact"/>
        <w:rPr>
          <w:sz w:val="20"/>
          <w:szCs w:val="20"/>
          <w:color w:val="auto"/>
        </w:rPr>
      </w:pPr>
    </w:p>
    <w:p>
      <w:pPr>
        <w:ind w:right="20" w:firstLine="456"/>
        <w:spacing w:after="0" w:line="254" w:lineRule="auto"/>
        <w:rPr>
          <w:sz w:val="20"/>
          <w:szCs w:val="20"/>
          <w:color w:val="auto"/>
        </w:rPr>
      </w:pPr>
      <w:r>
        <w:rPr>
          <w:rFonts w:ascii="Arial" w:cs="Arial" w:eastAsia="Arial" w:hAnsi="Arial"/>
          <w:sz w:val="18"/>
          <w:szCs w:val="18"/>
          <w:color w:val="auto"/>
        </w:rPr>
        <w:t>Future changes in the nature of information storage products may reduce demand for traditional hard disk drives. For instance, products using alternative technologies, such as semiconductor memory, optical storage, solid-state flash drives and other storage technologies could become a significant source of competition to manufacturers of hard disk drives. Flash memory has typically been more costly than disk drive technologies. However, flash memory manufacturers have been reducing the prices for their products, which could enable them to complete more effectively with very small form factor hard disk drive products. Demand for hard disk drives could be reduced if alternative storage technologies such as flash memory can meet customers’ cost and capacity requirements.</w:t>
      </w:r>
    </w:p>
    <w:p>
      <w:pPr>
        <w:spacing w:after="0" w:line="144" w:lineRule="exact"/>
        <w:rPr>
          <w:sz w:val="20"/>
          <w:szCs w:val="20"/>
          <w:color w:val="auto"/>
        </w:rPr>
      </w:pPr>
    </w:p>
    <w:p>
      <w:pPr>
        <w:ind w:right="160"/>
        <w:spacing w:after="0" w:line="268" w:lineRule="auto"/>
        <w:rPr>
          <w:sz w:val="20"/>
          <w:szCs w:val="20"/>
          <w:color w:val="auto"/>
        </w:rPr>
      </w:pPr>
      <w:r>
        <w:rPr>
          <w:rFonts w:ascii="Arial" w:cs="Arial" w:eastAsia="Arial" w:hAnsi="Arial"/>
          <w:sz w:val="18"/>
          <w:szCs w:val="18"/>
          <w:b w:val="1"/>
          <w:bCs w:val="1"/>
          <w:i w:val="1"/>
          <w:iCs w:val="1"/>
          <w:color w:val="auto"/>
        </w:rPr>
        <w:t>Our sales are concentrated in a few customers, and if we lose or experience a significant reduction in sales to any of these key customers, our revenues may decrease substantially.</w:t>
      </w:r>
    </w:p>
    <w:p>
      <w:pPr>
        <w:spacing w:after="0" w:line="132" w:lineRule="exact"/>
        <w:rPr>
          <w:sz w:val="20"/>
          <w:szCs w:val="20"/>
          <w:color w:val="auto"/>
        </w:rPr>
      </w:pPr>
    </w:p>
    <w:p>
      <w:pPr>
        <w:ind w:right="60" w:firstLine="456"/>
        <w:spacing w:after="0" w:line="291" w:lineRule="auto"/>
        <w:rPr>
          <w:sz w:val="20"/>
          <w:szCs w:val="20"/>
          <w:color w:val="auto"/>
        </w:rPr>
      </w:pPr>
      <w:r>
        <w:rPr>
          <w:rFonts w:ascii="Arial" w:cs="Arial" w:eastAsia="Arial" w:hAnsi="Arial"/>
          <w:sz w:val="16"/>
          <w:szCs w:val="16"/>
          <w:color w:val="auto"/>
        </w:rPr>
        <w:t>We receive a significant amount of our revenues from a limited number of customers. For the nine months ended October 31, 2009, two customers accounted for a total of approximately 39% of our net revenue. Sales to our largest customers have fluctuated significantly from period to period primarily due to the timing and number of design wins with each customer, as well as the continued diversification of our customer base as we expand into new markets, and will likely continue to fluctuate dramatically in the future. The loss of any of our large customers, a significant reduction in sales we make to them, or any problems we encounter collecting amounts due from them would likely harm our financial condition and results of operations. Our operating results in the foreseeable future will continue to depend on sales to a relatively small number of customers, as well as the ability of these customers</w:t>
      </w:r>
    </w:p>
    <w:p>
      <w:pPr>
        <w:spacing w:after="0" w:line="107"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42</w:t>
      </w:r>
    </w:p>
    <w:p>
      <w:pPr>
        <w:sectPr>
          <w:pgSz w:w="11900" w:h="16838" w:orient="portrait"/>
          <w:cols w:equalWidth="0" w:num="1">
            <w:col w:w="11400"/>
          </w:cols>
          <w:pgMar w:left="240" w:top="459" w:right="259" w:bottom="1440" w:gutter="0" w:footer="0" w:header="0"/>
        </w:sectPr>
      </w:pPr>
    </w:p>
    <w:bookmarkStart w:id="42" w:name="page43"/>
    <w:bookmarkEnd w:id="42"/>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50" name="Picture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pic:cNvPicPr>
                      <a:picLocks noChangeAspect="1" noChangeArrowheads="1"/>
                    </pic:cNvPicPr>
                  </pic:nvPicPr>
                  <pic:blipFill>
                    <a:blip r:embed="rId57">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60"/>
        <w:spacing w:after="0" w:line="268" w:lineRule="auto"/>
        <w:rPr>
          <w:sz w:val="20"/>
          <w:szCs w:val="20"/>
          <w:color w:val="auto"/>
        </w:rPr>
      </w:pPr>
      <w:r>
        <w:rPr>
          <w:rFonts w:ascii="Arial" w:cs="Arial" w:eastAsia="Arial" w:hAnsi="Arial"/>
          <w:sz w:val="18"/>
          <w:szCs w:val="18"/>
          <w:color w:val="auto"/>
        </w:rPr>
        <w:t>to sell products that incorporate our products. In the future, these customers may decide not to purchase our products at all, purchase fewer products than they did in the past, or alter their purchasing patterns in some other way, particularly because:</w:t>
      </w:r>
    </w:p>
    <w:p>
      <w:pPr>
        <w:spacing w:after="0" w:line="51" w:lineRule="exact"/>
        <w:rPr>
          <w:sz w:val="20"/>
          <w:szCs w:val="20"/>
          <w:color w:val="auto"/>
        </w:rPr>
      </w:pPr>
    </w:p>
    <w:p>
      <w:pPr>
        <w:ind w:left="900" w:right="820" w:hanging="446"/>
        <w:spacing w:after="0" w:line="268" w:lineRule="auto"/>
        <w:tabs>
          <w:tab w:leader="none" w:pos="900" w:val="left"/>
        </w:tabs>
        <w:numPr>
          <w:ilvl w:val="0"/>
          <w:numId w:val="5"/>
        </w:numPr>
        <w:rPr>
          <w:rFonts w:ascii="Arial" w:cs="Arial" w:eastAsia="Arial" w:hAnsi="Arial"/>
          <w:sz w:val="18"/>
          <w:szCs w:val="18"/>
          <w:color w:val="auto"/>
        </w:rPr>
      </w:pPr>
      <w:r>
        <w:rPr>
          <w:rFonts w:ascii="Arial" w:cs="Arial" w:eastAsia="Arial" w:hAnsi="Arial"/>
          <w:sz w:val="18"/>
          <w:szCs w:val="18"/>
          <w:color w:val="auto"/>
        </w:rPr>
        <w:t>substantially all of our sales are made on a purchase order basis, which permits our customers to cancel, change or delay product purchase commitments with little or no notice to us and without penalty;</w:t>
      </w:r>
    </w:p>
    <w:p>
      <w:pPr>
        <w:spacing w:after="0" w:line="50" w:lineRule="exact"/>
        <w:rPr>
          <w:rFonts w:ascii="Arial" w:cs="Arial" w:eastAsia="Arial" w:hAnsi="Arial"/>
          <w:sz w:val="18"/>
          <w:szCs w:val="18"/>
          <w:color w:val="auto"/>
        </w:rPr>
      </w:pPr>
    </w:p>
    <w:p>
      <w:pPr>
        <w:ind w:left="900" w:hanging="446"/>
        <w:spacing w:after="0"/>
        <w:tabs>
          <w:tab w:leader="none" w:pos="900" w:val="left"/>
        </w:tabs>
        <w:numPr>
          <w:ilvl w:val="0"/>
          <w:numId w:val="5"/>
        </w:numPr>
        <w:rPr>
          <w:rFonts w:ascii="Arial" w:cs="Arial" w:eastAsia="Arial" w:hAnsi="Arial"/>
          <w:sz w:val="18"/>
          <w:szCs w:val="18"/>
          <w:color w:val="auto"/>
        </w:rPr>
      </w:pPr>
      <w:r>
        <w:rPr>
          <w:rFonts w:ascii="Arial" w:cs="Arial" w:eastAsia="Arial" w:hAnsi="Arial"/>
          <w:sz w:val="18"/>
          <w:szCs w:val="18"/>
          <w:color w:val="auto"/>
        </w:rPr>
        <w:t>our customers may develop their own solutions;</w:t>
      </w:r>
    </w:p>
    <w:p>
      <w:pPr>
        <w:spacing w:after="0" w:line="90" w:lineRule="exact"/>
        <w:rPr>
          <w:rFonts w:ascii="Arial" w:cs="Arial" w:eastAsia="Arial" w:hAnsi="Arial"/>
          <w:sz w:val="18"/>
          <w:szCs w:val="18"/>
          <w:color w:val="auto"/>
        </w:rPr>
      </w:pPr>
    </w:p>
    <w:p>
      <w:pPr>
        <w:ind w:left="900" w:hanging="446"/>
        <w:spacing w:after="0"/>
        <w:tabs>
          <w:tab w:leader="none" w:pos="900" w:val="left"/>
        </w:tabs>
        <w:numPr>
          <w:ilvl w:val="0"/>
          <w:numId w:val="5"/>
        </w:numPr>
        <w:rPr>
          <w:rFonts w:ascii="Arial" w:cs="Arial" w:eastAsia="Arial" w:hAnsi="Arial"/>
          <w:sz w:val="18"/>
          <w:szCs w:val="18"/>
          <w:color w:val="auto"/>
        </w:rPr>
      </w:pPr>
      <w:r>
        <w:rPr>
          <w:rFonts w:ascii="Arial" w:cs="Arial" w:eastAsia="Arial" w:hAnsi="Arial"/>
          <w:sz w:val="18"/>
          <w:szCs w:val="18"/>
          <w:color w:val="auto"/>
        </w:rPr>
        <w:t>our customers may purchase integrated circuits from our competitors; or</w:t>
      </w:r>
    </w:p>
    <w:p>
      <w:pPr>
        <w:spacing w:after="0" w:line="90" w:lineRule="exact"/>
        <w:rPr>
          <w:rFonts w:ascii="Arial" w:cs="Arial" w:eastAsia="Arial" w:hAnsi="Arial"/>
          <w:sz w:val="18"/>
          <w:szCs w:val="18"/>
          <w:color w:val="auto"/>
        </w:rPr>
      </w:pPr>
    </w:p>
    <w:p>
      <w:pPr>
        <w:ind w:left="900" w:hanging="446"/>
        <w:spacing w:after="0"/>
        <w:tabs>
          <w:tab w:leader="none" w:pos="900" w:val="left"/>
        </w:tabs>
        <w:numPr>
          <w:ilvl w:val="0"/>
          <w:numId w:val="5"/>
        </w:numPr>
        <w:rPr>
          <w:rFonts w:ascii="Arial" w:cs="Arial" w:eastAsia="Arial" w:hAnsi="Arial"/>
          <w:sz w:val="18"/>
          <w:szCs w:val="18"/>
          <w:color w:val="auto"/>
        </w:rPr>
      </w:pPr>
      <w:r>
        <w:rPr>
          <w:rFonts w:ascii="Arial" w:cs="Arial" w:eastAsia="Arial" w:hAnsi="Arial"/>
          <w:sz w:val="18"/>
          <w:szCs w:val="18"/>
          <w:color w:val="auto"/>
        </w:rPr>
        <w:t>our customers may discontinue sales or lose market share in the markets for which they purchase our products.</w:t>
      </w:r>
    </w:p>
    <w:p>
      <w:pPr>
        <w:spacing w:after="0" w:line="171" w:lineRule="exact"/>
        <w:rPr>
          <w:sz w:val="20"/>
          <w:szCs w:val="20"/>
          <w:color w:val="auto"/>
        </w:rPr>
      </w:pPr>
    </w:p>
    <w:p>
      <w:pPr>
        <w:ind w:right="160"/>
        <w:spacing w:after="0" w:line="259" w:lineRule="auto"/>
        <w:rPr>
          <w:sz w:val="20"/>
          <w:szCs w:val="20"/>
          <w:color w:val="auto"/>
        </w:rPr>
      </w:pPr>
      <w:r>
        <w:rPr>
          <w:rFonts w:ascii="Arial" w:cs="Arial" w:eastAsia="Arial" w:hAnsi="Arial"/>
          <w:sz w:val="18"/>
          <w:szCs w:val="18"/>
          <w:b w:val="1"/>
          <w:bCs w:val="1"/>
          <w:i w:val="1"/>
          <w:iCs w:val="1"/>
          <w:color w:val="auto"/>
        </w:rPr>
        <w:t>We rely on independent foundries and subcontractors for the manufacture, assembly and testing of our integrated circuit products, and the failure of any of these third party vendors to deliver products or otherwise perform as requested could damage our relationships with our customers, decrease our sales and limit our growth.</w:t>
      </w:r>
    </w:p>
    <w:p>
      <w:pPr>
        <w:spacing w:after="0" w:line="140" w:lineRule="exact"/>
        <w:rPr>
          <w:sz w:val="20"/>
          <w:szCs w:val="20"/>
          <w:color w:val="auto"/>
        </w:rPr>
      </w:pPr>
    </w:p>
    <w:p>
      <w:pPr>
        <w:ind w:right="80" w:firstLine="456"/>
        <w:spacing w:after="0" w:line="256" w:lineRule="auto"/>
        <w:rPr>
          <w:sz w:val="20"/>
          <w:szCs w:val="20"/>
          <w:color w:val="auto"/>
        </w:rPr>
      </w:pPr>
      <w:r>
        <w:rPr>
          <w:rFonts w:ascii="Arial" w:cs="Arial" w:eastAsia="Arial" w:hAnsi="Arial"/>
          <w:sz w:val="18"/>
          <w:szCs w:val="18"/>
          <w:color w:val="auto"/>
        </w:rPr>
        <w:t>We do not have our own manufacturing or assembly facilities and have very limited in-house testing facilities. Therefore, we rely on third party vendors to manufacture, assemble and test the products we design. We currently rely on several third party foundries to produce our integrated circuit products. We also currently rely on several third party assembly and test subcontractors to assemble, package and test our products. This exposes us to a variety of risks, including the following:</w:t>
      </w:r>
    </w:p>
    <w:p>
      <w:pPr>
        <w:spacing w:after="0" w:line="224" w:lineRule="exact"/>
        <w:rPr>
          <w:sz w:val="20"/>
          <w:szCs w:val="20"/>
          <w:color w:val="auto"/>
        </w:rPr>
      </w:pPr>
    </w:p>
    <w:p>
      <w:pPr>
        <w:ind w:left="240"/>
        <w:spacing w:after="0"/>
        <w:rPr>
          <w:sz w:val="20"/>
          <w:szCs w:val="20"/>
          <w:color w:val="auto"/>
        </w:rPr>
      </w:pPr>
      <w:r>
        <w:rPr>
          <w:rFonts w:ascii="Arial" w:cs="Arial" w:eastAsia="Arial" w:hAnsi="Arial"/>
          <w:sz w:val="18"/>
          <w:szCs w:val="18"/>
          <w:b w:val="1"/>
          <w:bCs w:val="1"/>
          <w:i w:val="1"/>
          <w:iCs w:val="1"/>
          <w:color w:val="auto"/>
        </w:rPr>
        <w:t>Regional Concentration:</w:t>
      </w:r>
    </w:p>
    <w:p>
      <w:pPr>
        <w:spacing w:after="0" w:line="90" w:lineRule="exact"/>
        <w:rPr>
          <w:sz w:val="20"/>
          <w:szCs w:val="20"/>
          <w:color w:val="auto"/>
        </w:rPr>
      </w:pPr>
    </w:p>
    <w:p>
      <w:pPr>
        <w:ind w:firstLine="456"/>
        <w:spacing w:after="0" w:line="286" w:lineRule="auto"/>
        <w:rPr>
          <w:sz w:val="20"/>
          <w:szCs w:val="20"/>
          <w:color w:val="auto"/>
        </w:rPr>
      </w:pPr>
      <w:r>
        <w:rPr>
          <w:rFonts w:ascii="Arial" w:cs="Arial" w:eastAsia="Arial" w:hAnsi="Arial"/>
          <w:sz w:val="16"/>
          <w:szCs w:val="16"/>
          <w:color w:val="auto"/>
        </w:rPr>
        <w:t>Substantially all of our products are manufactured by third party foundries located in Taiwan. Currently our alternative manufacturing sources are located in China and Singapore. In addition, substantially all of our assembly and testing facilities are located in Singapore, Taiwan, Malaysia and the Philippines. Because of the geographic concentration of these third party foundries, we are exposed to the risk that their operations may be disrupted by regional disasters. For example, the risk of an earthquake in Taiwan and elsewhere in the Pacific Rim region is significant due to the proximity of major earthquake fault lines to the facilities of our foundries and assembly and test subcontractors. In September 1999, a major earthquake in Taiwan affected the facilities of several of these third party contractors. As a consequence of this earthquake, these contractors suffered power outages and disruptions that impaired their production capacity. Major earthquakes also occurred in Taiwan in 2002, 2003, 2004 and 2006. In addition, the resurgence of severe acute respiratory syndrome, the outbreak of avian flu and any similar future outbreaks in Asia, where these foundries are located, could affect the production capabilities of our manufacturers by resulting in quarantines or closures. In the event of such a quarantine or closure, if we were unable to quickly identify alternate manufacturing facilities, our revenues, cost of revenues and results of operations would be negatively impacted. If these vendors do not provide us with high-quality products and services in a timely manner, or if one or more of these vendors terminates its relationship with us, we may be unable to obtain satisfactory replacements to fulfill customer orders on a timely basis, our relationships with our customers could suffer, our sales could decrease and harm our business, financial condition or results of operations.</w:t>
      </w:r>
    </w:p>
    <w:p>
      <w:pPr>
        <w:spacing w:after="0" w:line="205" w:lineRule="exact"/>
        <w:rPr>
          <w:sz w:val="20"/>
          <w:szCs w:val="20"/>
          <w:color w:val="auto"/>
        </w:rPr>
      </w:pPr>
    </w:p>
    <w:p>
      <w:pPr>
        <w:ind w:left="240"/>
        <w:spacing w:after="0"/>
        <w:rPr>
          <w:sz w:val="20"/>
          <w:szCs w:val="20"/>
          <w:color w:val="auto"/>
        </w:rPr>
      </w:pPr>
      <w:r>
        <w:rPr>
          <w:rFonts w:ascii="Arial" w:cs="Arial" w:eastAsia="Arial" w:hAnsi="Arial"/>
          <w:sz w:val="18"/>
          <w:szCs w:val="18"/>
          <w:b w:val="1"/>
          <w:bCs w:val="1"/>
          <w:i w:val="1"/>
          <w:iCs w:val="1"/>
          <w:color w:val="auto"/>
        </w:rPr>
        <w:t>No Guarantee of Capacity or Supply:</w:t>
      </w:r>
    </w:p>
    <w:p>
      <w:pPr>
        <w:spacing w:after="0" w:line="90" w:lineRule="exact"/>
        <w:rPr>
          <w:sz w:val="20"/>
          <w:szCs w:val="20"/>
          <w:color w:val="auto"/>
        </w:rPr>
      </w:pPr>
    </w:p>
    <w:p>
      <w:pPr>
        <w:ind w:right="100" w:firstLine="456"/>
        <w:spacing w:after="0" w:line="287" w:lineRule="auto"/>
        <w:rPr>
          <w:sz w:val="20"/>
          <w:szCs w:val="20"/>
          <w:color w:val="auto"/>
        </w:rPr>
      </w:pPr>
      <w:r>
        <w:rPr>
          <w:rFonts w:ascii="Arial" w:cs="Arial" w:eastAsia="Arial" w:hAnsi="Arial"/>
          <w:sz w:val="16"/>
          <w:szCs w:val="16"/>
          <w:color w:val="auto"/>
        </w:rPr>
        <w:t>Availability of foundry capacity has from time to time in the past been constrained due to strong demand, and with limited exceptions, our vendors are not obligated to perform services or supply products to us for any specific period, in any specific quantities, or at any specific price, except as may be provided in a particular purchase order. The ability of each foundry to provide us with semiconductor devices is limited by its available capacity and existing obligations. Although we have entered into contractual commitments to supply specified levels of products to some of our customers, we may not have sufficient levels of production capacity with all of our foundries, despite signing an agreement with a foundry to reserve and secure foundry fabrication capacity for a fixed number of wafers at agreed upon prices until December 31, 2015. Despite this agreement, foundry capacity may not be available when we need it or at reasonable prices. We place our orders on the basis of our customers’ purchase orders or our forecast of customer demand, and the foundries can allocate capacity to the production of other companies’ products and reduce deliveries to us on short notice. It is possible that foundry customers that are larger and better financed than we are or that have long-term agreements with our main foundries, may induce our foundries to reallocate capacity to those customers. This reallocation could impair our ability to secure the supply of components that we need.</w:t>
      </w:r>
    </w:p>
    <w:p>
      <w:pPr>
        <w:spacing w:after="0" w:line="109"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43</w:t>
      </w:r>
    </w:p>
    <w:p>
      <w:pPr>
        <w:sectPr>
          <w:pgSz w:w="11900" w:h="16838" w:orient="portrait"/>
          <w:cols w:equalWidth="0" w:num="1">
            <w:col w:w="11420"/>
          </w:cols>
          <w:pgMar w:left="240" w:top="459" w:right="239" w:bottom="1440" w:gutter="0" w:footer="0" w:header="0"/>
        </w:sectPr>
      </w:pPr>
    </w:p>
    <w:bookmarkStart w:id="43" w:name="page44"/>
    <w:bookmarkEnd w:id="43"/>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51" name="Picture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pic:cNvPicPr>
                      <a:picLocks noChangeAspect="1" noChangeArrowheads="1"/>
                    </pic:cNvPicPr>
                  </pic:nvPicPr>
                  <pic:blipFill>
                    <a:blip r:embed="rId58">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firstLine="456"/>
        <w:spacing w:after="0" w:line="255" w:lineRule="auto"/>
        <w:rPr>
          <w:sz w:val="20"/>
          <w:szCs w:val="20"/>
          <w:color w:val="auto"/>
        </w:rPr>
      </w:pPr>
      <w:r>
        <w:rPr>
          <w:rFonts w:ascii="Arial" w:cs="Arial" w:eastAsia="Arial" w:hAnsi="Arial"/>
          <w:sz w:val="18"/>
          <w:szCs w:val="18"/>
          <w:color w:val="auto"/>
        </w:rPr>
        <w:t>Although we use several independent foundries to manufacture substantially all of our semiconductor products, most of our components are not manufactured at more than one foundry at any given time, and our products typically are designed to be manufactured in a specific process at only one of these foundries. Accordingly, if one of our foundries is unable to provide us with components as needed, it may be difficult for us to transition the manufacture of our products to other foundries, and we could experience significant delays in securing sufficient supplies of those components. This could result in a material decline in revenues, net income and cash flow.</w:t>
      </w:r>
    </w:p>
    <w:p>
      <w:pPr>
        <w:spacing w:after="0" w:line="143" w:lineRule="exact"/>
        <w:rPr>
          <w:sz w:val="20"/>
          <w:szCs w:val="20"/>
          <w:color w:val="auto"/>
        </w:rPr>
      </w:pPr>
    </w:p>
    <w:p>
      <w:pPr>
        <w:ind w:right="140" w:firstLine="456"/>
        <w:spacing w:after="0" w:line="290" w:lineRule="auto"/>
        <w:rPr>
          <w:sz w:val="20"/>
          <w:szCs w:val="20"/>
          <w:color w:val="auto"/>
        </w:rPr>
      </w:pPr>
      <w:r>
        <w:rPr>
          <w:rFonts w:ascii="Arial" w:cs="Arial" w:eastAsia="Arial" w:hAnsi="Arial"/>
          <w:sz w:val="16"/>
          <w:szCs w:val="16"/>
          <w:color w:val="auto"/>
        </w:rPr>
        <w:t>In order to secure sufficient foundry capacity when demand is high and mitigate the risks described in the foregoing paragraph, we may enter into various arrangements with suppliers that could be costly and harm our results of operations, such as non-refundable deposits with or loans to foundries in exchange for capacity commitments, and contracts that commit us to purchase specified quantities of integrated circuits over extended periods. We may not be able to make any such arrangement in a timely fashion or at all, and any arrangements may be costly, reduce our financial flexibility, and not be on terms favorable to us. For example, amounts payable under our foundry fabrication capacity agreement are non-refundable regardless of whether we are able to utilize all or any of the guaranteed wafer capacity under the terms of the agreement. Moreover, if we are able to secure foundry capacity, we may be obligated to use all of that capacity or incur penalties. These penalties may be expensive and could harm our financial results.</w:t>
      </w:r>
    </w:p>
    <w:p>
      <w:pPr>
        <w:spacing w:after="0" w:line="199" w:lineRule="exact"/>
        <w:rPr>
          <w:sz w:val="20"/>
          <w:szCs w:val="20"/>
          <w:color w:val="auto"/>
        </w:rPr>
      </w:pPr>
    </w:p>
    <w:p>
      <w:pPr>
        <w:ind w:left="240"/>
        <w:spacing w:after="0"/>
        <w:rPr>
          <w:sz w:val="20"/>
          <w:szCs w:val="20"/>
          <w:color w:val="auto"/>
        </w:rPr>
      </w:pPr>
      <w:r>
        <w:rPr>
          <w:rFonts w:ascii="Arial" w:cs="Arial" w:eastAsia="Arial" w:hAnsi="Arial"/>
          <w:sz w:val="18"/>
          <w:szCs w:val="18"/>
          <w:b w:val="1"/>
          <w:bCs w:val="1"/>
          <w:i w:val="1"/>
          <w:iCs w:val="1"/>
          <w:color w:val="auto"/>
        </w:rPr>
        <w:t>Uncertain Yields and Quality:</w:t>
      </w:r>
    </w:p>
    <w:p>
      <w:pPr>
        <w:spacing w:after="0" w:line="90" w:lineRule="exact"/>
        <w:rPr>
          <w:sz w:val="20"/>
          <w:szCs w:val="20"/>
          <w:color w:val="auto"/>
        </w:rPr>
      </w:pPr>
    </w:p>
    <w:p>
      <w:pPr>
        <w:ind w:firstLine="456"/>
        <w:spacing w:after="0" w:line="289" w:lineRule="auto"/>
        <w:rPr>
          <w:sz w:val="20"/>
          <w:szCs w:val="20"/>
          <w:color w:val="auto"/>
        </w:rPr>
      </w:pPr>
      <w:r>
        <w:rPr>
          <w:rFonts w:ascii="Arial" w:cs="Arial" w:eastAsia="Arial" w:hAnsi="Arial"/>
          <w:sz w:val="16"/>
          <w:szCs w:val="16"/>
          <w:color w:val="auto"/>
        </w:rPr>
        <w:t>The fabrication of integrated circuits is a complex and technically demanding process. Our foundries have from time to time experienced manufacturing defects and reduced manufacturing yields. Changes in manufacturing processes or the inadvertent use of defective or contaminated materials by our foundries could result in lower than anticipated manufacturing yields or unacceptable performance. Many of these problems are difficult to detect at an early stage of the manufacturing process and may be time consuming and expensive to correct. Poor yields from our foundries, or defects, integration issues or other performance problems in our products could cause us significant customer relations and business reputation problems, harm our financial results and result in financial or other damages to our customers. Our customers could also seek damages from us for their losses. A product liability claim brought against us, even if unsuccessful, would likely be time consuming and costly to defend. In addition, defects in our existing or new products could result in significant warranty, support and repair costs, and divert the attention of our engineering personnel from our product development efforts.</w:t>
      </w:r>
    </w:p>
    <w:p>
      <w:pPr>
        <w:spacing w:after="0" w:line="118" w:lineRule="exact"/>
        <w:rPr>
          <w:sz w:val="20"/>
          <w:szCs w:val="20"/>
          <w:color w:val="auto"/>
        </w:rPr>
      </w:pPr>
    </w:p>
    <w:p>
      <w:pPr>
        <w:ind w:right="100" w:firstLine="456"/>
        <w:spacing w:after="0" w:line="259" w:lineRule="auto"/>
        <w:rPr>
          <w:sz w:val="20"/>
          <w:szCs w:val="20"/>
          <w:color w:val="auto"/>
        </w:rPr>
      </w:pPr>
      <w:r>
        <w:rPr>
          <w:rFonts w:ascii="Arial" w:cs="Arial" w:eastAsia="Arial" w:hAnsi="Arial"/>
          <w:sz w:val="18"/>
          <w:szCs w:val="18"/>
          <w:color w:val="auto"/>
        </w:rPr>
        <w:t>To the extent that we rely on outside suppliers to manufacture or assemble and test our products, we may have a reduced ability to control directly product delivery schedules and quality assurance. This lack of control may result in product shortages or quality assurance problems that could delay shipments of products or increase manufacturing, assembly, testing or other costs.</w:t>
      </w:r>
    </w:p>
    <w:p>
      <w:pPr>
        <w:spacing w:after="0" w:line="140" w:lineRule="exact"/>
        <w:rPr>
          <w:sz w:val="20"/>
          <w:szCs w:val="20"/>
          <w:color w:val="auto"/>
        </w:rPr>
      </w:pPr>
    </w:p>
    <w:p>
      <w:pPr>
        <w:spacing w:after="0"/>
        <w:rPr>
          <w:sz w:val="20"/>
          <w:szCs w:val="20"/>
          <w:color w:val="auto"/>
        </w:rPr>
      </w:pPr>
      <w:r>
        <w:rPr>
          <w:rFonts w:ascii="Arial" w:cs="Arial" w:eastAsia="Arial" w:hAnsi="Arial"/>
          <w:sz w:val="16"/>
          <w:szCs w:val="16"/>
          <w:b w:val="1"/>
          <w:bCs w:val="1"/>
          <w:i w:val="1"/>
          <w:iCs w:val="1"/>
          <w:color w:val="auto"/>
        </w:rPr>
        <w:t>If we are unable to accurately predict our future sales and to appropriately budget for our expenses, our results of operations could suffer.</w:t>
      </w:r>
    </w:p>
    <w:p>
      <w:pPr>
        <w:spacing w:after="0" w:line="194" w:lineRule="exact"/>
        <w:rPr>
          <w:sz w:val="20"/>
          <w:szCs w:val="20"/>
          <w:color w:val="auto"/>
        </w:rPr>
      </w:pPr>
    </w:p>
    <w:p>
      <w:pPr>
        <w:ind w:right="120" w:firstLine="456"/>
        <w:spacing w:after="0" w:line="290" w:lineRule="auto"/>
        <w:rPr>
          <w:sz w:val="20"/>
          <w:szCs w:val="20"/>
          <w:color w:val="auto"/>
        </w:rPr>
      </w:pPr>
      <w:r>
        <w:rPr>
          <w:rFonts w:ascii="Arial" w:cs="Arial" w:eastAsia="Arial" w:hAnsi="Arial"/>
          <w:sz w:val="16"/>
          <w:szCs w:val="16"/>
          <w:color w:val="auto"/>
        </w:rPr>
        <w:t>The rapidly changing nature of the global economy and the markets in which we sell our products limits our ability to accurately forecast quarterly and annual sales. Additionally, because many of our expenses are fixed in the short term or are incurred in advance of anticipated sales, we may not be able to decrease our expenses in a timely manner to offset any shortfall of sales. If our sales do not increase as anticipated, our profitability could be adversely affected due to our higher expense levels. For example, in order to reduce expenses in the challenging economic environment, in the fourth quarter ended January 31, 2009 and the first quarter ended May 2, 2009, we implemented certain cost reduction measures to reduce operating expenses. We expect cost savings from these cost reduction measures to be used to offset market forces or to be reinvested in our businesses to strengthen our competitiveness, but we cannot be certain that we will be successful in these efforts.</w:t>
      </w:r>
    </w:p>
    <w:p>
      <w:pPr>
        <w:spacing w:after="0" w:line="118" w:lineRule="exact"/>
        <w:rPr>
          <w:sz w:val="20"/>
          <w:szCs w:val="20"/>
          <w:color w:val="auto"/>
        </w:rPr>
      </w:pPr>
    </w:p>
    <w:p>
      <w:pPr>
        <w:ind w:right="240"/>
        <w:spacing w:after="0" w:line="268" w:lineRule="auto"/>
        <w:rPr>
          <w:sz w:val="20"/>
          <w:szCs w:val="20"/>
          <w:color w:val="auto"/>
        </w:rPr>
      </w:pPr>
      <w:r>
        <w:rPr>
          <w:rFonts w:ascii="Arial" w:cs="Arial" w:eastAsia="Arial" w:hAnsi="Arial"/>
          <w:sz w:val="18"/>
          <w:szCs w:val="18"/>
          <w:b w:val="1"/>
          <w:bCs w:val="1"/>
          <w:i w:val="1"/>
          <w:iCs w:val="1"/>
          <w:color w:val="auto"/>
        </w:rPr>
        <w:t>If we are unable to develop and introduce new and enhanced products that achieve market acceptance in a timely and cost-effective manner, our results of operations and competitive position will be harmed.</w:t>
      </w:r>
    </w:p>
    <w:p>
      <w:pPr>
        <w:spacing w:after="0" w:line="132" w:lineRule="exact"/>
        <w:rPr>
          <w:sz w:val="20"/>
          <w:szCs w:val="20"/>
          <w:color w:val="auto"/>
        </w:rPr>
      </w:pPr>
    </w:p>
    <w:p>
      <w:pPr>
        <w:ind w:right="420" w:firstLine="456"/>
        <w:spacing w:after="0" w:line="254" w:lineRule="auto"/>
        <w:rPr>
          <w:sz w:val="20"/>
          <w:szCs w:val="20"/>
          <w:color w:val="auto"/>
        </w:rPr>
      </w:pPr>
      <w:r>
        <w:rPr>
          <w:rFonts w:ascii="Arial" w:cs="Arial" w:eastAsia="Arial" w:hAnsi="Arial"/>
          <w:sz w:val="18"/>
          <w:szCs w:val="18"/>
          <w:color w:val="auto"/>
        </w:rPr>
        <w:t>Our future success will depend on our ability, in a timely and cost-effective manner, to develop and introduce new products and enhancements to our existing products. We must also achieve market acceptance for these products and enhancements. If we do not successfully develop and achieve market acceptance for new and enhanced products, our ability to maintain or increase revenues will suffer. The development of our products is highly complex. We occasionally have experienced delays in completing the development and introduction of new products and product enhancements, and we could experience delays in the future. Even if new and enhanced products are introduced to the market, we may not be able to achieve market acceptance of them in a timely manner.</w:t>
      </w:r>
    </w:p>
    <w:p>
      <w:pPr>
        <w:spacing w:after="0" w:line="131"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44</w:t>
      </w:r>
    </w:p>
    <w:p>
      <w:pPr>
        <w:sectPr>
          <w:pgSz w:w="11900" w:h="16838" w:orient="portrait"/>
          <w:cols w:equalWidth="0" w:num="1">
            <w:col w:w="11400"/>
          </w:cols>
          <w:pgMar w:left="240" w:top="459" w:right="259" w:bottom="1440" w:gutter="0" w:footer="0" w:header="0"/>
        </w:sectPr>
      </w:pPr>
    </w:p>
    <w:bookmarkStart w:id="44" w:name="page45"/>
    <w:bookmarkEnd w:id="44"/>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52" name="Picture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pic:cNvPicPr>
                      <a:picLocks noChangeAspect="1" noChangeArrowheads="1"/>
                    </pic:cNvPicPr>
                  </pic:nvPicPr>
                  <pic:blipFill>
                    <a:blip r:embed="rId59">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80" w:firstLine="456"/>
        <w:spacing w:after="0" w:line="254" w:lineRule="auto"/>
        <w:rPr>
          <w:sz w:val="20"/>
          <w:szCs w:val="20"/>
          <w:color w:val="auto"/>
        </w:rPr>
      </w:pPr>
      <w:r>
        <w:rPr>
          <w:rFonts w:ascii="Arial" w:cs="Arial" w:eastAsia="Arial" w:hAnsi="Arial"/>
          <w:sz w:val="18"/>
          <w:szCs w:val="18"/>
          <w:color w:val="auto"/>
        </w:rPr>
        <w:t>In addition, our longstanding relationships with some of our larger customers may also deter other potential customers who compete with these customers from buying our products. To attract new customers or retain existing customers, we may offer certain customers favorable prices on our products. If these prices are lower than the prices paid by our existing customers, we would have to offer the same lower prices to certain of our customers who have contractual “most favored nation” pricing arrangements. In that event, our average selling prices and gross margins would decline. The loss of a key customer, a reduction in sales to any key customer or our inability to attract new significant customers could materially and adversely affect our business, financial condition and results of operations.</w:t>
      </w:r>
    </w:p>
    <w:p>
      <w:pPr>
        <w:spacing w:after="0" w:line="144" w:lineRule="exact"/>
        <w:rPr>
          <w:sz w:val="20"/>
          <w:szCs w:val="20"/>
          <w:color w:val="auto"/>
        </w:rPr>
      </w:pPr>
    </w:p>
    <w:p>
      <w:pPr>
        <w:ind w:right="260"/>
        <w:spacing w:after="0" w:line="268" w:lineRule="auto"/>
        <w:rPr>
          <w:sz w:val="20"/>
          <w:szCs w:val="20"/>
          <w:color w:val="auto"/>
        </w:rPr>
      </w:pPr>
      <w:r>
        <w:rPr>
          <w:rFonts w:ascii="Arial" w:cs="Arial" w:eastAsia="Arial" w:hAnsi="Arial"/>
          <w:sz w:val="18"/>
          <w:szCs w:val="18"/>
          <w:b w:val="1"/>
          <w:bCs w:val="1"/>
          <w:i w:val="1"/>
          <w:iCs w:val="1"/>
          <w:color w:val="auto"/>
        </w:rPr>
        <w:t>If we fail to appropriately scale our operations in response to changes in demand for our existing products and services or to the demand for new products requested by our customers, our business could be materially and adversely affected.</w:t>
      </w:r>
    </w:p>
    <w:p>
      <w:pPr>
        <w:spacing w:after="0" w:line="132" w:lineRule="exact"/>
        <w:rPr>
          <w:sz w:val="20"/>
          <w:szCs w:val="20"/>
          <w:color w:val="auto"/>
        </w:rPr>
      </w:pPr>
    </w:p>
    <w:p>
      <w:pPr>
        <w:ind w:right="40" w:firstLine="456"/>
        <w:spacing w:after="0" w:line="286" w:lineRule="auto"/>
        <w:rPr>
          <w:sz w:val="20"/>
          <w:szCs w:val="20"/>
          <w:color w:val="auto"/>
        </w:rPr>
      </w:pPr>
      <w:r>
        <w:rPr>
          <w:rFonts w:ascii="Arial" w:cs="Arial" w:eastAsia="Arial" w:hAnsi="Arial"/>
          <w:sz w:val="16"/>
          <w:szCs w:val="16"/>
          <w:color w:val="auto"/>
        </w:rPr>
        <w:t>To achieve our business objectives, it may be necessary from time to time for us to expand or contract our operations. For example, we have experienced periods of rapid growth and expansion. Through internal growth and acquisitions, we significantly increased the scope of our operations and expanded our workforce from 1,205 employees, as of January 31, 2003, to 5,145 employees, as of October 31, 2009. Nonetheless, we may not be able to scale our workforce and operations in a sufficiently timely manner to respond effectively to changes in demand for our existing products and services or to the demand for new products requested by our customers. In that event, we may be unable to meet competitive challenges or exploit potential market opportunities, and our current or future business could be materially and adversely affected. Conversely, if we expand our operations and workforce too rapidly in anticipation of increased demand for our products, and such demand does not materialize at the pace at which we expected, the rate of increase in our costs and operating expenses may exceed the rate of increase in our revenue, which would adversely affect our results of operations. In addition, if such demand does not materialize at the pace which we expect, we may scale down our business further through additional expense and headcount reductions as well as facility consolidations or closures that could result in restructuring charges that would materially and adversely affect our results of operations. For example, in order to reduce expenses in the challenging economic environment, in the fourth quarter ended January 31, 2009 and the first quarter ended May 2, 2009, we implemented certain cost reduction measures to reduce operating expenses.</w:t>
      </w:r>
    </w:p>
    <w:p>
      <w:pPr>
        <w:spacing w:after="0" w:line="124" w:lineRule="exact"/>
        <w:rPr>
          <w:sz w:val="20"/>
          <w:szCs w:val="20"/>
          <w:color w:val="auto"/>
        </w:rPr>
      </w:pPr>
    </w:p>
    <w:p>
      <w:pPr>
        <w:ind w:right="120" w:firstLine="456"/>
        <w:spacing w:after="0" w:line="288" w:lineRule="auto"/>
        <w:rPr>
          <w:sz w:val="20"/>
          <w:szCs w:val="20"/>
          <w:color w:val="auto"/>
        </w:rPr>
      </w:pPr>
      <w:r>
        <w:rPr>
          <w:rFonts w:ascii="Arial" w:cs="Arial" w:eastAsia="Arial" w:hAnsi="Arial"/>
          <w:sz w:val="16"/>
          <w:szCs w:val="16"/>
          <w:color w:val="auto"/>
        </w:rPr>
        <w:t>Our past growth has placed, and any future long-term growth is expected to continue to place, a significant strain on our management personnel, systems and resources. To implement our current business and product plans, we will need to continue to expand, train, manage and motivate our workforce. All of these endeavors will require substantial management effort. Although we have implemented an enterprise resource planning system to help us improve our planning and management processes, we anticipate that we will also need to continue to implement and improve a variety of new and upgraded operational and financial systems, as well as additional procedures and other internal management systems. These processes can be time consuming and expensive, increase management responsibilities and divert management attention. If we are unable to effectively manage our expanding operations, we may be unable to scale our business quickly enough to meet competitive challenges or exploit potential market opportunities, or conversely, we may scale our business too quickly and the rate of increase in our costs and expenses may exceed the rate of increase in our revenue, either of which would materially and adversely affect our current or future business.</w:t>
      </w:r>
    </w:p>
    <w:p>
      <w:pPr>
        <w:spacing w:after="0" w:line="120" w:lineRule="exact"/>
        <w:rPr>
          <w:sz w:val="20"/>
          <w:szCs w:val="20"/>
          <w:color w:val="auto"/>
        </w:rPr>
      </w:pPr>
    </w:p>
    <w:p>
      <w:pPr>
        <w:ind w:right="100"/>
        <w:spacing w:after="0" w:line="268" w:lineRule="auto"/>
        <w:rPr>
          <w:sz w:val="20"/>
          <w:szCs w:val="20"/>
          <w:color w:val="auto"/>
        </w:rPr>
      </w:pPr>
      <w:r>
        <w:rPr>
          <w:rFonts w:ascii="Arial" w:cs="Arial" w:eastAsia="Arial" w:hAnsi="Arial"/>
          <w:sz w:val="18"/>
          <w:szCs w:val="18"/>
          <w:b w:val="1"/>
          <w:bCs w:val="1"/>
          <w:i w:val="1"/>
          <w:iCs w:val="1"/>
          <w:color w:val="auto"/>
        </w:rPr>
        <w:t>We rely on third party distributors and manufacturers’ representatives and the failure of these distributors and manufacturers’ representatives to perform as expected could reduce our future sales.</w:t>
      </w:r>
    </w:p>
    <w:p>
      <w:pPr>
        <w:spacing w:after="0" w:line="132" w:lineRule="exact"/>
        <w:rPr>
          <w:sz w:val="20"/>
          <w:szCs w:val="20"/>
          <w:color w:val="auto"/>
        </w:rPr>
      </w:pPr>
    </w:p>
    <w:p>
      <w:pPr>
        <w:ind w:firstLine="456"/>
        <w:spacing w:after="0" w:line="288" w:lineRule="auto"/>
        <w:rPr>
          <w:sz w:val="20"/>
          <w:szCs w:val="20"/>
          <w:color w:val="auto"/>
        </w:rPr>
      </w:pPr>
      <w:r>
        <w:rPr>
          <w:rFonts w:ascii="Arial" w:cs="Arial" w:eastAsia="Arial" w:hAnsi="Arial"/>
          <w:sz w:val="16"/>
          <w:szCs w:val="16"/>
          <w:color w:val="auto"/>
        </w:rPr>
        <w:t>We sell many of our products to customers through distributors and manufacturers’ representatives. From time to time, we enter into relationships with new distributors and manufacturers’ representatives, and we are unable to predict the extent to which new distributors and manufacturers’ representatives will be successful in marketing and selling our products. Moreover, many of our distributors and manufacturers’ representatives also market and sell competing products. Our distributors and manufacturer’s representatives may terminate their relationships with us at any time. Our future performance will also depend, in part, on our ability to attract additional distributors or manufacturers’ representatives that will be able to market and support our products effectively, especially in markets in which we have not previously distributed our products. If we cannot retain our current distributors or manufacturers’ representatives or recruit additional or replacement distributors or manufacturers’ representatives, our sales and operating results will be harmed. We generally realize a higher gross margin on direct sales and from sales through manufacturers’ representatives than on sales through distributors. Accordingly, if our distributors were to account for an increased portion of our net sales, our gross margins may decline.</w:t>
      </w:r>
    </w:p>
    <w:p>
      <w:pPr>
        <w:spacing w:after="0" w:line="106"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45</w:t>
      </w:r>
    </w:p>
    <w:p>
      <w:pPr>
        <w:sectPr>
          <w:pgSz w:w="11900" w:h="16838" w:orient="portrait"/>
          <w:cols w:equalWidth="0" w:num="1">
            <w:col w:w="11400"/>
          </w:cols>
          <w:pgMar w:left="240" w:top="459" w:right="259" w:bottom="1440" w:gutter="0" w:footer="0" w:header="0"/>
        </w:sectPr>
      </w:pPr>
    </w:p>
    <w:bookmarkStart w:id="45" w:name="page46"/>
    <w:bookmarkEnd w:id="45"/>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53" name="Pictur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pic:cNvPicPr>
                      <a:picLocks noChangeAspect="1" noChangeArrowheads="1"/>
                    </pic:cNvPicPr>
                  </pic:nvPicPr>
                  <pic:blipFill>
                    <a:blip r:embed="rId60">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100"/>
        <w:spacing w:after="0" w:line="259" w:lineRule="auto"/>
        <w:rPr>
          <w:sz w:val="20"/>
          <w:szCs w:val="20"/>
          <w:color w:val="auto"/>
        </w:rPr>
      </w:pPr>
      <w:r>
        <w:rPr>
          <w:rFonts w:ascii="Arial" w:cs="Arial" w:eastAsia="Arial" w:hAnsi="Arial"/>
          <w:sz w:val="18"/>
          <w:szCs w:val="18"/>
          <w:b w:val="1"/>
          <w:bCs w:val="1"/>
          <w:i w:val="1"/>
          <w:iCs w:val="1"/>
          <w:color w:val="auto"/>
        </w:rPr>
        <w:t>We are subject to order and shipment uncertainties, and if we are unable to accurately predict customer demand, we may hold excess or obsolete inventory, which would reduce our gross margin, or, conversely, we may have insufficient inventory, which would result in lost revenue opportunities and potentially in loss of market share and damaged customer relationships.</w:t>
      </w:r>
    </w:p>
    <w:p>
      <w:pPr>
        <w:spacing w:after="0" w:line="140" w:lineRule="exact"/>
        <w:rPr>
          <w:sz w:val="20"/>
          <w:szCs w:val="20"/>
          <w:color w:val="auto"/>
        </w:rPr>
      </w:pPr>
    </w:p>
    <w:p>
      <w:pPr>
        <w:ind w:right="20" w:firstLine="456"/>
        <w:spacing w:after="0" w:line="285" w:lineRule="auto"/>
        <w:rPr>
          <w:sz w:val="20"/>
          <w:szCs w:val="20"/>
          <w:color w:val="auto"/>
        </w:rPr>
      </w:pPr>
      <w:r>
        <w:rPr>
          <w:rFonts w:ascii="Arial" w:cs="Arial" w:eastAsia="Arial" w:hAnsi="Arial"/>
          <w:sz w:val="16"/>
          <w:szCs w:val="16"/>
          <w:color w:val="auto"/>
        </w:rPr>
        <w:t>We typically sell products pursuant to purchase orders rather than long-term purchase commitments. Customers can generally cancel or defer purchase orders on short notice without incurring a significant penalty. In the recent past, some of our customers have developed excess inventories of their own products and have, as a consequence, deferred purchase orders for our products. We cannot accurately predict what or how many products our customers will need in the future. Anticipating demand is difficult because our customers face volatile pricing and unpredictable demand for their own products and are increasingly focused more on cash preservation and tighter inventory management. In addition, as an increasing number of our chips are being incorporated into consumer products, we anticipate greater fluctuations in demand for our products, which makes it more difficult to forecast customer demand. We place orders with our suppliers based on forecasts of customer demand and, in some instances, may establish buffer inventories to accommodate anticipated demand. Our forecasts are based on multiple assumptions, each of which may introduce error into our estimates. If we overestimate customer demand, we may allocate resources to manufacturing products that we may not be able to sell when we expect to, if at all. As a result, we would hold excess or obsolete inventory, which would reduce our gross margin and adversely affect our financial results. Conversely, if we underestimate customer demand or if insufficient manufacturing capacity is available, we would forgo revenue opportunities and potentially lose market share and damage our customer relationships. In addition, any future significant cancellations or deferrals of product orders or the return of previously sold products could materially and adversely affect our profit margins, increase product obsolescence and restrict our ability to fund our operations. Furthermore, we generally recognize revenue upon shipment of products to a customer. If a customer refuses to accept shipped products or does not timely pay for these products, we could incur significant charges against our income.</w:t>
      </w:r>
    </w:p>
    <w:p>
      <w:pPr>
        <w:spacing w:after="0" w:line="128" w:lineRule="exact"/>
        <w:rPr>
          <w:sz w:val="20"/>
          <w:szCs w:val="20"/>
          <w:color w:val="auto"/>
        </w:rPr>
      </w:pPr>
    </w:p>
    <w:p>
      <w:pPr>
        <w:ind w:right="60"/>
        <w:spacing w:after="0" w:line="268" w:lineRule="auto"/>
        <w:rPr>
          <w:sz w:val="20"/>
          <w:szCs w:val="20"/>
          <w:color w:val="auto"/>
        </w:rPr>
      </w:pPr>
      <w:r>
        <w:rPr>
          <w:rFonts w:ascii="Arial" w:cs="Arial" w:eastAsia="Arial" w:hAnsi="Arial"/>
          <w:sz w:val="18"/>
          <w:szCs w:val="18"/>
          <w:b w:val="1"/>
          <w:bCs w:val="1"/>
          <w:i w:val="1"/>
          <w:iCs w:val="1"/>
          <w:color w:val="auto"/>
        </w:rPr>
        <w:t>We may experience difficulties in transitioning to smaller geometry process technologies or in achieving higher levels of design integration, which may result in reduced manufacturing yields, delays in product deliveries and increased expenses.</w:t>
      </w:r>
    </w:p>
    <w:p>
      <w:pPr>
        <w:spacing w:after="0" w:line="132" w:lineRule="exact"/>
        <w:rPr>
          <w:sz w:val="20"/>
          <w:szCs w:val="20"/>
          <w:color w:val="auto"/>
        </w:rPr>
      </w:pPr>
    </w:p>
    <w:p>
      <w:pPr>
        <w:ind w:right="20" w:firstLine="456"/>
        <w:spacing w:after="0" w:line="286" w:lineRule="auto"/>
        <w:rPr>
          <w:sz w:val="20"/>
          <w:szCs w:val="20"/>
          <w:color w:val="auto"/>
        </w:rPr>
      </w:pPr>
      <w:r>
        <w:rPr>
          <w:rFonts w:ascii="Arial" w:cs="Arial" w:eastAsia="Arial" w:hAnsi="Arial"/>
          <w:sz w:val="16"/>
          <w:szCs w:val="16"/>
          <w:color w:val="auto"/>
        </w:rPr>
        <w:t>In order to remain competitive, we expect to continue to transition our semiconductor products to increasingly smaller line width geometries. This transition requires us to modify the manufacturing processes for our products and to redesign some products. We periodically evaluate the benefits, on a product-by-product basis, of migrating to smaller geometry process technologies to reduce our costs. In the past, we have experienced some difficulties in shifting to smaller geometry process technologies or new manufacturing processes, which resulted in reduced manufacturing yields, delays in product deliveries and increased expenses. We may face similar difficulties, delays and expenses as we continue to transition our products to smaller geometry processes. We are dependent on our relationships with our foundry subcontractors to transition to smaller geometry processes successfully. We cannot assure you that the foundries that we use will be able to effectively manage the transition or that we will be able to maintain our existing foundry relationships or develop new ones. If we or any of our foundry subcontractors experience significant delays in this transition or fail to efficiently implement this transition, we could experience reduced manufacturing yields, delays in product deliveries and increased expenses, all of which could harm our relationships with our customers and our results of operations. As smaller geometry processes become more prevalent, we expect to continue to integrate greater levels of functionality, as well as customer and third party intellectual property, into our products. However, we may not be able to achieve higher levels of design integration or deliver new integrated products on a timely basis, if at all. Moreover, even if we are able to achieve higher levels of design integration, such integration may have a short-term adverse impact on our results of operations, as we may reduce our revenue by integrating the functionality of multiple chips into a single chip.</w:t>
      </w:r>
    </w:p>
    <w:p>
      <w:pPr>
        <w:spacing w:after="0" w:line="121" w:lineRule="exact"/>
        <w:rPr>
          <w:sz w:val="20"/>
          <w:szCs w:val="20"/>
          <w:color w:val="auto"/>
        </w:rPr>
      </w:pPr>
    </w:p>
    <w:p>
      <w:pPr>
        <w:ind w:right="700"/>
        <w:spacing w:after="0" w:line="268" w:lineRule="auto"/>
        <w:rPr>
          <w:sz w:val="20"/>
          <w:szCs w:val="20"/>
          <w:color w:val="auto"/>
        </w:rPr>
      </w:pPr>
      <w:r>
        <w:rPr>
          <w:rFonts w:ascii="Arial" w:cs="Arial" w:eastAsia="Arial" w:hAnsi="Arial"/>
          <w:sz w:val="18"/>
          <w:szCs w:val="18"/>
          <w:b w:val="1"/>
          <w:bCs w:val="1"/>
          <w:i w:val="1"/>
          <w:iCs w:val="1"/>
          <w:color w:val="auto"/>
        </w:rPr>
        <w:t>As a result of the settlement with the SEC, we cannot invoke the “safe harbor” for the forward-looking statements provision of the Private Securities Litigation Reform Act of 1995 for three years following the entry of judgment.</w:t>
      </w:r>
    </w:p>
    <w:p>
      <w:pPr>
        <w:spacing w:after="0" w:line="132" w:lineRule="exact"/>
        <w:rPr>
          <w:sz w:val="20"/>
          <w:szCs w:val="20"/>
          <w:color w:val="auto"/>
        </w:rPr>
      </w:pPr>
    </w:p>
    <w:p>
      <w:pPr>
        <w:ind w:firstLine="456"/>
        <w:spacing w:after="0" w:line="291" w:lineRule="auto"/>
        <w:rPr>
          <w:sz w:val="20"/>
          <w:szCs w:val="20"/>
          <w:color w:val="auto"/>
        </w:rPr>
      </w:pPr>
      <w:r>
        <w:rPr>
          <w:rFonts w:ascii="Arial" w:cs="Arial" w:eastAsia="Arial" w:hAnsi="Arial"/>
          <w:sz w:val="16"/>
          <w:szCs w:val="16"/>
          <w:color w:val="auto"/>
        </w:rPr>
        <w:t>On May 8, 2008, we announced that we had reached an agreement with the SEC that concluded the SEC’s formal investigation of us with respect to our historic stock option granting practices. As a result of our SEC settlement, we have forfeited for three years following the entry of judgment, or June 20, 2011, the ability to invoke the “safe harbor” for the forward-looking statements provision of the Private Securities Litigation Reform Act of 1995. This safe harbor provided us enhanced protection from liability related to forward-looking statements if the forward-looking statements were either accompanied by meaningful cautionary statements or were made without actual knowledge that they were false or misleading. Without the statutory safe harbor, it may be more difficult for us to defend against any claims based on forward-looking statements.</w:t>
      </w:r>
    </w:p>
    <w:p>
      <w:pPr>
        <w:spacing w:after="0" w:line="120" w:lineRule="exact"/>
        <w:rPr>
          <w:sz w:val="20"/>
          <w:szCs w:val="20"/>
          <w:color w:val="auto"/>
        </w:rPr>
      </w:pPr>
    </w:p>
    <w:p>
      <w:pPr>
        <w:ind w:right="580"/>
        <w:spacing w:after="0" w:line="268" w:lineRule="auto"/>
        <w:rPr>
          <w:sz w:val="20"/>
          <w:szCs w:val="20"/>
          <w:color w:val="auto"/>
        </w:rPr>
      </w:pPr>
      <w:r>
        <w:rPr>
          <w:rFonts w:ascii="Arial" w:cs="Arial" w:eastAsia="Arial" w:hAnsi="Arial"/>
          <w:sz w:val="18"/>
          <w:szCs w:val="18"/>
          <w:b w:val="1"/>
          <w:bCs w:val="1"/>
          <w:i w:val="1"/>
          <w:iCs w:val="1"/>
          <w:color w:val="auto"/>
        </w:rPr>
        <w:t>Class action litigation due to stock price volatility or other factors could cause us to incur substantial costs and divert our management’s attention and resources.</w:t>
      </w:r>
    </w:p>
    <w:p>
      <w:pPr>
        <w:spacing w:after="0" w:line="132" w:lineRule="exact"/>
        <w:rPr>
          <w:sz w:val="20"/>
          <w:szCs w:val="20"/>
          <w:color w:val="auto"/>
        </w:rPr>
      </w:pPr>
    </w:p>
    <w:p>
      <w:pPr>
        <w:ind w:right="40" w:firstLine="456"/>
        <w:spacing w:after="0" w:line="255" w:lineRule="auto"/>
        <w:rPr>
          <w:sz w:val="20"/>
          <w:szCs w:val="20"/>
          <w:color w:val="auto"/>
        </w:rPr>
      </w:pPr>
      <w:r>
        <w:rPr>
          <w:rFonts w:ascii="Arial" w:cs="Arial" w:eastAsia="Arial" w:hAnsi="Arial"/>
          <w:sz w:val="18"/>
          <w:szCs w:val="18"/>
          <w:color w:val="auto"/>
        </w:rPr>
        <w:t>Securities class action litigation often has been brought against a company following periods of volatility in the market price of its securities. Companies in the semiconductor industry and other technology industries are particularly vulnerable to this kind of litigation due to the high volatility of their stock prices. Accordingly, we may in the future be the target of additional securities litigation. Any securities litigation could result in substantial costs, could divert the attention and resources of our management, and could have a material adverse effect on our reputation, business, financial condition, financial results, results of operations and cash flows.</w:t>
      </w:r>
    </w:p>
    <w:p>
      <w:pPr>
        <w:spacing w:after="0" w:line="129"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46</w:t>
      </w:r>
    </w:p>
    <w:p>
      <w:pPr>
        <w:sectPr>
          <w:pgSz w:w="11900" w:h="16838" w:orient="portrait"/>
          <w:cols w:equalWidth="0" w:num="1">
            <w:col w:w="11420"/>
          </w:cols>
          <w:pgMar w:left="240" w:top="459" w:right="239" w:bottom="1440" w:gutter="0" w:footer="0" w:header="0"/>
        </w:sectPr>
      </w:pPr>
    </w:p>
    <w:bookmarkStart w:id="46" w:name="page47"/>
    <w:bookmarkEnd w:id="46"/>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54" name="Picture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pic:cNvPicPr>
                      <a:picLocks noChangeAspect="1" noChangeArrowheads="1"/>
                    </pic:cNvPicPr>
                  </pic:nvPicPr>
                  <pic:blipFill>
                    <a:blip r:embed="rId61">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spacing w:after="0"/>
        <w:rPr>
          <w:sz w:val="20"/>
          <w:szCs w:val="20"/>
          <w:color w:val="auto"/>
        </w:rPr>
      </w:pPr>
      <w:r>
        <w:rPr>
          <w:rFonts w:ascii="Arial" w:cs="Arial" w:eastAsia="Arial" w:hAnsi="Arial"/>
          <w:sz w:val="16"/>
          <w:szCs w:val="16"/>
          <w:b w:val="1"/>
          <w:bCs w:val="1"/>
          <w:i w:val="1"/>
          <w:iCs w:val="1"/>
          <w:color w:val="auto"/>
        </w:rPr>
        <w:t>If the recent worsening of credit market conditions continues or increases, it could have a material adverse impact on our investment portfolio.</w:t>
      </w:r>
    </w:p>
    <w:p>
      <w:pPr>
        <w:spacing w:after="0" w:line="194" w:lineRule="exact"/>
        <w:rPr>
          <w:sz w:val="20"/>
          <w:szCs w:val="20"/>
          <w:color w:val="auto"/>
        </w:rPr>
      </w:pPr>
    </w:p>
    <w:p>
      <w:pPr>
        <w:ind w:right="180" w:firstLine="456"/>
        <w:spacing w:after="0" w:line="255" w:lineRule="auto"/>
        <w:rPr>
          <w:sz w:val="20"/>
          <w:szCs w:val="20"/>
          <w:color w:val="auto"/>
        </w:rPr>
      </w:pPr>
      <w:r>
        <w:rPr>
          <w:rFonts w:ascii="Arial" w:cs="Arial" w:eastAsia="Arial" w:hAnsi="Arial"/>
          <w:sz w:val="18"/>
          <w:szCs w:val="18"/>
          <w:color w:val="auto"/>
        </w:rPr>
        <w:t>U.S. sub-prime mortgage defaults have had a significant impact across various sectors of the financial markets, causing global credit and liquidity issues. The short-term funding markets experienced credit issues beginning in the second half of calendar 2007 and continuing through the second quarter of calendar 2009, leading to liquidity disruption in asset-backed commercial paper and failed auctions in the auction rate securities market. If the global credit market continues to deteriorate, our investment portfolio may be impacted and we could determine that some of our investments are impaired. This could materially adversely impact our results of operations and financial condition.</w:t>
      </w:r>
    </w:p>
    <w:p>
      <w:pPr>
        <w:spacing w:after="0" w:line="143" w:lineRule="exact"/>
        <w:rPr>
          <w:sz w:val="20"/>
          <w:szCs w:val="20"/>
          <w:color w:val="auto"/>
        </w:rPr>
      </w:pPr>
    </w:p>
    <w:p>
      <w:pPr>
        <w:ind w:right="40" w:firstLine="456"/>
        <w:spacing w:after="0" w:line="254" w:lineRule="auto"/>
        <w:rPr>
          <w:sz w:val="20"/>
          <w:szCs w:val="20"/>
          <w:color w:val="auto"/>
        </w:rPr>
      </w:pPr>
      <w:r>
        <w:rPr>
          <w:rFonts w:ascii="Arial" w:cs="Arial" w:eastAsia="Arial" w:hAnsi="Arial"/>
          <w:sz w:val="18"/>
          <w:szCs w:val="18"/>
          <w:color w:val="auto"/>
        </w:rPr>
        <w:t>As of October 31, 2009 and January 31, 2009, our investment portfolio included $41.7 million and $41.9 million, respectively, in par value of auction rate securities. Auction rate securities are usually found in the form of municipal bonds, preferred stock, pools of student loans or collateralized debt obligations with contractual maturities generally between 20 and 30 years and whose interest rates are reset every seven to 35 days through an auction process. At the end of each reset period, investors can sell or continue to hold the securities at par. Our auction rate securities are all backed by student loans originated under the FFELP, and are over-collateralized, insured and guaranteed by the DOE. All auction rate securities held by us are rated by the major independent rating agencies as either AAA or Aaa at the time of purchase.</w:t>
      </w:r>
    </w:p>
    <w:p>
      <w:pPr>
        <w:spacing w:after="0" w:line="144" w:lineRule="exact"/>
        <w:rPr>
          <w:sz w:val="20"/>
          <w:szCs w:val="20"/>
          <w:color w:val="auto"/>
        </w:rPr>
      </w:pPr>
    </w:p>
    <w:p>
      <w:pPr>
        <w:ind w:right="100" w:firstLine="456"/>
        <w:spacing w:after="0" w:line="298" w:lineRule="auto"/>
        <w:rPr>
          <w:sz w:val="20"/>
          <w:szCs w:val="20"/>
          <w:color w:val="auto"/>
        </w:rPr>
      </w:pPr>
      <w:r>
        <w:rPr>
          <w:rFonts w:ascii="Arial" w:cs="Arial" w:eastAsia="Arial" w:hAnsi="Arial"/>
          <w:sz w:val="16"/>
          <w:szCs w:val="16"/>
          <w:color w:val="auto"/>
        </w:rPr>
        <w:t>In the fourth quarter ended January 31, 2009, UBS, one of the brokers who we purchased auction rate securities from, offered a settlement where UBS has the right to call and sell one of the auction securities we purchased from them at par value of $5 million at a future date. As a result of our participation in this settlement, we included the put option from the settlement in long term investments and elected the fair value option to measure the put option at fair value. We also elected to transfer this auction rate security to trading securities from available-for-sale as our intent is to exercise the put option at a future date.</w:t>
      </w:r>
    </w:p>
    <w:p>
      <w:pPr>
        <w:spacing w:after="0" w:line="113" w:lineRule="exact"/>
        <w:rPr>
          <w:sz w:val="20"/>
          <w:szCs w:val="20"/>
          <w:color w:val="auto"/>
        </w:rPr>
      </w:pPr>
    </w:p>
    <w:p>
      <w:pPr>
        <w:ind w:firstLine="456"/>
        <w:spacing w:after="0" w:line="291" w:lineRule="auto"/>
        <w:rPr>
          <w:sz w:val="20"/>
          <w:szCs w:val="20"/>
          <w:color w:val="auto"/>
        </w:rPr>
      </w:pPr>
      <w:r>
        <w:rPr>
          <w:rFonts w:ascii="Arial" w:cs="Arial" w:eastAsia="Arial" w:hAnsi="Arial"/>
          <w:sz w:val="16"/>
          <w:szCs w:val="16"/>
          <w:color w:val="auto"/>
        </w:rPr>
        <w:t>As of October 31, 2009, the estimated fair values of the auction rate securities were $2.4 million less than their par value. We have less than 2.8% of our total cash invested in these auction rate securities, a cash balance of approximately $1.5 billion in cash and cash equivalents and short-term investments other than auction rate securities, and we continue to generate positive cash flow on a quarterly basis. As we have no intent to sell and it is more-likely-than-not that we will not be required to sell the auction rate securities prior to recovery, we concluded the decline in fair values was temporary and recorded the unrealized loss to accumulated other comprehensive income (loss), a component of shareholders’ equity as of October 31, 2009. We also have an additional $0.2 million of unrealized losses in available-for-sale securities that it also considers to be temporary.</w:t>
      </w:r>
    </w:p>
    <w:p>
      <w:pPr>
        <w:spacing w:after="0" w:line="120" w:lineRule="exact"/>
        <w:rPr>
          <w:sz w:val="20"/>
          <w:szCs w:val="20"/>
          <w:color w:val="auto"/>
        </w:rPr>
      </w:pPr>
    </w:p>
    <w:p>
      <w:pPr>
        <w:ind w:right="120" w:firstLine="456"/>
        <w:spacing w:after="0" w:line="259" w:lineRule="auto"/>
        <w:rPr>
          <w:sz w:val="20"/>
          <w:szCs w:val="20"/>
          <w:color w:val="auto"/>
        </w:rPr>
      </w:pPr>
      <w:r>
        <w:rPr>
          <w:rFonts w:ascii="Arial" w:cs="Arial" w:eastAsia="Arial" w:hAnsi="Arial"/>
          <w:sz w:val="18"/>
          <w:szCs w:val="18"/>
          <w:color w:val="auto"/>
        </w:rPr>
        <w:t>To the extent we determine that any impairment is other-than-temporary, the impairment would be recorded to earnings. In addition, we have concluded that the auctions for these securities may continue to fail for at least the next 12 months and as a result, these auction rate securities have been classified as long-term investments as of October 31, 2009.</w:t>
      </w:r>
    </w:p>
    <w:p>
      <w:pPr>
        <w:spacing w:after="0" w:line="140" w:lineRule="exact"/>
        <w:rPr>
          <w:sz w:val="20"/>
          <w:szCs w:val="20"/>
          <w:color w:val="auto"/>
        </w:rPr>
      </w:pPr>
    </w:p>
    <w:p>
      <w:pPr>
        <w:ind w:right="120" w:firstLine="456"/>
        <w:spacing w:after="0" w:line="298" w:lineRule="auto"/>
        <w:rPr>
          <w:sz w:val="20"/>
          <w:szCs w:val="20"/>
          <w:color w:val="auto"/>
        </w:rPr>
      </w:pPr>
      <w:r>
        <w:rPr>
          <w:rFonts w:ascii="Arial" w:cs="Arial" w:eastAsia="Arial" w:hAnsi="Arial"/>
          <w:sz w:val="16"/>
          <w:szCs w:val="16"/>
          <w:color w:val="auto"/>
        </w:rPr>
        <w:t>In addition, to support our international operations, a portion of our cash and investment portfolio is held offshore. While these amounts are primarily invested in U.S. dollars, a portion is held in foreign currencies, and all offshore balances are exposed to local political, banking, currency control and other risks. Certain of these amounts may also be subject to tax and other restrictions on their transfer to the U.S. or other countries. While we believe our cash and investments are secure, there is risk that some of our balances in international locations will not be adequately secured if the current credit crisis continues.</w:t>
      </w:r>
    </w:p>
    <w:p>
      <w:pPr>
        <w:spacing w:after="0" w:line="113" w:lineRule="exact"/>
        <w:rPr>
          <w:sz w:val="20"/>
          <w:szCs w:val="20"/>
          <w:color w:val="auto"/>
        </w:rPr>
      </w:pPr>
    </w:p>
    <w:p>
      <w:pPr>
        <w:ind w:right="160"/>
        <w:spacing w:after="0" w:line="294" w:lineRule="auto"/>
        <w:rPr>
          <w:sz w:val="20"/>
          <w:szCs w:val="20"/>
          <w:color w:val="auto"/>
        </w:rPr>
      </w:pPr>
      <w:r>
        <w:rPr>
          <w:rFonts w:ascii="Arial" w:cs="Arial" w:eastAsia="Arial" w:hAnsi="Arial"/>
          <w:sz w:val="16"/>
          <w:szCs w:val="16"/>
          <w:b w:val="1"/>
          <w:bCs w:val="1"/>
          <w:i w:val="1"/>
          <w:iCs w:val="1"/>
          <w:color w:val="auto"/>
        </w:rPr>
        <w:t>We have had material weaknesses in internal control over financial reporting in prior fiscal years. Although we believe we have taken the necessary actions to strengthen the weaknesses in our control structure, we cannot assure you that additional material weaknesses will not be identified in the future. If our internal control over financial reporting or disclosure controls and procedures are not effective, there may be errors in our financial statements that could require a restatement or our filings may not be filed on a timely basis and investors may lose confidence in our reported financial information, which could lead to a decline in our stock price.</w:t>
      </w:r>
    </w:p>
    <w:p>
      <w:pPr>
        <w:spacing w:after="0" w:line="116" w:lineRule="exact"/>
        <w:rPr>
          <w:sz w:val="20"/>
          <w:szCs w:val="20"/>
          <w:color w:val="auto"/>
        </w:rPr>
      </w:pPr>
    </w:p>
    <w:p>
      <w:pPr>
        <w:ind w:right="20" w:firstLine="456"/>
        <w:spacing w:after="0" w:line="256" w:lineRule="auto"/>
        <w:rPr>
          <w:sz w:val="20"/>
          <w:szCs w:val="20"/>
          <w:color w:val="auto"/>
        </w:rPr>
      </w:pPr>
      <w:r>
        <w:rPr>
          <w:rFonts w:ascii="Arial" w:cs="Arial" w:eastAsia="Arial" w:hAnsi="Arial"/>
          <w:sz w:val="18"/>
          <w:szCs w:val="18"/>
          <w:color w:val="auto"/>
        </w:rPr>
        <w:t>We believe that effective internal controls are necessary for us to provide reliable financial reports and effectively prevent fraud. Any inability to provide reliable financial reports or prevent fraud could harm our business. The Sarbanes-Oxley Act of 2002 requires management and our auditors to evaluate and assess the effectiveness of our internal control over financial reporting, as of the end of each year, and to include a management report assessing the effectiveness of our internal control over financial reporting in each Annual Report on Form 10-K.</w:t>
      </w:r>
    </w:p>
    <w:p>
      <w:pPr>
        <w:spacing w:after="0" w:line="130"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47</w:t>
      </w:r>
    </w:p>
    <w:p>
      <w:pPr>
        <w:sectPr>
          <w:pgSz w:w="11900" w:h="16838" w:orient="portrait"/>
          <w:cols w:equalWidth="0" w:num="1">
            <w:col w:w="11400"/>
          </w:cols>
          <w:pgMar w:left="240" w:top="459" w:right="259" w:bottom="1440" w:gutter="0" w:footer="0" w:header="0"/>
        </w:sectPr>
      </w:pPr>
    </w:p>
    <w:bookmarkStart w:id="47" w:name="page48"/>
    <w:bookmarkEnd w:id="47"/>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55" name="Picture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pic:cNvPicPr>
                      <a:picLocks noChangeAspect="1" noChangeArrowheads="1"/>
                    </pic:cNvPicPr>
                  </pic:nvPicPr>
                  <pic:blipFill>
                    <a:blip r:embed="rId62">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firstLine="456"/>
        <w:spacing w:after="0" w:line="286" w:lineRule="auto"/>
        <w:rPr>
          <w:sz w:val="20"/>
          <w:szCs w:val="20"/>
          <w:color w:val="auto"/>
        </w:rPr>
      </w:pPr>
      <w:r>
        <w:rPr>
          <w:rFonts w:ascii="Arial" w:cs="Arial" w:eastAsia="Arial" w:hAnsi="Arial"/>
          <w:sz w:val="16"/>
          <w:szCs w:val="16"/>
          <w:color w:val="auto"/>
        </w:rPr>
        <w:t>Our management, including our Chief Executive Officer and Chief Financial Officer, does not expect that our internal control over financial reporting will prevent all error and all fraud. A control system, no matter how well designed and operated, can provide only reasonable, not absolute, assurance that the control system’s objectives will be met. Further, the design of a control system must reflect the fact that there are resource constraints, and the benefits of controls must be considered relative to their costs. In addition, we are consistently evaluating the design and operating effectiveness of our internal controls in accordance with Auditing Standard No. 5, a process which sometimes leads to modifications in such controls. These modifications could affect the overall effectiveness or evaluation of the control system in the future by us or our independent registered public accounting firm. These inherent limitations include the realities that judgments in decision making can be faulty, breakdowns can occur because of simple error or mistake and errors discovered by personnel within control systems may not be properly disclosed and addressed. Controls can also be circumvented by the individual acts of some persons, by collusion of two or more people, or by management override of the controls. The design of any system of controls is based in part on certain assumptions about the likelihood of future events, and we cannot assure you that any design will succeed in achieving its stated goals under all potential future conditions. Over time, controls may become inadequate because of changes in conditions or deterioration in the degree of compliance with policies or procedures. Because of the inherent limitations in a cost-effective control system, misstatements due to error or fraud may occur and not be detected.</w:t>
      </w:r>
    </w:p>
    <w:p>
      <w:pPr>
        <w:spacing w:after="0" w:line="124" w:lineRule="exact"/>
        <w:rPr>
          <w:sz w:val="20"/>
          <w:szCs w:val="20"/>
          <w:color w:val="auto"/>
        </w:rPr>
      </w:pPr>
    </w:p>
    <w:p>
      <w:pPr>
        <w:ind w:right="20"/>
        <w:spacing w:after="0" w:line="268" w:lineRule="auto"/>
        <w:rPr>
          <w:sz w:val="20"/>
          <w:szCs w:val="20"/>
          <w:color w:val="auto"/>
        </w:rPr>
      </w:pPr>
      <w:r>
        <w:rPr>
          <w:rFonts w:ascii="Arial" w:cs="Arial" w:eastAsia="Arial" w:hAnsi="Arial"/>
          <w:sz w:val="18"/>
          <w:szCs w:val="18"/>
          <w:b w:val="1"/>
          <w:bCs w:val="1"/>
          <w:i w:val="1"/>
          <w:iCs w:val="1"/>
          <w:color w:val="auto"/>
        </w:rPr>
        <w:t>Changes in financial accounting standards or practices or changes in existing taxation rules or practices may cause adverse unexpected revenue and expense fluctuations and affect our reported results of operations.</w:t>
      </w:r>
    </w:p>
    <w:p>
      <w:pPr>
        <w:spacing w:after="0" w:line="132" w:lineRule="exact"/>
        <w:rPr>
          <w:sz w:val="20"/>
          <w:szCs w:val="20"/>
          <w:color w:val="auto"/>
        </w:rPr>
      </w:pPr>
    </w:p>
    <w:p>
      <w:pPr>
        <w:ind w:right="200" w:firstLine="456"/>
        <w:spacing w:after="0" w:line="255" w:lineRule="auto"/>
        <w:rPr>
          <w:sz w:val="20"/>
          <w:szCs w:val="20"/>
          <w:color w:val="auto"/>
        </w:rPr>
      </w:pPr>
      <w:r>
        <w:rPr>
          <w:rFonts w:ascii="Arial" w:cs="Arial" w:eastAsia="Arial" w:hAnsi="Arial"/>
          <w:sz w:val="18"/>
          <w:szCs w:val="18"/>
          <w:color w:val="auto"/>
        </w:rPr>
        <w:t>Changes in financial accounting standards or practices or changes in existing taxation rules or practices may have a significant effect on our reported results. New accounting pronouncements and taxation rules and varying interpretations of accounting pronouncements and taxation practice have occurred and may occur in the future. For example, the U.S. Congress is considering legislation affecting the taxation of foreign corporations and such legislation if enacted might adversely affect our future tax liabilities. Changes to existing rules or the questioning of current practices by regulators may adversely affect our reported financial results or the way we conduct our business.</w:t>
      </w:r>
    </w:p>
    <w:p>
      <w:pPr>
        <w:spacing w:after="0" w:line="143" w:lineRule="exact"/>
        <w:rPr>
          <w:sz w:val="20"/>
          <w:szCs w:val="20"/>
          <w:color w:val="auto"/>
        </w:rPr>
      </w:pPr>
    </w:p>
    <w:p>
      <w:pPr>
        <w:ind w:right="740"/>
        <w:spacing w:after="0" w:line="332" w:lineRule="auto"/>
        <w:rPr>
          <w:sz w:val="20"/>
          <w:szCs w:val="20"/>
          <w:color w:val="auto"/>
        </w:rPr>
      </w:pPr>
      <w:r>
        <w:rPr>
          <w:rFonts w:ascii="Arial" w:cs="Arial" w:eastAsia="Arial" w:hAnsi="Arial"/>
          <w:sz w:val="16"/>
          <w:szCs w:val="16"/>
          <w:b w:val="1"/>
          <w:bCs w:val="1"/>
          <w:i w:val="1"/>
          <w:iCs w:val="1"/>
          <w:color w:val="auto"/>
        </w:rPr>
        <w:t>We depend on key personnel with whom we do not have employment agreements to manage our business, and if we are unable to retain our current personnel and hire additional personnel, our ability to develop and successfully market our products could be harmed.</w:t>
      </w:r>
    </w:p>
    <w:p>
      <w:pPr>
        <w:spacing w:after="0" w:line="85" w:lineRule="exact"/>
        <w:rPr>
          <w:sz w:val="20"/>
          <w:szCs w:val="20"/>
          <w:color w:val="auto"/>
        </w:rPr>
      </w:pPr>
    </w:p>
    <w:p>
      <w:pPr>
        <w:ind w:right="60" w:firstLine="456"/>
        <w:spacing w:after="0" w:line="298" w:lineRule="auto"/>
        <w:rPr>
          <w:sz w:val="20"/>
          <w:szCs w:val="20"/>
          <w:color w:val="auto"/>
        </w:rPr>
      </w:pPr>
      <w:r>
        <w:rPr>
          <w:rFonts w:ascii="Arial" w:cs="Arial" w:eastAsia="Arial" w:hAnsi="Arial"/>
          <w:sz w:val="16"/>
          <w:szCs w:val="16"/>
          <w:color w:val="auto"/>
        </w:rPr>
        <w:t>We believe our future success will depend in large part upon our ability to attract and retain highly skilled managerial, engineering and sales and marketing personnel. The loss of key employees or the inability to attract or retain qualified personnel, including engineers and sales and marketing personnel could delay the development and introduction of and harm our ability to sell our products. We do not have employment agreements with any of our key technical personnel, and their knowledge of our business and industry would be extremely difficult to replace.</w:t>
      </w:r>
    </w:p>
    <w:p>
      <w:pPr>
        <w:spacing w:after="0" w:line="113" w:lineRule="exact"/>
        <w:rPr>
          <w:sz w:val="20"/>
          <w:szCs w:val="20"/>
          <w:color w:val="auto"/>
        </w:rPr>
      </w:pPr>
    </w:p>
    <w:p>
      <w:pPr>
        <w:ind w:right="60" w:firstLine="456"/>
        <w:spacing w:after="0" w:line="255" w:lineRule="auto"/>
        <w:rPr>
          <w:sz w:val="20"/>
          <w:szCs w:val="20"/>
          <w:color w:val="auto"/>
        </w:rPr>
      </w:pPr>
      <w:r>
        <w:rPr>
          <w:rFonts w:ascii="Arial" w:cs="Arial" w:eastAsia="Arial" w:hAnsi="Arial"/>
          <w:sz w:val="18"/>
          <w:szCs w:val="18"/>
          <w:color w:val="auto"/>
        </w:rPr>
        <w:t>The competition for qualified technical personnel with significant experience in the design, development, manufacturing, marketing and sales of integrated circuits is intense. It is important that we are able to identify, hire and retain engineers who are familiar with the intricacies of the design and manufacture of products based on analog technology. Our key technical personnel represent a significant asset and serve as the source of our technological and product innovations. We may not be successful in attracting and retaining sufficient numbers of technical personnel to develop new products or enhance existing products in a timely manner.</w:t>
      </w:r>
    </w:p>
    <w:p>
      <w:pPr>
        <w:spacing w:after="0" w:line="143" w:lineRule="exact"/>
        <w:rPr>
          <w:sz w:val="20"/>
          <w:szCs w:val="20"/>
          <w:color w:val="auto"/>
        </w:rPr>
      </w:pPr>
    </w:p>
    <w:p>
      <w:pPr>
        <w:ind w:right="180"/>
        <w:spacing w:after="0" w:line="259" w:lineRule="auto"/>
        <w:rPr>
          <w:sz w:val="20"/>
          <w:szCs w:val="20"/>
          <w:color w:val="auto"/>
        </w:rPr>
      </w:pPr>
      <w:r>
        <w:rPr>
          <w:rFonts w:ascii="Arial" w:cs="Arial" w:eastAsia="Arial" w:hAnsi="Arial"/>
          <w:sz w:val="18"/>
          <w:szCs w:val="18"/>
          <w:b w:val="1"/>
          <w:bCs w:val="1"/>
          <w:i w:val="1"/>
          <w:iCs w:val="1"/>
          <w:color w:val="auto"/>
        </w:rPr>
        <w:t>Two of our officers and directors own a large percentage of our voting stock, and, together with another employee who is also a significant shareholder, are related by blood or marriage. These factors may allow the officers and directors as a group or the three related employees to influence the election of directors and the approval or disapproval of significant corporate actions.</w:t>
      </w:r>
    </w:p>
    <w:p>
      <w:pPr>
        <w:spacing w:after="0" w:line="140" w:lineRule="exact"/>
        <w:rPr>
          <w:sz w:val="20"/>
          <w:szCs w:val="20"/>
          <w:color w:val="auto"/>
        </w:rPr>
      </w:pPr>
    </w:p>
    <w:p>
      <w:pPr>
        <w:ind w:right="20" w:firstLine="456"/>
        <w:spacing w:after="0" w:line="289" w:lineRule="auto"/>
        <w:rPr>
          <w:sz w:val="20"/>
          <w:szCs w:val="20"/>
          <w:color w:val="auto"/>
        </w:rPr>
      </w:pPr>
      <w:r>
        <w:rPr>
          <w:rFonts w:ascii="Arial" w:cs="Arial" w:eastAsia="Arial" w:hAnsi="Arial"/>
          <w:sz w:val="16"/>
          <w:szCs w:val="16"/>
          <w:color w:val="auto"/>
        </w:rPr>
        <w:t>Dr. Sehat Sutardja, our President and Chief Executive Officer, and Weili Dai, who serves as our Vice President of Sales for Communications and Consumer Business of MSI and Vice President and General Manager of Communications and Computing Business Unit of MSI, are husband and wife, and Dr. Sehat Sutardja and Dr. Pantas Sutardja, our Vice President, Chief Technology Officer and Chief Research and Development Officer, are brothers. Together, these three individuals held approximately 17% of our outstanding common shares as of October 31, 2009. As a result, if these individuals act together, they may influence the election of our directors and the approval or disapproval of any significant corporate actions that require shareholder approval. This influence over our affairs might be adverse to the interests of other shareholders. For instance, the voting power of these individuals could have the effect of delaying or preventing an acquisition of us on terms that other shareholders may desire. Furthermore, we have a classified board, which could further delay or prevent an acquisition, under certain circumstances.</w:t>
      </w:r>
    </w:p>
    <w:p>
      <w:pPr>
        <w:spacing w:after="0" w:line="105"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48</w:t>
      </w:r>
    </w:p>
    <w:p>
      <w:pPr>
        <w:sectPr>
          <w:pgSz w:w="11900" w:h="16838" w:orient="portrait"/>
          <w:cols w:equalWidth="0" w:num="1">
            <w:col w:w="11420"/>
          </w:cols>
          <w:pgMar w:left="240" w:top="459" w:right="239" w:bottom="1440" w:gutter="0" w:footer="0" w:header="0"/>
        </w:sectPr>
      </w:pPr>
    </w:p>
    <w:bookmarkStart w:id="48" w:name="page49"/>
    <w:bookmarkEnd w:id="48"/>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56" name="Picture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pic:cNvPicPr>
                      <a:picLocks noChangeAspect="1" noChangeArrowheads="1"/>
                    </pic:cNvPicPr>
                  </pic:nvPicPr>
                  <pic:blipFill>
                    <a:blip r:embed="rId63">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firstLine="456"/>
        <w:spacing w:after="0" w:line="288" w:lineRule="auto"/>
        <w:rPr>
          <w:sz w:val="20"/>
          <w:szCs w:val="20"/>
          <w:color w:val="auto"/>
        </w:rPr>
      </w:pPr>
      <w:r>
        <w:rPr>
          <w:rFonts w:ascii="Arial" w:cs="Arial" w:eastAsia="Arial" w:hAnsi="Arial"/>
          <w:sz w:val="16"/>
          <w:szCs w:val="16"/>
          <w:color w:val="auto"/>
        </w:rPr>
        <w:t>Under Bermuda law, all of our officers, in exercising their powers and discharging their duties, must act honestly and in good faith with a view to our best interests and exercise the care, diligence and skill that a reasonably prudent person would exercise in comparable circumstances. Majority shareholders do not owe fiduciary duties to minority shareholders. As a result, the minority shareholders will not have a direct claim against the majority shareholders in the event the majority shareholders take actions that damage the interests of minority shareholders. Class actions and derivative actions are generally not available to shareholders under the laws of Bermuda, except that Bermuda courts would be expected to follow English case law precedent, which would permit a shareholder to bring an action in our name if the directors or officers are alleged to be acting beyond our corporate power, committing illegal acts or violating our Memorandum of Association or Second Amended and Restated Bye-Laws. Furthermore, consideration would be given by a Bermuda court to acts that are alleged to constitute a fraud against the minority shareholders or, for instance, where an act requiring the approval of a greater percentage of the company’s shareholders than those who actually approved it.</w:t>
      </w:r>
    </w:p>
    <w:p>
      <w:pPr>
        <w:spacing w:after="0" w:line="120" w:lineRule="exact"/>
        <w:rPr>
          <w:sz w:val="20"/>
          <w:szCs w:val="20"/>
          <w:color w:val="auto"/>
        </w:rPr>
      </w:pPr>
    </w:p>
    <w:p>
      <w:pPr>
        <w:ind w:right="80" w:firstLine="456"/>
        <w:spacing w:after="0" w:line="298" w:lineRule="auto"/>
        <w:rPr>
          <w:sz w:val="20"/>
          <w:szCs w:val="20"/>
          <w:color w:val="auto"/>
        </w:rPr>
      </w:pPr>
      <w:r>
        <w:rPr>
          <w:rFonts w:ascii="Arial" w:cs="Arial" w:eastAsia="Arial" w:hAnsi="Arial"/>
          <w:sz w:val="16"/>
          <w:szCs w:val="16"/>
          <w:color w:val="auto"/>
        </w:rPr>
        <w:t>The Companies Act 1981 of Bermuda, as amended, provides that when one or more shareholders believes the affairs of a company are being conducted in a manner which is prejudicial to the interest of some of the shareholders, a Bermuda court, upon petition, may make such order as it sees fit, including an order regulating the conduct of the company’s affairs in the future or ordering the purchase of the shares of any shareholders by other shareholders or by the company, and in the case of a purchase of the shares by the company, for the reduction accordingly of the company’s capital or otherwise.</w:t>
      </w:r>
    </w:p>
    <w:p>
      <w:pPr>
        <w:spacing w:after="0" w:line="113" w:lineRule="exact"/>
        <w:rPr>
          <w:sz w:val="20"/>
          <w:szCs w:val="20"/>
          <w:color w:val="auto"/>
        </w:rPr>
      </w:pPr>
    </w:p>
    <w:p>
      <w:pPr>
        <w:ind w:right="100"/>
        <w:spacing w:after="0" w:line="332" w:lineRule="auto"/>
        <w:rPr>
          <w:sz w:val="20"/>
          <w:szCs w:val="20"/>
          <w:color w:val="auto"/>
        </w:rPr>
      </w:pPr>
      <w:r>
        <w:rPr>
          <w:rFonts w:ascii="Arial" w:cs="Arial" w:eastAsia="Arial" w:hAnsi="Arial"/>
          <w:sz w:val="16"/>
          <w:szCs w:val="16"/>
          <w:b w:val="1"/>
          <w:bCs w:val="1"/>
          <w:i w:val="1"/>
          <w:iCs w:val="1"/>
          <w:color w:val="auto"/>
        </w:rPr>
        <w:t>As a result of our global operations, we face foreign business, political and economic risks, which may harm our results of operations, because a majority of our products and our customers’ products are manufactured and sold outside of the United States.</w:t>
      </w:r>
    </w:p>
    <w:p>
      <w:pPr>
        <w:spacing w:after="0" w:line="85" w:lineRule="exact"/>
        <w:rPr>
          <w:sz w:val="20"/>
          <w:szCs w:val="20"/>
          <w:color w:val="auto"/>
        </w:rPr>
      </w:pPr>
    </w:p>
    <w:p>
      <w:pPr>
        <w:ind w:right="100" w:firstLine="456"/>
        <w:spacing w:after="0" w:line="254" w:lineRule="auto"/>
        <w:rPr>
          <w:sz w:val="20"/>
          <w:szCs w:val="20"/>
          <w:color w:val="auto"/>
        </w:rPr>
      </w:pPr>
      <w:r>
        <w:rPr>
          <w:rFonts w:ascii="Arial" w:cs="Arial" w:eastAsia="Arial" w:hAnsi="Arial"/>
          <w:sz w:val="18"/>
          <w:szCs w:val="18"/>
          <w:color w:val="auto"/>
        </w:rPr>
        <w:t>A substantial portion of our business is conducted outside of the United States and, as a result, we are subject to foreign business, political and economic risks. All of our products are manufactured outside of the United States. Our current qualified integrated circuit foundries are located in the same region within Taiwan, and our primary assembly and test subcontractors are located in the Pacific Rim region. In addition, many of our customers are located outside of the United States, primarily in Asia, which further exposes us to foreign risks. Sales to customers located in Asia represented approximately 90% of our net revenue for the nine months ended October 31, 2009, 86% of our net revenue in fiscal 2009, 84% of our net revenue in fiscal 2008 and 89% of our net revenue in fiscal 2007.</w:t>
      </w:r>
    </w:p>
    <w:p>
      <w:pPr>
        <w:spacing w:after="0" w:line="144" w:lineRule="exact"/>
        <w:rPr>
          <w:sz w:val="20"/>
          <w:szCs w:val="20"/>
          <w:color w:val="auto"/>
        </w:rPr>
      </w:pPr>
    </w:p>
    <w:p>
      <w:pPr>
        <w:ind w:firstLine="456"/>
        <w:spacing w:after="0" w:line="256" w:lineRule="auto"/>
        <w:rPr>
          <w:sz w:val="20"/>
          <w:szCs w:val="20"/>
          <w:color w:val="auto"/>
        </w:rPr>
      </w:pPr>
      <w:r>
        <w:rPr>
          <w:rFonts w:ascii="Arial" w:cs="Arial" w:eastAsia="Arial" w:hAnsi="Arial"/>
          <w:sz w:val="18"/>
          <w:szCs w:val="18"/>
          <w:color w:val="auto"/>
        </w:rPr>
        <w:t>We have substantial operations, including approximately 21% of our workforce as of October 31, 2009, in Israel. These operations are directly influenced by the political, economic and military conditions affecting Israel. Any potential hostilities involving or within Israel could disrupt these operations. For example, past hostilities between Israel and the Palestinian authority and other groups have caused substantial political unrest, which could lead to a potential economic downturn in Israel.</w:t>
      </w:r>
    </w:p>
    <w:p>
      <w:pPr>
        <w:spacing w:after="0" w:line="143" w:lineRule="exact"/>
        <w:rPr>
          <w:sz w:val="20"/>
          <w:szCs w:val="20"/>
          <w:color w:val="auto"/>
        </w:rPr>
      </w:pPr>
    </w:p>
    <w:p>
      <w:pPr>
        <w:ind w:right="440" w:firstLine="456"/>
        <w:spacing w:after="0" w:line="332" w:lineRule="auto"/>
        <w:rPr>
          <w:sz w:val="20"/>
          <w:szCs w:val="20"/>
          <w:color w:val="auto"/>
        </w:rPr>
      </w:pPr>
      <w:r>
        <w:rPr>
          <w:rFonts w:ascii="Arial" w:cs="Arial" w:eastAsia="Arial" w:hAnsi="Arial"/>
          <w:sz w:val="16"/>
          <w:szCs w:val="16"/>
          <w:color w:val="auto"/>
        </w:rPr>
        <w:t>We anticipate that our manufacturing, assembly, testing and sales outside of the United States will continue to account for a substantial portion of our operations and revenue in future periods. Accordingly, we are subject to risks associated with international operations, including:</w:t>
      </w:r>
    </w:p>
    <w:p>
      <w:pPr>
        <w:spacing w:after="0" w:line="4" w:lineRule="exact"/>
        <w:rPr>
          <w:sz w:val="20"/>
          <w:szCs w:val="20"/>
          <w:color w:val="auto"/>
        </w:rPr>
      </w:pPr>
    </w:p>
    <w:p>
      <w:pPr>
        <w:ind w:left="900" w:right="360" w:hanging="446"/>
        <w:spacing w:after="0" w:line="268" w:lineRule="auto"/>
        <w:tabs>
          <w:tab w:leader="none" w:pos="900" w:val="left"/>
        </w:tabs>
        <w:numPr>
          <w:ilvl w:val="0"/>
          <w:numId w:val="6"/>
        </w:numPr>
        <w:rPr>
          <w:rFonts w:ascii="Arial" w:cs="Arial" w:eastAsia="Arial" w:hAnsi="Arial"/>
          <w:sz w:val="18"/>
          <w:szCs w:val="18"/>
          <w:color w:val="auto"/>
        </w:rPr>
      </w:pPr>
      <w:r>
        <w:rPr>
          <w:rFonts w:ascii="Arial" w:cs="Arial" w:eastAsia="Arial" w:hAnsi="Arial"/>
          <w:sz w:val="18"/>
          <w:szCs w:val="18"/>
          <w:color w:val="auto"/>
        </w:rPr>
        <w:t>political, social and economic instability, including wars, terrorism, other hostilities and political unrest, boycotts, curtailment of trade and other business restrictions;</w:t>
      </w:r>
    </w:p>
    <w:p>
      <w:pPr>
        <w:spacing w:after="0" w:line="50" w:lineRule="exact"/>
        <w:rPr>
          <w:rFonts w:ascii="Arial" w:cs="Arial" w:eastAsia="Arial" w:hAnsi="Arial"/>
          <w:sz w:val="18"/>
          <w:szCs w:val="18"/>
          <w:color w:val="auto"/>
        </w:rPr>
      </w:pPr>
    </w:p>
    <w:p>
      <w:pPr>
        <w:ind w:left="900" w:right="120" w:hanging="446"/>
        <w:spacing w:after="0" w:line="268" w:lineRule="auto"/>
        <w:tabs>
          <w:tab w:leader="none" w:pos="900" w:val="left"/>
        </w:tabs>
        <w:numPr>
          <w:ilvl w:val="0"/>
          <w:numId w:val="6"/>
        </w:numPr>
        <w:rPr>
          <w:rFonts w:ascii="Arial" w:cs="Arial" w:eastAsia="Arial" w:hAnsi="Arial"/>
          <w:sz w:val="18"/>
          <w:szCs w:val="18"/>
          <w:color w:val="auto"/>
        </w:rPr>
      </w:pPr>
      <w:r>
        <w:rPr>
          <w:rFonts w:ascii="Arial" w:cs="Arial" w:eastAsia="Arial" w:hAnsi="Arial"/>
          <w:sz w:val="18"/>
          <w:szCs w:val="18"/>
          <w:color w:val="auto"/>
        </w:rPr>
        <w:t>compliance with domestic and foreign export and import regulations, and difficulties in obtaining and complying with domestic and foreign export, import and other governmental approvals, permits and licenses;</w:t>
      </w:r>
    </w:p>
    <w:p>
      <w:pPr>
        <w:spacing w:after="0" w:line="50" w:lineRule="exact"/>
        <w:rPr>
          <w:rFonts w:ascii="Arial" w:cs="Arial" w:eastAsia="Arial" w:hAnsi="Arial"/>
          <w:sz w:val="18"/>
          <w:szCs w:val="18"/>
          <w:color w:val="auto"/>
        </w:rPr>
      </w:pPr>
    </w:p>
    <w:p>
      <w:pPr>
        <w:ind w:left="900" w:hanging="446"/>
        <w:spacing w:after="0"/>
        <w:tabs>
          <w:tab w:leader="none" w:pos="900" w:val="left"/>
        </w:tabs>
        <w:numPr>
          <w:ilvl w:val="0"/>
          <w:numId w:val="6"/>
        </w:numPr>
        <w:rPr>
          <w:rFonts w:ascii="Arial" w:cs="Arial" w:eastAsia="Arial" w:hAnsi="Arial"/>
          <w:sz w:val="18"/>
          <w:szCs w:val="18"/>
          <w:color w:val="auto"/>
        </w:rPr>
      </w:pPr>
      <w:r>
        <w:rPr>
          <w:rFonts w:ascii="Arial" w:cs="Arial" w:eastAsia="Arial" w:hAnsi="Arial"/>
          <w:sz w:val="18"/>
          <w:szCs w:val="18"/>
          <w:color w:val="auto"/>
        </w:rPr>
        <w:t>compliance with foreign laws, and laws and practices that favor local companies;</w:t>
      </w:r>
    </w:p>
    <w:p>
      <w:pPr>
        <w:spacing w:after="0" w:line="90" w:lineRule="exact"/>
        <w:rPr>
          <w:rFonts w:ascii="Arial" w:cs="Arial" w:eastAsia="Arial" w:hAnsi="Arial"/>
          <w:sz w:val="18"/>
          <w:szCs w:val="18"/>
          <w:color w:val="auto"/>
        </w:rPr>
      </w:pPr>
    </w:p>
    <w:p>
      <w:pPr>
        <w:ind w:left="900" w:hanging="446"/>
        <w:spacing w:after="0"/>
        <w:tabs>
          <w:tab w:leader="none" w:pos="900" w:val="left"/>
        </w:tabs>
        <w:numPr>
          <w:ilvl w:val="0"/>
          <w:numId w:val="6"/>
        </w:numPr>
        <w:rPr>
          <w:rFonts w:ascii="Arial" w:cs="Arial" w:eastAsia="Arial" w:hAnsi="Arial"/>
          <w:sz w:val="18"/>
          <w:szCs w:val="18"/>
          <w:color w:val="auto"/>
        </w:rPr>
      </w:pPr>
      <w:r>
        <w:rPr>
          <w:rFonts w:ascii="Arial" w:cs="Arial" w:eastAsia="Arial" w:hAnsi="Arial"/>
          <w:sz w:val="18"/>
          <w:szCs w:val="18"/>
          <w:color w:val="auto"/>
        </w:rPr>
        <w:t>difficulties in staffing and managing foreign operations;</w:t>
      </w:r>
    </w:p>
    <w:p>
      <w:pPr>
        <w:spacing w:after="0" w:line="90" w:lineRule="exact"/>
        <w:rPr>
          <w:rFonts w:ascii="Arial" w:cs="Arial" w:eastAsia="Arial" w:hAnsi="Arial"/>
          <w:sz w:val="18"/>
          <w:szCs w:val="18"/>
          <w:color w:val="auto"/>
        </w:rPr>
      </w:pPr>
    </w:p>
    <w:p>
      <w:pPr>
        <w:ind w:left="900" w:hanging="446"/>
        <w:spacing w:after="0"/>
        <w:tabs>
          <w:tab w:leader="none" w:pos="900" w:val="left"/>
        </w:tabs>
        <w:numPr>
          <w:ilvl w:val="0"/>
          <w:numId w:val="6"/>
        </w:numPr>
        <w:rPr>
          <w:rFonts w:ascii="Arial" w:cs="Arial" w:eastAsia="Arial" w:hAnsi="Arial"/>
          <w:sz w:val="18"/>
          <w:szCs w:val="18"/>
          <w:color w:val="auto"/>
        </w:rPr>
      </w:pPr>
      <w:r>
        <w:rPr>
          <w:rFonts w:ascii="Arial" w:cs="Arial" w:eastAsia="Arial" w:hAnsi="Arial"/>
          <w:sz w:val="18"/>
          <w:szCs w:val="18"/>
          <w:color w:val="auto"/>
        </w:rPr>
        <w:t>trade restrictions or higher tariffs;</w:t>
      </w:r>
    </w:p>
    <w:p>
      <w:pPr>
        <w:spacing w:after="0" w:line="90" w:lineRule="exact"/>
        <w:rPr>
          <w:rFonts w:ascii="Arial" w:cs="Arial" w:eastAsia="Arial" w:hAnsi="Arial"/>
          <w:sz w:val="18"/>
          <w:szCs w:val="18"/>
          <w:color w:val="auto"/>
        </w:rPr>
      </w:pPr>
    </w:p>
    <w:p>
      <w:pPr>
        <w:ind w:left="900" w:hanging="446"/>
        <w:spacing w:after="0"/>
        <w:tabs>
          <w:tab w:leader="none" w:pos="900" w:val="left"/>
        </w:tabs>
        <w:numPr>
          <w:ilvl w:val="0"/>
          <w:numId w:val="6"/>
        </w:numPr>
        <w:rPr>
          <w:rFonts w:ascii="Arial" w:cs="Arial" w:eastAsia="Arial" w:hAnsi="Arial"/>
          <w:sz w:val="18"/>
          <w:szCs w:val="18"/>
          <w:color w:val="auto"/>
        </w:rPr>
      </w:pPr>
      <w:r>
        <w:rPr>
          <w:rFonts w:ascii="Arial" w:cs="Arial" w:eastAsia="Arial" w:hAnsi="Arial"/>
          <w:sz w:val="18"/>
          <w:szCs w:val="18"/>
          <w:color w:val="auto"/>
        </w:rPr>
        <w:t>transportation delays;</w:t>
      </w:r>
    </w:p>
    <w:p>
      <w:pPr>
        <w:spacing w:after="0" w:line="90" w:lineRule="exact"/>
        <w:rPr>
          <w:rFonts w:ascii="Arial" w:cs="Arial" w:eastAsia="Arial" w:hAnsi="Arial"/>
          <w:sz w:val="18"/>
          <w:szCs w:val="18"/>
          <w:color w:val="auto"/>
        </w:rPr>
      </w:pPr>
    </w:p>
    <w:p>
      <w:pPr>
        <w:ind w:left="900" w:hanging="446"/>
        <w:spacing w:after="0"/>
        <w:tabs>
          <w:tab w:leader="none" w:pos="900" w:val="left"/>
        </w:tabs>
        <w:numPr>
          <w:ilvl w:val="0"/>
          <w:numId w:val="6"/>
        </w:numPr>
        <w:rPr>
          <w:rFonts w:ascii="Arial" w:cs="Arial" w:eastAsia="Arial" w:hAnsi="Arial"/>
          <w:sz w:val="16"/>
          <w:szCs w:val="16"/>
          <w:color w:val="auto"/>
        </w:rPr>
      </w:pPr>
      <w:r>
        <w:rPr>
          <w:rFonts w:ascii="Arial" w:cs="Arial" w:eastAsia="Arial" w:hAnsi="Arial"/>
          <w:sz w:val="16"/>
          <w:szCs w:val="16"/>
          <w:color w:val="auto"/>
        </w:rPr>
        <w:t>difficulties of managing distributors, especially because we expect to continue to increase our sales through international distributors;</w:t>
      </w:r>
    </w:p>
    <w:p>
      <w:pPr>
        <w:spacing w:after="0" w:line="113" w:lineRule="exact"/>
        <w:rPr>
          <w:rFonts w:ascii="Arial" w:cs="Arial" w:eastAsia="Arial" w:hAnsi="Arial"/>
          <w:sz w:val="16"/>
          <w:szCs w:val="16"/>
          <w:color w:val="auto"/>
        </w:rPr>
      </w:pPr>
    </w:p>
    <w:p>
      <w:pPr>
        <w:ind w:left="900" w:hanging="446"/>
        <w:spacing w:after="0"/>
        <w:tabs>
          <w:tab w:leader="none" w:pos="900" w:val="left"/>
        </w:tabs>
        <w:numPr>
          <w:ilvl w:val="0"/>
          <w:numId w:val="6"/>
        </w:numPr>
        <w:rPr>
          <w:rFonts w:ascii="Arial" w:cs="Arial" w:eastAsia="Arial" w:hAnsi="Arial"/>
          <w:sz w:val="18"/>
          <w:szCs w:val="18"/>
          <w:color w:val="auto"/>
        </w:rPr>
      </w:pPr>
      <w:r>
        <w:rPr>
          <w:rFonts w:ascii="Arial" w:cs="Arial" w:eastAsia="Arial" w:hAnsi="Arial"/>
          <w:sz w:val="18"/>
          <w:szCs w:val="18"/>
          <w:color w:val="auto"/>
        </w:rPr>
        <w:t>less effective protection of intellectual property than is afforded to us in the United States or other developed countries; and</w:t>
      </w:r>
    </w:p>
    <w:p>
      <w:pPr>
        <w:spacing w:after="0" w:line="90" w:lineRule="exact"/>
        <w:rPr>
          <w:rFonts w:ascii="Arial" w:cs="Arial" w:eastAsia="Arial" w:hAnsi="Arial"/>
          <w:sz w:val="18"/>
          <w:szCs w:val="18"/>
          <w:color w:val="auto"/>
        </w:rPr>
      </w:pPr>
    </w:p>
    <w:p>
      <w:pPr>
        <w:ind w:left="900" w:hanging="446"/>
        <w:spacing w:after="0"/>
        <w:tabs>
          <w:tab w:leader="none" w:pos="900" w:val="left"/>
        </w:tabs>
        <w:numPr>
          <w:ilvl w:val="0"/>
          <w:numId w:val="6"/>
        </w:numPr>
        <w:rPr>
          <w:rFonts w:ascii="Arial" w:cs="Arial" w:eastAsia="Arial" w:hAnsi="Arial"/>
          <w:sz w:val="18"/>
          <w:szCs w:val="18"/>
          <w:color w:val="auto"/>
        </w:rPr>
      </w:pPr>
      <w:r>
        <w:rPr>
          <w:rFonts w:ascii="Arial" w:cs="Arial" w:eastAsia="Arial" w:hAnsi="Arial"/>
          <w:sz w:val="18"/>
          <w:szCs w:val="18"/>
          <w:color w:val="auto"/>
        </w:rPr>
        <w:t>inadequate local infrastructure.</w:t>
      </w:r>
    </w:p>
    <w:p>
      <w:pPr>
        <w:spacing w:after="0" w:line="158" w:lineRule="exact"/>
        <w:rPr>
          <w:sz w:val="20"/>
          <w:szCs w:val="20"/>
          <w:color w:val="auto"/>
        </w:rPr>
      </w:pPr>
    </w:p>
    <w:p>
      <w:pPr>
        <w:jc w:val="center"/>
        <w:ind w:right="-59"/>
        <w:spacing w:after="0"/>
        <w:rPr>
          <w:sz w:val="20"/>
          <w:szCs w:val="20"/>
          <w:color w:val="auto"/>
        </w:rPr>
      </w:pPr>
      <w:r>
        <w:rPr>
          <w:rFonts w:ascii="Arial" w:cs="Arial" w:eastAsia="Arial" w:hAnsi="Arial"/>
          <w:sz w:val="18"/>
          <w:szCs w:val="18"/>
          <w:color w:val="auto"/>
        </w:rPr>
        <w:t>49</w:t>
      </w:r>
    </w:p>
    <w:p>
      <w:pPr>
        <w:sectPr>
          <w:pgSz w:w="11900" w:h="16838" w:orient="portrait"/>
          <w:cols w:equalWidth="0" w:num="1">
            <w:col w:w="11380"/>
          </w:cols>
          <w:pgMar w:left="240" w:top="459" w:right="279" w:bottom="1440" w:gutter="0" w:footer="0" w:header="0"/>
        </w:sectPr>
      </w:pPr>
    </w:p>
    <w:bookmarkStart w:id="49" w:name="page50"/>
    <w:bookmarkEnd w:id="49"/>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57" name="Picture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pic:cNvPicPr>
                      <a:picLocks noChangeAspect="1" noChangeArrowheads="1"/>
                    </pic:cNvPicPr>
                  </pic:nvPicPr>
                  <pic:blipFill>
                    <a:blip r:embed="rId64">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20" w:firstLine="456"/>
        <w:spacing w:after="0" w:line="294" w:lineRule="auto"/>
        <w:rPr>
          <w:sz w:val="20"/>
          <w:szCs w:val="20"/>
          <w:color w:val="auto"/>
        </w:rPr>
      </w:pPr>
      <w:r>
        <w:rPr>
          <w:rFonts w:ascii="Arial" w:cs="Arial" w:eastAsia="Arial" w:hAnsi="Arial"/>
          <w:sz w:val="16"/>
          <w:szCs w:val="16"/>
          <w:color w:val="auto"/>
        </w:rPr>
        <w:t>Moreover, the international nature of our business subjects us to risk associated with the fluctuation of the U.S. dollar versus foreign currencies. Decreases in the value of the U.S. dollar versus currencies in jurisdictions where we have large fixed costs or our third party manufacturers have significant cost will increase the cost of such operations, which could harm our results of operations. For example, we have large fixed costs in Israel, which will become greater if the U.S. dollar declines in value versus the Israeli Shekel. On the other hand, sales to our customers have been denominated in U.S. dollars, and increases in the value of the U.S. dollar will increase the price of our products leading to a reduction in sales and profitability for us in that country.</w:t>
      </w:r>
    </w:p>
    <w:p>
      <w:pPr>
        <w:spacing w:after="0" w:line="116" w:lineRule="exact"/>
        <w:rPr>
          <w:sz w:val="20"/>
          <w:szCs w:val="20"/>
          <w:color w:val="auto"/>
        </w:rPr>
      </w:pPr>
    </w:p>
    <w:p>
      <w:pPr>
        <w:ind w:right="200"/>
        <w:spacing w:after="0" w:line="268" w:lineRule="auto"/>
        <w:rPr>
          <w:sz w:val="20"/>
          <w:szCs w:val="20"/>
          <w:color w:val="auto"/>
        </w:rPr>
      </w:pPr>
      <w:r>
        <w:rPr>
          <w:rFonts w:ascii="Arial" w:cs="Arial" w:eastAsia="Arial" w:hAnsi="Arial"/>
          <w:sz w:val="18"/>
          <w:szCs w:val="18"/>
          <w:b w:val="1"/>
          <w:bCs w:val="1"/>
          <w:i w:val="1"/>
          <w:iCs w:val="1"/>
          <w:color w:val="auto"/>
        </w:rPr>
        <w:t>The average selling prices of products in our markets have historically decreased rapidly and will likely do so in the future, which could harm our revenues and gross margin.</w:t>
      </w:r>
    </w:p>
    <w:p>
      <w:pPr>
        <w:spacing w:after="0" w:line="132" w:lineRule="exact"/>
        <w:rPr>
          <w:sz w:val="20"/>
          <w:szCs w:val="20"/>
          <w:color w:val="auto"/>
        </w:rPr>
      </w:pPr>
    </w:p>
    <w:p>
      <w:pPr>
        <w:ind w:right="260" w:firstLine="456"/>
        <w:spacing w:after="0" w:line="256" w:lineRule="auto"/>
        <w:rPr>
          <w:sz w:val="20"/>
          <w:szCs w:val="20"/>
          <w:color w:val="auto"/>
        </w:rPr>
      </w:pPr>
      <w:r>
        <w:rPr>
          <w:rFonts w:ascii="Arial" w:cs="Arial" w:eastAsia="Arial" w:hAnsi="Arial"/>
          <w:sz w:val="18"/>
          <w:szCs w:val="18"/>
          <w:color w:val="auto"/>
        </w:rPr>
        <w:t>The products we develop and sell are used for high volume applications. As a result, the prices of those products have historically decreased rapidly. We may not be able to maintain or improve the gross margins and our gross profits and financial results will suffer if we are unable to offset any reductions in our average selling prices by increasing our efficiency through increasing sales volumes, reducing our costs, or developing new or enhanced products on a timely basis with higher selling prices or gross margin.</w:t>
      </w:r>
    </w:p>
    <w:p>
      <w:pPr>
        <w:spacing w:after="0" w:line="143" w:lineRule="exact"/>
        <w:rPr>
          <w:sz w:val="20"/>
          <w:szCs w:val="20"/>
          <w:color w:val="auto"/>
        </w:rPr>
      </w:pPr>
    </w:p>
    <w:p>
      <w:pPr>
        <w:ind w:right="120" w:firstLine="456"/>
        <w:spacing w:after="0" w:line="256" w:lineRule="auto"/>
        <w:rPr>
          <w:sz w:val="20"/>
          <w:szCs w:val="20"/>
          <w:color w:val="auto"/>
        </w:rPr>
      </w:pPr>
      <w:r>
        <w:rPr>
          <w:rFonts w:ascii="Arial" w:cs="Arial" w:eastAsia="Arial" w:hAnsi="Arial"/>
          <w:sz w:val="18"/>
          <w:szCs w:val="18"/>
          <w:color w:val="auto"/>
        </w:rPr>
        <w:t>Additionally, because we do not operate our own manufacturing, assembly or testing facilities, we may not be able to reduce our costs as rapidly as companies that operate their own facilities, and our costs may even increase, which could also reduce our gross margin. In the past, we have reduced the average selling prices of our products in anticipation of future competitive pricing pressures, new product introductions by us or our competitors and other factors. We expect that we will have to do so again in the future.</w:t>
      </w:r>
    </w:p>
    <w:p>
      <w:pPr>
        <w:spacing w:after="0" w:line="143" w:lineRule="exact"/>
        <w:rPr>
          <w:sz w:val="20"/>
          <w:szCs w:val="20"/>
          <w:color w:val="auto"/>
        </w:rPr>
      </w:pPr>
    </w:p>
    <w:p>
      <w:pPr>
        <w:spacing w:after="0"/>
        <w:rPr>
          <w:sz w:val="20"/>
          <w:szCs w:val="20"/>
          <w:color w:val="auto"/>
        </w:rPr>
      </w:pPr>
      <w:r>
        <w:rPr>
          <w:rFonts w:ascii="Arial" w:cs="Arial" w:eastAsia="Arial" w:hAnsi="Arial"/>
          <w:sz w:val="15"/>
          <w:szCs w:val="15"/>
          <w:b w:val="1"/>
          <w:bCs w:val="1"/>
          <w:i w:val="1"/>
          <w:iCs w:val="1"/>
          <w:color w:val="auto"/>
        </w:rPr>
        <w:t>We have a lengthy and expensive product sales cycle that does not assure product sales, and that if unsuccessful, may harm our results of operations.</w:t>
      </w:r>
    </w:p>
    <w:p>
      <w:pPr>
        <w:spacing w:after="0" w:line="206" w:lineRule="exact"/>
        <w:rPr>
          <w:sz w:val="20"/>
          <w:szCs w:val="20"/>
          <w:color w:val="auto"/>
        </w:rPr>
      </w:pPr>
    </w:p>
    <w:p>
      <w:pPr>
        <w:ind w:right="80" w:firstLine="456"/>
        <w:spacing w:after="0" w:line="259" w:lineRule="auto"/>
        <w:rPr>
          <w:sz w:val="20"/>
          <w:szCs w:val="20"/>
          <w:color w:val="auto"/>
        </w:rPr>
      </w:pPr>
      <w:r>
        <w:rPr>
          <w:rFonts w:ascii="Arial" w:cs="Arial" w:eastAsia="Arial" w:hAnsi="Arial"/>
          <w:sz w:val="18"/>
          <w:szCs w:val="18"/>
          <w:color w:val="auto"/>
        </w:rPr>
        <w:t>The sales cycle for many of our products is long and requires us to invest significant resources with each potential customer without any assurance of sales to that customer. Our sales cycle typically begins with an extended evaluation and test period, also known as qualification, during which our products undergo rigorous reliability testing by our customers.</w:t>
      </w:r>
    </w:p>
    <w:p>
      <w:pPr>
        <w:spacing w:after="0" w:line="140" w:lineRule="exact"/>
        <w:rPr>
          <w:sz w:val="20"/>
          <w:szCs w:val="20"/>
          <w:color w:val="auto"/>
        </w:rPr>
      </w:pPr>
    </w:p>
    <w:p>
      <w:pPr>
        <w:ind w:right="120" w:firstLine="456"/>
        <w:spacing w:after="0" w:line="287" w:lineRule="auto"/>
        <w:rPr>
          <w:sz w:val="20"/>
          <w:szCs w:val="20"/>
          <w:color w:val="auto"/>
        </w:rPr>
      </w:pPr>
      <w:r>
        <w:rPr>
          <w:rFonts w:ascii="Arial" w:cs="Arial" w:eastAsia="Arial" w:hAnsi="Arial"/>
          <w:sz w:val="16"/>
          <w:szCs w:val="16"/>
          <w:color w:val="auto"/>
        </w:rPr>
        <w:t>Qualification is typically followed by an extended development period by our customers and an additional three to nine month period before a customer commences volume production of equipment incorporating our products. This lengthy sales cycle creates the risk that our customers will decide to cancel or change product plans for products incorporating our integrated circuits. During our sales cycle, our engineers assist customers in implementing our products into the customers’ products. We incur significant research and development, selling and marketing, general and administrative expenses as part of this process, and this process may never generate related revenues. We derive revenue from this process only if our design is selected. Once a customer selects a particular integrated circuit for use in its products, the customer generally will solely use that integrated circuit for a full generation of its product. Therefore, if we do not achieve a design win for a product, we will be unable to sell our integrated circuit to a customer until that customer develops a new product or a new generation of its product. Even if we achieve a design win with a customer, the customer may not ultimately ship products incorporating our products or may cancel orders after we have achieved a sale. In addition, we will have to begin the qualification process again when a customer develops a new generation of a product for which we were the successful supplier for the prior generation.</w:t>
      </w:r>
    </w:p>
    <w:p>
      <w:pPr>
        <w:spacing w:after="0" w:line="123" w:lineRule="exact"/>
        <w:rPr>
          <w:sz w:val="20"/>
          <w:szCs w:val="20"/>
          <w:color w:val="auto"/>
        </w:rPr>
      </w:pPr>
    </w:p>
    <w:p>
      <w:pPr>
        <w:ind w:firstLine="456"/>
        <w:spacing w:after="0" w:line="291" w:lineRule="auto"/>
        <w:rPr>
          <w:sz w:val="20"/>
          <w:szCs w:val="20"/>
          <w:color w:val="auto"/>
        </w:rPr>
      </w:pPr>
      <w:r>
        <w:rPr>
          <w:rFonts w:ascii="Arial" w:cs="Arial" w:eastAsia="Arial" w:hAnsi="Arial"/>
          <w:sz w:val="16"/>
          <w:szCs w:val="16"/>
          <w:color w:val="auto"/>
        </w:rPr>
        <w:t>Our typical customer contract does not obligate the customer to any minimum purchase commitment. We may build inventory in anticipation of receiving customer orders, but if such customer demand does not develop as we anticipate, it may become necessary for us to write-off such inventory. Also, during the final production of a mature product, our customers typically exhaust their existing inventory of our integrated circuits. Consequently, orders for our products may decline in those circumstances, even if our products are incorporated into both our customers’ mature and replacement products. A delay in a customer’s transition to commercial production of a replacement product may cause the customer to lose sales, which would delay our ability to recover the lost sales from the discontinued mature product. In addition, customers may defer orders in anticipation of new products or product enhancements from our competitors or us.</w:t>
      </w:r>
    </w:p>
    <w:p>
      <w:pPr>
        <w:spacing w:after="0" w:line="107"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50</w:t>
      </w:r>
    </w:p>
    <w:p>
      <w:pPr>
        <w:sectPr>
          <w:pgSz w:w="11900" w:h="16838" w:orient="portrait"/>
          <w:cols w:equalWidth="0" w:num="1">
            <w:col w:w="11420"/>
          </w:cols>
          <w:pgMar w:left="240" w:top="459" w:right="239" w:bottom="1440" w:gutter="0" w:footer="0" w:header="0"/>
        </w:sectPr>
      </w:pPr>
    </w:p>
    <w:bookmarkStart w:id="50" w:name="page51"/>
    <w:bookmarkEnd w:id="50"/>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58" name="Picture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
                    <pic:cNvPicPr>
                      <a:picLocks noChangeAspect="1" noChangeArrowheads="1"/>
                    </pic:cNvPicPr>
                  </pic:nvPicPr>
                  <pic:blipFill>
                    <a:blip r:embed="rId65">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spacing w:after="0"/>
        <w:rPr>
          <w:sz w:val="20"/>
          <w:szCs w:val="20"/>
          <w:color w:val="auto"/>
        </w:rPr>
      </w:pPr>
      <w:r>
        <w:rPr>
          <w:rFonts w:ascii="Arial" w:cs="Arial" w:eastAsia="Arial" w:hAnsi="Arial"/>
          <w:sz w:val="16"/>
          <w:szCs w:val="16"/>
          <w:b w:val="1"/>
          <w:bCs w:val="1"/>
          <w:i w:val="1"/>
          <w:iCs w:val="1"/>
          <w:color w:val="auto"/>
        </w:rPr>
        <w:t>We must keep pace with rapid technological change and evolving industry standards in the semiconductor industry to remain competitive.</w:t>
      </w:r>
    </w:p>
    <w:p>
      <w:pPr>
        <w:spacing w:after="0" w:line="194" w:lineRule="exact"/>
        <w:rPr>
          <w:sz w:val="20"/>
          <w:szCs w:val="20"/>
          <w:color w:val="auto"/>
        </w:rPr>
      </w:pPr>
    </w:p>
    <w:p>
      <w:pPr>
        <w:ind w:firstLine="456"/>
        <w:spacing w:after="0" w:line="308" w:lineRule="auto"/>
        <w:rPr>
          <w:sz w:val="20"/>
          <w:szCs w:val="20"/>
          <w:color w:val="auto"/>
        </w:rPr>
      </w:pPr>
      <w:r>
        <w:rPr>
          <w:rFonts w:ascii="Arial" w:cs="Arial" w:eastAsia="Arial" w:hAnsi="Arial"/>
          <w:sz w:val="15"/>
          <w:szCs w:val="15"/>
          <w:color w:val="auto"/>
        </w:rPr>
        <w:t>Our future success will depend on our ability to anticipate and adapt to changes in technology and industry standards and our customers’ changing demands. We sell products in markets that are characterized by rapid technological change, evolving industry standards, frequent new product introductions, short product life cycles and increasing demand for higher levels of integration and smaller process geometries. Our past sales and profitability have resulted, to a large extent, from our ability to anticipate changes in technology and industry standards and to develop and introduce new and enhanced products incorporating the new standards and technologies. Our ability to adapt to these changes and to anticipate future standards, and the rate of adoption and acceptance of those standards, will be a significant factor in maintaining or improving our competitive position and prospects for growth. If new industry standards emerge, our products or our customers’ products could become unmarketable or obsolete, and we could lose market share. We may also have to incur substantial unanticipated costs to comply with these new standards. In addition, our target markets continue to undergo rapid growth and consolidation. A significant slowdown in any of these markets could materially and adversely affect our business, financial condition and results of operations. Our success will also depend on the ability of our customers to develop new products and enhance existing products for the markets we serve and to introduce and promote those products successfully.</w:t>
      </w:r>
    </w:p>
    <w:p>
      <w:pPr>
        <w:spacing w:after="0" w:line="109" w:lineRule="exact"/>
        <w:rPr>
          <w:sz w:val="20"/>
          <w:szCs w:val="20"/>
          <w:color w:val="auto"/>
        </w:rPr>
      </w:pPr>
    </w:p>
    <w:p>
      <w:pPr>
        <w:spacing w:after="0"/>
        <w:rPr>
          <w:sz w:val="20"/>
          <w:szCs w:val="20"/>
          <w:color w:val="auto"/>
        </w:rPr>
      </w:pPr>
      <w:r>
        <w:rPr>
          <w:rFonts w:ascii="Arial" w:cs="Arial" w:eastAsia="Arial" w:hAnsi="Arial"/>
          <w:sz w:val="18"/>
          <w:szCs w:val="18"/>
          <w:b w:val="1"/>
          <w:bCs w:val="1"/>
          <w:i w:val="1"/>
          <w:iCs w:val="1"/>
          <w:color w:val="auto"/>
        </w:rPr>
        <w:t>We may be unable to protect our intellectual property, which would negatively affect our ability to compete.</w:t>
      </w:r>
    </w:p>
    <w:p>
      <w:pPr>
        <w:spacing w:after="0" w:line="171" w:lineRule="exact"/>
        <w:rPr>
          <w:sz w:val="20"/>
          <w:szCs w:val="20"/>
          <w:color w:val="auto"/>
        </w:rPr>
      </w:pPr>
    </w:p>
    <w:p>
      <w:pPr>
        <w:ind w:firstLine="456"/>
        <w:spacing w:after="0" w:line="307" w:lineRule="auto"/>
        <w:rPr>
          <w:sz w:val="20"/>
          <w:szCs w:val="20"/>
          <w:color w:val="auto"/>
        </w:rPr>
      </w:pPr>
      <w:r>
        <w:rPr>
          <w:rFonts w:ascii="Arial" w:cs="Arial" w:eastAsia="Arial" w:hAnsi="Arial"/>
          <w:sz w:val="15"/>
          <w:szCs w:val="15"/>
          <w:color w:val="auto"/>
        </w:rPr>
        <w:t>We believe one of our key competitive advantages results from our collection of proprietary technologies that we have developed since our inception. If we fail to protect these intellectual property rights, competitors could sell products based on technology that we have developed that could harm our competitive position and decrease our revenues. We believe that the protection of our intellectual property rights is and will continue to be important to the success of our business. We rely on a combination of patent, copyright, trademark and trade secret laws, as well as nondisclosure agreements and other methods, to protect our proprietary technologies. We also enter into confidentiality or license agreements with our employees, consultants and business partners, and control access to and distribution of our documentation and other proprietary information. We have been issued several U.S. and foreign patents and have a number of pending U.S. and foreign patent applications. However, a patent may not be issued as a result of any applications or, if issued, claims allowed may not be sufficiently broad to protect our technology. In addition, it is possible that existing or future patents may be challenged, invalidated or circumvented. Despite our efforts, unauthorized parties may attempt to copy or otherwise obtain and use our products or proprietary technology. Monitoring unauthorized use of our technology is difficult, and the steps that we have taken may not prevent unauthorized use of our technology, particularly in foreign countries where the laws may not protect our proprietary rights as fully as in the United States. If our patents do not adequately protect our technology, our competitors may be able to offer products similar to ours.</w:t>
      </w:r>
    </w:p>
    <w:p>
      <w:pPr>
        <w:spacing w:after="0" w:line="112" w:lineRule="exact"/>
        <w:rPr>
          <w:sz w:val="20"/>
          <w:szCs w:val="20"/>
          <w:color w:val="auto"/>
        </w:rPr>
      </w:pPr>
    </w:p>
    <w:p>
      <w:pPr>
        <w:ind w:right="20" w:firstLine="456"/>
        <w:spacing w:after="0" w:line="288" w:lineRule="auto"/>
        <w:rPr>
          <w:sz w:val="20"/>
          <w:szCs w:val="20"/>
          <w:color w:val="auto"/>
        </w:rPr>
      </w:pPr>
      <w:r>
        <w:rPr>
          <w:rFonts w:ascii="Arial" w:cs="Arial" w:eastAsia="Arial" w:hAnsi="Arial"/>
          <w:sz w:val="16"/>
          <w:szCs w:val="16"/>
          <w:color w:val="auto"/>
        </w:rPr>
        <w:t>Certain of our software (as well as that of our customers) may be derived from so-called “open source” software that is generally made available to the public by its authors and/or other third parties. Such open source software is often made available under licenses, such as the GNU General Public License which impose certain obligations on us in the event we were to distribute derivative works of the open source software. These obligations may require us to make source code for the derivative works available to the public, and/or license such derivative works under a particular type of license, rather than the forms of license customarily used to protect our intellectual property. In addition, there is little or no legal precedent for interpreting the terms of certain of these open source licenses, including the determination of which works are subject to the terms of such licenses. While we believe we have complied with our obligations under the various applicable licenses for open source software, in the event that the copyright holder of any open source software were to successfully establish in court that we had not complied with the terms of a license for a particular work, we could be required to release the source code of that work to the public and/or stop distribution of that work.</w:t>
      </w:r>
    </w:p>
    <w:p>
      <w:pPr>
        <w:spacing w:after="0" w:line="120" w:lineRule="exact"/>
        <w:rPr>
          <w:sz w:val="20"/>
          <w:szCs w:val="20"/>
          <w:color w:val="auto"/>
        </w:rPr>
      </w:pPr>
    </w:p>
    <w:p>
      <w:pPr>
        <w:ind w:right="560"/>
        <w:spacing w:after="0" w:line="268" w:lineRule="auto"/>
        <w:rPr>
          <w:sz w:val="20"/>
          <w:szCs w:val="20"/>
          <w:color w:val="auto"/>
        </w:rPr>
      </w:pPr>
      <w:r>
        <w:rPr>
          <w:rFonts w:ascii="Arial" w:cs="Arial" w:eastAsia="Arial" w:hAnsi="Arial"/>
          <w:sz w:val="18"/>
          <w:szCs w:val="18"/>
          <w:b w:val="1"/>
          <w:bCs w:val="1"/>
          <w:i w:val="1"/>
          <w:iCs w:val="1"/>
          <w:color w:val="auto"/>
        </w:rPr>
        <w:t>We may become involved with costly and lengthy litigation, which could subject us to liability, require us to obtain or renew licenses or stop selling our products or force us to redesign our products.</w:t>
      </w:r>
    </w:p>
    <w:p>
      <w:pPr>
        <w:spacing w:after="0" w:line="132" w:lineRule="exact"/>
        <w:rPr>
          <w:sz w:val="20"/>
          <w:szCs w:val="20"/>
          <w:color w:val="auto"/>
        </w:rPr>
      </w:pPr>
    </w:p>
    <w:p>
      <w:pPr>
        <w:ind w:right="40" w:firstLine="456"/>
        <w:spacing w:after="0" w:line="289" w:lineRule="auto"/>
        <w:rPr>
          <w:sz w:val="20"/>
          <w:szCs w:val="20"/>
          <w:color w:val="auto"/>
        </w:rPr>
      </w:pPr>
      <w:r>
        <w:rPr>
          <w:rFonts w:ascii="Arial" w:cs="Arial" w:eastAsia="Arial" w:hAnsi="Arial"/>
          <w:sz w:val="16"/>
          <w:szCs w:val="16"/>
          <w:color w:val="auto"/>
        </w:rPr>
        <w:t>Litigation involving patents and other intellectual property is widespread in the high-technology industry and is particularly prevalent in the semiconductor industry, where a number of companies and other entities aggressively bring numerous infringement claims to assert their patent portfolios. From time to time our subsidiaries and customers receive, and may continue to receive in the future, notices that allege claims of infringement, misappropriation or misuse of the intellectual property rights of third parties. For example, in recent years, multiple claims have been made against our subsidiaries and our customers related to standards-based technologies such as wireless LAN. In addition, we have had certain patent licenses with third parties that have not been renewed, and if we cannot successfully renew these licenses, our subsidiaries and customers could face claims of infringement. These claims could result in litigation and/or claims for indemnification, which, in turn, could subject us to significant liability for damages, attorneys fees and costs. Any potential intellectual property litigation also could force us to do one or more of the following:</w:t>
      </w:r>
    </w:p>
    <w:p>
      <w:pPr>
        <w:spacing w:after="0" w:line="37" w:lineRule="exact"/>
        <w:rPr>
          <w:sz w:val="20"/>
          <w:szCs w:val="20"/>
          <w:color w:val="auto"/>
        </w:rPr>
      </w:pPr>
    </w:p>
    <w:p>
      <w:pPr>
        <w:ind w:left="900" w:right="440" w:hanging="446"/>
        <w:spacing w:after="0" w:line="268" w:lineRule="auto"/>
        <w:tabs>
          <w:tab w:leader="none" w:pos="900" w:val="left"/>
        </w:tabs>
        <w:numPr>
          <w:ilvl w:val="0"/>
          <w:numId w:val="7"/>
        </w:numPr>
        <w:rPr>
          <w:rFonts w:ascii="Arial" w:cs="Arial" w:eastAsia="Arial" w:hAnsi="Arial"/>
          <w:sz w:val="18"/>
          <w:szCs w:val="18"/>
          <w:color w:val="auto"/>
        </w:rPr>
      </w:pPr>
      <w:r>
        <w:rPr>
          <w:rFonts w:ascii="Arial" w:cs="Arial" w:eastAsia="Arial" w:hAnsi="Arial"/>
          <w:sz w:val="18"/>
          <w:szCs w:val="18"/>
          <w:color w:val="auto"/>
        </w:rPr>
        <w:t>stop selling, offering for sale, making, having made or exporting products or using technology that contains the allegedly infringing intellectual property;</w:t>
      </w:r>
    </w:p>
    <w:p>
      <w:pPr>
        <w:spacing w:after="0" w:line="118"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51</w:t>
      </w:r>
    </w:p>
    <w:p>
      <w:pPr>
        <w:sectPr>
          <w:pgSz w:w="11900" w:h="16838" w:orient="portrait"/>
          <w:cols w:equalWidth="0" w:num="1">
            <w:col w:w="11420"/>
          </w:cols>
          <w:pgMar w:left="240" w:top="459" w:right="239" w:bottom="1440" w:gutter="0" w:footer="0" w:header="0"/>
        </w:sectPr>
      </w:pPr>
    </w:p>
    <w:bookmarkStart w:id="51" w:name="page52"/>
    <w:bookmarkEnd w:id="51"/>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59" name="Picture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pic:cNvPicPr>
                      <a:picLocks noChangeAspect="1" noChangeArrowheads="1"/>
                    </pic:cNvPicPr>
                  </pic:nvPicPr>
                  <pic:blipFill>
                    <a:blip r:embed="rId66">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left="900" w:hanging="446"/>
        <w:spacing w:after="0"/>
        <w:tabs>
          <w:tab w:leader="none" w:pos="900" w:val="left"/>
        </w:tabs>
        <w:numPr>
          <w:ilvl w:val="0"/>
          <w:numId w:val="8"/>
        </w:numPr>
        <w:rPr>
          <w:rFonts w:ascii="Arial" w:cs="Arial" w:eastAsia="Arial" w:hAnsi="Arial"/>
          <w:sz w:val="18"/>
          <w:szCs w:val="18"/>
          <w:color w:val="auto"/>
        </w:rPr>
      </w:pPr>
      <w:r>
        <w:rPr>
          <w:rFonts w:ascii="Arial" w:cs="Arial" w:eastAsia="Arial" w:hAnsi="Arial"/>
          <w:sz w:val="18"/>
          <w:szCs w:val="18"/>
          <w:color w:val="auto"/>
        </w:rPr>
        <w:t>limit or restrict the type of work that employees involved in such litigation may perform for us;</w:t>
      </w:r>
    </w:p>
    <w:p>
      <w:pPr>
        <w:spacing w:after="0" w:line="90" w:lineRule="exact"/>
        <w:rPr>
          <w:rFonts w:ascii="Arial" w:cs="Arial" w:eastAsia="Arial" w:hAnsi="Arial"/>
          <w:sz w:val="18"/>
          <w:szCs w:val="18"/>
          <w:color w:val="auto"/>
        </w:rPr>
      </w:pPr>
    </w:p>
    <w:p>
      <w:pPr>
        <w:ind w:left="900" w:right="60" w:hanging="446"/>
        <w:spacing w:after="0" w:line="268" w:lineRule="auto"/>
        <w:tabs>
          <w:tab w:leader="none" w:pos="900" w:val="left"/>
        </w:tabs>
        <w:numPr>
          <w:ilvl w:val="0"/>
          <w:numId w:val="8"/>
        </w:numPr>
        <w:rPr>
          <w:rFonts w:ascii="Arial" w:cs="Arial" w:eastAsia="Arial" w:hAnsi="Arial"/>
          <w:sz w:val="18"/>
          <w:szCs w:val="18"/>
          <w:color w:val="auto"/>
        </w:rPr>
      </w:pPr>
      <w:r>
        <w:rPr>
          <w:rFonts w:ascii="Arial" w:cs="Arial" w:eastAsia="Arial" w:hAnsi="Arial"/>
          <w:sz w:val="18"/>
          <w:szCs w:val="18"/>
          <w:color w:val="auto"/>
        </w:rPr>
        <w:t>pay substantial damages and/or license fees and/or royalties to the party claiming infringement that could adversely impact our liquidity or operating results;</w:t>
      </w:r>
    </w:p>
    <w:p>
      <w:pPr>
        <w:spacing w:after="0" w:line="50" w:lineRule="exact"/>
        <w:rPr>
          <w:rFonts w:ascii="Arial" w:cs="Arial" w:eastAsia="Arial" w:hAnsi="Arial"/>
          <w:sz w:val="18"/>
          <w:szCs w:val="18"/>
          <w:color w:val="auto"/>
        </w:rPr>
      </w:pPr>
    </w:p>
    <w:p>
      <w:pPr>
        <w:ind w:left="900" w:hanging="446"/>
        <w:spacing w:after="0"/>
        <w:tabs>
          <w:tab w:leader="none" w:pos="900" w:val="left"/>
        </w:tabs>
        <w:numPr>
          <w:ilvl w:val="0"/>
          <w:numId w:val="8"/>
        </w:numPr>
        <w:rPr>
          <w:rFonts w:ascii="Arial" w:cs="Arial" w:eastAsia="Arial" w:hAnsi="Arial"/>
          <w:sz w:val="16"/>
          <w:szCs w:val="16"/>
          <w:color w:val="auto"/>
        </w:rPr>
      </w:pPr>
      <w:r>
        <w:rPr>
          <w:rFonts w:ascii="Arial" w:cs="Arial" w:eastAsia="Arial" w:hAnsi="Arial"/>
          <w:sz w:val="16"/>
          <w:szCs w:val="16"/>
          <w:color w:val="auto"/>
        </w:rPr>
        <w:t>attempt to obtain or renew licenses to the relevant intellectual property, which licenses may not be available on reasonable terms or at all; and</w:t>
      </w:r>
    </w:p>
    <w:p>
      <w:pPr>
        <w:spacing w:after="0" w:line="113" w:lineRule="exact"/>
        <w:rPr>
          <w:rFonts w:ascii="Arial" w:cs="Arial" w:eastAsia="Arial" w:hAnsi="Arial"/>
          <w:sz w:val="16"/>
          <w:szCs w:val="16"/>
          <w:color w:val="auto"/>
        </w:rPr>
      </w:pPr>
    </w:p>
    <w:p>
      <w:pPr>
        <w:ind w:left="900" w:hanging="446"/>
        <w:spacing w:after="0"/>
        <w:tabs>
          <w:tab w:leader="none" w:pos="900" w:val="left"/>
        </w:tabs>
        <w:numPr>
          <w:ilvl w:val="0"/>
          <w:numId w:val="8"/>
        </w:numPr>
        <w:rPr>
          <w:rFonts w:ascii="Arial" w:cs="Arial" w:eastAsia="Arial" w:hAnsi="Arial"/>
          <w:sz w:val="18"/>
          <w:szCs w:val="18"/>
          <w:color w:val="auto"/>
        </w:rPr>
      </w:pPr>
      <w:r>
        <w:rPr>
          <w:rFonts w:ascii="Arial" w:cs="Arial" w:eastAsia="Arial" w:hAnsi="Arial"/>
          <w:sz w:val="18"/>
          <w:szCs w:val="18"/>
          <w:color w:val="auto"/>
        </w:rPr>
        <w:t>attempt to redesign those products that contain the allegedly infringing intellectual property.</w:t>
      </w:r>
    </w:p>
    <w:p>
      <w:pPr>
        <w:spacing w:after="0" w:line="171" w:lineRule="exact"/>
        <w:rPr>
          <w:sz w:val="20"/>
          <w:szCs w:val="20"/>
          <w:color w:val="auto"/>
        </w:rPr>
      </w:pPr>
    </w:p>
    <w:p>
      <w:pPr>
        <w:ind w:firstLine="456"/>
        <w:spacing w:after="0" w:line="286" w:lineRule="auto"/>
        <w:rPr>
          <w:sz w:val="20"/>
          <w:szCs w:val="20"/>
          <w:color w:val="auto"/>
        </w:rPr>
      </w:pPr>
      <w:r>
        <w:rPr>
          <w:rFonts w:ascii="Arial" w:cs="Arial" w:eastAsia="Arial" w:hAnsi="Arial"/>
          <w:sz w:val="16"/>
          <w:szCs w:val="16"/>
          <w:color w:val="auto"/>
        </w:rPr>
        <w:t>In addition, many of our contracts with our customers require us to indemnify our customers’ products against claims alleging infringement of the proprietary rights of other parties. We have agreed to indemnify select customers for claims made against our products, where such claims allege infringement of third party intellectual property rights, including, but not limited to, patents, registered trademarks, and/or copyrights. For example, customers have requested us to indemnify them in connection with patent infringement lawsuits filed in Texas by Australia’s Commonwealth Scientific and Industrial Research Organization, or CSIRO, which alleged its asserted patent is essential to the 802.11 wireless standard. We have filed an action, also in Texas, against CSIRO seeking a declaratory judgment that CSIRO’s patent is invalid and unenforceable and that we and our customers do not infringe the CSIRO patent. Similarly, certain customers have asked us to indemnify them in connection with patent infringement lawsuits filed in Texas by Wi-Lan, a Canadian company, who likewise alleges its asserted patents are essential to the 802.11 wireless standard. Marvell is also named as a defendant in those cases. In addition, we filed a declaratory judgment action in California against Wi-Lan asking the court to find that our products do not infringe a certain Wi-Lan patent that Wi-Lan claims read on products that practice IEEE 802.11, 802.16 and/or Bluetooth standards. Similarly, certain customers have asked us to indemnify them in connection with patent infringement lawsuits filed by PACid Group, LLC. We believe our products do not infringe any valid and enforceable claims of the asserted patents in these litigations under an appropriate construction of these patents’ claims and we will vigorously defend ourselves in these matters.</w:t>
      </w:r>
    </w:p>
    <w:p>
      <w:pPr>
        <w:spacing w:after="0" w:line="124" w:lineRule="exact"/>
        <w:rPr>
          <w:sz w:val="20"/>
          <w:szCs w:val="20"/>
          <w:color w:val="auto"/>
        </w:rPr>
      </w:pPr>
    </w:p>
    <w:p>
      <w:pPr>
        <w:ind w:firstLine="456"/>
        <w:spacing w:after="0" w:line="256" w:lineRule="auto"/>
        <w:rPr>
          <w:sz w:val="20"/>
          <w:szCs w:val="20"/>
          <w:color w:val="auto"/>
        </w:rPr>
      </w:pPr>
      <w:r>
        <w:rPr>
          <w:rFonts w:ascii="Arial" w:cs="Arial" w:eastAsia="Arial" w:hAnsi="Arial"/>
          <w:sz w:val="18"/>
          <w:szCs w:val="18"/>
          <w:color w:val="auto"/>
        </w:rPr>
        <w:t>We and/or our subsidiaries are also parties to other claims and litigation proceedings arising in the normal course of business. The impact on us as a result of such claims and litigation cannot currently be ascertained. Any litigation, regardless of the outcome, is time-consuming and expensive to resolve and can divert management time and attention. There can be no assurance that these matters will be resolved in a manner that is not adverse to our business, financial condition, results of operations or cash flows.</w:t>
      </w:r>
    </w:p>
    <w:p>
      <w:pPr>
        <w:spacing w:after="0" w:line="143" w:lineRule="exact"/>
        <w:rPr>
          <w:sz w:val="20"/>
          <w:szCs w:val="20"/>
          <w:color w:val="auto"/>
        </w:rPr>
      </w:pPr>
    </w:p>
    <w:p>
      <w:pPr>
        <w:spacing w:after="0"/>
        <w:rPr>
          <w:sz w:val="20"/>
          <w:szCs w:val="20"/>
          <w:color w:val="auto"/>
        </w:rPr>
      </w:pPr>
      <w:r>
        <w:rPr>
          <w:rFonts w:ascii="Arial" w:cs="Arial" w:eastAsia="Arial" w:hAnsi="Arial"/>
          <w:sz w:val="18"/>
          <w:szCs w:val="18"/>
          <w:b w:val="1"/>
          <w:bCs w:val="1"/>
          <w:i w:val="1"/>
          <w:iCs w:val="1"/>
          <w:color w:val="auto"/>
        </w:rPr>
        <w:t>We rely upon certain critical information systems for the operation of our business.</w:t>
      </w:r>
    </w:p>
    <w:p>
      <w:pPr>
        <w:spacing w:after="0" w:line="171" w:lineRule="exact"/>
        <w:rPr>
          <w:sz w:val="20"/>
          <w:szCs w:val="20"/>
          <w:color w:val="auto"/>
        </w:rPr>
      </w:pPr>
    </w:p>
    <w:p>
      <w:pPr>
        <w:ind w:firstLine="456"/>
        <w:spacing w:after="0" w:line="289" w:lineRule="auto"/>
        <w:rPr>
          <w:sz w:val="20"/>
          <w:szCs w:val="20"/>
          <w:color w:val="auto"/>
        </w:rPr>
      </w:pPr>
      <w:r>
        <w:rPr>
          <w:rFonts w:ascii="Arial" w:cs="Arial" w:eastAsia="Arial" w:hAnsi="Arial"/>
          <w:sz w:val="16"/>
          <w:szCs w:val="16"/>
          <w:color w:val="auto"/>
        </w:rPr>
        <w:t>We maintain and rely upon certain critical information systems for the effective operation of our business. These information systems include telecommunications, the Internet, our corporate intranet, various computer hardware and software applications, network communications and e-mail. These information systems are subject to attacks, failures and access denials from a number of potential sources including viruses, destructive or inadequate code, power failures, and physical damage to computers, communication lines and networking equipment. To the extent that these information systems are under our control, we have implemented security procedures, such as virus protection software and emergency recovery processes, to address the outlined risks. While we believe that our information systems are appropriately controlled and that we have processes in place to adequately manage these risks, security procedures for information systems cannot be guaranteed to be failsafe and our inability to use or access these information systems at critical points in time could unfavorably impact the timely and efficient operation of our business.</w:t>
      </w:r>
    </w:p>
    <w:p>
      <w:pPr>
        <w:spacing w:after="0" w:line="118" w:lineRule="exact"/>
        <w:rPr>
          <w:sz w:val="20"/>
          <w:szCs w:val="20"/>
          <w:color w:val="auto"/>
        </w:rPr>
      </w:pPr>
    </w:p>
    <w:p>
      <w:pPr>
        <w:spacing w:after="0"/>
        <w:rPr>
          <w:sz w:val="20"/>
          <w:szCs w:val="20"/>
          <w:color w:val="auto"/>
        </w:rPr>
      </w:pPr>
      <w:r>
        <w:rPr>
          <w:rFonts w:ascii="Arial" w:cs="Arial" w:eastAsia="Arial" w:hAnsi="Arial"/>
          <w:sz w:val="18"/>
          <w:szCs w:val="18"/>
          <w:b w:val="1"/>
          <w:bCs w:val="1"/>
          <w:i w:val="1"/>
          <w:iCs w:val="1"/>
          <w:color w:val="auto"/>
        </w:rPr>
        <w:t>Tax benefits we receive may be terminated or reduced in the future, which would increase our costs.</w:t>
      </w:r>
    </w:p>
    <w:p>
      <w:pPr>
        <w:spacing w:after="0" w:line="171" w:lineRule="exact"/>
        <w:rPr>
          <w:sz w:val="20"/>
          <w:szCs w:val="20"/>
          <w:color w:val="auto"/>
        </w:rPr>
      </w:pPr>
    </w:p>
    <w:p>
      <w:pPr>
        <w:jc w:val="both"/>
        <w:ind w:right="80" w:firstLine="456"/>
        <w:spacing w:after="0" w:line="256" w:lineRule="auto"/>
        <w:rPr>
          <w:sz w:val="20"/>
          <w:szCs w:val="20"/>
          <w:color w:val="auto"/>
        </w:rPr>
      </w:pPr>
      <w:r>
        <w:rPr>
          <w:rFonts w:ascii="Arial" w:cs="Arial" w:eastAsia="Arial" w:hAnsi="Arial"/>
          <w:sz w:val="18"/>
          <w:szCs w:val="18"/>
          <w:color w:val="auto"/>
        </w:rPr>
        <w:t>Under current Bermuda law, we are not subject to tax on our income and capital gains. We have obtained from the Minister of Finance of Bermuda under the Exempt Undertakings Tax Protection Act 1966, as amended, an undertaking that, in the event that Bermuda enacts any legislation imposing tax computed on income and capital gains, those taxes should not apply to us until March 28, 2016. However, it is possible that this exemption would not be extended beyond that date.</w:t>
      </w:r>
    </w:p>
    <w:p>
      <w:pPr>
        <w:spacing w:after="0" w:line="143" w:lineRule="exact"/>
        <w:rPr>
          <w:sz w:val="20"/>
          <w:szCs w:val="20"/>
          <w:color w:val="auto"/>
        </w:rPr>
      </w:pPr>
    </w:p>
    <w:p>
      <w:pPr>
        <w:ind w:right="40" w:firstLine="456"/>
        <w:spacing w:after="0" w:line="290" w:lineRule="auto"/>
        <w:rPr>
          <w:sz w:val="20"/>
          <w:szCs w:val="20"/>
          <w:color w:val="auto"/>
        </w:rPr>
      </w:pPr>
      <w:r>
        <w:rPr>
          <w:rFonts w:ascii="Arial" w:cs="Arial" w:eastAsia="Arial" w:hAnsi="Arial"/>
          <w:sz w:val="16"/>
          <w:szCs w:val="16"/>
          <w:color w:val="auto"/>
        </w:rPr>
        <w:t>The Economic Development Board of Singapore granted Pioneer Status to our wholly-owned subsidiary in Singapore in July 1999. Initially, this tax exemption was to expire after ten years, but the Economic Development Board of Singapore in June 2006 agreed to extend the term to 15 years. As a result, we anticipate that a significant portion of the income we earn in Singapore during this period will be exempt from the Singapore income tax. We are required to meet several requirements as to investment, headcount and activities in Singapore to retain this status. In light of the current economic downturn, we are in discussion with the Economic Development Board of Singapore to amend part of the pioneer conditions for the future years and have come to an agreement that would preserve the 15 year tax exemption status. We expect to receive the final amendments from the Economic Development Board of Singapore before the end of fiscal year. If our Pioneer Status is terminated early, our financial results could be harmed</w:t>
      </w:r>
      <w:r>
        <w:rPr>
          <w:rFonts w:ascii="Arial" w:cs="Arial" w:eastAsia="Arial" w:hAnsi="Arial"/>
          <w:sz w:val="16"/>
          <w:szCs w:val="16"/>
          <w:i w:val="1"/>
          <w:iCs w:val="1"/>
          <w:color w:val="auto"/>
        </w:rPr>
        <w:t>.</w:t>
      </w:r>
    </w:p>
    <w:p>
      <w:pPr>
        <w:spacing w:after="0" w:line="105"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52</w:t>
      </w:r>
    </w:p>
    <w:p>
      <w:pPr>
        <w:sectPr>
          <w:pgSz w:w="11900" w:h="16838" w:orient="portrait"/>
          <w:cols w:equalWidth="0" w:num="1">
            <w:col w:w="11400"/>
          </w:cols>
          <w:pgMar w:left="240" w:top="459" w:right="259" w:bottom="1440" w:gutter="0" w:footer="0" w:header="0"/>
        </w:sectPr>
      </w:pPr>
    </w:p>
    <w:bookmarkStart w:id="52" w:name="page53"/>
    <w:bookmarkEnd w:id="52"/>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60" name="Picture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
                    <pic:cNvPicPr>
                      <a:picLocks noChangeAspect="1" noChangeArrowheads="1"/>
                    </pic:cNvPicPr>
                  </pic:nvPicPr>
                  <pic:blipFill>
                    <a:blip r:embed="rId67">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jc w:val="both"/>
        <w:ind w:firstLine="456"/>
        <w:spacing w:after="0" w:line="302" w:lineRule="auto"/>
        <w:rPr>
          <w:sz w:val="20"/>
          <w:szCs w:val="20"/>
          <w:color w:val="auto"/>
        </w:rPr>
      </w:pPr>
      <w:r>
        <w:rPr>
          <w:rFonts w:ascii="Arial" w:cs="Arial" w:eastAsia="Arial" w:hAnsi="Arial"/>
          <w:sz w:val="15"/>
          <w:szCs w:val="15"/>
          <w:color w:val="auto"/>
        </w:rPr>
        <w:t>Under the law, including Amendment No. 60 to the law that was published in April 2005, by virtue of the “approved or benefited enterprise” status granted to certain of its enterprises, the Israeli subsidiaries are entitled to various tax benefits. Two divisions, Marvell Israel (M.I.S.L.) Ltd. (“MISL”) and Marvell DSPC Ltd., have five approved programs and one program under the amended law. The first program was approved for MISL in 1995 and the most recent was approved in 2006. Marvell DSPC Ltd. has five approved programs and two programs under the amended law; with the first approved in 1990 and the most recent in 2007.</w:t>
      </w:r>
    </w:p>
    <w:p>
      <w:pPr>
        <w:spacing w:after="0" w:line="3" w:lineRule="exact"/>
        <w:rPr>
          <w:sz w:val="20"/>
          <w:szCs w:val="20"/>
          <w:color w:val="auto"/>
        </w:rPr>
      </w:pPr>
    </w:p>
    <w:p>
      <w:pPr>
        <w:ind w:right="20"/>
        <w:spacing w:after="0" w:line="295" w:lineRule="auto"/>
        <w:rPr>
          <w:sz w:val="20"/>
          <w:szCs w:val="20"/>
          <w:color w:val="auto"/>
        </w:rPr>
      </w:pPr>
      <w:r>
        <w:rPr>
          <w:rFonts w:ascii="Arial" w:cs="Arial" w:eastAsia="Arial" w:hAnsi="Arial"/>
          <w:sz w:val="16"/>
          <w:szCs w:val="16"/>
          <w:color w:val="auto"/>
        </w:rPr>
        <w:t>The benefit period is generally ten to 15 years and begins commencing in the first year in which our Israeli subsidiaries earn taxable income from the approved or benefited enterprises provided the maximum period to which it is restricted by law has not elapsed. Income from the approved or benefited enterprises is subject to reduced tax rates ranging between 0% and 10% or tax exemptions for fiscal years 2008 through 2020. As our tax holidays expire, we expect that we will start paying income tax at the statutory tax rate on our operations within these development regions which will adversely impact our effective tax rate.</w:t>
      </w:r>
    </w:p>
    <w:p>
      <w:pPr>
        <w:spacing w:after="0" w:line="115" w:lineRule="exact"/>
        <w:rPr>
          <w:sz w:val="20"/>
          <w:szCs w:val="20"/>
          <w:color w:val="auto"/>
        </w:rPr>
      </w:pPr>
    </w:p>
    <w:p>
      <w:pPr>
        <w:ind w:right="140" w:firstLine="456"/>
        <w:spacing w:after="0" w:line="306" w:lineRule="auto"/>
        <w:rPr>
          <w:sz w:val="20"/>
          <w:szCs w:val="20"/>
          <w:color w:val="auto"/>
        </w:rPr>
      </w:pPr>
      <w:r>
        <w:rPr>
          <w:rFonts w:ascii="Arial" w:cs="Arial" w:eastAsia="Arial" w:hAnsi="Arial"/>
          <w:sz w:val="16"/>
          <w:szCs w:val="16"/>
          <w:color w:val="auto"/>
        </w:rPr>
        <w:t>During fiscal 2007, our Switzerland subsidiary received a ten-year Federal and Cantonal tax holiday on revenues from research and design and wafer supply trading activities that will expire in 2017. If certain requirements are not met in the initial five-year period, our incentive exemption would be reduced by 50% on the next five-year period of the tax holiday, which would adversely affect our financial results.</w:t>
      </w:r>
    </w:p>
    <w:p>
      <w:pPr>
        <w:spacing w:after="0" w:line="107" w:lineRule="exact"/>
        <w:rPr>
          <w:sz w:val="20"/>
          <w:szCs w:val="20"/>
          <w:color w:val="auto"/>
        </w:rPr>
      </w:pPr>
    </w:p>
    <w:p>
      <w:pPr>
        <w:spacing w:after="0"/>
        <w:rPr>
          <w:sz w:val="20"/>
          <w:szCs w:val="20"/>
          <w:color w:val="auto"/>
        </w:rPr>
      </w:pPr>
      <w:r>
        <w:rPr>
          <w:rFonts w:ascii="Arial" w:cs="Arial" w:eastAsia="Arial" w:hAnsi="Arial"/>
          <w:sz w:val="18"/>
          <w:szCs w:val="18"/>
          <w:b w:val="1"/>
          <w:bCs w:val="1"/>
          <w:i w:val="1"/>
          <w:iCs w:val="1"/>
          <w:color w:val="auto"/>
        </w:rPr>
        <w:t>We are subject to the risks of owning real property.</w:t>
      </w:r>
    </w:p>
    <w:p>
      <w:pPr>
        <w:spacing w:after="0" w:line="171" w:lineRule="exact"/>
        <w:rPr>
          <w:sz w:val="20"/>
          <w:szCs w:val="20"/>
          <w:color w:val="auto"/>
        </w:rPr>
      </w:pPr>
    </w:p>
    <w:p>
      <w:pPr>
        <w:ind w:right="20" w:firstLine="456"/>
        <w:spacing w:after="0" w:line="268" w:lineRule="auto"/>
        <w:rPr>
          <w:sz w:val="20"/>
          <w:szCs w:val="20"/>
          <w:color w:val="auto"/>
        </w:rPr>
      </w:pPr>
      <w:r>
        <w:rPr>
          <w:rFonts w:ascii="Arial" w:cs="Arial" w:eastAsia="Arial" w:hAnsi="Arial"/>
          <w:sz w:val="18"/>
          <w:szCs w:val="18"/>
          <w:color w:val="auto"/>
        </w:rPr>
        <w:t>Our U.S. headquarters located in Santa Clara, California, and our buildings in Singapore, Penang, Malaysia, Etoy, Switzerland and Shanghai, China subject us to the risks of owning real property, which include:</w:t>
      </w:r>
    </w:p>
    <w:p>
      <w:pPr>
        <w:spacing w:after="0" w:line="51" w:lineRule="exact"/>
        <w:rPr>
          <w:sz w:val="20"/>
          <w:szCs w:val="20"/>
          <w:color w:val="auto"/>
        </w:rPr>
      </w:pPr>
    </w:p>
    <w:p>
      <w:pPr>
        <w:ind w:left="900" w:hanging="446"/>
        <w:spacing w:after="0"/>
        <w:tabs>
          <w:tab w:leader="none" w:pos="900" w:val="left"/>
        </w:tabs>
        <w:numPr>
          <w:ilvl w:val="0"/>
          <w:numId w:val="9"/>
        </w:numPr>
        <w:rPr>
          <w:rFonts w:ascii="Arial" w:cs="Arial" w:eastAsia="Arial" w:hAnsi="Arial"/>
          <w:sz w:val="18"/>
          <w:szCs w:val="18"/>
          <w:color w:val="auto"/>
        </w:rPr>
      </w:pPr>
      <w:r>
        <w:rPr>
          <w:rFonts w:ascii="Arial" w:cs="Arial" w:eastAsia="Arial" w:hAnsi="Arial"/>
          <w:sz w:val="18"/>
          <w:szCs w:val="18"/>
          <w:color w:val="auto"/>
        </w:rPr>
        <w:t>the possibility of environmental contamination and the costs associated with fixing any environmental problems;</w:t>
      </w:r>
    </w:p>
    <w:p>
      <w:pPr>
        <w:spacing w:after="0" w:line="90" w:lineRule="exact"/>
        <w:rPr>
          <w:rFonts w:ascii="Arial" w:cs="Arial" w:eastAsia="Arial" w:hAnsi="Arial"/>
          <w:sz w:val="18"/>
          <w:szCs w:val="18"/>
          <w:color w:val="auto"/>
        </w:rPr>
      </w:pPr>
    </w:p>
    <w:p>
      <w:pPr>
        <w:ind w:left="900" w:right="140" w:hanging="446"/>
        <w:spacing w:after="0" w:line="268" w:lineRule="auto"/>
        <w:tabs>
          <w:tab w:leader="none" w:pos="900" w:val="left"/>
        </w:tabs>
        <w:numPr>
          <w:ilvl w:val="0"/>
          <w:numId w:val="9"/>
        </w:numPr>
        <w:rPr>
          <w:rFonts w:ascii="Arial" w:cs="Arial" w:eastAsia="Arial" w:hAnsi="Arial"/>
          <w:sz w:val="18"/>
          <w:szCs w:val="18"/>
          <w:color w:val="auto"/>
        </w:rPr>
      </w:pPr>
      <w:r>
        <w:rPr>
          <w:rFonts w:ascii="Arial" w:cs="Arial" w:eastAsia="Arial" w:hAnsi="Arial"/>
          <w:sz w:val="18"/>
          <w:szCs w:val="18"/>
          <w:color w:val="auto"/>
        </w:rPr>
        <w:t>adverse changes in the value of these properties, due to interest rate changes, changes in the neighborhood in which the property is located, or other factors;</w:t>
      </w:r>
    </w:p>
    <w:p>
      <w:pPr>
        <w:spacing w:after="0" w:line="50" w:lineRule="exact"/>
        <w:rPr>
          <w:rFonts w:ascii="Arial" w:cs="Arial" w:eastAsia="Arial" w:hAnsi="Arial"/>
          <w:sz w:val="18"/>
          <w:szCs w:val="18"/>
          <w:color w:val="auto"/>
        </w:rPr>
      </w:pPr>
    </w:p>
    <w:p>
      <w:pPr>
        <w:ind w:left="900" w:hanging="446"/>
        <w:spacing w:after="0"/>
        <w:tabs>
          <w:tab w:leader="none" w:pos="900" w:val="left"/>
        </w:tabs>
        <w:numPr>
          <w:ilvl w:val="0"/>
          <w:numId w:val="9"/>
        </w:numPr>
        <w:rPr>
          <w:rFonts w:ascii="Arial" w:cs="Arial" w:eastAsia="Arial" w:hAnsi="Arial"/>
          <w:sz w:val="18"/>
          <w:szCs w:val="18"/>
          <w:color w:val="auto"/>
        </w:rPr>
      </w:pPr>
      <w:r>
        <w:rPr>
          <w:rFonts w:ascii="Arial" w:cs="Arial" w:eastAsia="Arial" w:hAnsi="Arial"/>
          <w:sz w:val="18"/>
          <w:szCs w:val="18"/>
          <w:color w:val="auto"/>
        </w:rPr>
        <w:t>the possible need for structural improvements in order to comply with zoning, seismic and other legal or regulatory requirements;</w:t>
      </w:r>
    </w:p>
    <w:p>
      <w:pPr>
        <w:spacing w:after="0" w:line="90" w:lineRule="exact"/>
        <w:rPr>
          <w:rFonts w:ascii="Arial" w:cs="Arial" w:eastAsia="Arial" w:hAnsi="Arial"/>
          <w:sz w:val="18"/>
          <w:szCs w:val="18"/>
          <w:color w:val="auto"/>
        </w:rPr>
      </w:pPr>
    </w:p>
    <w:p>
      <w:pPr>
        <w:ind w:left="900" w:hanging="446"/>
        <w:spacing w:after="0"/>
        <w:tabs>
          <w:tab w:leader="none" w:pos="900" w:val="left"/>
        </w:tabs>
        <w:numPr>
          <w:ilvl w:val="0"/>
          <w:numId w:val="9"/>
        </w:numPr>
        <w:rPr>
          <w:rFonts w:ascii="Arial" w:cs="Arial" w:eastAsia="Arial" w:hAnsi="Arial"/>
          <w:sz w:val="16"/>
          <w:szCs w:val="16"/>
          <w:color w:val="auto"/>
        </w:rPr>
      </w:pPr>
      <w:r>
        <w:rPr>
          <w:rFonts w:ascii="Arial" w:cs="Arial" w:eastAsia="Arial" w:hAnsi="Arial"/>
          <w:sz w:val="16"/>
          <w:szCs w:val="16"/>
          <w:color w:val="auto"/>
        </w:rPr>
        <w:t>the potential disruption of our business and operations arising from or connected with a relocation due to moving to or renovating the facility;</w:t>
      </w:r>
    </w:p>
    <w:p>
      <w:pPr>
        <w:spacing w:after="0" w:line="113" w:lineRule="exact"/>
        <w:rPr>
          <w:rFonts w:ascii="Arial" w:cs="Arial" w:eastAsia="Arial" w:hAnsi="Arial"/>
          <w:sz w:val="16"/>
          <w:szCs w:val="16"/>
          <w:color w:val="auto"/>
        </w:rPr>
      </w:pPr>
    </w:p>
    <w:p>
      <w:pPr>
        <w:ind w:left="900" w:hanging="446"/>
        <w:spacing w:after="0"/>
        <w:tabs>
          <w:tab w:leader="none" w:pos="900" w:val="left"/>
        </w:tabs>
        <w:numPr>
          <w:ilvl w:val="0"/>
          <w:numId w:val="9"/>
        </w:numPr>
        <w:rPr>
          <w:rFonts w:ascii="Arial" w:cs="Arial" w:eastAsia="Arial" w:hAnsi="Arial"/>
          <w:sz w:val="18"/>
          <w:szCs w:val="18"/>
          <w:color w:val="auto"/>
        </w:rPr>
      </w:pPr>
      <w:r>
        <w:rPr>
          <w:rFonts w:ascii="Arial" w:cs="Arial" w:eastAsia="Arial" w:hAnsi="Arial"/>
          <w:sz w:val="18"/>
          <w:szCs w:val="18"/>
          <w:color w:val="auto"/>
        </w:rPr>
        <w:t>increased cash commitments for improvements to the buildings or the property or both;</w:t>
      </w:r>
    </w:p>
    <w:p>
      <w:pPr>
        <w:spacing w:after="0" w:line="90" w:lineRule="exact"/>
        <w:rPr>
          <w:rFonts w:ascii="Arial" w:cs="Arial" w:eastAsia="Arial" w:hAnsi="Arial"/>
          <w:sz w:val="18"/>
          <w:szCs w:val="18"/>
          <w:color w:val="auto"/>
        </w:rPr>
      </w:pPr>
    </w:p>
    <w:p>
      <w:pPr>
        <w:ind w:left="900" w:hanging="446"/>
        <w:spacing w:after="0"/>
        <w:tabs>
          <w:tab w:leader="none" w:pos="900" w:val="left"/>
        </w:tabs>
        <w:numPr>
          <w:ilvl w:val="0"/>
          <w:numId w:val="9"/>
        </w:numPr>
        <w:rPr>
          <w:rFonts w:ascii="Arial" w:cs="Arial" w:eastAsia="Arial" w:hAnsi="Arial"/>
          <w:sz w:val="18"/>
          <w:szCs w:val="18"/>
          <w:color w:val="auto"/>
        </w:rPr>
      </w:pPr>
      <w:r>
        <w:rPr>
          <w:rFonts w:ascii="Arial" w:cs="Arial" w:eastAsia="Arial" w:hAnsi="Arial"/>
          <w:sz w:val="18"/>
          <w:szCs w:val="18"/>
          <w:color w:val="auto"/>
        </w:rPr>
        <w:t>increased operating expenses for the buildings or the property or both;</w:t>
      </w:r>
    </w:p>
    <w:p>
      <w:pPr>
        <w:spacing w:after="0" w:line="90" w:lineRule="exact"/>
        <w:rPr>
          <w:rFonts w:ascii="Arial" w:cs="Arial" w:eastAsia="Arial" w:hAnsi="Arial"/>
          <w:sz w:val="18"/>
          <w:szCs w:val="18"/>
          <w:color w:val="auto"/>
        </w:rPr>
      </w:pPr>
    </w:p>
    <w:p>
      <w:pPr>
        <w:ind w:left="900" w:hanging="446"/>
        <w:spacing w:after="0"/>
        <w:tabs>
          <w:tab w:leader="none" w:pos="900" w:val="left"/>
        </w:tabs>
        <w:numPr>
          <w:ilvl w:val="0"/>
          <w:numId w:val="9"/>
        </w:numPr>
        <w:rPr>
          <w:rFonts w:ascii="Arial" w:cs="Arial" w:eastAsia="Arial" w:hAnsi="Arial"/>
          <w:sz w:val="18"/>
          <w:szCs w:val="18"/>
          <w:color w:val="auto"/>
        </w:rPr>
      </w:pPr>
      <w:r>
        <w:rPr>
          <w:rFonts w:ascii="Arial" w:cs="Arial" w:eastAsia="Arial" w:hAnsi="Arial"/>
          <w:sz w:val="18"/>
          <w:szCs w:val="18"/>
          <w:color w:val="auto"/>
        </w:rPr>
        <w:t>possible disputes with tenants or other third parties related to the buildings or the property or both; and</w:t>
      </w:r>
    </w:p>
    <w:p>
      <w:pPr>
        <w:spacing w:after="0" w:line="90" w:lineRule="exact"/>
        <w:rPr>
          <w:rFonts w:ascii="Arial" w:cs="Arial" w:eastAsia="Arial" w:hAnsi="Arial"/>
          <w:sz w:val="18"/>
          <w:szCs w:val="18"/>
          <w:color w:val="auto"/>
        </w:rPr>
      </w:pPr>
    </w:p>
    <w:p>
      <w:pPr>
        <w:ind w:left="900" w:right="40" w:hanging="446"/>
        <w:spacing w:after="0" w:line="268" w:lineRule="auto"/>
        <w:tabs>
          <w:tab w:leader="none" w:pos="900" w:val="left"/>
        </w:tabs>
        <w:numPr>
          <w:ilvl w:val="0"/>
          <w:numId w:val="9"/>
        </w:numPr>
        <w:rPr>
          <w:rFonts w:ascii="Arial" w:cs="Arial" w:eastAsia="Arial" w:hAnsi="Arial"/>
          <w:sz w:val="18"/>
          <w:szCs w:val="18"/>
          <w:color w:val="auto"/>
        </w:rPr>
      </w:pPr>
      <w:r>
        <w:rPr>
          <w:rFonts w:ascii="Arial" w:cs="Arial" w:eastAsia="Arial" w:hAnsi="Arial"/>
          <w:sz w:val="18"/>
          <w:szCs w:val="18"/>
          <w:color w:val="auto"/>
        </w:rPr>
        <w:t>the risk of financial loss in excess of amounts covered by insurance, or uninsured risks, such as the loss caused by damage to the buildings as a result of earthquakes, floods and or other natural disasters.</w:t>
      </w:r>
    </w:p>
    <w:p>
      <w:pPr>
        <w:spacing w:after="0" w:line="132" w:lineRule="exact"/>
        <w:rPr>
          <w:sz w:val="20"/>
          <w:szCs w:val="20"/>
          <w:color w:val="auto"/>
        </w:rPr>
      </w:pPr>
    </w:p>
    <w:p>
      <w:pPr>
        <w:ind w:right="140"/>
        <w:spacing w:after="0" w:line="268" w:lineRule="auto"/>
        <w:rPr>
          <w:sz w:val="20"/>
          <w:szCs w:val="20"/>
          <w:color w:val="auto"/>
        </w:rPr>
      </w:pPr>
      <w:r>
        <w:rPr>
          <w:rFonts w:ascii="Arial" w:cs="Arial" w:eastAsia="Arial" w:hAnsi="Arial"/>
          <w:sz w:val="18"/>
          <w:szCs w:val="18"/>
          <w:b w:val="1"/>
          <w:bCs w:val="1"/>
          <w:i w:val="1"/>
          <w:iCs w:val="1"/>
          <w:color w:val="auto"/>
        </w:rPr>
        <w:t>We are incorporated in Bermuda, and, as a result, it may not be possible for our shareholders to enforce civil liability provisions of the securities laws of the United States.</w:t>
      </w:r>
    </w:p>
    <w:p>
      <w:pPr>
        <w:spacing w:after="0" w:line="132" w:lineRule="exact"/>
        <w:rPr>
          <w:sz w:val="20"/>
          <w:szCs w:val="20"/>
          <w:color w:val="auto"/>
        </w:rPr>
      </w:pPr>
    </w:p>
    <w:p>
      <w:pPr>
        <w:ind w:right="180" w:firstLine="456"/>
        <w:spacing w:after="0" w:line="290" w:lineRule="auto"/>
        <w:rPr>
          <w:sz w:val="20"/>
          <w:szCs w:val="20"/>
          <w:color w:val="auto"/>
        </w:rPr>
      </w:pPr>
      <w:r>
        <w:rPr>
          <w:rFonts w:ascii="Arial" w:cs="Arial" w:eastAsia="Arial" w:hAnsi="Arial"/>
          <w:sz w:val="16"/>
          <w:szCs w:val="16"/>
          <w:color w:val="auto"/>
        </w:rPr>
        <w:t>We are organized under the laws of Bermuda. As a result, it may not be possible for our shareholders to effect service of process within the United States upon us, or to enforce against us in United States courts judgments based on the civil liability provisions of the securities laws of the United States. There is significant doubt as to whether the courts of Bermuda would recognize or enforce judgments of United States courts obtained against us or our directors or officers based on the civil liability provisions of the securities laws of the United States or any state or hear actions brought in Bermuda against us or those persons based on those laws. The United States and Bermuda do not currently have a treaty providing for the reciprocal recognition and enforcement of judgments in civil and commercial matters. Therefore, a final judgment for the payment of money rendered by any federal or state court in the United States based on civil liability, whether or not based solely on United States federal or state securities laws, would not be automatically enforceable in Bermuda.</w:t>
      </w:r>
    </w:p>
    <w:p>
      <w:pPr>
        <w:spacing w:after="0" w:line="105"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53</w:t>
      </w:r>
    </w:p>
    <w:p>
      <w:pPr>
        <w:sectPr>
          <w:pgSz w:w="11900" w:h="16838" w:orient="portrait"/>
          <w:cols w:equalWidth="0" w:num="1">
            <w:col w:w="11400"/>
          </w:cols>
          <w:pgMar w:left="240" w:top="459" w:right="259" w:bottom="1440" w:gutter="0" w:footer="0" w:header="0"/>
        </w:sectPr>
      </w:pPr>
    </w:p>
    <w:bookmarkStart w:id="53" w:name="page54"/>
    <w:bookmarkEnd w:id="53"/>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61" name="Picture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pic:cNvPicPr>
                      <a:picLocks noChangeAspect="1" noChangeArrowheads="1"/>
                    </pic:cNvPicPr>
                  </pic:nvPicPr>
                  <pic:blipFill>
                    <a:blip r:embed="rId68">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spacing w:after="0" w:line="268" w:lineRule="auto"/>
        <w:rPr>
          <w:sz w:val="20"/>
          <w:szCs w:val="20"/>
          <w:color w:val="auto"/>
        </w:rPr>
      </w:pPr>
      <w:r>
        <w:rPr>
          <w:rFonts w:ascii="Arial" w:cs="Arial" w:eastAsia="Arial" w:hAnsi="Arial"/>
          <w:sz w:val="18"/>
          <w:szCs w:val="18"/>
          <w:b w:val="1"/>
          <w:bCs w:val="1"/>
          <w:i w:val="1"/>
          <w:iCs w:val="1"/>
          <w:color w:val="auto"/>
        </w:rPr>
        <w:t>Our Bye-laws contain a waiver of claims or rights of action by our shareholders against our officers and directors, which will severely limit our shareholders’ right to assert a claim against our officers and directors under Bermuda law.</w:t>
      </w:r>
    </w:p>
    <w:p>
      <w:pPr>
        <w:spacing w:after="0" w:line="132" w:lineRule="exact"/>
        <w:rPr>
          <w:sz w:val="20"/>
          <w:szCs w:val="20"/>
          <w:color w:val="auto"/>
        </w:rPr>
      </w:pPr>
    </w:p>
    <w:p>
      <w:pPr>
        <w:ind w:right="40" w:firstLine="456"/>
        <w:spacing w:after="0" w:line="291" w:lineRule="auto"/>
        <w:rPr>
          <w:sz w:val="20"/>
          <w:szCs w:val="20"/>
          <w:color w:val="auto"/>
        </w:rPr>
      </w:pPr>
      <w:r>
        <w:rPr>
          <w:rFonts w:ascii="Arial" w:cs="Arial" w:eastAsia="Arial" w:hAnsi="Arial"/>
          <w:sz w:val="16"/>
          <w:szCs w:val="16"/>
          <w:color w:val="auto"/>
        </w:rPr>
        <w:t>Our Bye-laws contain a broad waiver by our shareholders of any claim or right of action, both individually and on our behalf, against any of our officers and directors. The waiver applies to any action taken by an officer or director, or the failure of an officer or director to take any action, in the performance of his or her duties with or for us, other than with respect to any matter involving any fraud or dishonesty on the part of the officer or director. This waiver will limit the rights of our shareholders to assert claims against our officers and directors unless the act complained of involves actual fraud or dishonesty. Thus, so long as acts of business judgment do not involve actual fraud or dishonesty, they will not be subject to shareholder claims under Bermuda law. For example, shareholders will not have claims against officers and directors for a breach of trust, unless the breach rises to the level of actual fraud or dishonesty.</w:t>
      </w:r>
    </w:p>
    <w:p>
      <w:pPr>
        <w:spacing w:after="0" w:line="120" w:lineRule="exact"/>
        <w:rPr>
          <w:sz w:val="20"/>
          <w:szCs w:val="20"/>
          <w:color w:val="auto"/>
        </w:rPr>
      </w:pPr>
    </w:p>
    <w:p>
      <w:pPr>
        <w:ind w:right="640"/>
        <w:spacing w:after="0" w:line="268" w:lineRule="auto"/>
        <w:rPr>
          <w:sz w:val="20"/>
          <w:szCs w:val="20"/>
          <w:color w:val="auto"/>
        </w:rPr>
      </w:pPr>
      <w:r>
        <w:rPr>
          <w:rFonts w:ascii="Arial" w:cs="Arial" w:eastAsia="Arial" w:hAnsi="Arial"/>
          <w:sz w:val="18"/>
          <w:szCs w:val="18"/>
          <w:b w:val="1"/>
          <w:bCs w:val="1"/>
          <w:i w:val="1"/>
          <w:iCs w:val="1"/>
          <w:color w:val="auto"/>
        </w:rPr>
        <w:t>Our Bye-laws contain provisions that could delay or prevent a change in corporate control, even if the change in corporate control would benefit our shareholders.</w:t>
      </w:r>
    </w:p>
    <w:p>
      <w:pPr>
        <w:spacing w:after="0" w:line="132" w:lineRule="exact"/>
        <w:rPr>
          <w:sz w:val="20"/>
          <w:szCs w:val="20"/>
          <w:color w:val="auto"/>
        </w:rPr>
      </w:pPr>
    </w:p>
    <w:p>
      <w:pPr>
        <w:ind w:left="460"/>
        <w:spacing w:after="0"/>
        <w:rPr>
          <w:sz w:val="20"/>
          <w:szCs w:val="20"/>
          <w:color w:val="auto"/>
        </w:rPr>
      </w:pPr>
      <w:r>
        <w:rPr>
          <w:rFonts w:ascii="Arial" w:cs="Arial" w:eastAsia="Arial" w:hAnsi="Arial"/>
          <w:sz w:val="18"/>
          <w:szCs w:val="18"/>
          <w:color w:val="auto"/>
        </w:rPr>
        <w:t>Our Bye-laws contain change in corporate control provisions, which include:</w:t>
      </w:r>
    </w:p>
    <w:p>
      <w:pPr>
        <w:spacing w:after="0" w:line="90" w:lineRule="exact"/>
        <w:rPr>
          <w:sz w:val="20"/>
          <w:szCs w:val="20"/>
          <w:color w:val="auto"/>
        </w:rPr>
      </w:pPr>
    </w:p>
    <w:p>
      <w:pPr>
        <w:ind w:left="900" w:hanging="446"/>
        <w:spacing w:after="0"/>
        <w:tabs>
          <w:tab w:leader="none" w:pos="900" w:val="left"/>
        </w:tabs>
        <w:numPr>
          <w:ilvl w:val="0"/>
          <w:numId w:val="10"/>
        </w:numPr>
        <w:rPr>
          <w:rFonts w:ascii="Arial" w:cs="Arial" w:eastAsia="Arial" w:hAnsi="Arial"/>
          <w:sz w:val="18"/>
          <w:szCs w:val="18"/>
          <w:color w:val="auto"/>
        </w:rPr>
      </w:pPr>
      <w:r>
        <w:rPr>
          <w:rFonts w:ascii="Arial" w:cs="Arial" w:eastAsia="Arial" w:hAnsi="Arial"/>
          <w:sz w:val="18"/>
          <w:szCs w:val="18"/>
          <w:color w:val="auto"/>
        </w:rPr>
        <w:t>authorizing the issuance of preferred stock without shareholder approval;</w:t>
      </w:r>
    </w:p>
    <w:p>
      <w:pPr>
        <w:spacing w:after="0" w:line="90" w:lineRule="exact"/>
        <w:rPr>
          <w:rFonts w:ascii="Arial" w:cs="Arial" w:eastAsia="Arial" w:hAnsi="Arial"/>
          <w:sz w:val="18"/>
          <w:szCs w:val="18"/>
          <w:color w:val="auto"/>
        </w:rPr>
      </w:pPr>
    </w:p>
    <w:p>
      <w:pPr>
        <w:ind w:left="900" w:hanging="446"/>
        <w:spacing w:after="0"/>
        <w:tabs>
          <w:tab w:leader="none" w:pos="900" w:val="left"/>
        </w:tabs>
        <w:numPr>
          <w:ilvl w:val="0"/>
          <w:numId w:val="10"/>
        </w:numPr>
        <w:rPr>
          <w:rFonts w:ascii="Arial" w:cs="Arial" w:eastAsia="Arial" w:hAnsi="Arial"/>
          <w:sz w:val="18"/>
          <w:szCs w:val="18"/>
          <w:color w:val="auto"/>
        </w:rPr>
      </w:pPr>
      <w:r>
        <w:rPr>
          <w:rFonts w:ascii="Arial" w:cs="Arial" w:eastAsia="Arial" w:hAnsi="Arial"/>
          <w:sz w:val="18"/>
          <w:szCs w:val="18"/>
          <w:color w:val="auto"/>
        </w:rPr>
        <w:t>providing for a classified board of directors with staggered, three-year terms; and</w:t>
      </w:r>
    </w:p>
    <w:p>
      <w:pPr>
        <w:spacing w:after="0" w:line="90" w:lineRule="exact"/>
        <w:rPr>
          <w:rFonts w:ascii="Arial" w:cs="Arial" w:eastAsia="Arial" w:hAnsi="Arial"/>
          <w:sz w:val="18"/>
          <w:szCs w:val="18"/>
          <w:color w:val="auto"/>
        </w:rPr>
      </w:pPr>
    </w:p>
    <w:p>
      <w:pPr>
        <w:ind w:left="900" w:right="100" w:hanging="446"/>
        <w:spacing w:after="0" w:line="268" w:lineRule="auto"/>
        <w:tabs>
          <w:tab w:leader="none" w:pos="900" w:val="left"/>
        </w:tabs>
        <w:numPr>
          <w:ilvl w:val="0"/>
          <w:numId w:val="10"/>
        </w:numPr>
        <w:rPr>
          <w:rFonts w:ascii="Arial" w:cs="Arial" w:eastAsia="Arial" w:hAnsi="Arial"/>
          <w:sz w:val="18"/>
          <w:szCs w:val="18"/>
          <w:color w:val="auto"/>
        </w:rPr>
      </w:pPr>
      <w:r>
        <w:rPr>
          <w:rFonts w:ascii="Arial" w:cs="Arial" w:eastAsia="Arial" w:hAnsi="Arial"/>
          <w:sz w:val="18"/>
          <w:szCs w:val="18"/>
          <w:color w:val="auto"/>
        </w:rPr>
        <w:t xml:space="preserve">requiring a vote of two-thirds of the outstanding shares to approve any change of corporate control in the event the action is not approved by at least 66 </w:t>
      </w:r>
      <w:r>
        <w:rPr>
          <w:rFonts w:ascii="Arial" w:cs="Arial" w:eastAsia="Arial" w:hAnsi="Arial"/>
          <w:sz w:val="11"/>
          <w:szCs w:val="11"/>
          <w:color w:val="auto"/>
        </w:rPr>
        <w:t>2</w:t>
      </w:r>
      <w:r>
        <w:rPr>
          <w:rFonts w:ascii="Arial" w:cs="Arial" w:eastAsia="Arial" w:hAnsi="Arial"/>
          <w:sz w:val="18"/>
          <w:szCs w:val="18"/>
          <w:color w:val="auto"/>
        </w:rPr>
        <w:t>/</w:t>
      </w:r>
      <w:r>
        <w:rPr>
          <w:rFonts w:ascii="Arial" w:cs="Arial" w:eastAsia="Arial" w:hAnsi="Arial"/>
          <w:sz w:val="13"/>
          <w:szCs w:val="13"/>
          <w:color w:val="auto"/>
        </w:rPr>
        <w:t>3</w:t>
      </w:r>
      <w:r>
        <w:rPr>
          <w:rFonts w:ascii="Arial" w:cs="Arial" w:eastAsia="Arial" w:hAnsi="Arial"/>
          <w:sz w:val="18"/>
          <w:szCs w:val="18"/>
          <w:color w:val="auto"/>
        </w:rPr>
        <w:t>% of the directors holding office at the date of the Board meeting to approve the action.</w:t>
      </w:r>
    </w:p>
    <w:p>
      <w:pPr>
        <w:spacing w:after="0" w:line="132" w:lineRule="exact"/>
        <w:rPr>
          <w:sz w:val="20"/>
          <w:szCs w:val="20"/>
          <w:color w:val="auto"/>
        </w:rPr>
      </w:pPr>
    </w:p>
    <w:p>
      <w:pPr>
        <w:ind w:right="660" w:firstLine="456"/>
        <w:spacing w:after="0" w:line="268" w:lineRule="auto"/>
        <w:rPr>
          <w:sz w:val="20"/>
          <w:szCs w:val="20"/>
          <w:color w:val="auto"/>
        </w:rPr>
      </w:pPr>
      <w:r>
        <w:rPr>
          <w:rFonts w:ascii="Arial" w:cs="Arial" w:eastAsia="Arial" w:hAnsi="Arial"/>
          <w:sz w:val="18"/>
          <w:szCs w:val="18"/>
          <w:color w:val="auto"/>
        </w:rPr>
        <w:t>These change in corporate control provisions could make it more difficult for a third party to acquire us, even if doing so would be a benefit to our shareholders.</w:t>
      </w:r>
    </w:p>
    <w:p>
      <w:pPr>
        <w:spacing w:after="0" w:line="248" w:lineRule="exact"/>
        <w:rPr>
          <w:sz w:val="20"/>
          <w:szCs w:val="20"/>
          <w:color w:val="auto"/>
        </w:rPr>
      </w:pPr>
    </w:p>
    <w:p>
      <w:pPr>
        <w:spacing w:after="0"/>
        <w:tabs>
          <w:tab w:leader="none" w:pos="1020" w:val="left"/>
        </w:tabs>
        <w:rPr>
          <w:sz w:val="20"/>
          <w:szCs w:val="20"/>
          <w:color w:val="auto"/>
        </w:rPr>
      </w:pPr>
      <w:r>
        <w:rPr>
          <w:rFonts w:ascii="Arial" w:cs="Arial" w:eastAsia="Arial" w:hAnsi="Arial"/>
          <w:sz w:val="18"/>
          <w:szCs w:val="18"/>
          <w:b w:val="1"/>
          <w:bCs w:val="1"/>
          <w:color w:val="auto"/>
        </w:rPr>
        <w:t>Item 2.</w:t>
      </w:r>
      <w:r>
        <w:rPr>
          <w:sz w:val="20"/>
          <w:szCs w:val="20"/>
          <w:color w:val="auto"/>
        </w:rPr>
        <w:tab/>
      </w:r>
      <w:r>
        <w:rPr>
          <w:rFonts w:ascii="Arial" w:cs="Arial" w:eastAsia="Arial" w:hAnsi="Arial"/>
          <w:sz w:val="15"/>
          <w:szCs w:val="15"/>
          <w:b w:val="1"/>
          <w:bCs w:val="1"/>
          <w:color w:val="auto"/>
        </w:rPr>
        <w:t>Unregistered Sales of Equity Securities and Use of Proceeds</w:t>
      </w:r>
    </w:p>
    <w:p>
      <w:pPr>
        <w:spacing w:after="0" w:line="96" w:lineRule="exact"/>
        <w:rPr>
          <w:sz w:val="20"/>
          <w:szCs w:val="20"/>
          <w:color w:val="auto"/>
        </w:rPr>
      </w:pPr>
    </w:p>
    <w:p>
      <w:pPr>
        <w:ind w:left="460"/>
        <w:spacing w:after="0"/>
        <w:rPr>
          <w:sz w:val="20"/>
          <w:szCs w:val="20"/>
          <w:color w:val="auto"/>
        </w:rPr>
      </w:pPr>
      <w:r>
        <w:rPr>
          <w:rFonts w:ascii="Arial" w:cs="Arial" w:eastAsia="Arial" w:hAnsi="Arial"/>
          <w:sz w:val="18"/>
          <w:szCs w:val="18"/>
          <w:color w:val="auto"/>
        </w:rPr>
        <w:t>None.</w:t>
      </w:r>
    </w:p>
    <w:p>
      <w:pPr>
        <w:spacing w:after="0" w:line="287" w:lineRule="exact"/>
        <w:rPr>
          <w:sz w:val="20"/>
          <w:szCs w:val="20"/>
          <w:color w:val="auto"/>
        </w:rPr>
      </w:pPr>
    </w:p>
    <w:p>
      <w:pPr>
        <w:spacing w:after="0"/>
        <w:tabs>
          <w:tab w:leader="none" w:pos="1020" w:val="left"/>
        </w:tabs>
        <w:rPr>
          <w:sz w:val="20"/>
          <w:szCs w:val="20"/>
          <w:color w:val="auto"/>
        </w:rPr>
      </w:pPr>
      <w:r>
        <w:rPr>
          <w:rFonts w:ascii="Arial" w:cs="Arial" w:eastAsia="Arial" w:hAnsi="Arial"/>
          <w:sz w:val="18"/>
          <w:szCs w:val="18"/>
          <w:b w:val="1"/>
          <w:bCs w:val="1"/>
          <w:color w:val="auto"/>
        </w:rPr>
        <w:t>Item 3.</w:t>
      </w:r>
      <w:r>
        <w:rPr>
          <w:sz w:val="20"/>
          <w:szCs w:val="20"/>
          <w:color w:val="auto"/>
        </w:rPr>
        <w:tab/>
      </w:r>
      <w:r>
        <w:rPr>
          <w:rFonts w:ascii="Arial" w:cs="Arial" w:eastAsia="Arial" w:hAnsi="Arial"/>
          <w:sz w:val="15"/>
          <w:szCs w:val="15"/>
          <w:b w:val="1"/>
          <w:bCs w:val="1"/>
          <w:color w:val="auto"/>
        </w:rPr>
        <w:t>Defaults Upon Senior Securities</w:t>
      </w:r>
    </w:p>
    <w:p>
      <w:pPr>
        <w:spacing w:after="0" w:line="96" w:lineRule="exact"/>
        <w:rPr>
          <w:sz w:val="20"/>
          <w:szCs w:val="20"/>
          <w:color w:val="auto"/>
        </w:rPr>
      </w:pPr>
    </w:p>
    <w:p>
      <w:pPr>
        <w:ind w:left="460"/>
        <w:spacing w:after="0"/>
        <w:rPr>
          <w:sz w:val="20"/>
          <w:szCs w:val="20"/>
          <w:color w:val="auto"/>
        </w:rPr>
      </w:pPr>
      <w:r>
        <w:rPr>
          <w:rFonts w:ascii="Arial" w:cs="Arial" w:eastAsia="Arial" w:hAnsi="Arial"/>
          <w:sz w:val="18"/>
          <w:szCs w:val="18"/>
          <w:color w:val="auto"/>
        </w:rPr>
        <w:t>None.</w:t>
      </w:r>
    </w:p>
    <w:p>
      <w:pPr>
        <w:spacing w:after="0" w:line="287" w:lineRule="exact"/>
        <w:rPr>
          <w:sz w:val="20"/>
          <w:szCs w:val="20"/>
          <w:color w:val="auto"/>
        </w:rPr>
      </w:pPr>
    </w:p>
    <w:p>
      <w:pPr>
        <w:spacing w:after="0"/>
        <w:tabs>
          <w:tab w:leader="none" w:pos="1020" w:val="left"/>
        </w:tabs>
        <w:rPr>
          <w:sz w:val="20"/>
          <w:szCs w:val="20"/>
          <w:color w:val="auto"/>
        </w:rPr>
      </w:pPr>
      <w:r>
        <w:rPr>
          <w:rFonts w:ascii="Arial" w:cs="Arial" w:eastAsia="Arial" w:hAnsi="Arial"/>
          <w:sz w:val="18"/>
          <w:szCs w:val="18"/>
          <w:b w:val="1"/>
          <w:bCs w:val="1"/>
          <w:color w:val="auto"/>
        </w:rPr>
        <w:t>Item 4.</w:t>
      </w:r>
      <w:r>
        <w:rPr>
          <w:sz w:val="20"/>
          <w:szCs w:val="20"/>
          <w:color w:val="auto"/>
        </w:rPr>
        <w:tab/>
      </w:r>
      <w:r>
        <w:rPr>
          <w:rFonts w:ascii="Arial" w:cs="Arial" w:eastAsia="Arial" w:hAnsi="Arial"/>
          <w:sz w:val="15"/>
          <w:szCs w:val="15"/>
          <w:b w:val="1"/>
          <w:bCs w:val="1"/>
          <w:color w:val="auto"/>
        </w:rPr>
        <w:t>Submission of Matters to a Vote of Security Holders</w:t>
      </w:r>
    </w:p>
    <w:p>
      <w:pPr>
        <w:spacing w:after="0" w:line="96" w:lineRule="exact"/>
        <w:rPr>
          <w:sz w:val="20"/>
          <w:szCs w:val="20"/>
          <w:color w:val="auto"/>
        </w:rPr>
      </w:pPr>
    </w:p>
    <w:p>
      <w:pPr>
        <w:ind w:left="460"/>
        <w:spacing w:after="0"/>
        <w:rPr>
          <w:sz w:val="20"/>
          <w:szCs w:val="20"/>
          <w:color w:val="auto"/>
        </w:rPr>
      </w:pPr>
      <w:r>
        <w:rPr>
          <w:rFonts w:ascii="Arial" w:cs="Arial" w:eastAsia="Arial" w:hAnsi="Arial"/>
          <w:sz w:val="18"/>
          <w:szCs w:val="18"/>
          <w:color w:val="auto"/>
        </w:rPr>
        <w:t>None.</w:t>
      </w:r>
    </w:p>
    <w:p>
      <w:pPr>
        <w:spacing w:after="0" w:line="287" w:lineRule="exact"/>
        <w:rPr>
          <w:sz w:val="20"/>
          <w:szCs w:val="20"/>
          <w:color w:val="auto"/>
        </w:rPr>
      </w:pPr>
    </w:p>
    <w:p>
      <w:pPr>
        <w:spacing w:after="0"/>
        <w:tabs>
          <w:tab w:leader="none" w:pos="1020" w:val="left"/>
        </w:tabs>
        <w:rPr>
          <w:sz w:val="20"/>
          <w:szCs w:val="20"/>
          <w:color w:val="auto"/>
        </w:rPr>
      </w:pPr>
      <w:r>
        <w:rPr>
          <w:rFonts w:ascii="Arial" w:cs="Arial" w:eastAsia="Arial" w:hAnsi="Arial"/>
          <w:sz w:val="18"/>
          <w:szCs w:val="18"/>
          <w:b w:val="1"/>
          <w:bCs w:val="1"/>
          <w:color w:val="auto"/>
        </w:rPr>
        <w:t>Item 5.</w:t>
      </w:r>
      <w:r>
        <w:rPr>
          <w:sz w:val="20"/>
          <w:szCs w:val="20"/>
          <w:color w:val="auto"/>
        </w:rPr>
        <w:tab/>
      </w:r>
      <w:r>
        <w:rPr>
          <w:rFonts w:ascii="Arial" w:cs="Arial" w:eastAsia="Arial" w:hAnsi="Arial"/>
          <w:sz w:val="16"/>
          <w:szCs w:val="16"/>
          <w:b w:val="1"/>
          <w:bCs w:val="1"/>
          <w:color w:val="auto"/>
        </w:rPr>
        <w:t>Other Information</w:t>
      </w:r>
    </w:p>
    <w:p>
      <w:pPr>
        <w:spacing w:after="0" w:line="96" w:lineRule="exact"/>
        <w:rPr>
          <w:sz w:val="20"/>
          <w:szCs w:val="20"/>
          <w:color w:val="auto"/>
        </w:rPr>
      </w:pPr>
    </w:p>
    <w:p>
      <w:pPr>
        <w:ind w:left="460"/>
        <w:spacing w:after="0"/>
        <w:rPr>
          <w:sz w:val="20"/>
          <w:szCs w:val="20"/>
          <w:color w:val="auto"/>
        </w:rPr>
      </w:pPr>
      <w:r>
        <w:rPr>
          <w:rFonts w:ascii="Arial" w:cs="Arial" w:eastAsia="Arial" w:hAnsi="Arial"/>
          <w:sz w:val="18"/>
          <w:szCs w:val="18"/>
          <w:color w:val="auto"/>
        </w:rPr>
        <w:t>None.</w:t>
      </w:r>
    </w:p>
    <w:p>
      <w:pPr>
        <w:spacing w:after="0" w:line="287" w:lineRule="exact"/>
        <w:rPr>
          <w:sz w:val="20"/>
          <w:szCs w:val="20"/>
          <w:color w:val="auto"/>
        </w:rPr>
      </w:pPr>
    </w:p>
    <w:p>
      <w:pPr>
        <w:spacing w:after="0"/>
        <w:tabs>
          <w:tab w:leader="none" w:pos="1020" w:val="left"/>
        </w:tabs>
        <w:rPr>
          <w:sz w:val="20"/>
          <w:szCs w:val="20"/>
          <w:color w:val="auto"/>
        </w:rPr>
      </w:pPr>
      <w:r>
        <w:rPr>
          <w:rFonts w:ascii="Arial" w:cs="Arial" w:eastAsia="Arial" w:hAnsi="Arial"/>
          <w:sz w:val="18"/>
          <w:szCs w:val="18"/>
          <w:b w:val="1"/>
          <w:bCs w:val="1"/>
          <w:color w:val="auto"/>
        </w:rPr>
        <w:t>Item 6.</w:t>
      </w:r>
      <w:r>
        <w:rPr>
          <w:sz w:val="20"/>
          <w:szCs w:val="20"/>
          <w:color w:val="auto"/>
        </w:rPr>
        <w:tab/>
      </w:r>
      <w:r>
        <w:rPr>
          <w:rFonts w:ascii="Arial" w:cs="Arial" w:eastAsia="Arial" w:hAnsi="Arial"/>
          <w:sz w:val="15"/>
          <w:szCs w:val="15"/>
          <w:b w:val="1"/>
          <w:bCs w:val="1"/>
          <w:color w:val="auto"/>
        </w:rPr>
        <w:t>Exhibits</w:t>
      </w:r>
    </w:p>
    <w:p>
      <w:pPr>
        <w:spacing w:after="0" w:line="96" w:lineRule="exact"/>
        <w:rPr>
          <w:sz w:val="20"/>
          <w:szCs w:val="20"/>
          <w:color w:val="auto"/>
        </w:rPr>
      </w:pPr>
    </w:p>
    <w:p>
      <w:pPr>
        <w:ind w:left="460"/>
        <w:spacing w:after="0"/>
        <w:rPr>
          <w:sz w:val="20"/>
          <w:szCs w:val="20"/>
          <w:color w:val="auto"/>
        </w:rPr>
      </w:pPr>
      <w:r>
        <w:rPr>
          <w:rFonts w:ascii="Arial" w:cs="Arial" w:eastAsia="Arial" w:hAnsi="Arial"/>
          <w:sz w:val="18"/>
          <w:szCs w:val="18"/>
          <w:color w:val="auto"/>
        </w:rPr>
        <w:t>(a) The following exhibits are filed as part of this report:</w:t>
      </w:r>
    </w:p>
    <w:p>
      <w:pPr>
        <w:spacing w:after="0" w:line="212" w:lineRule="exact"/>
        <w:rPr>
          <w:sz w:val="20"/>
          <w:szCs w:val="20"/>
          <w:color w:val="auto"/>
        </w:rPr>
      </w:pPr>
    </w:p>
    <w:p>
      <w:pPr>
        <w:ind w:left="100"/>
        <w:spacing w:after="0"/>
        <w:tabs>
          <w:tab w:leader="none" w:pos="900" w:val="left"/>
        </w:tabs>
        <w:rPr>
          <w:sz w:val="20"/>
          <w:szCs w:val="20"/>
          <w:color w:val="auto"/>
        </w:rPr>
      </w:pPr>
      <w:r>
        <w:rPr>
          <w:rFonts w:ascii="Arial" w:cs="Arial" w:eastAsia="Arial" w:hAnsi="Arial"/>
          <w:sz w:val="18"/>
          <w:szCs w:val="18"/>
          <w:color w:val="auto"/>
        </w:rPr>
        <w:t>10.1†</w:t>
      </w:r>
      <w:r>
        <w:rPr>
          <w:sz w:val="20"/>
          <w:szCs w:val="20"/>
          <w:color w:val="auto"/>
        </w:rPr>
        <w:tab/>
      </w:r>
      <w:r>
        <w:rPr>
          <w:rFonts w:ascii="Arial" w:cs="Arial" w:eastAsia="Arial" w:hAnsi="Arial"/>
          <w:sz w:val="15"/>
          <w:szCs w:val="15"/>
          <w:color w:val="auto"/>
        </w:rPr>
        <w:t>Amendment to the Amended and Restated 1995 Stock Option Plan</w:t>
      </w:r>
    </w:p>
    <w:p>
      <w:pPr>
        <w:spacing w:after="0" w:line="117" w:lineRule="exact"/>
        <w:rPr>
          <w:sz w:val="20"/>
          <w:szCs w:val="20"/>
          <w:color w:val="auto"/>
        </w:rPr>
      </w:pPr>
    </w:p>
    <w:p>
      <w:pPr>
        <w:ind w:left="920" w:right="120" w:hanging="830"/>
        <w:spacing w:after="0" w:line="268" w:lineRule="auto"/>
        <w:tabs>
          <w:tab w:leader="none" w:pos="900" w:val="left"/>
        </w:tabs>
        <w:rPr>
          <w:sz w:val="20"/>
          <w:szCs w:val="20"/>
          <w:color w:val="auto"/>
        </w:rPr>
      </w:pPr>
      <w:r>
        <w:rPr>
          <w:rFonts w:ascii="Arial" w:cs="Arial" w:eastAsia="Arial" w:hAnsi="Arial"/>
          <w:sz w:val="18"/>
          <w:szCs w:val="18"/>
          <w:color w:val="auto"/>
        </w:rPr>
        <w:t>10.2†</w:t>
      </w:r>
      <w:r>
        <w:rPr>
          <w:sz w:val="20"/>
          <w:szCs w:val="20"/>
          <w:color w:val="auto"/>
        </w:rPr>
        <w:tab/>
      </w:r>
      <w:r>
        <w:rPr>
          <w:rFonts w:ascii="Arial" w:cs="Arial" w:eastAsia="Arial" w:hAnsi="Arial"/>
          <w:sz w:val="18"/>
          <w:szCs w:val="18"/>
          <w:color w:val="auto"/>
        </w:rPr>
        <w:t>2000 Employee Stock Purchase Plan (as amended and restated as of October 22, 2009), incorporated by reference to Exhibit 10.1 of the registrant’s Current Report on Form 8-K as filed on October 28, 2009</w:t>
      </w:r>
    </w:p>
    <w:p>
      <w:pPr>
        <w:spacing w:after="0" w:line="78" w:lineRule="exact"/>
        <w:rPr>
          <w:sz w:val="20"/>
          <w:szCs w:val="20"/>
          <w:color w:val="auto"/>
        </w:rPr>
      </w:pPr>
    </w:p>
    <w:p>
      <w:pPr>
        <w:ind w:left="100"/>
        <w:spacing w:after="0"/>
        <w:tabs>
          <w:tab w:leader="none" w:pos="900" w:val="left"/>
        </w:tabs>
        <w:rPr>
          <w:sz w:val="20"/>
          <w:szCs w:val="20"/>
          <w:color w:val="auto"/>
        </w:rPr>
      </w:pPr>
      <w:r>
        <w:rPr>
          <w:rFonts w:ascii="Arial" w:cs="Arial" w:eastAsia="Arial" w:hAnsi="Arial"/>
          <w:sz w:val="18"/>
          <w:szCs w:val="18"/>
          <w:color w:val="auto"/>
        </w:rPr>
        <w:t>10.3†</w:t>
      </w:r>
      <w:r>
        <w:rPr>
          <w:sz w:val="20"/>
          <w:szCs w:val="20"/>
          <w:color w:val="auto"/>
        </w:rPr>
        <w:tab/>
      </w:r>
      <w:r>
        <w:rPr>
          <w:rFonts w:ascii="Arial" w:cs="Arial" w:eastAsia="Arial" w:hAnsi="Arial"/>
          <w:sz w:val="15"/>
          <w:szCs w:val="15"/>
          <w:color w:val="auto"/>
        </w:rPr>
        <w:t>2000 Employee Stock Purchase Plan Form of Subscription Agreement</w:t>
      </w:r>
    </w:p>
    <w:p>
      <w:pPr>
        <w:spacing w:after="0" w:line="117" w:lineRule="exact"/>
        <w:rPr>
          <w:sz w:val="20"/>
          <w:szCs w:val="20"/>
          <w:color w:val="auto"/>
        </w:rPr>
      </w:pPr>
    </w:p>
    <w:p>
      <w:pPr>
        <w:ind w:left="100"/>
        <w:spacing w:after="0"/>
        <w:tabs>
          <w:tab w:leader="none" w:pos="900" w:val="left"/>
        </w:tabs>
        <w:rPr>
          <w:sz w:val="20"/>
          <w:szCs w:val="20"/>
          <w:color w:val="auto"/>
        </w:rPr>
      </w:pPr>
      <w:r>
        <w:rPr>
          <w:rFonts w:ascii="Arial" w:cs="Arial" w:eastAsia="Arial" w:hAnsi="Arial"/>
          <w:sz w:val="18"/>
          <w:szCs w:val="18"/>
          <w:color w:val="auto"/>
        </w:rPr>
        <w:t>31.1</w:t>
      </w:r>
      <w:r>
        <w:rPr>
          <w:sz w:val="20"/>
          <w:szCs w:val="20"/>
          <w:color w:val="auto"/>
        </w:rPr>
        <w:tab/>
      </w:r>
      <w:r>
        <w:rPr>
          <w:rFonts w:ascii="Arial" w:cs="Arial" w:eastAsia="Arial" w:hAnsi="Arial"/>
          <w:sz w:val="16"/>
          <w:szCs w:val="16"/>
          <w:color w:val="auto"/>
        </w:rPr>
        <w:t>Certification of Chief Executive Officer pursuant to 18 U.S.C. Section 1350, as adopted pursuant to Section 302 of the Sarbanes-Oxley Act of 2002</w:t>
      </w:r>
    </w:p>
    <w:p>
      <w:pPr>
        <w:spacing w:after="0" w:line="117" w:lineRule="exact"/>
        <w:rPr>
          <w:sz w:val="20"/>
          <w:szCs w:val="20"/>
          <w:color w:val="auto"/>
        </w:rPr>
      </w:pPr>
    </w:p>
    <w:p>
      <w:pPr>
        <w:ind w:left="100"/>
        <w:spacing w:after="0"/>
        <w:tabs>
          <w:tab w:leader="none" w:pos="900" w:val="left"/>
        </w:tabs>
        <w:rPr>
          <w:sz w:val="20"/>
          <w:szCs w:val="20"/>
          <w:color w:val="auto"/>
        </w:rPr>
      </w:pPr>
      <w:r>
        <w:rPr>
          <w:rFonts w:ascii="Arial" w:cs="Arial" w:eastAsia="Arial" w:hAnsi="Arial"/>
          <w:sz w:val="18"/>
          <w:szCs w:val="18"/>
          <w:color w:val="auto"/>
        </w:rPr>
        <w:t>31.2</w:t>
      </w:r>
      <w:r>
        <w:rPr>
          <w:sz w:val="20"/>
          <w:szCs w:val="20"/>
          <w:color w:val="auto"/>
        </w:rPr>
        <w:tab/>
      </w:r>
      <w:r>
        <w:rPr>
          <w:rFonts w:ascii="Arial" w:cs="Arial" w:eastAsia="Arial" w:hAnsi="Arial"/>
          <w:sz w:val="16"/>
          <w:szCs w:val="16"/>
          <w:color w:val="auto"/>
        </w:rPr>
        <w:t>Certification of Chief Financial Officer pursuant to 18 U.S.C. Section 1350, as adopted pursuant to Section 302 of the Sarbanes-Oxley Act of 2002</w:t>
      </w:r>
    </w:p>
    <w:p>
      <w:pPr>
        <w:spacing w:after="0" w:line="117" w:lineRule="exact"/>
        <w:rPr>
          <w:sz w:val="20"/>
          <w:szCs w:val="20"/>
          <w:color w:val="auto"/>
        </w:rPr>
      </w:pPr>
    </w:p>
    <w:p>
      <w:pPr>
        <w:ind w:left="100"/>
        <w:spacing w:after="0"/>
        <w:tabs>
          <w:tab w:leader="none" w:pos="900" w:val="left"/>
        </w:tabs>
        <w:rPr>
          <w:sz w:val="20"/>
          <w:szCs w:val="20"/>
          <w:color w:val="auto"/>
        </w:rPr>
      </w:pPr>
      <w:r>
        <w:rPr>
          <w:rFonts w:ascii="Arial" w:cs="Arial" w:eastAsia="Arial" w:hAnsi="Arial"/>
          <w:sz w:val="18"/>
          <w:szCs w:val="18"/>
          <w:color w:val="auto"/>
        </w:rPr>
        <w:t>32.1*</w:t>
      </w:r>
      <w:r>
        <w:rPr>
          <w:sz w:val="20"/>
          <w:szCs w:val="20"/>
          <w:color w:val="auto"/>
        </w:rPr>
        <w:tab/>
      </w:r>
      <w:r>
        <w:rPr>
          <w:rFonts w:ascii="Arial" w:cs="Arial" w:eastAsia="Arial" w:hAnsi="Arial"/>
          <w:sz w:val="16"/>
          <w:szCs w:val="16"/>
          <w:color w:val="auto"/>
        </w:rPr>
        <w:t>Certification of Chief Executive Officer pursuant to 18 U.S.C. Section 1350, as adopted pursuant to Section 906 of the Sarbanes-Oxley Act of 2002</w:t>
      </w:r>
    </w:p>
    <w:p>
      <w:pPr>
        <w:spacing w:after="0" w:line="158"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54</w:t>
      </w:r>
    </w:p>
    <w:p>
      <w:pPr>
        <w:sectPr>
          <w:pgSz w:w="11900" w:h="16838" w:orient="portrait"/>
          <w:cols w:equalWidth="0" w:num="1">
            <w:col w:w="11400"/>
          </w:cols>
          <w:pgMar w:left="240" w:top="459" w:right="259" w:bottom="1440" w:gutter="0" w:footer="0" w:header="0"/>
        </w:sectPr>
      </w:pPr>
    </w:p>
    <w:bookmarkStart w:id="54" w:name="page55"/>
    <w:bookmarkEnd w:id="54"/>
    <w:p>
      <w:pPr>
        <w:spacing w:after="0"/>
        <w:rPr>
          <w:rFonts w:ascii="Arial" w:cs="Arial" w:eastAsia="Arial" w:hAnsi="Arial"/>
          <w:sz w:val="16"/>
          <w:szCs w:val="16"/>
          <w:b w:val="1"/>
          <w:bCs w:val="1"/>
          <w:u w:val="single" w:color="auto"/>
          <w:color w:val="0000EE"/>
        </w:rPr>
      </w:pPr>
      <w:r>
        <w:rPr>
          <w:rFonts w:ascii="Arial" w:cs="Arial" w:eastAsia="Arial" w:hAnsi="Arial"/>
          <w:sz w:val="16"/>
          <w:szCs w:val="16"/>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62" name="Picture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
                    <pic:cNvPicPr>
                      <a:picLocks noChangeAspect="1" noChangeArrowheads="1"/>
                    </pic:cNvPicPr>
                  </pic:nvPicPr>
                  <pic:blipFill>
                    <a:blip r:embed="rId69">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6"/>
            <w:szCs w:val="16"/>
            <w:b w:val="1"/>
            <w:bCs w:val="1"/>
            <w:u w:val="single" w:color="auto"/>
            <w:color w:val="0000EE"/>
          </w:rPr>
          <w:t>Table of Contents</w:t>
        </w:r>
      </w:hyperlink>
    </w:p>
    <w:p>
      <w:pPr>
        <w:sectPr>
          <w:pgSz w:w="11900" w:h="16838" w:orient="portrait"/>
          <w:cols w:equalWidth="0" w:num="1">
            <w:col w:w="11380"/>
          </w:cols>
          <w:pgMar w:left="240" w:top="459" w:right="279" w:bottom="1440" w:gutter="0" w:footer="0" w:header="0"/>
        </w:sectPr>
      </w:pPr>
    </w:p>
    <w:p>
      <w:pPr>
        <w:spacing w:after="0" w:line="339" w:lineRule="exact"/>
        <w:rPr>
          <w:sz w:val="20"/>
          <w:szCs w:val="20"/>
          <w:color w:val="auto"/>
        </w:rPr>
      </w:pPr>
    </w:p>
    <w:p>
      <w:pPr>
        <w:ind w:left="100"/>
        <w:spacing w:after="0"/>
        <w:rPr>
          <w:sz w:val="20"/>
          <w:szCs w:val="20"/>
          <w:color w:val="auto"/>
        </w:rPr>
      </w:pPr>
      <w:r>
        <w:rPr>
          <w:rFonts w:ascii="Arial" w:cs="Arial" w:eastAsia="Arial" w:hAnsi="Arial"/>
          <w:sz w:val="16"/>
          <w:szCs w:val="16"/>
          <w:color w:val="auto"/>
        </w:rPr>
        <w:t>32.2*</w:t>
      </w:r>
    </w:p>
    <w:p>
      <w:pPr>
        <w:spacing w:after="0" w:line="20" w:lineRule="exact"/>
        <w:rPr>
          <w:sz w:val="20"/>
          <w:szCs w:val="20"/>
          <w:color w:val="auto"/>
        </w:rPr>
      </w:pPr>
      <w:r>
        <w:rPr>
          <w:sz w:val="20"/>
          <w:szCs w:val="20"/>
          <w:color w:val="auto"/>
        </w:rPr>
        <w:br w:type="column"/>
      </w:r>
    </w:p>
    <w:p>
      <w:pPr>
        <w:spacing w:after="0" w:line="319" w:lineRule="exact"/>
        <w:rPr>
          <w:sz w:val="20"/>
          <w:szCs w:val="20"/>
          <w:color w:val="auto"/>
        </w:rPr>
      </w:pPr>
    </w:p>
    <w:p>
      <w:pPr>
        <w:ind w:right="280"/>
        <w:spacing w:after="0" w:line="268" w:lineRule="auto"/>
        <w:rPr>
          <w:sz w:val="20"/>
          <w:szCs w:val="20"/>
          <w:color w:val="auto"/>
        </w:rPr>
      </w:pPr>
      <w:r>
        <w:rPr>
          <w:rFonts w:ascii="Arial" w:cs="Arial" w:eastAsia="Arial" w:hAnsi="Arial"/>
          <w:sz w:val="18"/>
          <w:szCs w:val="18"/>
          <w:color w:val="auto"/>
        </w:rPr>
        <w:t>Certification of Chief Financial Officer pursuant to 18 U.S.C. Section 1350, as adopted pursuant to Section 906 of the Sarbanes-Oxley Act of 2002</w:t>
      </w:r>
    </w:p>
    <w:p>
      <w:pPr>
        <w:spacing w:after="0" w:line="78" w:lineRule="exact"/>
        <w:rPr>
          <w:sz w:val="20"/>
          <w:szCs w:val="20"/>
          <w:color w:val="auto"/>
        </w:rPr>
      </w:pPr>
    </w:p>
    <w:p>
      <w:pPr>
        <w:sectPr>
          <w:pgSz w:w="11900" w:h="16838" w:orient="portrait"/>
          <w:cols w:equalWidth="0" w:num="2">
            <w:col w:w="500" w:space="660"/>
            <w:col w:w="10220"/>
          </w:cols>
          <w:pgMar w:left="240" w:top="459" w:right="279" w:bottom="1440" w:gutter="0" w:footer="0" w:header="0"/>
          <w:type w:val="continuous"/>
        </w:sectPr>
      </w:pPr>
    </w:p>
    <w:p>
      <w:pPr>
        <w:spacing w:after="0"/>
        <w:rPr>
          <w:sz w:val="20"/>
          <w:szCs w:val="20"/>
          <w:color w:val="auto"/>
        </w:rPr>
      </w:pPr>
      <w:r>
        <w:rPr>
          <w:rFonts w:ascii="Arial" w:cs="Arial" w:eastAsia="Arial" w:hAnsi="Arial"/>
          <w:sz w:val="16"/>
          <w:szCs w:val="16"/>
          <w:color w:val="auto"/>
        </w:rPr>
        <w:t>101.INS**</w:t>
      </w:r>
    </w:p>
    <w:p>
      <w:pPr>
        <w:spacing w:after="0" w:line="20" w:lineRule="exact"/>
        <w:rPr>
          <w:sz w:val="20"/>
          <w:szCs w:val="20"/>
          <w:color w:val="auto"/>
        </w:rPr>
      </w:pPr>
      <w:r>
        <w:rPr>
          <w:sz w:val="20"/>
          <w:szCs w:val="20"/>
          <w:color w:val="auto"/>
        </w:rPr>
        <w:br w:type="column"/>
      </w:r>
    </w:p>
    <w:p>
      <w:pPr>
        <w:spacing w:after="0"/>
        <w:rPr>
          <w:sz w:val="20"/>
          <w:szCs w:val="20"/>
          <w:color w:val="auto"/>
        </w:rPr>
      </w:pPr>
      <w:r>
        <w:rPr>
          <w:rFonts w:ascii="Arial" w:cs="Arial" w:eastAsia="Arial" w:hAnsi="Arial"/>
          <w:sz w:val="16"/>
          <w:szCs w:val="16"/>
          <w:color w:val="auto"/>
        </w:rPr>
        <w:t>XBRL Instance Document</w:t>
      </w:r>
    </w:p>
    <w:p>
      <w:pPr>
        <w:spacing w:after="0" w:line="140" w:lineRule="exact"/>
        <w:rPr>
          <w:sz w:val="20"/>
          <w:szCs w:val="20"/>
          <w:color w:val="auto"/>
        </w:rPr>
      </w:pPr>
    </w:p>
    <w:p>
      <w:pPr>
        <w:sectPr>
          <w:pgSz w:w="11900" w:h="16838" w:orient="portrait"/>
          <w:cols w:equalWidth="0" w:num="2">
            <w:col w:w="780" w:space="380"/>
            <w:col w:w="10220"/>
          </w:cols>
          <w:pgMar w:left="240" w:top="459" w:right="279" w:bottom="1440" w:gutter="0" w:footer="0" w:header="0"/>
          <w:type w:val="continuous"/>
        </w:sectPr>
      </w:pPr>
    </w:p>
    <w:p>
      <w:pPr>
        <w:spacing w:after="0"/>
        <w:rPr>
          <w:sz w:val="20"/>
          <w:szCs w:val="20"/>
          <w:color w:val="auto"/>
        </w:rPr>
      </w:pPr>
      <w:r>
        <w:rPr>
          <w:rFonts w:ascii="Arial" w:cs="Arial" w:eastAsia="Arial" w:hAnsi="Arial"/>
          <w:sz w:val="16"/>
          <w:szCs w:val="16"/>
          <w:color w:val="auto"/>
        </w:rPr>
        <w:t>101.SCH**</w:t>
      </w:r>
    </w:p>
    <w:p>
      <w:pPr>
        <w:spacing w:after="0" w:line="20" w:lineRule="exact"/>
        <w:rPr>
          <w:sz w:val="20"/>
          <w:szCs w:val="20"/>
          <w:color w:val="auto"/>
        </w:rPr>
      </w:pPr>
      <w:r>
        <w:rPr>
          <w:sz w:val="20"/>
          <w:szCs w:val="20"/>
          <w:color w:val="auto"/>
        </w:rPr>
        <w:br w:type="column"/>
      </w:r>
    </w:p>
    <w:p>
      <w:pPr>
        <w:spacing w:after="0"/>
        <w:rPr>
          <w:sz w:val="20"/>
          <w:szCs w:val="20"/>
          <w:color w:val="auto"/>
        </w:rPr>
      </w:pPr>
      <w:r>
        <w:rPr>
          <w:rFonts w:ascii="Arial" w:cs="Arial" w:eastAsia="Arial" w:hAnsi="Arial"/>
          <w:sz w:val="16"/>
          <w:szCs w:val="16"/>
          <w:color w:val="auto"/>
        </w:rPr>
        <w:t>XBRL Taxonomy Extension Schema Document</w:t>
      </w:r>
    </w:p>
    <w:p>
      <w:pPr>
        <w:spacing w:after="0" w:line="140" w:lineRule="exact"/>
        <w:rPr>
          <w:sz w:val="20"/>
          <w:szCs w:val="20"/>
          <w:color w:val="auto"/>
        </w:rPr>
      </w:pPr>
    </w:p>
    <w:p>
      <w:pPr>
        <w:sectPr>
          <w:pgSz w:w="11900" w:h="16838" w:orient="portrait"/>
          <w:cols w:equalWidth="0" w:num="2">
            <w:col w:w="840" w:space="320"/>
            <w:col w:w="10220"/>
          </w:cols>
          <w:pgMar w:left="240" w:top="459" w:right="279" w:bottom="1440" w:gutter="0" w:footer="0" w:header="0"/>
          <w:type w:val="continuous"/>
        </w:sectPr>
      </w:pPr>
    </w:p>
    <w:p>
      <w:pPr>
        <w:spacing w:after="0"/>
        <w:rPr>
          <w:sz w:val="20"/>
          <w:szCs w:val="20"/>
          <w:color w:val="auto"/>
        </w:rPr>
      </w:pPr>
      <w:r>
        <w:rPr>
          <w:rFonts w:ascii="Arial" w:cs="Arial" w:eastAsia="Arial" w:hAnsi="Arial"/>
          <w:sz w:val="16"/>
          <w:szCs w:val="16"/>
          <w:color w:val="auto"/>
        </w:rPr>
        <w:t>101.CAL**</w:t>
      </w:r>
    </w:p>
    <w:p>
      <w:pPr>
        <w:spacing w:after="0" w:line="20" w:lineRule="exact"/>
        <w:rPr>
          <w:sz w:val="20"/>
          <w:szCs w:val="20"/>
          <w:color w:val="auto"/>
        </w:rPr>
      </w:pPr>
      <w:r>
        <w:rPr>
          <w:sz w:val="20"/>
          <w:szCs w:val="20"/>
          <w:color w:val="auto"/>
        </w:rPr>
        <w:br w:type="column"/>
      </w:r>
    </w:p>
    <w:p>
      <w:pPr>
        <w:spacing w:after="0"/>
        <w:rPr>
          <w:sz w:val="20"/>
          <w:szCs w:val="20"/>
          <w:color w:val="auto"/>
        </w:rPr>
      </w:pPr>
      <w:r>
        <w:rPr>
          <w:rFonts w:ascii="Arial" w:cs="Arial" w:eastAsia="Arial" w:hAnsi="Arial"/>
          <w:sz w:val="16"/>
          <w:szCs w:val="16"/>
          <w:color w:val="auto"/>
        </w:rPr>
        <w:t>XBRL Taxonomy Extension Calculation Linkbase Document</w:t>
      </w:r>
    </w:p>
    <w:p>
      <w:pPr>
        <w:spacing w:after="0" w:line="140" w:lineRule="exact"/>
        <w:rPr>
          <w:sz w:val="20"/>
          <w:szCs w:val="20"/>
          <w:color w:val="auto"/>
        </w:rPr>
      </w:pPr>
    </w:p>
    <w:p>
      <w:pPr>
        <w:sectPr>
          <w:pgSz w:w="11900" w:h="16838" w:orient="portrait"/>
          <w:cols w:equalWidth="0" w:num="2">
            <w:col w:w="840" w:space="320"/>
            <w:col w:w="10220"/>
          </w:cols>
          <w:pgMar w:left="240" w:top="459" w:right="279" w:bottom="1440" w:gutter="0" w:footer="0" w:header="0"/>
          <w:type w:val="continuous"/>
        </w:sectPr>
      </w:pPr>
    </w:p>
    <w:p>
      <w:pPr>
        <w:spacing w:after="0"/>
        <w:rPr>
          <w:sz w:val="20"/>
          <w:szCs w:val="20"/>
          <w:color w:val="auto"/>
        </w:rPr>
      </w:pPr>
      <w:r>
        <w:rPr>
          <w:rFonts w:ascii="Arial" w:cs="Arial" w:eastAsia="Arial" w:hAnsi="Arial"/>
          <w:sz w:val="18"/>
          <w:szCs w:val="18"/>
          <w:color w:val="auto"/>
        </w:rPr>
        <w:t>101.LAB**</w:t>
      </w:r>
    </w:p>
    <w:p>
      <w:pPr>
        <w:spacing w:after="0" w:line="20" w:lineRule="exact"/>
        <w:rPr>
          <w:sz w:val="20"/>
          <w:szCs w:val="20"/>
          <w:color w:val="auto"/>
        </w:rPr>
      </w:pPr>
      <w:r>
        <w:rPr>
          <w:sz w:val="20"/>
          <w:szCs w:val="20"/>
          <w:color w:val="auto"/>
        </w:rPr>
        <w:br w:type="column"/>
      </w:r>
    </w:p>
    <w:p>
      <w:pPr>
        <w:spacing w:after="0"/>
        <w:rPr>
          <w:sz w:val="20"/>
          <w:szCs w:val="20"/>
          <w:color w:val="auto"/>
        </w:rPr>
      </w:pPr>
      <w:r>
        <w:rPr>
          <w:rFonts w:ascii="Arial" w:cs="Arial" w:eastAsia="Arial" w:hAnsi="Arial"/>
          <w:sz w:val="16"/>
          <w:szCs w:val="16"/>
          <w:color w:val="auto"/>
        </w:rPr>
        <w:t>XBRL Taxonomy Extension Label Linkbase Document</w:t>
      </w:r>
    </w:p>
    <w:p>
      <w:pPr>
        <w:spacing w:after="0" w:line="139" w:lineRule="exact"/>
        <w:rPr>
          <w:sz w:val="20"/>
          <w:szCs w:val="20"/>
          <w:color w:val="auto"/>
        </w:rPr>
      </w:pPr>
    </w:p>
    <w:p>
      <w:pPr>
        <w:sectPr>
          <w:pgSz w:w="11900" w:h="16838" w:orient="portrait"/>
          <w:cols w:equalWidth="0" w:num="2">
            <w:col w:w="840" w:space="320"/>
            <w:col w:w="10220"/>
          </w:cols>
          <w:pgMar w:left="240" w:top="459" w:right="279" w:bottom="1440" w:gutter="0" w:footer="0" w:header="0"/>
          <w:type w:val="continuous"/>
        </w:sectPr>
      </w:pPr>
    </w:p>
    <w:p>
      <w:pPr>
        <w:spacing w:after="0"/>
        <w:rPr>
          <w:sz w:val="20"/>
          <w:szCs w:val="20"/>
          <w:color w:val="auto"/>
        </w:rPr>
      </w:pPr>
      <w:r>
        <w:rPr>
          <w:rFonts w:ascii="Arial" w:cs="Arial" w:eastAsia="Arial" w:hAnsi="Arial"/>
          <w:sz w:val="16"/>
          <w:szCs w:val="16"/>
          <w:color w:val="auto"/>
        </w:rPr>
        <w:t>101.PRE**</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94615</wp:posOffset>
            </wp:positionV>
            <wp:extent cx="728980" cy="8890"/>
            <wp:wrapNone/>
            <wp:docPr id="63" name="Picture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pic:cNvPicPr>
                      <a:picLocks noChangeAspect="1" noChangeArrowheads="1"/>
                    </pic:cNvPicPr>
                  </pic:nvPicPr>
                  <pic:blipFill>
                    <a:blip r:embed="rId70">
                      <a:extLst>
                        <a:ext uri="{28A0092B-C50C-407E-A947-70E740481C1C}"/>
                      </a:extLst>
                    </a:blip>
                    <a:srcRect/>
                    <a:stretch>
                      <a:fillRect/>
                    </a:stretch>
                  </pic:blipFill>
                  <pic:spPr bwMode="auto">
                    <a:xfrm>
                      <a:off x="0" y="0"/>
                      <a:ext cx="728980" cy="8890"/>
                    </a:xfrm>
                    <a:prstGeom prst="rect">
                      <a:avLst/>
                    </a:prstGeom>
                    <a:noFill/>
                  </pic:spPr>
                </pic:pic>
              </a:graphicData>
            </a:graphic>
          </wp:anchor>
        </w:drawing>
      </w:r>
    </w:p>
    <w:p>
      <w:pPr>
        <w:spacing w:after="0" w:line="20" w:lineRule="exact"/>
        <w:rPr>
          <w:sz w:val="20"/>
          <w:szCs w:val="20"/>
          <w:color w:val="auto"/>
        </w:rPr>
      </w:pPr>
      <w:r>
        <w:rPr>
          <w:sz w:val="20"/>
          <w:szCs w:val="20"/>
          <w:color w:val="auto"/>
        </w:rPr>
        <w:br w:type="column"/>
      </w:r>
    </w:p>
    <w:p>
      <w:pPr>
        <w:spacing w:after="0"/>
        <w:rPr>
          <w:sz w:val="20"/>
          <w:szCs w:val="20"/>
          <w:color w:val="auto"/>
        </w:rPr>
      </w:pPr>
      <w:r>
        <w:rPr>
          <w:rFonts w:ascii="Arial" w:cs="Arial" w:eastAsia="Arial" w:hAnsi="Arial"/>
          <w:sz w:val="16"/>
          <w:szCs w:val="16"/>
          <w:color w:val="auto"/>
        </w:rPr>
        <w:t>XBRL Taxonomy Extension Presentation Linkbase Document</w:t>
      </w:r>
    </w:p>
    <w:p>
      <w:pPr>
        <w:spacing w:after="0" w:line="181" w:lineRule="exact"/>
        <w:rPr>
          <w:sz w:val="20"/>
          <w:szCs w:val="20"/>
          <w:color w:val="auto"/>
        </w:rPr>
      </w:pPr>
    </w:p>
    <w:p>
      <w:pPr>
        <w:sectPr>
          <w:pgSz w:w="11900" w:h="16838" w:orient="portrait"/>
          <w:cols w:equalWidth="0" w:num="2">
            <w:col w:w="820" w:space="340"/>
            <w:col w:w="10220"/>
          </w:cols>
          <w:pgMar w:left="240" w:top="459" w:right="279" w:bottom="1440" w:gutter="0" w:footer="0" w:header="0"/>
          <w:type w:val="continuous"/>
        </w:sectPr>
      </w:pPr>
    </w:p>
    <w:p>
      <w:pPr>
        <w:ind w:left="460" w:hanging="452"/>
        <w:spacing w:after="0"/>
        <w:tabs>
          <w:tab w:leader="none" w:pos="460" w:val="left"/>
        </w:tabs>
        <w:numPr>
          <w:ilvl w:val="0"/>
          <w:numId w:val="11"/>
        </w:numPr>
        <w:rPr>
          <w:rFonts w:ascii="Arial" w:cs="Arial" w:eastAsia="Arial" w:hAnsi="Arial"/>
          <w:sz w:val="18"/>
          <w:szCs w:val="18"/>
          <w:color w:val="auto"/>
        </w:rPr>
      </w:pPr>
      <w:r>
        <w:rPr>
          <w:rFonts w:ascii="Arial" w:cs="Arial" w:eastAsia="Arial" w:hAnsi="Arial"/>
          <w:sz w:val="18"/>
          <w:szCs w:val="18"/>
          <w:color w:val="auto"/>
        </w:rPr>
        <w:t>Indicates management compensatory plan, contract or arrangement.</w:t>
      </w:r>
    </w:p>
    <w:p>
      <w:pPr>
        <w:spacing w:after="0" w:line="15" w:lineRule="exact"/>
        <w:rPr>
          <w:sz w:val="20"/>
          <w:szCs w:val="20"/>
          <w:color w:val="auto"/>
        </w:rPr>
      </w:pPr>
    </w:p>
    <w:p>
      <w:pPr>
        <w:ind w:left="460" w:right="120" w:hanging="452"/>
        <w:spacing w:after="0" w:line="281" w:lineRule="auto"/>
        <w:tabs>
          <w:tab w:leader="none" w:pos="460" w:val="left"/>
        </w:tabs>
        <w:numPr>
          <w:ilvl w:val="0"/>
          <w:numId w:val="12"/>
        </w:numPr>
        <w:rPr>
          <w:rFonts w:ascii="Arial" w:cs="Arial" w:eastAsia="Arial" w:hAnsi="Arial"/>
          <w:sz w:val="16"/>
          <w:szCs w:val="16"/>
          <w:color w:val="auto"/>
        </w:rPr>
      </w:pPr>
      <w:r>
        <w:rPr>
          <w:rFonts w:ascii="Arial" w:cs="Arial" w:eastAsia="Arial" w:hAnsi="Arial"/>
          <w:sz w:val="16"/>
          <w:szCs w:val="16"/>
          <w:color w:val="auto"/>
        </w:rPr>
        <w:t>In accordance with Item 601(b)(32)(ii) of Regulation S-K and SEC Release No. 33-8238 and 34-47986, Final Rule: Management’s Reports on Internal Control Over Financial Reporting and Certification of Disclosure in Exchange Act Periodic Reports, the certifications furnished in Exhibits 32.1 and 32.2 hereto are deemed to accompany this Form 10-Q and will not be deemed “filed” for purposes of Section 18 of the Exchange Act. Such certifications will</w:t>
      </w:r>
    </w:p>
    <w:p>
      <w:pPr>
        <w:spacing w:after="0" w:line="2" w:lineRule="exact"/>
        <w:rPr>
          <w:sz w:val="20"/>
          <w:szCs w:val="20"/>
          <w:color w:val="auto"/>
        </w:rPr>
      </w:pPr>
    </w:p>
    <w:p>
      <w:pPr>
        <w:ind w:left="460" w:right="40"/>
        <w:spacing w:after="0" w:line="250" w:lineRule="auto"/>
        <w:rPr>
          <w:sz w:val="20"/>
          <w:szCs w:val="20"/>
          <w:color w:val="auto"/>
        </w:rPr>
      </w:pPr>
      <w:r>
        <w:rPr>
          <w:rFonts w:ascii="Arial" w:cs="Arial" w:eastAsia="Arial" w:hAnsi="Arial"/>
          <w:sz w:val="18"/>
          <w:szCs w:val="18"/>
          <w:color w:val="auto"/>
        </w:rPr>
        <w:t>not be deemed to be incorporated by reference into any filings under the Securities Act of 1933, as amended, or the Exchange Act, except to the extent that the registrant specifically incorporates it by reference.</w:t>
      </w:r>
    </w:p>
    <w:p>
      <w:pPr>
        <w:spacing w:after="0" w:line="1" w:lineRule="exact"/>
        <w:rPr>
          <w:sz w:val="20"/>
          <w:szCs w:val="20"/>
          <w:color w:val="auto"/>
        </w:rPr>
      </w:pPr>
    </w:p>
    <w:p>
      <w:pPr>
        <w:ind w:left="460" w:hanging="452"/>
        <w:spacing w:after="0" w:line="253" w:lineRule="auto"/>
        <w:tabs>
          <w:tab w:leader="none" w:pos="460" w:val="left"/>
        </w:tabs>
        <w:numPr>
          <w:ilvl w:val="0"/>
          <w:numId w:val="13"/>
        </w:numPr>
        <w:rPr>
          <w:rFonts w:ascii="Arial" w:cs="Arial" w:eastAsia="Arial" w:hAnsi="Arial"/>
          <w:sz w:val="18"/>
          <w:szCs w:val="18"/>
          <w:color w:val="auto"/>
        </w:rPr>
      </w:pPr>
      <w:r>
        <w:rPr>
          <w:rFonts w:ascii="Arial" w:cs="Arial" w:eastAsia="Arial" w:hAnsi="Arial"/>
          <w:sz w:val="18"/>
          <w:szCs w:val="18"/>
          <w:color w:val="auto"/>
        </w:rPr>
        <w:t>Pursuant to applicable securities laws and regulations, we are deemed to have complied with the reporting obligation relating to the submission of interactive data files in such exhibits and are not subject to liability under any anti-fraud provisions of the federal securities laws as long as we have made a good faith attempt to comply with the submission requirements and promptly amend the interactive data files after becoming aware that the interactive data files fail to comply with the submission requirements. Users of this data are advised that, pursuant to Rule 406T, these interactive data files are deemed not filed and otherwise are not subject to liability.</w:t>
      </w:r>
    </w:p>
    <w:p>
      <w:pPr>
        <w:spacing w:after="0" w:line="132" w:lineRule="exact"/>
        <w:rPr>
          <w:sz w:val="20"/>
          <w:szCs w:val="20"/>
          <w:color w:val="auto"/>
        </w:rPr>
      </w:pPr>
    </w:p>
    <w:p>
      <w:pPr>
        <w:jc w:val="center"/>
        <w:ind w:right="-59"/>
        <w:spacing w:after="0"/>
        <w:rPr>
          <w:sz w:val="20"/>
          <w:szCs w:val="20"/>
          <w:color w:val="auto"/>
        </w:rPr>
      </w:pPr>
      <w:r>
        <w:rPr>
          <w:rFonts w:ascii="Arial" w:cs="Arial" w:eastAsia="Arial" w:hAnsi="Arial"/>
          <w:sz w:val="18"/>
          <w:szCs w:val="18"/>
          <w:color w:val="auto"/>
        </w:rPr>
        <w:t>55</w:t>
      </w:r>
    </w:p>
    <w:p>
      <w:pPr>
        <w:sectPr>
          <w:pgSz w:w="11900" w:h="16838" w:orient="portrait"/>
          <w:cols w:equalWidth="0" w:num="1">
            <w:col w:w="11380"/>
          </w:cols>
          <w:pgMar w:left="240" w:top="459" w:right="279" w:bottom="1440" w:gutter="0" w:footer="0" w:header="0"/>
          <w:type w:val="continuous"/>
        </w:sectPr>
      </w:pPr>
    </w:p>
    <w:bookmarkStart w:id="55" w:name="page56"/>
    <w:bookmarkEnd w:id="55"/>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64" name="Picture 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
                    <pic:cNvPicPr>
                      <a:picLocks noChangeAspect="1" noChangeArrowheads="1"/>
                    </pic:cNvPicPr>
                  </pic:nvPicPr>
                  <pic:blipFill>
                    <a:blip r:embed="rId71">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SIGNATURES</w:t>
      </w:r>
    </w:p>
    <w:p>
      <w:pPr>
        <w:spacing w:after="0" w:line="177" w:lineRule="exact"/>
        <w:rPr>
          <w:sz w:val="20"/>
          <w:szCs w:val="20"/>
          <w:color w:val="auto"/>
        </w:rPr>
      </w:pPr>
    </w:p>
    <w:p>
      <w:pPr>
        <w:ind w:right="20" w:firstLine="456"/>
        <w:spacing w:after="0" w:line="268" w:lineRule="auto"/>
        <w:rPr>
          <w:sz w:val="20"/>
          <w:szCs w:val="20"/>
          <w:color w:val="auto"/>
        </w:rPr>
      </w:pPr>
      <w:r>
        <w:rPr>
          <w:rFonts w:ascii="Arial" w:cs="Arial" w:eastAsia="Arial" w:hAnsi="Arial"/>
          <w:sz w:val="18"/>
          <w:szCs w:val="18"/>
          <w:color w:val="auto"/>
        </w:rPr>
        <w:t>Pursuant to the requirements of the Securities Exchange Act of 1934, the registrant has duly caused this report to be signed on its behalf by the undersigned thereunto duly authorized.</w:t>
      </w:r>
    </w:p>
    <w:p>
      <w:pPr>
        <w:spacing w:after="0" w:line="172" w:lineRule="exact"/>
        <w:rPr>
          <w:sz w:val="20"/>
          <w:szCs w:val="20"/>
          <w:color w:val="auto"/>
        </w:rPr>
      </w:pPr>
    </w:p>
    <w:tbl>
      <w:tblPr>
        <w:tblLayout w:type="fixed"/>
        <w:tblInd w:w="0" w:type="dxa"/>
        <w:tblCellMar>
          <w:top w:w="0" w:type="dxa"/>
          <w:left w:w="0" w:type="dxa"/>
          <w:bottom w:w="0" w:type="dxa"/>
          <w:right w:w="0" w:type="dxa"/>
        </w:tblCellMar>
      </w:tblPr>
      <w:tr>
        <w:trPr>
          <w:trHeight w:val="222"/>
        </w:trPr>
        <w:tc>
          <w:tcPr>
            <w:tcW w:w="1300" w:type="dxa"/>
            <w:vAlign w:val="bottom"/>
          </w:tcPr>
          <w:p>
            <w:pPr>
              <w:spacing w:after="0"/>
              <w:rPr>
                <w:sz w:val="19"/>
                <w:szCs w:val="19"/>
                <w:color w:val="auto"/>
              </w:rPr>
            </w:pPr>
          </w:p>
        </w:tc>
        <w:tc>
          <w:tcPr>
            <w:tcW w:w="2280" w:type="dxa"/>
            <w:vAlign w:val="bottom"/>
          </w:tcPr>
          <w:p>
            <w:pPr>
              <w:spacing w:after="0"/>
              <w:rPr>
                <w:sz w:val="19"/>
                <w:szCs w:val="19"/>
                <w:color w:val="auto"/>
              </w:rPr>
            </w:pPr>
          </w:p>
        </w:tc>
        <w:tc>
          <w:tcPr>
            <w:tcW w:w="7840" w:type="dxa"/>
            <w:vAlign w:val="bottom"/>
            <w:gridSpan w:val="2"/>
          </w:tcPr>
          <w:p>
            <w:pPr>
              <w:ind w:left="2280"/>
              <w:spacing w:after="0"/>
              <w:rPr>
                <w:sz w:val="20"/>
                <w:szCs w:val="20"/>
                <w:color w:val="auto"/>
              </w:rPr>
            </w:pPr>
            <w:r>
              <w:rPr>
                <w:rFonts w:ascii="Arial" w:cs="Arial" w:eastAsia="Arial" w:hAnsi="Arial"/>
                <w:sz w:val="18"/>
                <w:szCs w:val="18"/>
                <w:color w:val="auto"/>
              </w:rPr>
              <w:t>MARVELL TECHNOLOGY GROUP LTD.</w:t>
            </w:r>
          </w:p>
        </w:tc>
      </w:tr>
      <w:tr>
        <w:trPr>
          <w:trHeight w:val="441"/>
        </w:trPr>
        <w:tc>
          <w:tcPr>
            <w:tcW w:w="1300" w:type="dxa"/>
            <w:vAlign w:val="bottom"/>
            <w:tcBorders>
              <w:bottom w:val="single" w:sz="8" w:color="auto"/>
            </w:tcBorders>
          </w:tcPr>
          <w:p>
            <w:pPr>
              <w:spacing w:after="0"/>
              <w:rPr>
                <w:sz w:val="20"/>
                <w:szCs w:val="20"/>
                <w:color w:val="auto"/>
              </w:rPr>
            </w:pPr>
            <w:r>
              <w:rPr>
                <w:rFonts w:ascii="Arial" w:cs="Arial" w:eastAsia="Arial" w:hAnsi="Arial"/>
                <w:sz w:val="18"/>
                <w:szCs w:val="18"/>
                <w:color w:val="auto"/>
                <w:w w:val="86"/>
              </w:rPr>
              <w:t>December 9, 2009</w:t>
            </w:r>
          </w:p>
        </w:tc>
        <w:tc>
          <w:tcPr>
            <w:tcW w:w="2280" w:type="dxa"/>
            <w:vAlign w:val="bottom"/>
          </w:tcPr>
          <w:p>
            <w:pPr>
              <w:spacing w:after="0"/>
              <w:rPr>
                <w:sz w:val="24"/>
                <w:szCs w:val="24"/>
                <w:color w:val="auto"/>
              </w:rPr>
            </w:pPr>
          </w:p>
        </w:tc>
        <w:tc>
          <w:tcPr>
            <w:tcW w:w="2820" w:type="dxa"/>
            <w:vAlign w:val="bottom"/>
          </w:tcPr>
          <w:p>
            <w:pPr>
              <w:ind w:left="2280"/>
              <w:spacing w:after="0"/>
              <w:rPr>
                <w:sz w:val="20"/>
                <w:szCs w:val="20"/>
                <w:color w:val="auto"/>
              </w:rPr>
            </w:pPr>
            <w:r>
              <w:rPr>
                <w:rFonts w:ascii="Arial" w:cs="Arial" w:eastAsia="Arial" w:hAnsi="Arial"/>
                <w:sz w:val="18"/>
                <w:szCs w:val="18"/>
                <w:color w:val="auto"/>
              </w:rPr>
              <w:t>By:</w:t>
            </w:r>
          </w:p>
        </w:tc>
        <w:tc>
          <w:tcPr>
            <w:tcW w:w="5020" w:type="dxa"/>
            <w:vAlign w:val="bottom"/>
            <w:tcBorders>
              <w:bottom w:val="single" w:sz="8" w:color="auto"/>
            </w:tcBorders>
          </w:tcPr>
          <w:p>
            <w:pPr>
              <w:ind w:left="1540"/>
              <w:spacing w:after="0"/>
              <w:rPr>
                <w:sz w:val="20"/>
                <w:szCs w:val="20"/>
                <w:color w:val="auto"/>
              </w:rPr>
            </w:pPr>
            <w:r>
              <w:rPr>
                <w:rFonts w:ascii="Arial" w:cs="Arial" w:eastAsia="Arial" w:hAnsi="Arial"/>
                <w:sz w:val="18"/>
                <w:szCs w:val="18"/>
                <w:color w:val="auto"/>
              </w:rPr>
              <w:t>/s/  C</w:t>
            </w:r>
            <w:r>
              <w:rPr>
                <w:rFonts w:ascii="Arial" w:cs="Arial" w:eastAsia="Arial" w:hAnsi="Arial"/>
                <w:sz w:val="14"/>
                <w:szCs w:val="14"/>
                <w:color w:val="auto"/>
              </w:rPr>
              <w:t>LYDE</w:t>
            </w:r>
            <w:r>
              <w:rPr>
                <w:rFonts w:ascii="Arial" w:cs="Arial" w:eastAsia="Arial" w:hAnsi="Arial"/>
                <w:sz w:val="18"/>
                <w:szCs w:val="18"/>
                <w:color w:val="auto"/>
              </w:rPr>
              <w:t xml:space="preserve"> R. H</w:t>
            </w:r>
            <w:r>
              <w:rPr>
                <w:rFonts w:ascii="Arial" w:cs="Arial" w:eastAsia="Arial" w:hAnsi="Arial"/>
                <w:sz w:val="14"/>
                <w:szCs w:val="14"/>
                <w:color w:val="auto"/>
              </w:rPr>
              <w:t>OSEIN</w:t>
            </w:r>
          </w:p>
        </w:tc>
      </w:tr>
      <w:tr>
        <w:trPr>
          <w:trHeight w:val="218"/>
        </w:trPr>
        <w:tc>
          <w:tcPr>
            <w:tcW w:w="3580" w:type="dxa"/>
            <w:vAlign w:val="bottom"/>
            <w:gridSpan w:val="2"/>
          </w:tcPr>
          <w:p>
            <w:pPr>
              <w:spacing w:after="0"/>
              <w:rPr>
                <w:sz w:val="20"/>
                <w:szCs w:val="20"/>
                <w:color w:val="auto"/>
              </w:rPr>
            </w:pPr>
            <w:r>
              <w:rPr>
                <w:rFonts w:ascii="Arial" w:cs="Arial" w:eastAsia="Arial" w:hAnsi="Arial"/>
                <w:sz w:val="18"/>
                <w:szCs w:val="18"/>
                <w:color w:val="auto"/>
              </w:rPr>
              <w:t>Date</w:t>
            </w:r>
          </w:p>
        </w:tc>
        <w:tc>
          <w:tcPr>
            <w:tcW w:w="2820" w:type="dxa"/>
            <w:vAlign w:val="bottom"/>
          </w:tcPr>
          <w:p>
            <w:pPr>
              <w:spacing w:after="0"/>
              <w:rPr>
                <w:sz w:val="18"/>
                <w:szCs w:val="18"/>
                <w:color w:val="auto"/>
              </w:rPr>
            </w:pPr>
          </w:p>
        </w:tc>
        <w:tc>
          <w:tcPr>
            <w:tcW w:w="5020" w:type="dxa"/>
            <w:vAlign w:val="bottom"/>
          </w:tcPr>
          <w:p>
            <w:pPr>
              <w:ind w:left="2040"/>
              <w:spacing w:after="0"/>
              <w:rPr>
                <w:sz w:val="20"/>
                <w:szCs w:val="20"/>
                <w:color w:val="auto"/>
              </w:rPr>
            </w:pPr>
            <w:r>
              <w:rPr>
                <w:rFonts w:ascii="Arial" w:cs="Arial" w:eastAsia="Arial" w:hAnsi="Arial"/>
                <w:sz w:val="14"/>
                <w:szCs w:val="14"/>
                <w:b w:val="1"/>
                <w:bCs w:val="1"/>
                <w:color w:val="auto"/>
              </w:rPr>
              <w:t>Clyde R. Hosein</w:t>
            </w:r>
          </w:p>
        </w:tc>
      </w:tr>
    </w:tbl>
    <w:p>
      <w:pPr>
        <w:jc w:val="center"/>
        <w:ind w:left="6400"/>
        <w:spacing w:after="0" w:line="221" w:lineRule="auto"/>
        <w:rPr>
          <w:sz w:val="20"/>
          <w:szCs w:val="20"/>
          <w:color w:val="auto"/>
        </w:rPr>
      </w:pPr>
      <w:r>
        <w:rPr>
          <w:rFonts w:ascii="Arial" w:cs="Arial" w:eastAsia="Arial" w:hAnsi="Arial"/>
          <w:sz w:val="14"/>
          <w:szCs w:val="14"/>
          <w:b w:val="1"/>
          <w:bCs w:val="1"/>
          <w:color w:val="auto"/>
        </w:rPr>
        <w:t>Chief Financial Officer, Interim Chief</w:t>
      </w:r>
    </w:p>
    <w:p>
      <w:pPr>
        <w:jc w:val="center"/>
        <w:ind w:left="6400"/>
        <w:spacing w:after="0"/>
        <w:rPr>
          <w:sz w:val="20"/>
          <w:szCs w:val="20"/>
          <w:color w:val="auto"/>
        </w:rPr>
      </w:pPr>
      <w:r>
        <w:rPr>
          <w:rFonts w:ascii="Arial" w:cs="Arial" w:eastAsia="Arial" w:hAnsi="Arial"/>
          <w:sz w:val="14"/>
          <w:szCs w:val="14"/>
          <w:b w:val="1"/>
          <w:bCs w:val="1"/>
          <w:color w:val="auto"/>
        </w:rPr>
        <w:t>Operating Officer and Secretary</w:t>
      </w:r>
    </w:p>
    <w:p>
      <w:pPr>
        <w:spacing w:after="0" w:line="140"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56</w:t>
      </w:r>
    </w:p>
    <w:p>
      <w:pPr>
        <w:sectPr>
          <w:pgSz w:w="11900" w:h="16838" w:orient="portrait"/>
          <w:cols w:equalWidth="0" w:num="1">
            <w:col w:w="11420"/>
          </w:cols>
          <w:pgMar w:left="240" w:top="459" w:right="239" w:bottom="1440" w:gutter="0" w:footer="0" w:header="0"/>
        </w:sectPr>
      </w:pPr>
    </w:p>
    <w:bookmarkStart w:id="56" w:name="page57"/>
    <w:bookmarkEnd w:id="56"/>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65" name="Picture 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
                    <pic:cNvPicPr>
                      <a:picLocks noChangeAspect="1" noChangeArrowheads="1"/>
                    </pic:cNvPicPr>
                  </pic:nvPicPr>
                  <pic:blipFill>
                    <a:blip r:embed="rId72">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tbl>
      <w:tblPr>
        <w:tblLayout w:type="fixed"/>
        <w:tblInd w:w="0" w:type="dxa"/>
        <w:tblCellMar>
          <w:top w:w="0" w:type="dxa"/>
          <w:left w:w="0" w:type="dxa"/>
          <w:bottom w:w="0" w:type="dxa"/>
          <w:right w:w="0" w:type="dxa"/>
        </w:tblCellMar>
      </w:tblPr>
      <w:tr>
        <w:trPr>
          <w:trHeight w:val="228"/>
        </w:trPr>
        <w:tc>
          <w:tcPr>
            <w:tcW w:w="1000" w:type="dxa"/>
            <w:vAlign w:val="bottom"/>
          </w:tcPr>
          <w:p>
            <w:pPr>
              <w:spacing w:after="0"/>
              <w:rPr>
                <w:sz w:val="19"/>
                <w:szCs w:val="19"/>
                <w:color w:val="auto"/>
              </w:rPr>
            </w:pPr>
          </w:p>
        </w:tc>
        <w:tc>
          <w:tcPr>
            <w:tcW w:w="10140" w:type="dxa"/>
            <w:vAlign w:val="bottom"/>
          </w:tcPr>
          <w:p>
            <w:pPr>
              <w:ind w:left="4040"/>
              <w:spacing w:after="0"/>
              <w:rPr>
                <w:sz w:val="20"/>
                <w:szCs w:val="20"/>
                <w:color w:val="auto"/>
              </w:rPr>
            </w:pPr>
            <w:r>
              <w:rPr>
                <w:rFonts w:ascii="Arial" w:cs="Arial" w:eastAsia="Arial" w:hAnsi="Arial"/>
                <w:sz w:val="18"/>
                <w:szCs w:val="18"/>
                <w:b w:val="1"/>
                <w:bCs w:val="1"/>
                <w:color w:val="auto"/>
              </w:rPr>
              <w:t>EXHIBIT INDEX</w:t>
            </w:r>
          </w:p>
        </w:tc>
      </w:tr>
      <w:tr>
        <w:trPr>
          <w:trHeight w:val="419"/>
        </w:trPr>
        <w:tc>
          <w:tcPr>
            <w:tcW w:w="1000" w:type="dxa"/>
            <w:vAlign w:val="bottom"/>
          </w:tcPr>
          <w:p>
            <w:pPr>
              <w:ind w:left="100"/>
              <w:spacing w:after="0"/>
              <w:rPr>
                <w:sz w:val="20"/>
                <w:szCs w:val="20"/>
                <w:color w:val="auto"/>
              </w:rPr>
            </w:pPr>
            <w:r>
              <w:rPr>
                <w:rFonts w:ascii="Arial" w:cs="Arial" w:eastAsia="Arial" w:hAnsi="Arial"/>
                <w:sz w:val="18"/>
                <w:szCs w:val="18"/>
                <w:color w:val="auto"/>
              </w:rPr>
              <w:t>10.1</w:t>
            </w:r>
          </w:p>
        </w:tc>
        <w:tc>
          <w:tcPr>
            <w:tcW w:w="10140" w:type="dxa"/>
            <w:vAlign w:val="bottom"/>
          </w:tcPr>
          <w:p>
            <w:pPr>
              <w:ind w:left="160"/>
              <w:spacing w:after="0"/>
              <w:rPr>
                <w:sz w:val="20"/>
                <w:szCs w:val="20"/>
                <w:color w:val="auto"/>
              </w:rPr>
            </w:pPr>
            <w:r>
              <w:rPr>
                <w:rFonts w:ascii="Arial" w:cs="Arial" w:eastAsia="Arial" w:hAnsi="Arial"/>
                <w:sz w:val="18"/>
                <w:szCs w:val="18"/>
                <w:color w:val="auto"/>
              </w:rPr>
              <w:t>Amendment to the Amended and Restated 1995 Stock Option Plan</w:t>
            </w:r>
          </w:p>
        </w:tc>
      </w:tr>
      <w:tr>
        <w:trPr>
          <w:trHeight w:val="318"/>
        </w:trPr>
        <w:tc>
          <w:tcPr>
            <w:tcW w:w="1000" w:type="dxa"/>
            <w:vAlign w:val="bottom"/>
          </w:tcPr>
          <w:p>
            <w:pPr>
              <w:ind w:left="100"/>
              <w:spacing w:after="0"/>
              <w:rPr>
                <w:sz w:val="20"/>
                <w:szCs w:val="20"/>
                <w:color w:val="auto"/>
              </w:rPr>
            </w:pPr>
            <w:r>
              <w:rPr>
                <w:rFonts w:ascii="Arial" w:cs="Arial" w:eastAsia="Arial" w:hAnsi="Arial"/>
                <w:sz w:val="18"/>
                <w:szCs w:val="18"/>
                <w:color w:val="auto"/>
              </w:rPr>
              <w:t>10.2†</w:t>
            </w:r>
          </w:p>
        </w:tc>
        <w:tc>
          <w:tcPr>
            <w:tcW w:w="10140" w:type="dxa"/>
            <w:vAlign w:val="bottom"/>
          </w:tcPr>
          <w:p>
            <w:pPr>
              <w:ind w:left="160"/>
              <w:spacing w:after="0"/>
              <w:rPr>
                <w:sz w:val="20"/>
                <w:szCs w:val="20"/>
                <w:color w:val="auto"/>
              </w:rPr>
            </w:pPr>
            <w:r>
              <w:rPr>
                <w:rFonts w:ascii="Arial" w:cs="Arial" w:eastAsia="Arial" w:hAnsi="Arial"/>
                <w:sz w:val="18"/>
                <w:szCs w:val="18"/>
                <w:color w:val="auto"/>
                <w:w w:val="91"/>
              </w:rPr>
              <w:t>2000 Employee Stock Purchase Plan (as amended and restated as of October 22, 2009), incorporated by reference to Exhibit 10.1 of the</w:t>
            </w:r>
          </w:p>
        </w:tc>
      </w:tr>
      <w:tr>
        <w:trPr>
          <w:trHeight w:val="222"/>
        </w:trPr>
        <w:tc>
          <w:tcPr>
            <w:tcW w:w="1000" w:type="dxa"/>
            <w:vAlign w:val="bottom"/>
          </w:tcPr>
          <w:p>
            <w:pPr>
              <w:spacing w:after="0"/>
              <w:rPr>
                <w:sz w:val="19"/>
                <w:szCs w:val="19"/>
                <w:color w:val="auto"/>
              </w:rPr>
            </w:pPr>
          </w:p>
        </w:tc>
        <w:tc>
          <w:tcPr>
            <w:tcW w:w="10140" w:type="dxa"/>
            <w:vAlign w:val="bottom"/>
          </w:tcPr>
          <w:p>
            <w:pPr>
              <w:ind w:left="160"/>
              <w:spacing w:after="0"/>
              <w:rPr>
                <w:sz w:val="20"/>
                <w:szCs w:val="20"/>
                <w:color w:val="auto"/>
              </w:rPr>
            </w:pPr>
            <w:r>
              <w:rPr>
                <w:rFonts w:ascii="Arial" w:cs="Arial" w:eastAsia="Arial" w:hAnsi="Arial"/>
                <w:sz w:val="18"/>
                <w:szCs w:val="18"/>
                <w:color w:val="auto"/>
              </w:rPr>
              <w:t>registrant’s Current Report on Form 8-K as filed on October 28, 2009</w:t>
            </w:r>
          </w:p>
        </w:tc>
      </w:tr>
      <w:tr>
        <w:trPr>
          <w:trHeight w:val="324"/>
        </w:trPr>
        <w:tc>
          <w:tcPr>
            <w:tcW w:w="1000" w:type="dxa"/>
            <w:vAlign w:val="bottom"/>
          </w:tcPr>
          <w:p>
            <w:pPr>
              <w:ind w:left="100"/>
              <w:spacing w:after="0"/>
              <w:rPr>
                <w:sz w:val="20"/>
                <w:szCs w:val="20"/>
                <w:color w:val="auto"/>
              </w:rPr>
            </w:pPr>
            <w:r>
              <w:rPr>
                <w:rFonts w:ascii="Arial" w:cs="Arial" w:eastAsia="Arial" w:hAnsi="Arial"/>
                <w:sz w:val="18"/>
                <w:szCs w:val="18"/>
                <w:color w:val="auto"/>
              </w:rPr>
              <w:t>10.3†</w:t>
            </w:r>
          </w:p>
        </w:tc>
        <w:tc>
          <w:tcPr>
            <w:tcW w:w="10140" w:type="dxa"/>
            <w:vAlign w:val="bottom"/>
          </w:tcPr>
          <w:p>
            <w:pPr>
              <w:ind w:left="160"/>
              <w:spacing w:after="0"/>
              <w:rPr>
                <w:sz w:val="20"/>
                <w:szCs w:val="20"/>
                <w:color w:val="auto"/>
              </w:rPr>
            </w:pPr>
            <w:r>
              <w:rPr>
                <w:rFonts w:ascii="Arial" w:cs="Arial" w:eastAsia="Arial" w:hAnsi="Arial"/>
                <w:sz w:val="18"/>
                <w:szCs w:val="18"/>
                <w:color w:val="auto"/>
              </w:rPr>
              <w:t>2000 Employee Stock Purchase Plan Form of Subscription Agreement</w:t>
            </w:r>
          </w:p>
        </w:tc>
      </w:tr>
      <w:tr>
        <w:trPr>
          <w:trHeight w:val="318"/>
        </w:trPr>
        <w:tc>
          <w:tcPr>
            <w:tcW w:w="1000" w:type="dxa"/>
            <w:vAlign w:val="bottom"/>
          </w:tcPr>
          <w:p>
            <w:pPr>
              <w:ind w:left="100"/>
              <w:spacing w:after="0"/>
              <w:rPr>
                <w:sz w:val="20"/>
                <w:szCs w:val="20"/>
                <w:color w:val="auto"/>
              </w:rPr>
            </w:pPr>
            <w:r>
              <w:rPr>
                <w:rFonts w:ascii="Arial" w:cs="Arial" w:eastAsia="Arial" w:hAnsi="Arial"/>
                <w:sz w:val="18"/>
                <w:szCs w:val="18"/>
                <w:color w:val="auto"/>
              </w:rPr>
              <w:t>31.1</w:t>
            </w:r>
          </w:p>
        </w:tc>
        <w:tc>
          <w:tcPr>
            <w:tcW w:w="10140" w:type="dxa"/>
            <w:vAlign w:val="bottom"/>
          </w:tcPr>
          <w:p>
            <w:pPr>
              <w:ind w:left="160"/>
              <w:spacing w:after="0"/>
              <w:rPr>
                <w:sz w:val="20"/>
                <w:szCs w:val="20"/>
                <w:color w:val="auto"/>
              </w:rPr>
            </w:pPr>
            <w:r>
              <w:rPr>
                <w:rFonts w:ascii="Arial" w:cs="Arial" w:eastAsia="Arial" w:hAnsi="Arial"/>
                <w:sz w:val="18"/>
                <w:szCs w:val="18"/>
                <w:color w:val="auto"/>
                <w:w w:val="88"/>
              </w:rPr>
              <w:t>Certification of Chief Executive Officer pursuant to 18 U.S.C. Section 1350, as adopted pursuant to Section 302 of the Sarbanes-Oxley Act of</w:t>
            </w:r>
          </w:p>
        </w:tc>
      </w:tr>
      <w:tr>
        <w:trPr>
          <w:trHeight w:val="222"/>
        </w:trPr>
        <w:tc>
          <w:tcPr>
            <w:tcW w:w="1000" w:type="dxa"/>
            <w:vAlign w:val="bottom"/>
          </w:tcPr>
          <w:p>
            <w:pPr>
              <w:spacing w:after="0"/>
              <w:rPr>
                <w:sz w:val="19"/>
                <w:szCs w:val="19"/>
                <w:color w:val="auto"/>
              </w:rPr>
            </w:pPr>
          </w:p>
        </w:tc>
        <w:tc>
          <w:tcPr>
            <w:tcW w:w="10140" w:type="dxa"/>
            <w:vAlign w:val="bottom"/>
          </w:tcPr>
          <w:p>
            <w:pPr>
              <w:ind w:left="160"/>
              <w:spacing w:after="0"/>
              <w:rPr>
                <w:sz w:val="20"/>
                <w:szCs w:val="20"/>
                <w:color w:val="auto"/>
              </w:rPr>
            </w:pPr>
            <w:r>
              <w:rPr>
                <w:rFonts w:ascii="Arial" w:cs="Arial" w:eastAsia="Arial" w:hAnsi="Arial"/>
                <w:sz w:val="18"/>
                <w:szCs w:val="18"/>
                <w:color w:val="auto"/>
              </w:rPr>
              <w:t>2002</w:t>
            </w:r>
          </w:p>
        </w:tc>
      </w:tr>
      <w:tr>
        <w:trPr>
          <w:trHeight w:val="318"/>
        </w:trPr>
        <w:tc>
          <w:tcPr>
            <w:tcW w:w="1000" w:type="dxa"/>
            <w:vAlign w:val="bottom"/>
          </w:tcPr>
          <w:p>
            <w:pPr>
              <w:ind w:left="100"/>
              <w:spacing w:after="0"/>
              <w:rPr>
                <w:sz w:val="20"/>
                <w:szCs w:val="20"/>
                <w:color w:val="auto"/>
              </w:rPr>
            </w:pPr>
            <w:r>
              <w:rPr>
                <w:rFonts w:ascii="Arial" w:cs="Arial" w:eastAsia="Arial" w:hAnsi="Arial"/>
                <w:sz w:val="18"/>
                <w:szCs w:val="18"/>
                <w:color w:val="auto"/>
              </w:rPr>
              <w:t>31.2</w:t>
            </w:r>
          </w:p>
        </w:tc>
        <w:tc>
          <w:tcPr>
            <w:tcW w:w="10140" w:type="dxa"/>
            <w:vAlign w:val="bottom"/>
          </w:tcPr>
          <w:p>
            <w:pPr>
              <w:ind w:left="160"/>
              <w:spacing w:after="0"/>
              <w:rPr>
                <w:sz w:val="20"/>
                <w:szCs w:val="20"/>
                <w:color w:val="auto"/>
              </w:rPr>
            </w:pPr>
            <w:r>
              <w:rPr>
                <w:rFonts w:ascii="Arial" w:cs="Arial" w:eastAsia="Arial" w:hAnsi="Arial"/>
                <w:sz w:val="18"/>
                <w:szCs w:val="18"/>
                <w:color w:val="auto"/>
                <w:w w:val="89"/>
              </w:rPr>
              <w:t>Certification of Chief Financial Officer pursuant to 18 U.S.C. Section 1350, as adopted pursuant to Section 302 of the Sarbanes-Oxley Act of</w:t>
            </w:r>
          </w:p>
        </w:tc>
      </w:tr>
      <w:tr>
        <w:trPr>
          <w:trHeight w:val="222"/>
        </w:trPr>
        <w:tc>
          <w:tcPr>
            <w:tcW w:w="1000" w:type="dxa"/>
            <w:vAlign w:val="bottom"/>
          </w:tcPr>
          <w:p>
            <w:pPr>
              <w:spacing w:after="0"/>
              <w:rPr>
                <w:sz w:val="19"/>
                <w:szCs w:val="19"/>
                <w:color w:val="auto"/>
              </w:rPr>
            </w:pPr>
          </w:p>
        </w:tc>
        <w:tc>
          <w:tcPr>
            <w:tcW w:w="10140" w:type="dxa"/>
            <w:vAlign w:val="bottom"/>
          </w:tcPr>
          <w:p>
            <w:pPr>
              <w:ind w:left="160"/>
              <w:spacing w:after="0"/>
              <w:rPr>
                <w:sz w:val="20"/>
                <w:szCs w:val="20"/>
                <w:color w:val="auto"/>
              </w:rPr>
            </w:pPr>
            <w:r>
              <w:rPr>
                <w:rFonts w:ascii="Arial" w:cs="Arial" w:eastAsia="Arial" w:hAnsi="Arial"/>
                <w:sz w:val="18"/>
                <w:szCs w:val="18"/>
                <w:color w:val="auto"/>
              </w:rPr>
              <w:t>2002</w:t>
            </w:r>
          </w:p>
        </w:tc>
      </w:tr>
      <w:tr>
        <w:trPr>
          <w:trHeight w:val="318"/>
        </w:trPr>
        <w:tc>
          <w:tcPr>
            <w:tcW w:w="1000" w:type="dxa"/>
            <w:vAlign w:val="bottom"/>
          </w:tcPr>
          <w:p>
            <w:pPr>
              <w:ind w:left="100"/>
              <w:spacing w:after="0"/>
              <w:rPr>
                <w:sz w:val="20"/>
                <w:szCs w:val="20"/>
                <w:color w:val="auto"/>
              </w:rPr>
            </w:pPr>
            <w:r>
              <w:rPr>
                <w:rFonts w:ascii="Arial" w:cs="Arial" w:eastAsia="Arial" w:hAnsi="Arial"/>
                <w:sz w:val="18"/>
                <w:szCs w:val="18"/>
                <w:color w:val="auto"/>
              </w:rPr>
              <w:t>32.1*</w:t>
            </w:r>
          </w:p>
        </w:tc>
        <w:tc>
          <w:tcPr>
            <w:tcW w:w="10140" w:type="dxa"/>
            <w:vAlign w:val="bottom"/>
          </w:tcPr>
          <w:p>
            <w:pPr>
              <w:ind w:left="160"/>
              <w:spacing w:after="0"/>
              <w:rPr>
                <w:sz w:val="20"/>
                <w:szCs w:val="20"/>
                <w:color w:val="auto"/>
              </w:rPr>
            </w:pPr>
            <w:r>
              <w:rPr>
                <w:rFonts w:ascii="Arial" w:cs="Arial" w:eastAsia="Arial" w:hAnsi="Arial"/>
                <w:sz w:val="18"/>
                <w:szCs w:val="18"/>
                <w:color w:val="auto"/>
                <w:w w:val="88"/>
              </w:rPr>
              <w:t>Certification of Chief Executive Officer pursuant to 18 U.S.C. Section 1350, as adopted pursuant to Section 906 of the Sarbanes-Oxley Act of</w:t>
            </w:r>
          </w:p>
        </w:tc>
      </w:tr>
      <w:tr>
        <w:trPr>
          <w:trHeight w:val="222"/>
        </w:trPr>
        <w:tc>
          <w:tcPr>
            <w:tcW w:w="1000" w:type="dxa"/>
            <w:vAlign w:val="bottom"/>
          </w:tcPr>
          <w:p>
            <w:pPr>
              <w:spacing w:after="0"/>
              <w:rPr>
                <w:sz w:val="19"/>
                <w:szCs w:val="19"/>
                <w:color w:val="auto"/>
              </w:rPr>
            </w:pPr>
          </w:p>
        </w:tc>
        <w:tc>
          <w:tcPr>
            <w:tcW w:w="10140" w:type="dxa"/>
            <w:vAlign w:val="bottom"/>
          </w:tcPr>
          <w:p>
            <w:pPr>
              <w:ind w:left="160"/>
              <w:spacing w:after="0"/>
              <w:rPr>
                <w:sz w:val="20"/>
                <w:szCs w:val="20"/>
                <w:color w:val="auto"/>
              </w:rPr>
            </w:pPr>
            <w:r>
              <w:rPr>
                <w:rFonts w:ascii="Arial" w:cs="Arial" w:eastAsia="Arial" w:hAnsi="Arial"/>
                <w:sz w:val="18"/>
                <w:szCs w:val="18"/>
                <w:color w:val="auto"/>
              </w:rPr>
              <w:t>2002</w:t>
            </w:r>
          </w:p>
        </w:tc>
      </w:tr>
      <w:tr>
        <w:trPr>
          <w:trHeight w:val="318"/>
        </w:trPr>
        <w:tc>
          <w:tcPr>
            <w:tcW w:w="1000" w:type="dxa"/>
            <w:vAlign w:val="bottom"/>
          </w:tcPr>
          <w:p>
            <w:pPr>
              <w:ind w:left="100"/>
              <w:spacing w:after="0"/>
              <w:rPr>
                <w:sz w:val="20"/>
                <w:szCs w:val="20"/>
                <w:color w:val="auto"/>
              </w:rPr>
            </w:pPr>
            <w:r>
              <w:rPr>
                <w:rFonts w:ascii="Arial" w:cs="Arial" w:eastAsia="Arial" w:hAnsi="Arial"/>
                <w:sz w:val="18"/>
                <w:szCs w:val="18"/>
                <w:color w:val="auto"/>
              </w:rPr>
              <w:t>32.2*</w:t>
            </w:r>
          </w:p>
        </w:tc>
        <w:tc>
          <w:tcPr>
            <w:tcW w:w="10140" w:type="dxa"/>
            <w:vAlign w:val="bottom"/>
          </w:tcPr>
          <w:p>
            <w:pPr>
              <w:ind w:left="160"/>
              <w:spacing w:after="0"/>
              <w:rPr>
                <w:sz w:val="20"/>
                <w:szCs w:val="20"/>
                <w:color w:val="auto"/>
              </w:rPr>
            </w:pPr>
            <w:r>
              <w:rPr>
                <w:rFonts w:ascii="Arial" w:cs="Arial" w:eastAsia="Arial" w:hAnsi="Arial"/>
                <w:sz w:val="18"/>
                <w:szCs w:val="18"/>
                <w:color w:val="auto"/>
                <w:w w:val="89"/>
              </w:rPr>
              <w:t>Certification of Chief Financial Officer pursuant to 18 U.S.C. Section 1350, as adopted pursuant to Section 906 of the Sarbanes-Oxley Act of</w:t>
            </w:r>
          </w:p>
        </w:tc>
      </w:tr>
      <w:tr>
        <w:trPr>
          <w:trHeight w:val="222"/>
        </w:trPr>
        <w:tc>
          <w:tcPr>
            <w:tcW w:w="1000" w:type="dxa"/>
            <w:vAlign w:val="bottom"/>
          </w:tcPr>
          <w:p>
            <w:pPr>
              <w:spacing w:after="0"/>
              <w:rPr>
                <w:sz w:val="19"/>
                <w:szCs w:val="19"/>
                <w:color w:val="auto"/>
              </w:rPr>
            </w:pPr>
          </w:p>
        </w:tc>
        <w:tc>
          <w:tcPr>
            <w:tcW w:w="10140" w:type="dxa"/>
            <w:vAlign w:val="bottom"/>
          </w:tcPr>
          <w:p>
            <w:pPr>
              <w:ind w:left="160"/>
              <w:spacing w:after="0"/>
              <w:rPr>
                <w:sz w:val="20"/>
                <w:szCs w:val="20"/>
                <w:color w:val="auto"/>
              </w:rPr>
            </w:pPr>
            <w:r>
              <w:rPr>
                <w:rFonts w:ascii="Arial" w:cs="Arial" w:eastAsia="Arial" w:hAnsi="Arial"/>
                <w:sz w:val="18"/>
                <w:szCs w:val="18"/>
                <w:color w:val="auto"/>
              </w:rPr>
              <w:t>2002</w:t>
            </w:r>
          </w:p>
        </w:tc>
      </w:tr>
      <w:tr>
        <w:trPr>
          <w:trHeight w:val="324"/>
        </w:trPr>
        <w:tc>
          <w:tcPr>
            <w:tcW w:w="1000" w:type="dxa"/>
            <w:vAlign w:val="bottom"/>
          </w:tcPr>
          <w:p>
            <w:pPr>
              <w:spacing w:after="0"/>
              <w:rPr>
                <w:sz w:val="20"/>
                <w:szCs w:val="20"/>
                <w:color w:val="auto"/>
              </w:rPr>
            </w:pPr>
            <w:r>
              <w:rPr>
                <w:rFonts w:ascii="Arial" w:cs="Arial" w:eastAsia="Arial" w:hAnsi="Arial"/>
                <w:sz w:val="18"/>
                <w:szCs w:val="18"/>
                <w:color w:val="auto"/>
              </w:rPr>
              <w:t>101.INS**</w:t>
            </w:r>
          </w:p>
        </w:tc>
        <w:tc>
          <w:tcPr>
            <w:tcW w:w="10140" w:type="dxa"/>
            <w:vAlign w:val="bottom"/>
          </w:tcPr>
          <w:p>
            <w:pPr>
              <w:ind w:left="160"/>
              <w:spacing w:after="0"/>
              <w:rPr>
                <w:sz w:val="20"/>
                <w:szCs w:val="20"/>
                <w:color w:val="auto"/>
              </w:rPr>
            </w:pPr>
            <w:r>
              <w:rPr>
                <w:rFonts w:ascii="Arial" w:cs="Arial" w:eastAsia="Arial" w:hAnsi="Arial"/>
                <w:sz w:val="18"/>
                <w:szCs w:val="18"/>
                <w:color w:val="auto"/>
              </w:rPr>
              <w:t>XBRL Instance Document</w:t>
            </w:r>
          </w:p>
        </w:tc>
      </w:tr>
      <w:tr>
        <w:trPr>
          <w:trHeight w:val="324"/>
        </w:trPr>
        <w:tc>
          <w:tcPr>
            <w:tcW w:w="1000" w:type="dxa"/>
            <w:vAlign w:val="bottom"/>
          </w:tcPr>
          <w:p>
            <w:pPr>
              <w:spacing w:after="0"/>
              <w:rPr>
                <w:sz w:val="20"/>
                <w:szCs w:val="20"/>
                <w:color w:val="auto"/>
              </w:rPr>
            </w:pPr>
            <w:r>
              <w:rPr>
                <w:rFonts w:ascii="Arial" w:cs="Arial" w:eastAsia="Arial" w:hAnsi="Arial"/>
                <w:sz w:val="18"/>
                <w:szCs w:val="18"/>
                <w:color w:val="auto"/>
              </w:rPr>
              <w:t>101.SCH**</w:t>
            </w:r>
          </w:p>
        </w:tc>
        <w:tc>
          <w:tcPr>
            <w:tcW w:w="10140" w:type="dxa"/>
            <w:vAlign w:val="bottom"/>
          </w:tcPr>
          <w:p>
            <w:pPr>
              <w:ind w:left="160"/>
              <w:spacing w:after="0"/>
              <w:rPr>
                <w:sz w:val="20"/>
                <w:szCs w:val="20"/>
                <w:color w:val="auto"/>
              </w:rPr>
            </w:pPr>
            <w:r>
              <w:rPr>
                <w:rFonts w:ascii="Arial" w:cs="Arial" w:eastAsia="Arial" w:hAnsi="Arial"/>
                <w:sz w:val="18"/>
                <w:szCs w:val="18"/>
                <w:color w:val="auto"/>
              </w:rPr>
              <w:t>XBRL Taxonomy Extension Schema Document</w:t>
            </w:r>
          </w:p>
        </w:tc>
      </w:tr>
      <w:tr>
        <w:trPr>
          <w:trHeight w:val="324"/>
        </w:trPr>
        <w:tc>
          <w:tcPr>
            <w:tcW w:w="1000" w:type="dxa"/>
            <w:vAlign w:val="bottom"/>
          </w:tcPr>
          <w:p>
            <w:pPr>
              <w:spacing w:after="0"/>
              <w:rPr>
                <w:sz w:val="20"/>
                <w:szCs w:val="20"/>
                <w:color w:val="auto"/>
              </w:rPr>
            </w:pPr>
            <w:r>
              <w:rPr>
                <w:rFonts w:ascii="Arial" w:cs="Arial" w:eastAsia="Arial" w:hAnsi="Arial"/>
                <w:sz w:val="18"/>
                <w:szCs w:val="18"/>
                <w:color w:val="auto"/>
              </w:rPr>
              <w:t>101.CAL**</w:t>
            </w:r>
          </w:p>
        </w:tc>
        <w:tc>
          <w:tcPr>
            <w:tcW w:w="10140" w:type="dxa"/>
            <w:vAlign w:val="bottom"/>
          </w:tcPr>
          <w:p>
            <w:pPr>
              <w:ind w:left="160"/>
              <w:spacing w:after="0"/>
              <w:rPr>
                <w:sz w:val="20"/>
                <w:szCs w:val="20"/>
                <w:color w:val="auto"/>
              </w:rPr>
            </w:pPr>
            <w:r>
              <w:rPr>
                <w:rFonts w:ascii="Arial" w:cs="Arial" w:eastAsia="Arial" w:hAnsi="Arial"/>
                <w:sz w:val="18"/>
                <w:szCs w:val="18"/>
                <w:color w:val="auto"/>
              </w:rPr>
              <w:t>XBRL Taxonomy Extension Calculation Linkbase Document</w:t>
            </w:r>
          </w:p>
        </w:tc>
      </w:tr>
      <w:tr>
        <w:trPr>
          <w:trHeight w:val="324"/>
        </w:trPr>
        <w:tc>
          <w:tcPr>
            <w:tcW w:w="1000" w:type="dxa"/>
            <w:vAlign w:val="bottom"/>
          </w:tcPr>
          <w:p>
            <w:pPr>
              <w:spacing w:after="0"/>
              <w:rPr>
                <w:sz w:val="20"/>
                <w:szCs w:val="20"/>
                <w:color w:val="auto"/>
              </w:rPr>
            </w:pPr>
            <w:r>
              <w:rPr>
                <w:rFonts w:ascii="Arial" w:cs="Arial" w:eastAsia="Arial" w:hAnsi="Arial"/>
                <w:sz w:val="18"/>
                <w:szCs w:val="18"/>
                <w:color w:val="auto"/>
              </w:rPr>
              <w:t>101.LAB**</w:t>
            </w:r>
          </w:p>
        </w:tc>
        <w:tc>
          <w:tcPr>
            <w:tcW w:w="10140" w:type="dxa"/>
            <w:vAlign w:val="bottom"/>
          </w:tcPr>
          <w:p>
            <w:pPr>
              <w:ind w:left="160"/>
              <w:spacing w:after="0"/>
              <w:rPr>
                <w:sz w:val="20"/>
                <w:szCs w:val="20"/>
                <w:color w:val="auto"/>
              </w:rPr>
            </w:pPr>
            <w:r>
              <w:rPr>
                <w:rFonts w:ascii="Arial" w:cs="Arial" w:eastAsia="Arial" w:hAnsi="Arial"/>
                <w:sz w:val="18"/>
                <w:szCs w:val="18"/>
                <w:color w:val="auto"/>
              </w:rPr>
              <w:t>XBRL Taxonomy Extension Label Linkbase Document</w:t>
            </w:r>
          </w:p>
        </w:tc>
      </w:tr>
      <w:tr>
        <w:trPr>
          <w:trHeight w:val="324"/>
        </w:trPr>
        <w:tc>
          <w:tcPr>
            <w:tcW w:w="1000" w:type="dxa"/>
            <w:vAlign w:val="bottom"/>
          </w:tcPr>
          <w:p>
            <w:pPr>
              <w:spacing w:after="0"/>
              <w:rPr>
                <w:sz w:val="20"/>
                <w:szCs w:val="20"/>
                <w:color w:val="auto"/>
              </w:rPr>
            </w:pPr>
            <w:r>
              <w:rPr>
                <w:rFonts w:ascii="Arial" w:cs="Arial" w:eastAsia="Arial" w:hAnsi="Arial"/>
                <w:sz w:val="18"/>
                <w:szCs w:val="18"/>
                <w:color w:val="auto"/>
              </w:rPr>
              <w:t>101.PRE**</w:t>
            </w:r>
          </w:p>
        </w:tc>
        <w:tc>
          <w:tcPr>
            <w:tcW w:w="10140" w:type="dxa"/>
            <w:vAlign w:val="bottom"/>
          </w:tcPr>
          <w:p>
            <w:pPr>
              <w:ind w:left="160"/>
              <w:spacing w:after="0"/>
              <w:rPr>
                <w:sz w:val="20"/>
                <w:szCs w:val="20"/>
                <w:color w:val="auto"/>
              </w:rPr>
            </w:pPr>
            <w:r>
              <w:rPr>
                <w:rFonts w:ascii="Arial" w:cs="Arial" w:eastAsia="Arial" w:hAnsi="Arial"/>
                <w:sz w:val="18"/>
                <w:szCs w:val="18"/>
                <w:color w:val="auto"/>
              </w:rPr>
              <w:t>XBRL Taxonomy Extension Presentation Linkbase Document</w:t>
            </w: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69850</wp:posOffset>
            </wp:positionV>
            <wp:extent cx="728980" cy="8890"/>
            <wp:wrapNone/>
            <wp:docPr id="66" name="Picture 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
                    <pic:cNvPicPr>
                      <a:picLocks noChangeAspect="1" noChangeArrowheads="1"/>
                    </pic:cNvPicPr>
                  </pic:nvPicPr>
                  <pic:blipFill>
                    <a:blip r:embed="rId73">
                      <a:extLst>
                        <a:ext uri="{28A0092B-C50C-407E-A947-70E740481C1C}"/>
                      </a:extLst>
                    </a:blip>
                    <a:srcRect/>
                    <a:stretch>
                      <a:fillRect/>
                    </a:stretch>
                  </pic:blipFill>
                  <pic:spPr bwMode="auto">
                    <a:xfrm>
                      <a:off x="0" y="0"/>
                      <a:ext cx="728980" cy="8890"/>
                    </a:xfrm>
                    <a:prstGeom prst="rect">
                      <a:avLst/>
                    </a:prstGeom>
                    <a:noFill/>
                  </pic:spPr>
                </pic:pic>
              </a:graphicData>
            </a:graphic>
          </wp:anchor>
        </w:drawing>
      </w:r>
    </w:p>
    <w:p>
      <w:pPr>
        <w:spacing w:after="0" w:line="122" w:lineRule="exact"/>
        <w:rPr>
          <w:sz w:val="20"/>
          <w:szCs w:val="20"/>
          <w:color w:val="auto"/>
        </w:rPr>
      </w:pPr>
    </w:p>
    <w:p>
      <w:pPr>
        <w:ind w:left="460" w:hanging="452"/>
        <w:spacing w:after="0"/>
        <w:tabs>
          <w:tab w:leader="none" w:pos="460" w:val="left"/>
        </w:tabs>
        <w:numPr>
          <w:ilvl w:val="0"/>
          <w:numId w:val="14"/>
        </w:numPr>
        <w:rPr>
          <w:rFonts w:ascii="Arial" w:cs="Arial" w:eastAsia="Arial" w:hAnsi="Arial"/>
          <w:sz w:val="18"/>
          <w:szCs w:val="18"/>
          <w:color w:val="auto"/>
        </w:rPr>
      </w:pPr>
      <w:r>
        <w:rPr>
          <w:rFonts w:ascii="Arial" w:cs="Arial" w:eastAsia="Arial" w:hAnsi="Arial"/>
          <w:sz w:val="18"/>
          <w:szCs w:val="18"/>
          <w:color w:val="auto"/>
        </w:rPr>
        <w:t>Indicates management compensatory plan, contract or arrangement.</w:t>
      </w:r>
    </w:p>
    <w:p>
      <w:pPr>
        <w:spacing w:after="0" w:line="15" w:lineRule="exact"/>
        <w:rPr>
          <w:sz w:val="20"/>
          <w:szCs w:val="20"/>
          <w:color w:val="auto"/>
        </w:rPr>
      </w:pPr>
    </w:p>
    <w:p>
      <w:pPr>
        <w:ind w:left="460" w:right="120" w:hanging="452"/>
        <w:spacing w:after="0" w:line="281" w:lineRule="auto"/>
        <w:tabs>
          <w:tab w:leader="none" w:pos="460" w:val="left"/>
        </w:tabs>
        <w:numPr>
          <w:ilvl w:val="0"/>
          <w:numId w:val="15"/>
        </w:numPr>
        <w:rPr>
          <w:rFonts w:ascii="Arial" w:cs="Arial" w:eastAsia="Arial" w:hAnsi="Arial"/>
          <w:sz w:val="16"/>
          <w:szCs w:val="16"/>
          <w:color w:val="auto"/>
        </w:rPr>
      </w:pPr>
      <w:r>
        <w:rPr>
          <w:rFonts w:ascii="Arial" w:cs="Arial" w:eastAsia="Arial" w:hAnsi="Arial"/>
          <w:sz w:val="16"/>
          <w:szCs w:val="16"/>
          <w:color w:val="auto"/>
        </w:rPr>
        <w:t>In accordance with Item 601(b)(32)(ii) of Regulation S-K and SEC Release No. 33-8238 and 34-47986, Final Rule: Management’s Reports on Internal Control Over Financial Reporting and Certification of Disclosure in Exchange Act Periodic Reports, the certifications furnished in Exhibits 32.1 and 32.2 hereto are deemed to accompany this Form 10-Q and will not be deemed “filed” for purposes of Section 18 of the Exchange Act. Such certifications will</w:t>
      </w:r>
    </w:p>
    <w:p>
      <w:pPr>
        <w:spacing w:after="0" w:line="2" w:lineRule="exact"/>
        <w:rPr>
          <w:sz w:val="20"/>
          <w:szCs w:val="20"/>
          <w:color w:val="auto"/>
        </w:rPr>
      </w:pPr>
    </w:p>
    <w:p>
      <w:pPr>
        <w:ind w:left="460" w:right="40"/>
        <w:spacing w:after="0" w:line="250" w:lineRule="auto"/>
        <w:rPr>
          <w:sz w:val="20"/>
          <w:szCs w:val="20"/>
          <w:color w:val="auto"/>
        </w:rPr>
      </w:pPr>
      <w:r>
        <w:rPr>
          <w:rFonts w:ascii="Arial" w:cs="Arial" w:eastAsia="Arial" w:hAnsi="Arial"/>
          <w:sz w:val="18"/>
          <w:szCs w:val="18"/>
          <w:color w:val="auto"/>
        </w:rPr>
        <w:t>not be deemed to be incorporated by reference into any filings under the Securities Act of 1933, as amended, or the Exchange Act, except to the extent that the registrant specifically incorporates it by reference.</w:t>
      </w:r>
    </w:p>
    <w:p>
      <w:pPr>
        <w:spacing w:after="0" w:line="1" w:lineRule="exact"/>
        <w:rPr>
          <w:sz w:val="20"/>
          <w:szCs w:val="20"/>
          <w:color w:val="auto"/>
        </w:rPr>
      </w:pPr>
    </w:p>
    <w:p>
      <w:pPr>
        <w:ind w:left="460" w:hanging="452"/>
        <w:spacing w:after="0" w:line="253" w:lineRule="auto"/>
        <w:tabs>
          <w:tab w:leader="none" w:pos="460" w:val="left"/>
        </w:tabs>
        <w:numPr>
          <w:ilvl w:val="0"/>
          <w:numId w:val="16"/>
        </w:numPr>
        <w:rPr>
          <w:rFonts w:ascii="Arial" w:cs="Arial" w:eastAsia="Arial" w:hAnsi="Arial"/>
          <w:sz w:val="18"/>
          <w:szCs w:val="18"/>
          <w:color w:val="auto"/>
        </w:rPr>
      </w:pPr>
      <w:r>
        <w:rPr>
          <w:rFonts w:ascii="Arial" w:cs="Arial" w:eastAsia="Arial" w:hAnsi="Arial"/>
          <w:sz w:val="18"/>
          <w:szCs w:val="18"/>
          <w:color w:val="auto"/>
        </w:rPr>
        <w:t>Pursuant to applicable securities laws and regulations, we are deemed to have complied with the reporting obligation relating to the submission of interactive data files in such exhibits and are not subject to liability under any anti-fraud provisions of the federal securities laws as long as we have made a good faith attempt to comply with the submission requirements and promptly amend the interactive data files after becoming aware that the interactive data files fail to comply with the submission requirements. Users of this data are advised that, pursuant to Rule 406T, these interactive data files are deemed not filed and otherwise are not subject to liability.</w:t>
      </w:r>
    </w:p>
    <w:p>
      <w:pPr>
        <w:spacing w:after="0" w:line="132" w:lineRule="exact"/>
        <w:rPr>
          <w:sz w:val="20"/>
          <w:szCs w:val="20"/>
          <w:color w:val="auto"/>
        </w:rPr>
      </w:pPr>
    </w:p>
    <w:p>
      <w:pPr>
        <w:jc w:val="center"/>
        <w:ind w:right="-59"/>
        <w:spacing w:after="0"/>
        <w:rPr>
          <w:sz w:val="20"/>
          <w:szCs w:val="20"/>
          <w:color w:val="auto"/>
        </w:rPr>
      </w:pPr>
      <w:r>
        <w:rPr>
          <w:rFonts w:ascii="Arial" w:cs="Arial" w:eastAsia="Arial" w:hAnsi="Arial"/>
          <w:sz w:val="18"/>
          <w:szCs w:val="18"/>
          <w:color w:val="auto"/>
        </w:rPr>
        <w:t>57</w:t>
      </w:r>
    </w:p>
    <w:p>
      <w:pPr>
        <w:sectPr>
          <w:pgSz w:w="11900" w:h="16838" w:orient="portrait"/>
          <w:cols w:equalWidth="0" w:num="1">
            <w:col w:w="11380"/>
          </w:cols>
          <w:pgMar w:left="240" w:top="459" w:right="279" w:bottom="1440" w:gutter="0" w:footer="0" w:header="0"/>
        </w:sectPr>
      </w:pPr>
    </w:p>
    <w:bookmarkStart w:id="57" w:name="page58"/>
    <w:bookmarkEnd w:id="57"/>
    <w:p>
      <w:pPr>
        <w:jc w:val="right"/>
        <w:spacing w:after="0"/>
        <w:rPr>
          <w:sz w:val="20"/>
          <w:szCs w:val="20"/>
          <w:color w:val="auto"/>
        </w:rPr>
      </w:pPr>
      <w:r>
        <w:rPr>
          <w:rFonts w:ascii="Arial" w:cs="Arial" w:eastAsia="Arial" w:hAnsi="Arial"/>
          <w:sz w:val="18"/>
          <w:szCs w:val="18"/>
          <w:b w:val="1"/>
          <w:bCs w:val="1"/>
          <w:color w:val="auto"/>
        </w:rPr>
        <w:t>Exhibit 10.1</w:t>
      </w:r>
    </w:p>
    <w:p>
      <w:pPr>
        <w:spacing w:after="0" w:line="171"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AMENDMENT TO THE MARVELL TECHNOLOGY GROUP LTD.</w:t>
      </w:r>
    </w:p>
    <w:p>
      <w:pPr>
        <w:spacing w:after="0" w:line="21"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AMENDED AND RESTATED 1995 STOCK OPTION PLAN</w:t>
      </w:r>
    </w:p>
    <w:p>
      <w:pPr>
        <w:spacing w:after="0" w:line="165" w:lineRule="exact"/>
        <w:rPr>
          <w:sz w:val="20"/>
          <w:szCs w:val="20"/>
          <w:color w:val="auto"/>
        </w:rPr>
      </w:pPr>
    </w:p>
    <w:p>
      <w:pPr>
        <w:ind w:left="460"/>
        <w:spacing w:after="0"/>
        <w:rPr>
          <w:sz w:val="20"/>
          <w:szCs w:val="20"/>
          <w:color w:val="auto"/>
        </w:rPr>
      </w:pPr>
      <w:r>
        <w:rPr>
          <w:rFonts w:ascii="Arial" w:cs="Arial" w:eastAsia="Arial" w:hAnsi="Arial"/>
          <w:sz w:val="16"/>
          <w:szCs w:val="16"/>
          <w:color w:val="auto"/>
        </w:rPr>
        <w:t>The Marvell Technology Group Ltd. Amended and Restated 1995 Stock Option Plan (the “Plan”) is hereby amended effective June 10, 2009, as follows:</w:t>
      </w:r>
    </w:p>
    <w:p>
      <w:pPr>
        <w:spacing w:after="0" w:line="194" w:lineRule="exact"/>
        <w:rPr>
          <w:sz w:val="20"/>
          <w:szCs w:val="20"/>
          <w:color w:val="auto"/>
        </w:rPr>
      </w:pPr>
    </w:p>
    <w:p>
      <w:pPr>
        <w:ind w:left="460"/>
        <w:spacing w:after="0"/>
        <w:rPr>
          <w:sz w:val="20"/>
          <w:szCs w:val="20"/>
          <w:color w:val="auto"/>
        </w:rPr>
      </w:pPr>
      <w:r>
        <w:rPr>
          <w:rFonts w:ascii="Arial" w:cs="Arial" w:eastAsia="Arial" w:hAnsi="Arial"/>
          <w:sz w:val="18"/>
          <w:szCs w:val="18"/>
          <w:color w:val="auto"/>
        </w:rPr>
        <w:t>1. The first sentence of Section 3 of the Plan is amended to provide in its entirety as follows:</w:t>
      </w:r>
    </w:p>
    <w:p>
      <w:pPr>
        <w:spacing w:after="0" w:line="171" w:lineRule="exact"/>
        <w:rPr>
          <w:sz w:val="20"/>
          <w:szCs w:val="20"/>
          <w:color w:val="auto"/>
        </w:rPr>
      </w:pPr>
    </w:p>
    <w:p>
      <w:pPr>
        <w:ind w:right="240" w:firstLine="456"/>
        <w:spacing w:after="0" w:line="255" w:lineRule="auto"/>
        <w:rPr>
          <w:sz w:val="20"/>
          <w:szCs w:val="20"/>
          <w:color w:val="auto"/>
        </w:rPr>
      </w:pPr>
      <w:r>
        <w:rPr>
          <w:rFonts w:ascii="Arial" w:cs="Arial" w:eastAsia="Arial" w:hAnsi="Arial"/>
          <w:sz w:val="18"/>
          <w:szCs w:val="18"/>
          <w:color w:val="auto"/>
        </w:rPr>
        <w:t>Subject to Section 14, Shares that may be issued with respect to Awards granted under the Plan shall not exceed an aggregate of 383,440,718. Shares of Common Stock; provided however, that on the first business day of each fiscal year starting January 31, 2010 or after, and continuing until the earlier of January 31, 2013 or termination of the Plan, there shall be added to this Plan the lesser of an additional (i) 40,000,000 shares of Common Stock, or (ii) 5.0% of the outstanding shares of capital stock on such date, or (iii) an amount determined by the Board (provided that the amount approved by the Board shall not be greater than (i) or (ii)).</w:t>
      </w:r>
    </w:p>
    <w:p>
      <w:pPr>
        <w:sectPr>
          <w:pgSz w:w="11900" w:h="16838" w:orient="portrait"/>
          <w:cols w:equalWidth="0" w:num="1">
            <w:col w:w="11420"/>
          </w:cols>
          <w:pgMar w:left="240" w:top="125" w:right="239" w:bottom="1440" w:gutter="0" w:footer="0" w:header="0"/>
        </w:sectPr>
      </w:pPr>
    </w:p>
    <w:bookmarkStart w:id="58" w:name="page59"/>
    <w:bookmarkEnd w:id="58"/>
    <w:p>
      <w:pPr>
        <w:jc w:val="right"/>
        <w:spacing w:after="0"/>
        <w:rPr>
          <w:sz w:val="20"/>
          <w:szCs w:val="20"/>
          <w:color w:val="auto"/>
        </w:rPr>
      </w:pPr>
      <w:r>
        <w:rPr>
          <w:rFonts w:ascii="Arial" w:cs="Arial" w:eastAsia="Arial" w:hAnsi="Arial"/>
          <w:sz w:val="18"/>
          <w:szCs w:val="18"/>
          <w:b w:val="1"/>
          <w:bCs w:val="1"/>
          <w:color w:val="auto"/>
        </w:rPr>
        <w:t>Exhibit 10.3</w:t>
      </w:r>
    </w:p>
    <w:p>
      <w:pPr>
        <w:spacing w:after="0" w:line="171"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MARVELL TECHNOLOGY GROUP LTD.</w:t>
      </w:r>
    </w:p>
    <w:p>
      <w:pPr>
        <w:spacing w:after="0" w:line="21"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2000 EMPLOYEE STOCK PURCHASE PLAN</w:t>
      </w:r>
    </w:p>
    <w:p>
      <w:pPr>
        <w:spacing w:after="0" w:line="9"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SUBSCRIPTION AGREEMENT</w:t>
      </w:r>
    </w:p>
    <w:p>
      <w:pPr>
        <w:spacing w:after="0" w:line="159" w:lineRule="exact"/>
        <w:rPr>
          <w:sz w:val="20"/>
          <w:szCs w:val="20"/>
          <w:color w:val="auto"/>
        </w:rPr>
      </w:pPr>
    </w:p>
    <w:p>
      <w:pPr>
        <w:spacing w:after="0"/>
        <w:tabs>
          <w:tab w:leader="none" w:pos="2860" w:val="left"/>
        </w:tabs>
        <w:rPr>
          <w:sz w:val="20"/>
          <w:szCs w:val="20"/>
          <w:color w:val="auto"/>
        </w:rPr>
      </w:pPr>
      <w:r>
        <w:rPr>
          <w:rFonts w:ascii="Arial" w:cs="Arial" w:eastAsia="Arial" w:hAnsi="Arial"/>
          <w:sz w:val="18"/>
          <w:szCs w:val="18"/>
          <w:b w:val="1"/>
          <w:bCs w:val="1"/>
          <w:color w:val="auto"/>
        </w:rPr>
        <w:t>E</w:t>
      </w:r>
      <w:r>
        <w:rPr>
          <w:rFonts w:ascii="Arial" w:cs="Arial" w:eastAsia="Arial" w:hAnsi="Arial"/>
          <w:sz w:val="14"/>
          <w:szCs w:val="14"/>
          <w:b w:val="1"/>
          <w:bCs w:val="1"/>
          <w:color w:val="auto"/>
        </w:rPr>
        <w:t>NROLLMENT</w:t>
      </w:r>
      <w:r>
        <w:rPr>
          <w:rFonts w:ascii="Arial" w:cs="Arial" w:eastAsia="Arial" w:hAnsi="Arial"/>
          <w:sz w:val="18"/>
          <w:szCs w:val="18"/>
          <w:b w:val="1"/>
          <w:bCs w:val="1"/>
          <w:color w:val="auto"/>
        </w:rPr>
        <w:t xml:space="preserve"> D</w:t>
      </w:r>
      <w:r>
        <w:rPr>
          <w:rFonts w:ascii="Arial" w:cs="Arial" w:eastAsia="Arial" w:hAnsi="Arial"/>
          <w:sz w:val="14"/>
          <w:szCs w:val="14"/>
          <w:b w:val="1"/>
          <w:bCs w:val="1"/>
          <w:color w:val="auto"/>
        </w:rPr>
        <w:t>ATE</w:t>
      </w:r>
      <w:r>
        <w:rPr>
          <w:rFonts w:ascii="Arial" w:cs="Arial" w:eastAsia="Arial" w:hAnsi="Arial"/>
          <w:sz w:val="18"/>
          <w:szCs w:val="18"/>
          <w:b w:val="1"/>
          <w:bCs w:val="1"/>
          <w:color w:val="auto"/>
        </w:rPr>
        <w:t>:</w:t>
      </w:r>
      <w:r>
        <w:rPr>
          <w:sz w:val="20"/>
          <w:szCs w:val="20"/>
          <w:color w:val="auto"/>
        </w:rPr>
        <w:tab/>
      </w:r>
      <w:r>
        <w:rPr>
          <w:rFonts w:ascii="Arial" w:cs="Arial" w:eastAsia="Arial" w:hAnsi="Arial"/>
          <w:sz w:val="18"/>
          <w:szCs w:val="18"/>
          <w:b w:val="1"/>
          <w:bCs w:val="1"/>
          <w:color w:val="auto"/>
        </w:rPr>
        <w:t xml:space="preserve">I </w:t>
      </w:r>
      <w:r>
        <w:rPr>
          <w:rFonts w:ascii="Arial" w:cs="Arial" w:eastAsia="Arial" w:hAnsi="Arial"/>
          <w:sz w:val="14"/>
          <w:szCs w:val="14"/>
          <w:b w:val="1"/>
          <w:bCs w:val="1"/>
          <w:color w:val="auto"/>
        </w:rPr>
        <w:t>UNDERSTAND THAT THIS</w:t>
      </w:r>
      <w:r>
        <w:rPr>
          <w:rFonts w:ascii="Arial" w:cs="Arial" w:eastAsia="Arial" w:hAnsi="Arial"/>
          <w:sz w:val="18"/>
          <w:szCs w:val="18"/>
          <w:b w:val="1"/>
          <w:bCs w:val="1"/>
          <w:color w:val="auto"/>
        </w:rPr>
        <w:t xml:space="preserve"> S</w:t>
      </w:r>
      <w:r>
        <w:rPr>
          <w:rFonts w:ascii="Arial" w:cs="Arial" w:eastAsia="Arial" w:hAnsi="Arial"/>
          <w:sz w:val="14"/>
          <w:szCs w:val="14"/>
          <w:b w:val="1"/>
          <w:bCs w:val="1"/>
          <w:color w:val="auto"/>
        </w:rPr>
        <w:t>UBSCRIPTION</w:t>
      </w:r>
      <w:r>
        <w:rPr>
          <w:rFonts w:ascii="Arial" w:cs="Arial" w:eastAsia="Arial" w:hAnsi="Arial"/>
          <w:sz w:val="18"/>
          <w:szCs w:val="18"/>
          <w:b w:val="1"/>
          <w:bCs w:val="1"/>
          <w:color w:val="auto"/>
        </w:rPr>
        <w:t xml:space="preserve"> A</w:t>
      </w:r>
      <w:r>
        <w:rPr>
          <w:rFonts w:ascii="Arial" w:cs="Arial" w:eastAsia="Arial" w:hAnsi="Arial"/>
          <w:sz w:val="14"/>
          <w:szCs w:val="14"/>
          <w:b w:val="1"/>
          <w:bCs w:val="1"/>
          <w:color w:val="auto"/>
        </w:rPr>
        <w:t>GREEMENT SHALL REMAIN IN EFFECT THROUGHOUT SUCCESSIVE</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1045210</wp:posOffset>
            </wp:positionH>
            <wp:positionV relativeFrom="paragraph">
              <wp:posOffset>-10160</wp:posOffset>
            </wp:positionV>
            <wp:extent cx="557530" cy="8890"/>
            <wp:wrapNone/>
            <wp:docPr id="67" name="Picture 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
                    <pic:cNvPicPr>
                      <a:picLocks noChangeAspect="1" noChangeArrowheads="1"/>
                    </pic:cNvPicPr>
                  </pic:nvPicPr>
                  <pic:blipFill>
                    <a:blip r:embed="rId74">
                      <a:extLst>
                        <a:ext uri="{28A0092B-C50C-407E-A947-70E740481C1C}"/>
                      </a:extLst>
                    </a:blip>
                    <a:srcRect/>
                    <a:stretch>
                      <a:fillRect/>
                    </a:stretch>
                  </pic:blipFill>
                  <pic:spPr bwMode="auto">
                    <a:xfrm>
                      <a:off x="0" y="0"/>
                      <a:ext cx="557530" cy="8890"/>
                    </a:xfrm>
                    <a:prstGeom prst="rect">
                      <a:avLst/>
                    </a:prstGeom>
                    <a:noFill/>
                  </pic:spPr>
                </pic:pic>
              </a:graphicData>
            </a:graphic>
          </wp:anchor>
        </w:drawing>
      </w:r>
    </w:p>
    <w:p>
      <w:pPr>
        <w:spacing w:after="0" w:line="1"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O</w:t>
      </w:r>
      <w:r>
        <w:rPr>
          <w:rFonts w:ascii="Arial" w:cs="Arial" w:eastAsia="Arial" w:hAnsi="Arial"/>
          <w:sz w:val="14"/>
          <w:szCs w:val="14"/>
          <w:b w:val="1"/>
          <w:bCs w:val="1"/>
          <w:color w:val="auto"/>
        </w:rPr>
        <w:t>FFERING</w:t>
      </w:r>
      <w:r>
        <w:rPr>
          <w:rFonts w:ascii="Arial" w:cs="Arial" w:eastAsia="Arial" w:hAnsi="Arial"/>
          <w:sz w:val="18"/>
          <w:szCs w:val="18"/>
          <w:b w:val="1"/>
          <w:bCs w:val="1"/>
          <w:color w:val="auto"/>
        </w:rPr>
        <w:t xml:space="preserve"> P</w:t>
      </w:r>
      <w:r>
        <w:rPr>
          <w:rFonts w:ascii="Arial" w:cs="Arial" w:eastAsia="Arial" w:hAnsi="Arial"/>
          <w:sz w:val="14"/>
          <w:szCs w:val="14"/>
          <w:b w:val="1"/>
          <w:bCs w:val="1"/>
          <w:color w:val="auto"/>
        </w:rPr>
        <w:t>ERIODS UNLESS TERMINATED BY ME</w:t>
      </w:r>
      <w:r>
        <w:rPr>
          <w:rFonts w:ascii="Arial" w:cs="Arial" w:eastAsia="Arial" w:hAnsi="Arial"/>
          <w:sz w:val="18"/>
          <w:szCs w:val="18"/>
          <w:b w:val="1"/>
          <w:bCs w:val="1"/>
          <w:color w:val="auto"/>
        </w:rPr>
        <w:t>.</w:t>
      </w:r>
    </w:p>
    <w:p>
      <w:pPr>
        <w:spacing w:after="0" w:line="205" w:lineRule="exact"/>
        <w:rPr>
          <w:sz w:val="20"/>
          <w:szCs w:val="20"/>
          <w:color w:val="auto"/>
        </w:rPr>
      </w:pPr>
    </w:p>
    <w:p>
      <w:pPr>
        <w:ind w:left="460" w:right="120" w:hanging="452"/>
        <w:spacing w:after="0" w:line="256" w:lineRule="auto"/>
        <w:tabs>
          <w:tab w:leader="none" w:pos="460" w:val="left"/>
        </w:tabs>
        <w:numPr>
          <w:ilvl w:val="0"/>
          <w:numId w:val="17"/>
        </w:numPr>
        <w:rPr>
          <w:rFonts w:ascii="Arial" w:cs="Arial" w:eastAsia="Arial" w:hAnsi="Arial"/>
          <w:sz w:val="18"/>
          <w:szCs w:val="18"/>
          <w:color w:val="auto"/>
        </w:rPr>
      </w:pPr>
      <w:r>
        <w:rPr>
          <w:rFonts w:ascii="Arial" w:cs="Arial" w:eastAsia="Arial" w:hAnsi="Arial"/>
          <w:sz w:val="18"/>
          <w:szCs w:val="18"/>
          <w:color w:val="auto"/>
        </w:rPr>
        <w:t>I hereby elect to participate in the Marvell Technology Group Ltd. 2000 Employee Stock Purchase Plan, as Amended and Restated as of October 22, 2009 (the “Stock Purchase Plan” or the “Plan”) and subscribe to purchase common shares of the Company (“Common Stock”) in accordance with the Stock Purchase Plan, this Subscription Agreement, and the terms set forth in the Addendum hereto. Terms not otherwise defined herein have the same meaning attributed to them in the Stock Purchase Plan.</w:t>
      </w:r>
    </w:p>
    <w:p>
      <w:pPr>
        <w:spacing w:after="0" w:line="39" w:lineRule="exact"/>
        <w:rPr>
          <w:sz w:val="20"/>
          <w:szCs w:val="20"/>
          <w:color w:val="auto"/>
        </w:rPr>
      </w:pPr>
    </w:p>
    <w:tbl>
      <w:tblPr>
        <w:tblLayout w:type="fixed"/>
        <w:tblInd w:w="0" w:type="dxa"/>
        <w:tblCellMar>
          <w:top w:w="0" w:type="dxa"/>
          <w:left w:w="0" w:type="dxa"/>
          <w:bottom w:w="0" w:type="dxa"/>
          <w:right w:w="0" w:type="dxa"/>
        </w:tblCellMar>
      </w:tblPr>
      <w:tr>
        <w:trPr>
          <w:trHeight w:val="207"/>
        </w:trPr>
        <w:tc>
          <w:tcPr>
            <w:tcW w:w="300" w:type="dxa"/>
            <w:vAlign w:val="bottom"/>
          </w:tcPr>
          <w:p>
            <w:pPr>
              <w:jc w:val="right"/>
              <w:ind w:right="72"/>
              <w:spacing w:after="0"/>
              <w:rPr>
                <w:sz w:val="20"/>
                <w:szCs w:val="20"/>
                <w:color w:val="auto"/>
              </w:rPr>
            </w:pPr>
            <w:r>
              <w:rPr>
                <w:rFonts w:ascii="Arial" w:cs="Arial" w:eastAsia="Arial" w:hAnsi="Arial"/>
                <w:sz w:val="18"/>
                <w:szCs w:val="18"/>
                <w:color w:val="auto"/>
                <w:w w:val="79"/>
              </w:rPr>
              <w:t>2.</w:t>
            </w:r>
          </w:p>
        </w:tc>
        <w:tc>
          <w:tcPr>
            <w:tcW w:w="10980" w:type="dxa"/>
            <w:vAlign w:val="bottom"/>
            <w:gridSpan w:val="3"/>
          </w:tcPr>
          <w:p>
            <w:pPr>
              <w:ind w:left="160"/>
              <w:spacing w:after="0"/>
              <w:rPr>
                <w:sz w:val="20"/>
                <w:szCs w:val="20"/>
                <w:color w:val="auto"/>
              </w:rPr>
            </w:pPr>
            <w:r>
              <w:rPr>
                <w:rFonts w:ascii="Arial" w:cs="Arial" w:eastAsia="Arial" w:hAnsi="Arial"/>
                <w:sz w:val="18"/>
                <w:szCs w:val="18"/>
                <w:color w:val="auto"/>
                <w:w w:val="91"/>
              </w:rPr>
              <w:t>I hereby authorize payroll deductions from each paycheck in the amount of   % (maximum 15%, in whole percentages only) of my gross pay on each</w:t>
            </w:r>
          </w:p>
        </w:tc>
      </w:tr>
      <w:tr>
        <w:trPr>
          <w:trHeight w:val="20"/>
        </w:trPr>
        <w:tc>
          <w:tcPr>
            <w:tcW w:w="300" w:type="dxa"/>
            <w:vAlign w:val="bottom"/>
          </w:tcPr>
          <w:p>
            <w:pPr>
              <w:spacing w:after="0" w:line="20" w:lineRule="exact"/>
              <w:rPr>
                <w:sz w:val="1"/>
                <w:szCs w:val="1"/>
                <w:color w:val="auto"/>
              </w:rPr>
            </w:pPr>
          </w:p>
        </w:tc>
        <w:tc>
          <w:tcPr>
            <w:tcW w:w="5480" w:type="dxa"/>
            <w:vAlign w:val="bottom"/>
          </w:tcPr>
          <w:p>
            <w:pPr>
              <w:spacing w:after="0" w:line="20" w:lineRule="exact"/>
              <w:rPr>
                <w:sz w:val="1"/>
                <w:szCs w:val="1"/>
                <w:color w:val="auto"/>
              </w:rPr>
            </w:pPr>
          </w:p>
        </w:tc>
        <w:tc>
          <w:tcPr>
            <w:tcW w:w="180" w:type="dxa"/>
            <w:vAlign w:val="bottom"/>
            <w:shd w:val="clear" w:color="auto" w:fill="000000"/>
          </w:tcPr>
          <w:p>
            <w:pPr>
              <w:spacing w:after="0" w:line="20" w:lineRule="exact"/>
              <w:rPr>
                <w:sz w:val="1"/>
                <w:szCs w:val="1"/>
                <w:color w:val="auto"/>
              </w:rPr>
            </w:pPr>
          </w:p>
        </w:tc>
        <w:tc>
          <w:tcPr>
            <w:tcW w:w="5320" w:type="dxa"/>
            <w:vAlign w:val="bottom"/>
          </w:tcPr>
          <w:p>
            <w:pPr>
              <w:spacing w:after="0" w:line="20" w:lineRule="exact"/>
              <w:rPr>
                <w:sz w:val="1"/>
                <w:szCs w:val="1"/>
                <w:color w:val="auto"/>
              </w:rPr>
            </w:pPr>
          </w:p>
        </w:tc>
      </w:tr>
      <w:tr>
        <w:trPr>
          <w:trHeight w:val="228"/>
        </w:trPr>
        <w:tc>
          <w:tcPr>
            <w:tcW w:w="300" w:type="dxa"/>
            <w:vAlign w:val="bottom"/>
          </w:tcPr>
          <w:p>
            <w:pPr>
              <w:spacing w:after="0"/>
              <w:rPr>
                <w:sz w:val="19"/>
                <w:szCs w:val="19"/>
                <w:color w:val="auto"/>
              </w:rPr>
            </w:pPr>
          </w:p>
        </w:tc>
        <w:tc>
          <w:tcPr>
            <w:tcW w:w="10980" w:type="dxa"/>
            <w:vAlign w:val="bottom"/>
            <w:gridSpan w:val="3"/>
          </w:tcPr>
          <w:p>
            <w:pPr>
              <w:ind w:left="160"/>
              <w:spacing w:after="0"/>
              <w:rPr>
                <w:sz w:val="20"/>
                <w:szCs w:val="20"/>
                <w:color w:val="auto"/>
              </w:rPr>
            </w:pPr>
            <w:r>
              <w:rPr>
                <w:rFonts w:ascii="Arial" w:cs="Arial" w:eastAsia="Arial" w:hAnsi="Arial"/>
                <w:sz w:val="18"/>
                <w:szCs w:val="18"/>
                <w:color w:val="auto"/>
                <w:w w:val="87"/>
              </w:rPr>
              <w:t>payday during the Offering Period in accordance with the Stock Purchase Plan. (No fractional percentages are permitted.) Such deductions are to continue</w:t>
            </w:r>
          </w:p>
        </w:tc>
      </w:tr>
      <w:tr>
        <w:trPr>
          <w:trHeight w:val="216"/>
        </w:trPr>
        <w:tc>
          <w:tcPr>
            <w:tcW w:w="300" w:type="dxa"/>
            <w:vAlign w:val="bottom"/>
          </w:tcPr>
          <w:p>
            <w:pPr>
              <w:spacing w:after="0"/>
              <w:rPr>
                <w:sz w:val="18"/>
                <w:szCs w:val="18"/>
                <w:color w:val="auto"/>
              </w:rPr>
            </w:pPr>
          </w:p>
        </w:tc>
        <w:tc>
          <w:tcPr>
            <w:tcW w:w="10980" w:type="dxa"/>
            <w:vAlign w:val="bottom"/>
            <w:gridSpan w:val="3"/>
          </w:tcPr>
          <w:p>
            <w:pPr>
              <w:ind w:left="160"/>
              <w:spacing w:after="0"/>
              <w:rPr>
                <w:sz w:val="20"/>
                <w:szCs w:val="20"/>
                <w:color w:val="auto"/>
              </w:rPr>
            </w:pPr>
            <w:r>
              <w:rPr>
                <w:rFonts w:ascii="Arial" w:cs="Arial" w:eastAsia="Arial" w:hAnsi="Arial"/>
                <w:sz w:val="18"/>
                <w:szCs w:val="18"/>
                <w:color w:val="auto"/>
                <w:w w:val="94"/>
              </w:rPr>
              <w:t>for succeeding Offering Periods until I give written instructions for a change in or termination of such deductions or my participation is otherwise</w:t>
            </w:r>
          </w:p>
        </w:tc>
      </w:tr>
      <w:tr>
        <w:trPr>
          <w:trHeight w:val="222"/>
        </w:trPr>
        <w:tc>
          <w:tcPr>
            <w:tcW w:w="300" w:type="dxa"/>
            <w:vAlign w:val="bottom"/>
          </w:tcPr>
          <w:p>
            <w:pPr>
              <w:spacing w:after="0"/>
              <w:rPr>
                <w:sz w:val="19"/>
                <w:szCs w:val="19"/>
                <w:color w:val="auto"/>
              </w:rPr>
            </w:pPr>
          </w:p>
        </w:tc>
        <w:tc>
          <w:tcPr>
            <w:tcW w:w="10980" w:type="dxa"/>
            <w:vAlign w:val="bottom"/>
            <w:gridSpan w:val="3"/>
          </w:tcPr>
          <w:p>
            <w:pPr>
              <w:ind w:left="160"/>
              <w:spacing w:after="0"/>
              <w:rPr>
                <w:sz w:val="20"/>
                <w:szCs w:val="20"/>
                <w:color w:val="auto"/>
              </w:rPr>
            </w:pPr>
            <w:r>
              <w:rPr>
                <w:rFonts w:ascii="Arial" w:cs="Arial" w:eastAsia="Arial" w:hAnsi="Arial"/>
                <w:sz w:val="18"/>
                <w:szCs w:val="18"/>
                <w:color w:val="auto"/>
              </w:rPr>
              <w:t>terminated in accordance with the Stock Purchase Plan.</w:t>
            </w:r>
          </w:p>
        </w:tc>
      </w:tr>
    </w:tbl>
    <w:p>
      <w:pPr>
        <w:spacing w:after="0" w:line="75" w:lineRule="exact"/>
        <w:rPr>
          <w:sz w:val="20"/>
          <w:szCs w:val="20"/>
          <w:color w:val="auto"/>
        </w:rPr>
      </w:pPr>
    </w:p>
    <w:p>
      <w:pPr>
        <w:ind w:left="460" w:hanging="452"/>
        <w:spacing w:after="0" w:line="288" w:lineRule="auto"/>
        <w:tabs>
          <w:tab w:leader="none" w:pos="460" w:val="left"/>
        </w:tabs>
        <w:numPr>
          <w:ilvl w:val="0"/>
          <w:numId w:val="18"/>
        </w:numPr>
        <w:rPr>
          <w:rFonts w:ascii="Arial" w:cs="Arial" w:eastAsia="Arial" w:hAnsi="Arial"/>
          <w:sz w:val="16"/>
          <w:szCs w:val="16"/>
          <w:color w:val="auto"/>
        </w:rPr>
      </w:pPr>
      <w:r>
        <w:rPr>
          <w:rFonts w:ascii="Arial" w:cs="Arial" w:eastAsia="Arial" w:hAnsi="Arial"/>
          <w:sz w:val="16"/>
          <w:szCs w:val="16"/>
          <w:color w:val="auto"/>
        </w:rPr>
        <w:t>I understand that said payroll deductions should be accumulated for the purchase of shares of Common Stock at the applicable purchase price determined in accordance with the Stock Purchase Plan. I further understand that, except as otherwise set forth in the Stock Purchase Plan, shares will be purchased for me automatically on each Purchase Date of the Offering Period unless I otherwise withdraw from the Stock Purchase Plan by giving written notice to the Company for such purpose at least 15 days before the Purchase Date. I understand that I may withdraw from the Stock Purchase Plan and have payroll deductions refunded (without interest) promptly at any time during the Offering Period as long as written notice of my withdrawal is provided to the Administrator, in required form, at least 15 days before the Purchase Date. Further, I understand that pursuant to the Stock Purchase Plan, as of the Restatement Effective Date, each Offering Period will be a period of approximately 6 months, and there will be no further 24 month Offering Periods that commence on or following the Restatement Effective Date. As a result, the purchase price for each Offering Period will be determined as 85% of the lower of the fair market value of a share on the Offering Date and the Purchase Date, which will be approximately 6 months apart.</w:t>
      </w:r>
    </w:p>
    <w:p>
      <w:pPr>
        <w:spacing w:after="0" w:line="38" w:lineRule="exact"/>
        <w:rPr>
          <w:rFonts w:ascii="Arial" w:cs="Arial" w:eastAsia="Arial" w:hAnsi="Arial"/>
          <w:sz w:val="16"/>
          <w:szCs w:val="16"/>
          <w:color w:val="auto"/>
        </w:rPr>
      </w:pPr>
    </w:p>
    <w:p>
      <w:pPr>
        <w:ind w:left="460" w:right="100" w:hanging="452"/>
        <w:spacing w:after="0" w:line="332" w:lineRule="auto"/>
        <w:tabs>
          <w:tab w:leader="none" w:pos="460" w:val="left"/>
        </w:tabs>
        <w:numPr>
          <w:ilvl w:val="0"/>
          <w:numId w:val="18"/>
        </w:numPr>
        <w:rPr>
          <w:rFonts w:ascii="Arial" w:cs="Arial" w:eastAsia="Arial" w:hAnsi="Arial"/>
          <w:sz w:val="16"/>
          <w:szCs w:val="16"/>
          <w:color w:val="auto"/>
        </w:rPr>
      </w:pPr>
      <w:r>
        <w:rPr>
          <w:rFonts w:ascii="Arial" w:cs="Arial" w:eastAsia="Arial" w:hAnsi="Arial"/>
          <w:sz w:val="16"/>
          <w:szCs w:val="16"/>
          <w:color w:val="auto"/>
        </w:rPr>
        <w:t>I have received a copy of the complete Stock Purchase Plan. I have also received a copy of the complete Stock Purchase Plan Prospectus. I understand that my participation in the Stock Purchase Plan is in all respects subject to the terms of the Stock Purchase Plan.</w:t>
      </w:r>
    </w:p>
    <w:p>
      <w:pPr>
        <w:spacing w:after="0" w:line="4" w:lineRule="exact"/>
        <w:rPr>
          <w:rFonts w:ascii="Arial" w:cs="Arial" w:eastAsia="Arial" w:hAnsi="Arial"/>
          <w:sz w:val="16"/>
          <w:szCs w:val="16"/>
          <w:color w:val="auto"/>
        </w:rPr>
      </w:pPr>
    </w:p>
    <w:p>
      <w:pPr>
        <w:ind w:left="460" w:right="100" w:hanging="452"/>
        <w:spacing w:after="0" w:line="286" w:lineRule="auto"/>
        <w:tabs>
          <w:tab w:leader="none" w:pos="460" w:val="left"/>
        </w:tabs>
        <w:numPr>
          <w:ilvl w:val="0"/>
          <w:numId w:val="18"/>
        </w:numPr>
        <w:rPr>
          <w:rFonts w:ascii="Arial" w:cs="Arial" w:eastAsia="Arial" w:hAnsi="Arial"/>
          <w:sz w:val="16"/>
          <w:szCs w:val="16"/>
          <w:color w:val="auto"/>
        </w:rPr>
      </w:pPr>
      <w:r>
        <w:rPr>
          <w:rFonts w:ascii="Arial" w:cs="Arial" w:eastAsia="Arial" w:hAnsi="Arial"/>
          <w:sz w:val="16"/>
          <w:szCs w:val="16"/>
          <w:color w:val="auto"/>
        </w:rPr>
        <w:t>Regardless of any action the Company or my employer, if different (the “Employer”) takes with respect to any or all income tax, social insurance, payroll tax, payment on account or other tax-related items related to my participation in the Stock Purchase Plan and legally applicable to me (“Tax-Related Items”), I acknowledge that the ultimate liability for all Tax-Related Items is and remains my responsibility and may exceed the amount actually withheld by the Company or the Employer. I further acknowledge that the Company and/or the Employer (1) make no representations or undertakings regarding the treatment of any Tax-Related Items in connection with any aspect of my participation in the Stock Purchase Plan, including, but not limited to, the grant of the Purchase Right, the purchase of shares of Common Stock under the Stock Purchase Plan, the subsequent sale of shares of Common Stock acquired under the Stock Purchase Plan and the receipt of any dividends; and (2) do not commit to and are under no obligation to structure the terms of the grant or any aspect of the Purchase Right to reduce or eliminate my liability for Tax-Related Items or achieve any particular tax result. Further, if I have become subject to tax in more than one jurisdiction between the date my participation began and the date of any relevant taxable event, I acknowledge that the Company and/or the Employer (or former employer, as applicable) may be required to withhold or account for Tax-Related Items in more than one jurisdiction.</w:t>
      </w:r>
    </w:p>
    <w:p>
      <w:pPr>
        <w:spacing w:after="0" w:line="46" w:lineRule="exact"/>
        <w:rPr>
          <w:rFonts w:ascii="Arial" w:cs="Arial" w:eastAsia="Arial" w:hAnsi="Arial"/>
          <w:sz w:val="16"/>
          <w:szCs w:val="16"/>
          <w:color w:val="auto"/>
        </w:rPr>
      </w:pPr>
    </w:p>
    <w:p>
      <w:pPr>
        <w:ind w:left="460" w:right="260"/>
        <w:spacing w:after="0" w:line="291" w:lineRule="auto"/>
        <w:rPr>
          <w:rFonts w:ascii="Arial" w:cs="Arial" w:eastAsia="Arial" w:hAnsi="Arial"/>
          <w:sz w:val="16"/>
          <w:szCs w:val="16"/>
          <w:color w:val="auto"/>
        </w:rPr>
      </w:pPr>
      <w:r>
        <w:rPr>
          <w:rFonts w:ascii="Arial" w:cs="Arial" w:eastAsia="Arial" w:hAnsi="Arial"/>
          <w:sz w:val="16"/>
          <w:szCs w:val="16"/>
          <w:color w:val="auto"/>
        </w:rPr>
        <w:t>Prior to any relevant taxable or tax withholding event, as applicable, I will pay or make adequate arrangements satisfactory to the Company and/or the Employer to satisfy all Tax-Related Items. In this regard, I authorize the Company and/or the Employer, or their respective agents, at their discretion, to satisfy the obligations with regard to all Tax-Related Items by one or a combination of the following: (a) withholding from my wages or other cash compensation paid to me by the Company and/or the Employer; or (b) withholding from proceeds of the sale of shares of Common Stock acquired upon exercise of the Purchase Right either through a voluntary sale or through a mandatory sale arranged by the Company (on my behalf pursuant to this authorization); or (c) withholding in shares of Common Stock to be issued upon exercise of the Purchase Right.</w:t>
      </w:r>
    </w:p>
    <w:p>
      <w:pPr>
        <w:sectPr>
          <w:pgSz w:w="11900" w:h="16838" w:orient="portrait"/>
          <w:cols w:equalWidth="0" w:num="1">
            <w:col w:w="11420"/>
          </w:cols>
          <w:pgMar w:left="240" w:top="125" w:right="239" w:bottom="1440" w:gutter="0" w:footer="0" w:header="0"/>
        </w:sectPr>
      </w:pPr>
    </w:p>
    <w:bookmarkStart w:id="59" w:name="page60"/>
    <w:bookmarkEnd w:id="59"/>
    <w:p>
      <w:pPr>
        <w:ind w:left="452" w:right="100"/>
        <w:spacing w:after="0" w:line="255" w:lineRule="auto"/>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68" name="Picture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8"/>
                    <pic:cNvPicPr>
                      <a:picLocks noChangeAspect="1" noChangeArrowheads="1"/>
                    </pic:cNvPicPr>
                  </pic:nvPicPr>
                  <pic:blipFill>
                    <a:blip r:embed="rId75">
                      <a:extLst>
                        <a:ext uri="{28A0092B-C50C-407E-A947-70E740481C1C}"/>
                      </a:extLst>
                    </a:blip>
                    <a:srcRect/>
                    <a:stretch>
                      <a:fillRect/>
                    </a:stretch>
                  </pic:blipFill>
                  <pic:spPr bwMode="auto">
                    <a:xfrm>
                      <a:off x="0" y="0"/>
                      <a:ext cx="7289165" cy="38735"/>
                    </a:xfrm>
                    <a:prstGeom prst="rect">
                      <a:avLst/>
                    </a:prstGeom>
                    <a:noFill/>
                  </pic:spPr>
                </pic:pic>
              </a:graphicData>
            </a:graphic>
          </wp:anchor>
        </w:drawing>
        <w:t>To avoid negative accounting treatment, the Company may withhold or account for Tax-Related Items by considering applicable minimum statutory withholding amounts or other applicable withholding rates. If the obligation for Tax-Related Items is satisfied by withholding in shares of Common Stock, for tax purposes, I will be deemed to have been issued the full number of shares of Common Stock subject to the exercised Purchase Right, notwithstanding that a number of shares of Common Stock are held back solely for the purpose of paying the Tax-Related Items due as a result of my participation in the Stock Purchase Plan.</w:t>
      </w:r>
    </w:p>
    <w:p>
      <w:pPr>
        <w:spacing w:after="0" w:line="62" w:lineRule="exact"/>
        <w:rPr>
          <w:sz w:val="20"/>
          <w:szCs w:val="20"/>
          <w:color w:val="auto"/>
        </w:rPr>
      </w:pPr>
    </w:p>
    <w:p>
      <w:pPr>
        <w:ind w:left="452" w:right="80"/>
        <w:spacing w:after="0" w:line="256" w:lineRule="auto"/>
        <w:rPr>
          <w:sz w:val="20"/>
          <w:szCs w:val="20"/>
          <w:color w:val="auto"/>
        </w:rPr>
      </w:pPr>
      <w:r>
        <w:rPr>
          <w:rFonts w:ascii="Arial" w:cs="Arial" w:eastAsia="Arial" w:hAnsi="Arial"/>
          <w:sz w:val="18"/>
          <w:szCs w:val="18"/>
          <w:color w:val="auto"/>
        </w:rPr>
        <w:t>Finally, I shall pay to the Company or the Employer any amount of Tax-Related Items that the Company or the Employer may be required to withhold or account for as a result of my participation in the Stock Purchase Plan that cannot be satisfied by the means previously described. The Company may refuse to purchase shares of Common Stock on my behalf under the Stock Purchase Plan and refuse to deliver the shares of Common Stock if I fail to comply with my obligations in connection with the Tax-Related Items.</w:t>
      </w:r>
    </w:p>
    <w:p>
      <w:pPr>
        <w:spacing w:after="0" w:line="62" w:lineRule="exact"/>
        <w:rPr>
          <w:sz w:val="20"/>
          <w:szCs w:val="20"/>
          <w:color w:val="auto"/>
        </w:rPr>
      </w:pPr>
    </w:p>
    <w:p>
      <w:pPr>
        <w:ind w:left="452" w:right="100" w:hanging="452"/>
        <w:spacing w:after="0" w:line="283" w:lineRule="auto"/>
        <w:tabs>
          <w:tab w:leader="none" w:pos="452" w:val="left"/>
        </w:tabs>
        <w:numPr>
          <w:ilvl w:val="0"/>
          <w:numId w:val="19"/>
        </w:numPr>
        <w:rPr>
          <w:rFonts w:ascii="Arial" w:cs="Arial" w:eastAsia="Arial" w:hAnsi="Arial"/>
          <w:sz w:val="16"/>
          <w:szCs w:val="16"/>
          <w:color w:val="auto"/>
        </w:rPr>
      </w:pPr>
      <w:r>
        <w:rPr>
          <w:rFonts w:ascii="Arial" w:cs="Arial" w:eastAsia="Arial" w:hAnsi="Arial"/>
          <w:sz w:val="16"/>
          <w:szCs w:val="16"/>
          <w:color w:val="auto"/>
        </w:rPr>
        <w:t>By enrolling in the Stock Purchase Plan and by authorizing payroll deductions, I acknowledge that: (a) the Stock Purchase Plan is established voluntarily by the Company, it is discretionary in nature, and it may be modified, amended, suspended, or terminated by the Company at any time; (b) the grant of the Purchase Right is voluntary and occasional and does not create any contractual or other right to receive future Purchase Rights, or benefits in lieu of Purchase Rights, even if Purchase Rights have been granted repeatedly in the past; (c) all decisions with respect to future grants of Purchase Rights, if any, will be at the sole discretion of the Company; (d) my participation in the Stock Purchase Plan shall not create a right to further employment with the Company or the Employer and shall not interfere with the ability of the Company or the Employer to terminate my employment relationship at any time;</w:t>
      </w:r>
    </w:p>
    <w:p>
      <w:pPr>
        <w:spacing w:after="0" w:line="1" w:lineRule="exact"/>
        <w:rPr>
          <w:rFonts w:ascii="Arial" w:cs="Arial" w:eastAsia="Arial" w:hAnsi="Arial"/>
          <w:sz w:val="16"/>
          <w:szCs w:val="16"/>
          <w:color w:val="auto"/>
        </w:rPr>
      </w:pPr>
    </w:p>
    <w:p>
      <w:pPr>
        <w:ind w:left="452" w:right="40"/>
        <w:spacing w:after="0" w:line="283" w:lineRule="auto"/>
        <w:rPr>
          <w:rFonts w:ascii="Arial" w:cs="Arial" w:eastAsia="Arial" w:hAnsi="Arial"/>
          <w:sz w:val="16"/>
          <w:szCs w:val="16"/>
          <w:color w:val="auto"/>
        </w:rPr>
      </w:pPr>
      <w:r>
        <w:rPr>
          <w:rFonts w:ascii="Arial" w:cs="Arial" w:eastAsia="Arial" w:hAnsi="Arial"/>
          <w:sz w:val="16"/>
          <w:szCs w:val="16"/>
          <w:color w:val="auto"/>
        </w:rPr>
        <w:t>(e) I am voluntarily participating in the Stock Purchase Plan; (f) the Purchase Right and the shares of Common Stock subject to the Purchase Right are extraordinary items that do not constitute compensation of any kind for services of any kind rendered to the Company or the Employer, and are outside the scope of my employment contract, if any; (g) the Purchase Right and the shares of Common Stock subject to the Purchase Right are not intended to replace any pension rights or compensation; (h) the Purchase Right and the shares of Common Stock subject to the Purchase Right are not part of normal or expected compensation or salary for any purposes, including, but not limited to, calculating any severance, resignation, termination, redundancy, end of service payments, bonuses, long-service awards, pension or retirement or welfare benefits or similar payments, and in no event should be considered as compensation for, or relating in any way to, past services for the Company, the Employer, or any Parent or Subsidiary; (i) the grant of the Purchase Right and my participation in the Stock Purchase Plan will not be interpreted to form an employment contract or relationship with the Company, the Employer, or any Parent or Subsidiary; (j) the future value of the underlying shares of Common Stock purchased or to be purchased under the Stock Purchase Plan is unknown and cannot be predicted with certainty; (k) if shares of Common Stock are purchased for me on a Purchase Date, the value of those shares of Common Stock acquired under the Stock Purchase Plan may increase or decrease in value, even below the purchase price; (l) in consideration of the grant of the Purchase Right, no claim or entitlement to compensation or damages shall arise from forfeiture of the Purchase Right resulting from termination of my employment by the Company or the Employer (for any reason whatsoever and whether or not in breach of local labor laws), and I irrevocably release the Company and the Employer from any such claim that may arise; if, notwithstanding the foregoing, any such claim is found by a court of competent jurisdiction to have arisen, then, by enrolling in the Stock Purchase Plan and authorizing payroll deductions, I shall be deemed irrevocably to have waived my entitlement to pursue such claim; (m) in the event of termination of my employment (whether or not in breach of local labor laws), my right to participate in and to purchase shares of Common Stock under the Stock Purchase Plan, if any, will terminate effective as of the date that I am no longer actively employed and will not be extended by any notice period mandated under local law (</w:t>
      </w:r>
      <w:r>
        <w:rPr>
          <w:rFonts w:ascii="Arial" w:cs="Arial" w:eastAsia="Arial" w:hAnsi="Arial"/>
          <w:sz w:val="16"/>
          <w:szCs w:val="16"/>
          <w:i w:val="1"/>
          <w:iCs w:val="1"/>
          <w:color w:val="auto"/>
        </w:rPr>
        <w:t>e.g.,</w:t>
      </w:r>
      <w:r>
        <w:rPr>
          <w:rFonts w:ascii="Arial" w:cs="Arial" w:eastAsia="Arial" w:hAnsi="Arial"/>
          <w:sz w:val="16"/>
          <w:szCs w:val="16"/>
          <w:color w:val="auto"/>
        </w:rPr>
        <w:t xml:space="preserve"> active employment would not include a period of “garden leave” or similar period pursuant to local law); the Administrator shall have the exclusive discretion to determine when I am no longer actively employed for purposes of my participation in the Stock Purchase Plan; and (n) the Purchase Right and the benefits under the Stock Purchase Plan, if any, will not automatically transfer to another company in the case of a merger, take-over, or transfer of liability.</w:t>
      </w:r>
    </w:p>
    <w:p>
      <w:pPr>
        <w:spacing w:after="0" w:line="56" w:lineRule="exact"/>
        <w:rPr>
          <w:rFonts w:ascii="Arial" w:cs="Arial" w:eastAsia="Arial" w:hAnsi="Arial"/>
          <w:sz w:val="16"/>
          <w:szCs w:val="16"/>
          <w:color w:val="auto"/>
        </w:rPr>
      </w:pPr>
    </w:p>
    <w:p>
      <w:pPr>
        <w:ind w:left="452" w:hanging="452"/>
        <w:spacing w:after="0" w:line="306" w:lineRule="auto"/>
        <w:tabs>
          <w:tab w:leader="none" w:pos="452" w:val="left"/>
        </w:tabs>
        <w:numPr>
          <w:ilvl w:val="0"/>
          <w:numId w:val="19"/>
        </w:numPr>
        <w:rPr>
          <w:rFonts w:ascii="Arial" w:cs="Arial" w:eastAsia="Arial" w:hAnsi="Arial"/>
          <w:sz w:val="16"/>
          <w:szCs w:val="16"/>
          <w:color w:val="auto"/>
        </w:rPr>
      </w:pPr>
      <w:r>
        <w:rPr>
          <w:rFonts w:ascii="Arial" w:cs="Arial" w:eastAsia="Arial" w:hAnsi="Arial"/>
          <w:sz w:val="16"/>
          <w:szCs w:val="16"/>
          <w:color w:val="auto"/>
        </w:rPr>
        <w:t>The Company is not providing any tax, legal, or financial advice, nor is the Company making any recommendations regarding my participation in the Stock Purchase Plan, or my acquisition or sale of the underlying shares of Common Stock. I am hereby advised to consult with my own personal tax, legal, and financial advisors regarding my participation in the Stock Purchase Plan before taking any action related to the Stock Purchase Plan.</w:t>
      </w:r>
    </w:p>
    <w:p>
      <w:pPr>
        <w:sectPr>
          <w:pgSz w:w="11900" w:h="16838" w:orient="portrait"/>
          <w:cols w:equalWidth="0" w:num="1">
            <w:col w:w="11412"/>
          </w:cols>
          <w:pgMar w:left="248" w:top="280" w:right="239" w:bottom="1440" w:gutter="0" w:footer="0" w:header="0"/>
        </w:sectPr>
      </w:pPr>
    </w:p>
    <w:bookmarkStart w:id="60" w:name="page61"/>
    <w:bookmarkEnd w:id="60"/>
    <w:p>
      <w:pPr>
        <w:ind w:left="452" w:hanging="452"/>
        <w:spacing w:after="0" w:line="306" w:lineRule="auto"/>
        <w:tabs>
          <w:tab w:leader="none" w:pos="452" w:val="left"/>
        </w:tabs>
        <w:numPr>
          <w:ilvl w:val="0"/>
          <w:numId w:val="20"/>
        </w:numPr>
        <w:rPr>
          <w:rFonts w:ascii="Arial" w:cs="Arial" w:eastAsia="Arial" w:hAnsi="Arial"/>
          <w:sz w:val="15"/>
          <w:szCs w:val="15"/>
          <w:color w:val="auto"/>
        </w:rPr>
      </w:pPr>
      <w:r>
        <w:rPr>
          <w:rFonts w:ascii="Arial" w:cs="Arial" w:eastAsia="Arial" w:hAnsi="Arial"/>
          <w:sz w:val="15"/>
          <w:szCs w:val="15"/>
          <w:b w:val="1"/>
          <w:bCs w:val="1"/>
          <w:i w:val="1"/>
          <w:i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69" name="Picture 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9"/>
                    <pic:cNvPicPr>
                      <a:picLocks noChangeAspect="1" noChangeArrowheads="1"/>
                    </pic:cNvPicPr>
                  </pic:nvPicPr>
                  <pic:blipFill>
                    <a:blip r:embed="rId76">
                      <a:extLst>
                        <a:ext uri="{28A0092B-C50C-407E-A947-70E740481C1C}"/>
                      </a:extLst>
                    </a:blip>
                    <a:srcRect/>
                    <a:stretch>
                      <a:fillRect/>
                    </a:stretch>
                  </pic:blipFill>
                  <pic:spPr bwMode="auto">
                    <a:xfrm>
                      <a:off x="0" y="0"/>
                      <a:ext cx="7289165" cy="38735"/>
                    </a:xfrm>
                    <a:prstGeom prst="rect">
                      <a:avLst/>
                    </a:prstGeom>
                    <a:noFill/>
                  </pic:spPr>
                </pic:pic>
              </a:graphicData>
            </a:graphic>
          </wp:anchor>
        </w:drawing>
        <w:t>By enrolling in the Stock Purchase Plan and authorizing payroll deductions, I explicitly and unambiguously consent to the collection, use and transfer, in electronic or other form, of my personal data as described in this Subscription Agreement by and among, as applicable, the Employer, the Company and its Parent and Subsidiary for the exclusive purpose of implementing, administering and managing my participation in the Stock Purchase Plan. I understand that the Company and the Employer may hold certain personal information about me, including, but not limited to, my name, home address and telephone number, date of birth, social insurance number or other identification number, salary, nationality, job title, any shares of Common Stock or directorships held in the Company, details of all Purchase Rights or any other entitlement to shares of Common Stock awarded, canceled, exercised, vested, unvested or outstanding in my favor, for the exclusive purpose of implementing, administering and managing the Stock Purchase Plan (“Data”). I understand that Data will be transferred to the Stock Purchase Plan broker or such other stock plan service provider as may be selected by the Company, which is assisting the Company with the implementation, administration and management of the Stock Purchase Plan. I understand that the recipients of Data may be located in my country or elsewhere, and that the recipients’ country may have different data privacy laws and protections than my country. I authorize the Company, the broker, and any other possible recipients that may assist the Company (presently or in the future) with implementing, administering, and managing the Stock Purchase Plan to receive, possess, use, retain, and transfer Data, in electronic or other form, for the sole purpose of implementing, administering, and managing my participation in the Stock Purchase Plan.</w:t>
      </w:r>
    </w:p>
    <w:p>
      <w:pPr>
        <w:spacing w:after="0" w:line="31" w:lineRule="exact"/>
        <w:rPr>
          <w:rFonts w:ascii="Arial" w:cs="Arial" w:eastAsia="Arial" w:hAnsi="Arial"/>
          <w:sz w:val="15"/>
          <w:szCs w:val="15"/>
          <w:color w:val="auto"/>
        </w:rPr>
      </w:pPr>
    </w:p>
    <w:p>
      <w:pPr>
        <w:ind w:left="452" w:right="60"/>
        <w:spacing w:after="0" w:line="290" w:lineRule="auto"/>
        <w:rPr>
          <w:rFonts w:ascii="Arial" w:cs="Arial" w:eastAsia="Arial" w:hAnsi="Arial"/>
          <w:sz w:val="15"/>
          <w:szCs w:val="15"/>
          <w:color w:val="auto"/>
        </w:rPr>
      </w:pPr>
      <w:r>
        <w:rPr>
          <w:rFonts w:ascii="Arial" w:cs="Arial" w:eastAsia="Arial" w:hAnsi="Arial"/>
          <w:sz w:val="16"/>
          <w:szCs w:val="16"/>
          <w:b w:val="1"/>
          <w:bCs w:val="1"/>
          <w:i w:val="1"/>
          <w:iCs w:val="1"/>
          <w:color w:val="auto"/>
        </w:rPr>
        <w:t>If I am employed outside of the U.S., I understand that I may request a list with the names and addresses of any potential recipients of the Data by contacting my local human resources representative. I understand that Data will be held only as long as is necessary to implement, administer, and manage my participation in the Stock Purchase Plan. I understand that I may, at any time, view Data, request additional information about the storage and processing of Data, require any necessary amendments to Data or refuse or withdraw the consents herein, in any case without cost, by contacting in writing the Company’s human resources department. I understand, however, that refusing or withdrawing my consent may affect my ability to participate in the Stock Purchase Plan. For more information on the consequences of my refusal to consent or withdrawal of consent, I understand that I may contact the Company’s human resources department.</w:t>
      </w:r>
    </w:p>
    <w:p>
      <w:pPr>
        <w:spacing w:after="0" w:line="37" w:lineRule="exact"/>
        <w:rPr>
          <w:rFonts w:ascii="Arial" w:cs="Arial" w:eastAsia="Arial" w:hAnsi="Arial"/>
          <w:sz w:val="15"/>
          <w:szCs w:val="15"/>
          <w:color w:val="auto"/>
        </w:rPr>
      </w:pPr>
    </w:p>
    <w:p>
      <w:pPr>
        <w:ind w:left="452" w:right="160" w:hanging="452"/>
        <w:spacing w:after="0" w:line="255" w:lineRule="auto"/>
        <w:tabs>
          <w:tab w:leader="none" w:pos="452" w:val="left"/>
        </w:tabs>
        <w:numPr>
          <w:ilvl w:val="0"/>
          <w:numId w:val="20"/>
        </w:numPr>
        <w:rPr>
          <w:rFonts w:ascii="Arial" w:cs="Arial" w:eastAsia="Arial" w:hAnsi="Arial"/>
          <w:sz w:val="18"/>
          <w:szCs w:val="18"/>
          <w:color w:val="auto"/>
        </w:rPr>
      </w:pPr>
      <w:r>
        <w:rPr>
          <w:rFonts w:ascii="Arial" w:cs="Arial" w:eastAsia="Arial" w:hAnsi="Arial"/>
          <w:sz w:val="18"/>
          <w:szCs w:val="18"/>
          <w:color w:val="auto"/>
        </w:rPr>
        <w:t>The Purchase Right and the provisions of this Subscription Agreement will be governed by, and subject to, the laws of the State of California, without giving effect to the conflict of law principles thereof. For purposes of litigating any dispute that arises under the grant or this Subscription Agreement, the parties hereby submit to and consent to the exclusive jurisdiction of the State of California and agree that such litigation will be conducted in the courts of Santa Clara County, California, or the federal courts for the United States for the Northern District of California, and no other courts, where this grant is made and/or to be performed.</w:t>
      </w:r>
    </w:p>
    <w:p>
      <w:pPr>
        <w:spacing w:after="0" w:line="61" w:lineRule="exact"/>
        <w:rPr>
          <w:rFonts w:ascii="Arial" w:cs="Arial" w:eastAsia="Arial" w:hAnsi="Arial"/>
          <w:sz w:val="18"/>
          <w:szCs w:val="18"/>
          <w:color w:val="auto"/>
        </w:rPr>
      </w:pPr>
    </w:p>
    <w:p>
      <w:pPr>
        <w:ind w:left="452" w:right="100" w:hanging="452"/>
        <w:spacing w:after="0" w:line="268" w:lineRule="auto"/>
        <w:tabs>
          <w:tab w:leader="none" w:pos="452" w:val="left"/>
        </w:tabs>
        <w:numPr>
          <w:ilvl w:val="0"/>
          <w:numId w:val="20"/>
        </w:numPr>
        <w:rPr>
          <w:rFonts w:ascii="Arial" w:cs="Arial" w:eastAsia="Arial" w:hAnsi="Arial"/>
          <w:sz w:val="18"/>
          <w:szCs w:val="18"/>
          <w:color w:val="auto"/>
        </w:rPr>
      </w:pPr>
      <w:r>
        <w:rPr>
          <w:rFonts w:ascii="Arial" w:cs="Arial" w:eastAsia="Arial" w:hAnsi="Arial"/>
          <w:sz w:val="18"/>
          <w:szCs w:val="18"/>
          <w:color w:val="auto"/>
        </w:rPr>
        <w:t>If I have received this Subscription Agreement or any other document related to the Stock Purchase Plan translated into a language other than English, and if the meaning of the translated version is different from the English version, the English version will control.</w:t>
      </w:r>
    </w:p>
    <w:p>
      <w:pPr>
        <w:spacing w:after="0" w:line="50" w:lineRule="exact"/>
        <w:rPr>
          <w:rFonts w:ascii="Arial" w:cs="Arial" w:eastAsia="Arial" w:hAnsi="Arial"/>
          <w:sz w:val="18"/>
          <w:szCs w:val="18"/>
          <w:color w:val="auto"/>
        </w:rPr>
      </w:pPr>
    </w:p>
    <w:p>
      <w:pPr>
        <w:ind w:left="452" w:right="80" w:hanging="452"/>
        <w:spacing w:after="0" w:line="306" w:lineRule="auto"/>
        <w:tabs>
          <w:tab w:leader="none" w:pos="452" w:val="left"/>
        </w:tabs>
        <w:numPr>
          <w:ilvl w:val="0"/>
          <w:numId w:val="20"/>
        </w:numPr>
        <w:rPr>
          <w:rFonts w:ascii="Arial" w:cs="Arial" w:eastAsia="Arial" w:hAnsi="Arial"/>
          <w:sz w:val="16"/>
          <w:szCs w:val="16"/>
          <w:color w:val="auto"/>
        </w:rPr>
      </w:pPr>
      <w:r>
        <w:rPr>
          <w:rFonts w:ascii="Arial" w:cs="Arial" w:eastAsia="Arial" w:hAnsi="Arial"/>
          <w:sz w:val="16"/>
          <w:szCs w:val="16"/>
          <w:color w:val="auto"/>
        </w:rPr>
        <w:t>The Company may, in its sole discretion, decide to deliver any documents related to current or future participation in the Stock Purchase Plan by electronic means. I hereby consent to receive such documents by electronic delivery and agree to participate in the Stock Purchase Plan through an on-line or electronic system established and maintained by the Company or a third party designated by the Company.</w:t>
      </w:r>
    </w:p>
    <w:p>
      <w:pPr>
        <w:spacing w:after="0" w:line="25" w:lineRule="exact"/>
        <w:rPr>
          <w:rFonts w:ascii="Arial" w:cs="Arial" w:eastAsia="Arial" w:hAnsi="Arial"/>
          <w:sz w:val="16"/>
          <w:szCs w:val="16"/>
          <w:color w:val="auto"/>
        </w:rPr>
      </w:pPr>
    </w:p>
    <w:p>
      <w:pPr>
        <w:ind w:left="452" w:right="160" w:hanging="452"/>
        <w:spacing w:after="0" w:line="268" w:lineRule="auto"/>
        <w:tabs>
          <w:tab w:leader="none" w:pos="452" w:val="left"/>
        </w:tabs>
        <w:numPr>
          <w:ilvl w:val="0"/>
          <w:numId w:val="20"/>
        </w:numPr>
        <w:rPr>
          <w:rFonts w:ascii="Arial" w:cs="Arial" w:eastAsia="Arial" w:hAnsi="Arial"/>
          <w:sz w:val="18"/>
          <w:szCs w:val="18"/>
          <w:color w:val="auto"/>
        </w:rPr>
      </w:pPr>
      <w:r>
        <w:rPr>
          <w:rFonts w:ascii="Arial" w:cs="Arial" w:eastAsia="Arial" w:hAnsi="Arial"/>
          <w:sz w:val="18"/>
          <w:szCs w:val="18"/>
          <w:color w:val="auto"/>
        </w:rPr>
        <w:t>The provisions of this Subscription Agreement are severable and if any one or more provisions are determined to be illegal or otherwise unenforceable, in whole or in part, the remaining provisions shall nevertheless be binding and enforceable.</w:t>
      </w:r>
    </w:p>
    <w:p>
      <w:pPr>
        <w:spacing w:after="0" w:line="50" w:lineRule="exact"/>
        <w:rPr>
          <w:rFonts w:ascii="Arial" w:cs="Arial" w:eastAsia="Arial" w:hAnsi="Arial"/>
          <w:sz w:val="18"/>
          <w:szCs w:val="18"/>
          <w:color w:val="auto"/>
        </w:rPr>
      </w:pPr>
    </w:p>
    <w:p>
      <w:pPr>
        <w:ind w:left="452" w:right="100" w:hanging="452"/>
        <w:spacing w:after="0" w:line="298" w:lineRule="auto"/>
        <w:tabs>
          <w:tab w:leader="none" w:pos="452" w:val="left"/>
        </w:tabs>
        <w:numPr>
          <w:ilvl w:val="0"/>
          <w:numId w:val="20"/>
        </w:numPr>
        <w:rPr>
          <w:rFonts w:ascii="Arial" w:cs="Arial" w:eastAsia="Arial" w:hAnsi="Arial"/>
          <w:sz w:val="16"/>
          <w:szCs w:val="16"/>
          <w:color w:val="auto"/>
        </w:rPr>
      </w:pPr>
      <w:r>
        <w:rPr>
          <w:rFonts w:ascii="Arial" w:cs="Arial" w:eastAsia="Arial" w:hAnsi="Arial"/>
          <w:sz w:val="16"/>
          <w:szCs w:val="16"/>
          <w:color w:val="auto"/>
        </w:rPr>
        <w:t>Notwithstanding any provisions in this Subscription Agreement, the Purchase Right shall be subject to any special terms and conditions set forth in the Addendum to this Subscription Agreement. Moreover, if I relocate to one of the countries included in the Addendum, the special terms and conditions for such country will apply to me, to the extent the Company determines that the application of such terms and conditions is necessary or advisable in order to comply with local law or facilitate the administration of the Stock Purchase Plan. The Addendum constitutes part of this Subscription Agreement.</w:t>
      </w:r>
    </w:p>
    <w:p>
      <w:pPr>
        <w:spacing w:after="0" w:line="31" w:lineRule="exact"/>
        <w:rPr>
          <w:rFonts w:ascii="Arial" w:cs="Arial" w:eastAsia="Arial" w:hAnsi="Arial"/>
          <w:sz w:val="16"/>
          <w:szCs w:val="16"/>
          <w:color w:val="auto"/>
        </w:rPr>
      </w:pPr>
    </w:p>
    <w:p>
      <w:pPr>
        <w:ind w:left="452" w:right="120" w:hanging="452"/>
        <w:spacing w:after="0" w:line="256" w:lineRule="auto"/>
        <w:tabs>
          <w:tab w:leader="none" w:pos="452" w:val="left"/>
        </w:tabs>
        <w:numPr>
          <w:ilvl w:val="0"/>
          <w:numId w:val="20"/>
        </w:numPr>
        <w:rPr>
          <w:rFonts w:ascii="Arial" w:cs="Arial" w:eastAsia="Arial" w:hAnsi="Arial"/>
          <w:sz w:val="18"/>
          <w:szCs w:val="18"/>
          <w:color w:val="auto"/>
        </w:rPr>
      </w:pPr>
      <w:r>
        <w:rPr>
          <w:rFonts w:ascii="Arial" w:cs="Arial" w:eastAsia="Arial" w:hAnsi="Arial"/>
          <w:sz w:val="18"/>
          <w:szCs w:val="18"/>
          <w:color w:val="auto"/>
        </w:rPr>
        <w:t>The Company reserves the right to impose other requirements on my participation in the Stock Purchase Plan, on the Purchase Right, and on any shares of Common Stock acquired under the Stock Purchase Plan, to the extent the Company determines it is necessary or advisable in order to comply with local law or facilitate the administration of the Stock Purchase Plan, and to require me to sign any additional agreements or undertakings that may be necessary to accomplish the foregoing.</w:t>
      </w:r>
    </w:p>
    <w:p>
      <w:pPr>
        <w:sectPr>
          <w:pgSz w:w="11900" w:h="16838" w:orient="portrait"/>
          <w:cols w:equalWidth="0" w:num="1">
            <w:col w:w="11412"/>
          </w:cols>
          <w:pgMar w:left="248" w:top="280" w:right="239" w:bottom="1440" w:gutter="0" w:footer="0" w:header="0"/>
        </w:sectPr>
      </w:pPr>
    </w:p>
    <w:bookmarkStart w:id="61" w:name="page62"/>
    <w:bookmarkEnd w:id="61"/>
    <w:p>
      <w:pPr>
        <w:ind w:left="460" w:hanging="452"/>
        <w:spacing w:after="0" w:line="259" w:lineRule="auto"/>
        <w:tabs>
          <w:tab w:leader="none" w:pos="460" w:val="left"/>
        </w:tabs>
        <w:numPr>
          <w:ilvl w:val="0"/>
          <w:numId w:val="21"/>
        </w:numPr>
        <w:rPr>
          <w:rFonts w:ascii="Arial" w:cs="Arial" w:eastAsia="Arial" w:hAnsi="Arial"/>
          <w:sz w:val="18"/>
          <w:szCs w:val="18"/>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70" name="Picture 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0"/>
                    <pic:cNvPicPr>
                      <a:picLocks noChangeAspect="1" noChangeArrowheads="1"/>
                    </pic:cNvPicPr>
                  </pic:nvPicPr>
                  <pic:blipFill>
                    <a:blip r:embed="rId77">
                      <a:extLst>
                        <a:ext uri="{28A0092B-C50C-407E-A947-70E740481C1C}"/>
                      </a:extLst>
                    </a:blip>
                    <a:srcRect/>
                    <a:stretch>
                      <a:fillRect/>
                    </a:stretch>
                  </pic:blipFill>
                  <pic:spPr bwMode="auto">
                    <a:xfrm>
                      <a:off x="0" y="0"/>
                      <a:ext cx="7289165" cy="38735"/>
                    </a:xfrm>
                    <a:prstGeom prst="rect">
                      <a:avLst/>
                    </a:prstGeom>
                    <a:noFill/>
                  </pic:spPr>
                </pic:pic>
              </a:graphicData>
            </a:graphic>
          </wp:anchor>
        </w:drawing>
        <w:t>I hereby agree to be bound by, and understand that my participation in the Stock Purchase Plan is in all respects subject to, the terms of the Stock Purchase Plan and this Subscription Agreement, including the Addendum. The effectiveness of this Subscription Agreement and my participation in the Stock Purchase Plan is dependent upon my eligibility to participate in the Stock Purchase Plan.</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274320</wp:posOffset>
            </wp:positionV>
            <wp:extent cx="3413125" cy="8890"/>
            <wp:wrapNone/>
            <wp:docPr id="71" name="Picture 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
                    <pic:cNvPicPr>
                      <a:picLocks noChangeAspect="1" noChangeArrowheads="1"/>
                    </pic:cNvPicPr>
                  </pic:nvPicPr>
                  <pic:blipFill>
                    <a:blip r:embed="rId78">
                      <a:extLst>
                        <a:ext uri="{28A0092B-C50C-407E-A947-70E740481C1C}"/>
                      </a:extLst>
                    </a:blip>
                    <a:srcRect/>
                    <a:stretch>
                      <a:fillRect/>
                    </a:stretch>
                  </pic:blipFill>
                  <pic:spPr bwMode="auto">
                    <a:xfrm>
                      <a:off x="0" y="0"/>
                      <a:ext cx="3413125" cy="8890"/>
                    </a:xfrm>
                    <a:prstGeom prst="rect">
                      <a:avLst/>
                    </a:prstGeom>
                    <a:noFill/>
                  </pic:spPr>
                </pic:pic>
              </a:graphicData>
            </a:graphic>
          </wp:anchor>
        </w:drawing>
      </w:r>
    </w:p>
    <w:p>
      <w:pPr>
        <w:spacing w:after="0" w:line="200" w:lineRule="exact"/>
        <w:rPr>
          <w:sz w:val="20"/>
          <w:szCs w:val="20"/>
          <w:color w:val="auto"/>
        </w:rPr>
      </w:pPr>
    </w:p>
    <w:p>
      <w:pPr>
        <w:spacing w:after="0" w:line="225"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E</w:t>
      </w:r>
      <w:r>
        <w:rPr>
          <w:rFonts w:ascii="Arial" w:cs="Arial" w:eastAsia="Arial" w:hAnsi="Arial"/>
          <w:sz w:val="14"/>
          <w:szCs w:val="14"/>
          <w:b w:val="1"/>
          <w:bCs w:val="1"/>
          <w:color w:val="auto"/>
        </w:rPr>
        <w:t>MPLOYEE</w:t>
      </w:r>
      <w:r>
        <w:rPr>
          <w:rFonts w:ascii="Arial" w:cs="Arial" w:eastAsia="Arial" w:hAnsi="Arial"/>
          <w:sz w:val="18"/>
          <w:szCs w:val="18"/>
          <w:b w:val="1"/>
          <w:bCs w:val="1"/>
          <w:color w:val="auto"/>
        </w:rPr>
        <w:t xml:space="preserve"> S</w:t>
      </w:r>
      <w:r>
        <w:rPr>
          <w:rFonts w:ascii="Arial" w:cs="Arial" w:eastAsia="Arial" w:hAnsi="Arial"/>
          <w:sz w:val="14"/>
          <w:szCs w:val="14"/>
          <w:b w:val="1"/>
          <w:bCs w:val="1"/>
          <w:color w:val="auto"/>
        </w:rPr>
        <w:t>IGNATURE</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306705</wp:posOffset>
            </wp:positionV>
            <wp:extent cx="7246620" cy="8890"/>
            <wp:wrapNone/>
            <wp:docPr id="72" name="Picture 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2"/>
                    <pic:cNvPicPr>
                      <a:picLocks noChangeAspect="1" noChangeArrowheads="1"/>
                    </pic:cNvPicPr>
                  </pic:nvPicPr>
                  <pic:blipFill>
                    <a:blip r:embed="rId79">
                      <a:extLst>
                        <a:ext uri="{28A0092B-C50C-407E-A947-70E740481C1C}"/>
                      </a:extLst>
                    </a:blip>
                    <a:srcRect/>
                    <a:stretch>
                      <a:fillRect/>
                    </a:stretch>
                  </pic:blipFill>
                  <pic:spPr bwMode="auto">
                    <a:xfrm>
                      <a:off x="0" y="0"/>
                      <a:ext cx="7246620" cy="8890"/>
                    </a:xfrm>
                    <a:prstGeom prst="rect">
                      <a:avLst/>
                    </a:prstGeom>
                    <a:noFill/>
                  </pic:spPr>
                </pic:pic>
              </a:graphicData>
            </a:graphic>
          </wp:anchor>
        </w:drawing>
      </w:r>
    </w:p>
    <w:p>
      <w:pPr>
        <w:spacing w:after="0" w:line="200" w:lineRule="exact"/>
        <w:rPr>
          <w:sz w:val="20"/>
          <w:szCs w:val="20"/>
          <w:color w:val="auto"/>
        </w:rPr>
      </w:pPr>
    </w:p>
    <w:p>
      <w:pPr>
        <w:spacing w:after="0" w:line="275" w:lineRule="exact"/>
        <w:rPr>
          <w:sz w:val="20"/>
          <w:szCs w:val="20"/>
          <w:color w:val="auto"/>
        </w:rPr>
      </w:pPr>
    </w:p>
    <w:p>
      <w:pPr>
        <w:spacing w:after="0"/>
        <w:tabs>
          <w:tab w:leader="none" w:pos="6040" w:val="left"/>
        </w:tabs>
        <w:rPr>
          <w:sz w:val="20"/>
          <w:szCs w:val="20"/>
          <w:color w:val="auto"/>
        </w:rPr>
      </w:pPr>
      <w:r>
        <w:rPr>
          <w:rFonts w:ascii="Arial" w:cs="Arial" w:eastAsia="Arial" w:hAnsi="Arial"/>
          <w:sz w:val="18"/>
          <w:szCs w:val="18"/>
          <w:b w:val="1"/>
          <w:bCs w:val="1"/>
          <w:color w:val="auto"/>
        </w:rPr>
        <w:t>E</w:t>
      </w:r>
      <w:r>
        <w:rPr>
          <w:rFonts w:ascii="Arial" w:cs="Arial" w:eastAsia="Arial" w:hAnsi="Arial"/>
          <w:sz w:val="14"/>
          <w:szCs w:val="14"/>
          <w:b w:val="1"/>
          <w:bCs w:val="1"/>
          <w:color w:val="auto"/>
        </w:rPr>
        <w:t>MPLOYEE</w:t>
      </w:r>
      <w:r>
        <w:rPr>
          <w:rFonts w:ascii="Arial" w:cs="Arial" w:eastAsia="Arial" w:hAnsi="Arial"/>
          <w:sz w:val="18"/>
          <w:szCs w:val="18"/>
          <w:b w:val="1"/>
          <w:bCs w:val="1"/>
          <w:color w:val="auto"/>
        </w:rPr>
        <w:t xml:space="preserve"> N</w:t>
      </w:r>
      <w:r>
        <w:rPr>
          <w:rFonts w:ascii="Arial" w:cs="Arial" w:eastAsia="Arial" w:hAnsi="Arial"/>
          <w:sz w:val="14"/>
          <w:szCs w:val="14"/>
          <w:b w:val="1"/>
          <w:bCs w:val="1"/>
          <w:color w:val="auto"/>
        </w:rPr>
        <w:t>AME</w:t>
      </w:r>
      <w:r>
        <w:rPr>
          <w:rFonts w:ascii="Arial" w:cs="Arial" w:eastAsia="Arial" w:hAnsi="Arial"/>
          <w:sz w:val="18"/>
          <w:szCs w:val="18"/>
          <w:b w:val="1"/>
          <w:bCs w:val="1"/>
          <w:color w:val="auto"/>
        </w:rPr>
        <w:t xml:space="preserve"> (P</w:t>
      </w:r>
      <w:r>
        <w:rPr>
          <w:rFonts w:ascii="Arial" w:cs="Arial" w:eastAsia="Arial" w:hAnsi="Arial"/>
          <w:sz w:val="14"/>
          <w:szCs w:val="14"/>
          <w:b w:val="1"/>
          <w:bCs w:val="1"/>
          <w:color w:val="auto"/>
        </w:rPr>
        <w:t>LEASE</w:t>
      </w:r>
      <w:r>
        <w:rPr>
          <w:rFonts w:ascii="Arial" w:cs="Arial" w:eastAsia="Arial" w:hAnsi="Arial"/>
          <w:sz w:val="18"/>
          <w:szCs w:val="18"/>
          <w:b w:val="1"/>
          <w:bCs w:val="1"/>
          <w:color w:val="auto"/>
        </w:rPr>
        <w:t xml:space="preserve"> P</w:t>
      </w:r>
      <w:r>
        <w:rPr>
          <w:rFonts w:ascii="Arial" w:cs="Arial" w:eastAsia="Arial" w:hAnsi="Arial"/>
          <w:sz w:val="14"/>
          <w:szCs w:val="14"/>
          <w:b w:val="1"/>
          <w:bCs w:val="1"/>
          <w:color w:val="auto"/>
        </w:rPr>
        <w:t>RINT</w:t>
      </w:r>
      <w:r>
        <w:rPr>
          <w:rFonts w:ascii="Arial" w:cs="Arial" w:eastAsia="Arial" w:hAnsi="Arial"/>
          <w:sz w:val="18"/>
          <w:szCs w:val="18"/>
          <w:b w:val="1"/>
          <w:bCs w:val="1"/>
          <w:color w:val="auto"/>
        </w:rPr>
        <w:t xml:space="preserve"> F</w:t>
      </w:r>
      <w:r>
        <w:rPr>
          <w:rFonts w:ascii="Arial" w:cs="Arial" w:eastAsia="Arial" w:hAnsi="Arial"/>
          <w:sz w:val="14"/>
          <w:szCs w:val="14"/>
          <w:b w:val="1"/>
          <w:bCs w:val="1"/>
          <w:color w:val="auto"/>
        </w:rPr>
        <w:t>ULL</w:t>
      </w:r>
      <w:r>
        <w:rPr>
          <w:rFonts w:ascii="Arial" w:cs="Arial" w:eastAsia="Arial" w:hAnsi="Arial"/>
          <w:sz w:val="18"/>
          <w:szCs w:val="18"/>
          <w:b w:val="1"/>
          <w:bCs w:val="1"/>
          <w:color w:val="auto"/>
        </w:rPr>
        <w:t xml:space="preserve"> L</w:t>
      </w:r>
      <w:r>
        <w:rPr>
          <w:rFonts w:ascii="Arial" w:cs="Arial" w:eastAsia="Arial" w:hAnsi="Arial"/>
          <w:sz w:val="14"/>
          <w:szCs w:val="14"/>
          <w:b w:val="1"/>
          <w:bCs w:val="1"/>
          <w:color w:val="auto"/>
        </w:rPr>
        <w:t>EGAL</w:t>
      </w:r>
      <w:r>
        <w:rPr>
          <w:rFonts w:ascii="Arial" w:cs="Arial" w:eastAsia="Arial" w:hAnsi="Arial"/>
          <w:sz w:val="18"/>
          <w:szCs w:val="18"/>
          <w:b w:val="1"/>
          <w:bCs w:val="1"/>
          <w:color w:val="auto"/>
        </w:rPr>
        <w:t xml:space="preserve"> N</w:t>
      </w:r>
      <w:r>
        <w:rPr>
          <w:rFonts w:ascii="Arial" w:cs="Arial" w:eastAsia="Arial" w:hAnsi="Arial"/>
          <w:sz w:val="14"/>
          <w:szCs w:val="14"/>
          <w:b w:val="1"/>
          <w:bCs w:val="1"/>
          <w:color w:val="auto"/>
        </w:rPr>
        <w:t>AME</w:t>
      </w:r>
      <w:r>
        <w:rPr>
          <w:rFonts w:ascii="Arial" w:cs="Arial" w:eastAsia="Arial" w:hAnsi="Arial"/>
          <w:sz w:val="18"/>
          <w:szCs w:val="18"/>
          <w:b w:val="1"/>
          <w:bCs w:val="1"/>
          <w:color w:val="auto"/>
        </w:rPr>
        <w:t>)</w:t>
      </w:r>
      <w:r>
        <w:rPr>
          <w:sz w:val="20"/>
          <w:szCs w:val="20"/>
          <w:color w:val="auto"/>
        </w:rPr>
        <w:tab/>
      </w:r>
      <w:r>
        <w:rPr>
          <w:rFonts w:ascii="Arial" w:cs="Arial" w:eastAsia="Arial" w:hAnsi="Arial"/>
          <w:sz w:val="18"/>
          <w:szCs w:val="18"/>
          <w:b w:val="1"/>
          <w:bCs w:val="1"/>
          <w:color w:val="auto"/>
        </w:rPr>
        <w:t>E</w:t>
      </w:r>
      <w:r>
        <w:rPr>
          <w:rFonts w:ascii="Arial" w:cs="Arial" w:eastAsia="Arial" w:hAnsi="Arial"/>
          <w:sz w:val="14"/>
          <w:szCs w:val="14"/>
          <w:b w:val="1"/>
          <w:bCs w:val="1"/>
          <w:color w:val="auto"/>
        </w:rPr>
        <w:t>MPLOYEE</w:t>
      </w:r>
      <w:r>
        <w:rPr>
          <w:rFonts w:ascii="Arial" w:cs="Arial" w:eastAsia="Arial" w:hAnsi="Arial"/>
          <w:sz w:val="18"/>
          <w:szCs w:val="18"/>
          <w:b w:val="1"/>
          <w:bCs w:val="1"/>
          <w:color w:val="auto"/>
        </w:rPr>
        <w:t xml:space="preserve"> ID # (</w:t>
      </w:r>
      <w:r>
        <w:rPr>
          <w:rFonts w:ascii="Arial" w:cs="Arial" w:eastAsia="Arial" w:hAnsi="Arial"/>
          <w:sz w:val="14"/>
          <w:szCs w:val="14"/>
          <w:b w:val="1"/>
          <w:bCs w:val="1"/>
          <w:color w:val="auto"/>
        </w:rPr>
        <w:t>PAYROLL FILE NUMBER</w:t>
      </w:r>
      <w:r>
        <w:rPr>
          <w:rFonts w:ascii="Arial" w:cs="Arial" w:eastAsia="Arial" w:hAnsi="Arial"/>
          <w:sz w:val="18"/>
          <w:szCs w:val="18"/>
          <w:b w:val="1"/>
          <w:bCs w:val="1"/>
          <w:color w:val="auto"/>
        </w:rPr>
        <w:t>)</w:t>
      </w:r>
    </w:p>
    <w:p>
      <w:pPr>
        <w:sectPr>
          <w:pgSz w:w="11900" w:h="16838" w:orient="portrait"/>
          <w:cols w:equalWidth="0" w:num="1">
            <w:col w:w="11320"/>
          </w:cols>
          <w:pgMar w:left="240" w:top="280" w:right="339" w:bottom="1440" w:gutter="0" w:footer="0" w:header="0"/>
        </w:sectPr>
      </w:pPr>
    </w:p>
    <w:bookmarkStart w:id="62" w:name="page63"/>
    <w:bookmarkEnd w:id="62"/>
    <w:p>
      <w:pPr>
        <w:jc w:val="right"/>
        <w:spacing w:after="0"/>
        <w:rPr>
          <w:sz w:val="20"/>
          <w:szCs w:val="20"/>
          <w:color w:val="auto"/>
        </w:rPr>
      </w:pPr>
      <w:r>
        <w:rPr>
          <w:rFonts w:ascii="Arial" w:cs="Arial" w:eastAsia="Arial" w:hAnsi="Arial"/>
          <w:sz w:val="18"/>
          <w:szCs w:val="18"/>
          <w:b w:val="1"/>
          <w:bCs w:val="1"/>
          <w:color w:val="auto"/>
        </w:rPr>
        <w:t>Exhibit 31.1</w:t>
      </w:r>
    </w:p>
    <w:p>
      <w:pPr>
        <w:spacing w:after="0" w:line="171" w:lineRule="exact"/>
        <w:rPr>
          <w:sz w:val="20"/>
          <w:szCs w:val="20"/>
          <w:color w:val="auto"/>
        </w:rPr>
      </w:pPr>
    </w:p>
    <w:p>
      <w:pPr>
        <w:ind w:left="40"/>
        <w:spacing w:after="0"/>
        <w:rPr>
          <w:sz w:val="20"/>
          <w:szCs w:val="20"/>
          <w:color w:val="auto"/>
        </w:rPr>
      </w:pPr>
      <w:r>
        <w:rPr>
          <w:rFonts w:ascii="Arial" w:cs="Arial" w:eastAsia="Arial" w:hAnsi="Arial"/>
          <w:sz w:val="16"/>
          <w:szCs w:val="16"/>
          <w:b w:val="1"/>
          <w:bCs w:val="1"/>
          <w:color w:val="auto"/>
        </w:rPr>
        <w:t>CERTIFICATION OF THE PRESIDENT AND CHIEF EXECUTIVE OFFICER PURSUANT TO SECURITIES EXCHANGE ACT RULES 13a-14(a)</w:t>
      </w:r>
    </w:p>
    <w:p>
      <w:pPr>
        <w:spacing w:after="0" w:line="44" w:lineRule="exact"/>
        <w:rPr>
          <w:sz w:val="20"/>
          <w:szCs w:val="20"/>
          <w:color w:val="auto"/>
        </w:rPr>
      </w:pPr>
    </w:p>
    <w:p>
      <w:pPr>
        <w:ind w:left="1580"/>
        <w:spacing w:after="0"/>
        <w:rPr>
          <w:sz w:val="20"/>
          <w:szCs w:val="20"/>
          <w:color w:val="auto"/>
        </w:rPr>
      </w:pPr>
      <w:r>
        <w:rPr>
          <w:rFonts w:ascii="Arial" w:cs="Arial" w:eastAsia="Arial" w:hAnsi="Arial"/>
          <w:sz w:val="18"/>
          <w:szCs w:val="18"/>
          <w:b w:val="1"/>
          <w:bCs w:val="1"/>
          <w:color w:val="auto"/>
        </w:rPr>
        <w:t>AND 15d-14(a), AS ADOPTED PURSUANT TO SECTION 302 OF THE SARBANES-OXLEY ACT OF 2002</w:t>
      </w:r>
    </w:p>
    <w:p>
      <w:pPr>
        <w:spacing w:after="0" w:line="165" w:lineRule="exact"/>
        <w:rPr>
          <w:sz w:val="20"/>
          <w:szCs w:val="20"/>
          <w:color w:val="auto"/>
        </w:rPr>
      </w:pPr>
    </w:p>
    <w:p>
      <w:pPr>
        <w:spacing w:after="0"/>
        <w:rPr>
          <w:sz w:val="20"/>
          <w:szCs w:val="20"/>
          <w:color w:val="auto"/>
        </w:rPr>
      </w:pPr>
      <w:r>
        <w:rPr>
          <w:rFonts w:ascii="Arial" w:cs="Arial" w:eastAsia="Arial" w:hAnsi="Arial"/>
          <w:sz w:val="18"/>
          <w:szCs w:val="18"/>
          <w:color w:val="auto"/>
        </w:rPr>
        <w:t>I, Sehat Sutardja, Ph. D, certify that:</w:t>
      </w:r>
    </w:p>
    <w:p>
      <w:pPr>
        <w:spacing w:after="0" w:line="90" w:lineRule="exact"/>
        <w:rPr>
          <w:sz w:val="20"/>
          <w:szCs w:val="20"/>
          <w:color w:val="auto"/>
        </w:rPr>
      </w:pPr>
    </w:p>
    <w:p>
      <w:pPr>
        <w:ind w:left="460" w:hanging="452"/>
        <w:spacing w:after="0"/>
        <w:tabs>
          <w:tab w:leader="none" w:pos="460" w:val="left"/>
        </w:tabs>
        <w:numPr>
          <w:ilvl w:val="0"/>
          <w:numId w:val="22"/>
        </w:numPr>
        <w:rPr>
          <w:rFonts w:ascii="Arial" w:cs="Arial" w:eastAsia="Arial" w:hAnsi="Arial"/>
          <w:sz w:val="18"/>
          <w:szCs w:val="18"/>
          <w:color w:val="auto"/>
        </w:rPr>
      </w:pPr>
      <w:r>
        <w:rPr>
          <w:rFonts w:ascii="Arial" w:cs="Arial" w:eastAsia="Arial" w:hAnsi="Arial"/>
          <w:sz w:val="18"/>
          <w:szCs w:val="18"/>
          <w:color w:val="auto"/>
        </w:rPr>
        <w:t>I have reviewed this quarterly report on Form 10-Q of Marvell Technology Group Ltd.;</w:t>
      </w:r>
    </w:p>
    <w:p>
      <w:pPr>
        <w:spacing w:after="0" w:line="90" w:lineRule="exact"/>
        <w:rPr>
          <w:rFonts w:ascii="Arial" w:cs="Arial" w:eastAsia="Arial" w:hAnsi="Arial"/>
          <w:sz w:val="18"/>
          <w:szCs w:val="18"/>
          <w:color w:val="auto"/>
        </w:rPr>
      </w:pPr>
    </w:p>
    <w:p>
      <w:pPr>
        <w:ind w:left="460" w:right="260" w:hanging="452"/>
        <w:spacing w:after="0" w:line="357" w:lineRule="auto"/>
        <w:tabs>
          <w:tab w:leader="none" w:pos="460" w:val="left"/>
        </w:tabs>
        <w:numPr>
          <w:ilvl w:val="0"/>
          <w:numId w:val="22"/>
        </w:numPr>
        <w:rPr>
          <w:rFonts w:ascii="Arial" w:cs="Arial" w:eastAsia="Arial" w:hAnsi="Arial"/>
          <w:sz w:val="15"/>
          <w:szCs w:val="15"/>
          <w:color w:val="auto"/>
        </w:rPr>
      </w:pPr>
      <w:r>
        <w:rPr>
          <w:rFonts w:ascii="Arial" w:cs="Arial" w:eastAsia="Arial" w:hAnsi="Arial"/>
          <w:sz w:val="15"/>
          <w:szCs w:val="15"/>
          <w:color w:val="auto"/>
        </w:rPr>
        <w:t>Based on my knowledge, this report does not contain any untrue statement of a material fact or omit to state a material fact necessary to make the statements made, in light of the circumstances under which such statements were made, not misleading with respect to the period covered by this report;</w:t>
      </w:r>
    </w:p>
    <w:p>
      <w:pPr>
        <w:ind w:left="460" w:right="60" w:hanging="452"/>
        <w:spacing w:after="0" w:line="268" w:lineRule="auto"/>
        <w:tabs>
          <w:tab w:leader="none" w:pos="460" w:val="left"/>
        </w:tabs>
        <w:numPr>
          <w:ilvl w:val="0"/>
          <w:numId w:val="22"/>
        </w:numPr>
        <w:rPr>
          <w:rFonts w:ascii="Arial" w:cs="Arial" w:eastAsia="Arial" w:hAnsi="Arial"/>
          <w:sz w:val="18"/>
          <w:szCs w:val="18"/>
          <w:color w:val="auto"/>
        </w:rPr>
      </w:pPr>
      <w:r>
        <w:rPr>
          <w:rFonts w:ascii="Arial" w:cs="Arial" w:eastAsia="Arial" w:hAnsi="Arial"/>
          <w:sz w:val="18"/>
          <w:szCs w:val="18"/>
          <w:color w:val="auto"/>
        </w:rPr>
        <w:t>Based on my knowledge, the financial statements, and other financial information included in this report, fairly present in all material respects the financial condition, results of operations and cash flows of the registrant as of, and for, the periods presented in this report;</w:t>
      </w:r>
    </w:p>
    <w:p>
      <w:pPr>
        <w:spacing w:after="0" w:line="50" w:lineRule="exact"/>
        <w:rPr>
          <w:rFonts w:ascii="Arial" w:cs="Arial" w:eastAsia="Arial" w:hAnsi="Arial"/>
          <w:sz w:val="18"/>
          <w:szCs w:val="18"/>
          <w:color w:val="auto"/>
        </w:rPr>
      </w:pPr>
    </w:p>
    <w:p>
      <w:pPr>
        <w:ind w:left="460" w:right="200" w:hanging="452"/>
        <w:spacing w:after="0" w:line="259" w:lineRule="auto"/>
        <w:tabs>
          <w:tab w:leader="none" w:pos="460" w:val="left"/>
        </w:tabs>
        <w:numPr>
          <w:ilvl w:val="0"/>
          <w:numId w:val="22"/>
        </w:numPr>
        <w:rPr>
          <w:rFonts w:ascii="Arial" w:cs="Arial" w:eastAsia="Arial" w:hAnsi="Arial"/>
          <w:sz w:val="18"/>
          <w:szCs w:val="18"/>
          <w:color w:val="auto"/>
        </w:rPr>
      </w:pPr>
      <w:r>
        <w:rPr>
          <w:rFonts w:ascii="Arial" w:cs="Arial" w:eastAsia="Arial" w:hAnsi="Arial"/>
          <w:sz w:val="18"/>
          <w:szCs w:val="18"/>
          <w:color w:val="auto"/>
        </w:rPr>
        <w:t>The registrant’s other certifying officer and I are responsible for establishing and maintaining disclosure controls and procedures (as defined in Exchange Act Rules 13a-15(e) and 15d-15(e)) and internal control over financial reporting (as defined in Exchange Act Rules 13a-15(f) and 15d-15(f)) for the registrant and have:</w:t>
      </w:r>
    </w:p>
    <w:p>
      <w:pPr>
        <w:spacing w:after="0" w:line="59" w:lineRule="exact"/>
        <w:rPr>
          <w:rFonts w:ascii="Arial" w:cs="Arial" w:eastAsia="Arial" w:hAnsi="Arial"/>
          <w:sz w:val="18"/>
          <w:szCs w:val="18"/>
          <w:color w:val="auto"/>
        </w:rPr>
      </w:pPr>
    </w:p>
    <w:p>
      <w:pPr>
        <w:ind w:left="900" w:right="60" w:hanging="446"/>
        <w:spacing w:after="0" w:line="259" w:lineRule="auto"/>
        <w:tabs>
          <w:tab w:leader="none" w:pos="900" w:val="left"/>
        </w:tabs>
        <w:numPr>
          <w:ilvl w:val="1"/>
          <w:numId w:val="22"/>
        </w:numPr>
        <w:rPr>
          <w:rFonts w:ascii="Arial" w:cs="Arial" w:eastAsia="Arial" w:hAnsi="Arial"/>
          <w:sz w:val="18"/>
          <w:szCs w:val="18"/>
          <w:color w:val="auto"/>
        </w:rPr>
      </w:pPr>
      <w:r>
        <w:rPr>
          <w:rFonts w:ascii="Arial" w:cs="Arial" w:eastAsia="Arial" w:hAnsi="Arial"/>
          <w:sz w:val="18"/>
          <w:szCs w:val="18"/>
          <w:color w:val="auto"/>
        </w:rPr>
        <w:t>Designed such disclosure controls and procedures, or caused such disclosure controls and procedures to be designed under our supervision, to ensure that material information relating to the registrant, including its consolidated subsidiaries, is made known to us by others within those entities, particularly during the period in which this report is being prepared;</w:t>
      </w:r>
    </w:p>
    <w:p>
      <w:pPr>
        <w:spacing w:after="0" w:line="59" w:lineRule="exact"/>
        <w:rPr>
          <w:rFonts w:ascii="Arial" w:cs="Arial" w:eastAsia="Arial" w:hAnsi="Arial"/>
          <w:sz w:val="18"/>
          <w:szCs w:val="18"/>
          <w:color w:val="auto"/>
        </w:rPr>
      </w:pPr>
    </w:p>
    <w:p>
      <w:pPr>
        <w:ind w:left="900" w:right="40" w:hanging="446"/>
        <w:spacing w:after="0" w:line="259" w:lineRule="auto"/>
        <w:tabs>
          <w:tab w:leader="none" w:pos="900" w:val="left"/>
        </w:tabs>
        <w:numPr>
          <w:ilvl w:val="1"/>
          <w:numId w:val="22"/>
        </w:numPr>
        <w:rPr>
          <w:rFonts w:ascii="Arial" w:cs="Arial" w:eastAsia="Arial" w:hAnsi="Arial"/>
          <w:sz w:val="18"/>
          <w:szCs w:val="18"/>
          <w:color w:val="auto"/>
        </w:rPr>
      </w:pPr>
      <w:r>
        <w:rPr>
          <w:rFonts w:ascii="Arial" w:cs="Arial" w:eastAsia="Arial" w:hAnsi="Arial"/>
          <w:sz w:val="18"/>
          <w:szCs w:val="18"/>
          <w:color w:val="auto"/>
        </w:rPr>
        <w:t>Designed such internal control over financial reporting, or caused such internal control over financial reporting to be designed under our supervision, to provide reasonable assurance regarding the reliability of financial reporting and the preparation of financial statements for external purposes in accordance with generally accepted accounting principles;</w:t>
      </w:r>
    </w:p>
    <w:p>
      <w:pPr>
        <w:spacing w:after="0" w:line="59" w:lineRule="exact"/>
        <w:rPr>
          <w:rFonts w:ascii="Arial" w:cs="Arial" w:eastAsia="Arial" w:hAnsi="Arial"/>
          <w:sz w:val="18"/>
          <w:szCs w:val="18"/>
          <w:color w:val="auto"/>
        </w:rPr>
      </w:pPr>
    </w:p>
    <w:p>
      <w:pPr>
        <w:ind w:left="900" w:right="100" w:hanging="446"/>
        <w:spacing w:after="0" w:line="332" w:lineRule="auto"/>
        <w:tabs>
          <w:tab w:leader="none" w:pos="900" w:val="left"/>
        </w:tabs>
        <w:numPr>
          <w:ilvl w:val="1"/>
          <w:numId w:val="22"/>
        </w:numPr>
        <w:rPr>
          <w:rFonts w:ascii="Arial" w:cs="Arial" w:eastAsia="Arial" w:hAnsi="Arial"/>
          <w:sz w:val="16"/>
          <w:szCs w:val="16"/>
          <w:color w:val="auto"/>
        </w:rPr>
      </w:pPr>
      <w:r>
        <w:rPr>
          <w:rFonts w:ascii="Arial" w:cs="Arial" w:eastAsia="Arial" w:hAnsi="Arial"/>
          <w:sz w:val="16"/>
          <w:szCs w:val="16"/>
          <w:color w:val="auto"/>
        </w:rPr>
        <w:t>Evaluated the effectiveness of the registrant’s disclosure controls and procedures and presented in this report our conclusions about the effectiveness of the disclosure controls and procedures, as of the end of the period covered by this report based on such evaluation; and</w:t>
      </w:r>
    </w:p>
    <w:p>
      <w:pPr>
        <w:spacing w:after="0" w:line="4" w:lineRule="exact"/>
        <w:rPr>
          <w:rFonts w:ascii="Arial" w:cs="Arial" w:eastAsia="Arial" w:hAnsi="Arial"/>
          <w:sz w:val="16"/>
          <w:szCs w:val="16"/>
          <w:color w:val="auto"/>
        </w:rPr>
      </w:pPr>
    </w:p>
    <w:p>
      <w:pPr>
        <w:ind w:left="900" w:right="140" w:hanging="446"/>
        <w:spacing w:after="0" w:line="259" w:lineRule="auto"/>
        <w:tabs>
          <w:tab w:leader="none" w:pos="900" w:val="left"/>
        </w:tabs>
        <w:numPr>
          <w:ilvl w:val="1"/>
          <w:numId w:val="22"/>
        </w:numPr>
        <w:rPr>
          <w:rFonts w:ascii="Arial" w:cs="Arial" w:eastAsia="Arial" w:hAnsi="Arial"/>
          <w:sz w:val="18"/>
          <w:szCs w:val="18"/>
          <w:color w:val="auto"/>
        </w:rPr>
      </w:pPr>
      <w:r>
        <w:rPr>
          <w:rFonts w:ascii="Arial" w:cs="Arial" w:eastAsia="Arial" w:hAnsi="Arial"/>
          <w:sz w:val="18"/>
          <w:szCs w:val="18"/>
          <w:color w:val="auto"/>
        </w:rPr>
        <w:t>Disclosed in this report any change in the registrant’s internal control over financial reporting that occurred during the registrant’s most recent fiscal quarter (the registrant’s fourth fiscal quarter in the case of an annual report) that has materially affected, or is reasonably likely to materially affect, the registrant’s internal control over financial reporting; and</w:t>
      </w:r>
    </w:p>
    <w:p>
      <w:pPr>
        <w:spacing w:after="0" w:line="59" w:lineRule="exact"/>
        <w:rPr>
          <w:rFonts w:ascii="Arial" w:cs="Arial" w:eastAsia="Arial" w:hAnsi="Arial"/>
          <w:sz w:val="18"/>
          <w:szCs w:val="18"/>
          <w:color w:val="auto"/>
        </w:rPr>
      </w:pPr>
    </w:p>
    <w:p>
      <w:pPr>
        <w:ind w:left="460" w:right="640" w:hanging="452"/>
        <w:spacing w:after="0" w:line="332" w:lineRule="auto"/>
        <w:tabs>
          <w:tab w:leader="none" w:pos="460" w:val="left"/>
        </w:tabs>
        <w:numPr>
          <w:ilvl w:val="0"/>
          <w:numId w:val="22"/>
        </w:numPr>
        <w:rPr>
          <w:rFonts w:ascii="Arial" w:cs="Arial" w:eastAsia="Arial" w:hAnsi="Arial"/>
          <w:sz w:val="16"/>
          <w:szCs w:val="16"/>
          <w:color w:val="auto"/>
        </w:rPr>
      </w:pPr>
      <w:r>
        <w:rPr>
          <w:rFonts w:ascii="Arial" w:cs="Arial" w:eastAsia="Arial" w:hAnsi="Arial"/>
          <w:sz w:val="16"/>
          <w:szCs w:val="16"/>
          <w:color w:val="auto"/>
        </w:rPr>
        <w:t>The registrant’s other certifying officer and I have disclosed, based on our most recent evaluation of internal control over financial reporting, to the registrant’s auditors and the audit committee of the registrant’s board of directors (or persons performing the equivalent functions):</w:t>
      </w:r>
    </w:p>
    <w:p>
      <w:pPr>
        <w:spacing w:after="0" w:line="4" w:lineRule="exact"/>
        <w:rPr>
          <w:rFonts w:ascii="Arial" w:cs="Arial" w:eastAsia="Arial" w:hAnsi="Arial"/>
          <w:sz w:val="16"/>
          <w:szCs w:val="16"/>
          <w:color w:val="auto"/>
        </w:rPr>
      </w:pPr>
    </w:p>
    <w:p>
      <w:pPr>
        <w:ind w:left="900" w:right="20" w:hanging="446"/>
        <w:spacing w:after="0" w:line="268" w:lineRule="auto"/>
        <w:tabs>
          <w:tab w:leader="none" w:pos="900" w:val="left"/>
        </w:tabs>
        <w:numPr>
          <w:ilvl w:val="1"/>
          <w:numId w:val="22"/>
        </w:numPr>
        <w:rPr>
          <w:rFonts w:ascii="Arial" w:cs="Arial" w:eastAsia="Arial" w:hAnsi="Arial"/>
          <w:sz w:val="18"/>
          <w:szCs w:val="18"/>
          <w:color w:val="auto"/>
        </w:rPr>
      </w:pPr>
      <w:r>
        <w:rPr>
          <w:rFonts w:ascii="Arial" w:cs="Arial" w:eastAsia="Arial" w:hAnsi="Arial"/>
          <w:sz w:val="18"/>
          <w:szCs w:val="18"/>
          <w:color w:val="auto"/>
        </w:rPr>
        <w:t>All significant deficiencies and material weaknesses in the design or operation of internal control over financial reporting which are reasonably likely to adversely affect the registrant’s ability to record, process, summarize and report financial information; and</w:t>
      </w:r>
    </w:p>
    <w:p>
      <w:pPr>
        <w:spacing w:after="0" w:line="50" w:lineRule="exact"/>
        <w:rPr>
          <w:rFonts w:ascii="Arial" w:cs="Arial" w:eastAsia="Arial" w:hAnsi="Arial"/>
          <w:sz w:val="18"/>
          <w:szCs w:val="18"/>
          <w:color w:val="auto"/>
        </w:rPr>
      </w:pPr>
    </w:p>
    <w:p>
      <w:pPr>
        <w:ind w:left="900" w:right="60" w:hanging="446"/>
        <w:spacing w:after="0" w:line="268" w:lineRule="auto"/>
        <w:tabs>
          <w:tab w:leader="none" w:pos="900" w:val="left"/>
        </w:tabs>
        <w:numPr>
          <w:ilvl w:val="1"/>
          <w:numId w:val="22"/>
        </w:numPr>
        <w:rPr>
          <w:rFonts w:ascii="Arial" w:cs="Arial" w:eastAsia="Arial" w:hAnsi="Arial"/>
          <w:sz w:val="18"/>
          <w:szCs w:val="18"/>
          <w:color w:val="auto"/>
        </w:rPr>
      </w:pPr>
      <w:r>
        <w:rPr>
          <w:rFonts w:ascii="Arial" w:cs="Arial" w:eastAsia="Arial" w:hAnsi="Arial"/>
          <w:sz w:val="18"/>
          <w:szCs w:val="18"/>
          <w:color w:val="auto"/>
        </w:rPr>
        <w:t>Any fraud, whether or not material, that involves management or other employees who have a significant role in the registrant’s internal control over financial reporting.</w:t>
      </w:r>
    </w:p>
    <w:p>
      <w:pPr>
        <w:spacing w:after="0" w:line="172" w:lineRule="exact"/>
        <w:rPr>
          <w:sz w:val="20"/>
          <w:szCs w:val="20"/>
          <w:color w:val="auto"/>
        </w:rPr>
      </w:pPr>
    </w:p>
    <w:p>
      <w:pPr>
        <w:spacing w:after="0"/>
        <w:tabs>
          <w:tab w:leader="none" w:pos="6600" w:val="left"/>
        </w:tabs>
        <w:rPr>
          <w:sz w:val="20"/>
          <w:szCs w:val="20"/>
          <w:color w:val="auto"/>
        </w:rPr>
      </w:pPr>
      <w:r>
        <w:rPr>
          <w:rFonts w:ascii="Arial" w:cs="Arial" w:eastAsia="Arial" w:hAnsi="Arial"/>
          <w:sz w:val="18"/>
          <w:szCs w:val="18"/>
          <w:color w:val="auto"/>
        </w:rPr>
        <w:t xml:space="preserve">Date: </w:t>
      </w:r>
      <w:r>
        <w:rPr>
          <w:rFonts w:ascii="Arial" w:cs="Arial" w:eastAsia="Arial" w:hAnsi="Arial"/>
          <w:sz w:val="18"/>
          <w:szCs w:val="18"/>
          <w:u w:val="single" w:color="auto"/>
          <w:color w:val="auto"/>
        </w:rPr>
        <w:t>December 9, 2009</w:t>
      </w:r>
      <w:r>
        <w:rPr>
          <w:sz w:val="20"/>
          <w:szCs w:val="20"/>
          <w:color w:val="auto"/>
        </w:rPr>
        <w:tab/>
      </w:r>
      <w:r>
        <w:rPr>
          <w:rFonts w:ascii="Arial" w:cs="Arial" w:eastAsia="Arial" w:hAnsi="Arial"/>
          <w:sz w:val="15"/>
          <w:szCs w:val="15"/>
          <w:color w:val="auto"/>
        </w:rPr>
        <w:t>By:  /s/ Sehat Sutardja</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4430395</wp:posOffset>
            </wp:positionH>
            <wp:positionV relativeFrom="paragraph">
              <wp:posOffset>10795</wp:posOffset>
            </wp:positionV>
            <wp:extent cx="2821305" cy="8890"/>
            <wp:wrapNone/>
            <wp:docPr id="73" name="Picture 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
                    <pic:cNvPicPr>
                      <a:picLocks noChangeAspect="1" noChangeArrowheads="1"/>
                    </pic:cNvPicPr>
                  </pic:nvPicPr>
                  <pic:blipFill>
                    <a:blip r:embed="rId80">
                      <a:extLst>
                        <a:ext uri="{28A0092B-C50C-407E-A947-70E740481C1C}"/>
                      </a:extLst>
                    </a:blip>
                    <a:srcRect/>
                    <a:stretch>
                      <a:fillRect/>
                    </a:stretch>
                  </pic:blipFill>
                  <pic:spPr bwMode="auto">
                    <a:xfrm>
                      <a:off x="0" y="0"/>
                      <a:ext cx="2821305" cy="8890"/>
                    </a:xfrm>
                    <a:prstGeom prst="rect">
                      <a:avLst/>
                    </a:prstGeom>
                    <a:noFill/>
                  </pic:spPr>
                </pic:pic>
              </a:graphicData>
            </a:graphic>
          </wp:anchor>
        </w:drawing>
      </w:r>
    </w:p>
    <w:p>
      <w:pPr>
        <w:spacing w:after="0" w:line="22" w:lineRule="exact"/>
        <w:rPr>
          <w:sz w:val="20"/>
          <w:szCs w:val="20"/>
          <w:color w:val="auto"/>
        </w:rPr>
      </w:pPr>
    </w:p>
    <w:p>
      <w:pPr>
        <w:ind w:left="6980"/>
        <w:spacing w:after="0"/>
        <w:rPr>
          <w:sz w:val="20"/>
          <w:szCs w:val="20"/>
          <w:color w:val="auto"/>
        </w:rPr>
      </w:pPr>
      <w:r>
        <w:rPr>
          <w:rFonts w:ascii="Arial" w:cs="Arial" w:eastAsia="Arial" w:hAnsi="Arial"/>
          <w:sz w:val="18"/>
          <w:szCs w:val="18"/>
          <w:color w:val="auto"/>
        </w:rPr>
        <w:t>Sehat Sutardja, Ph.D.</w:t>
      </w:r>
    </w:p>
    <w:p>
      <w:pPr>
        <w:spacing w:after="0" w:line="9" w:lineRule="exact"/>
        <w:rPr>
          <w:sz w:val="20"/>
          <w:szCs w:val="20"/>
          <w:color w:val="auto"/>
        </w:rPr>
      </w:pPr>
    </w:p>
    <w:p>
      <w:pPr>
        <w:ind w:left="6980"/>
        <w:spacing w:after="0"/>
        <w:rPr>
          <w:sz w:val="20"/>
          <w:szCs w:val="20"/>
          <w:color w:val="auto"/>
        </w:rPr>
      </w:pPr>
      <w:r>
        <w:rPr>
          <w:rFonts w:ascii="Arial" w:cs="Arial" w:eastAsia="Arial" w:hAnsi="Arial"/>
          <w:sz w:val="18"/>
          <w:szCs w:val="18"/>
          <w:color w:val="auto"/>
        </w:rPr>
        <w:t>President and Chief Executive Officer</w:t>
      </w:r>
    </w:p>
    <w:p>
      <w:pPr>
        <w:sectPr>
          <w:pgSz w:w="11900" w:h="16838" w:orient="portrait"/>
          <w:cols w:equalWidth="0" w:num="1">
            <w:col w:w="11420"/>
          </w:cols>
          <w:pgMar w:left="240" w:top="125" w:right="239" w:bottom="1440" w:gutter="0" w:footer="0" w:header="0"/>
        </w:sectPr>
      </w:pPr>
    </w:p>
    <w:bookmarkStart w:id="63" w:name="page64"/>
    <w:bookmarkEnd w:id="63"/>
    <w:p>
      <w:pPr>
        <w:jc w:val="right"/>
        <w:spacing w:after="0"/>
        <w:rPr>
          <w:sz w:val="20"/>
          <w:szCs w:val="20"/>
          <w:color w:val="auto"/>
        </w:rPr>
      </w:pPr>
      <w:r>
        <w:rPr>
          <w:rFonts w:ascii="Arial" w:cs="Arial" w:eastAsia="Arial" w:hAnsi="Arial"/>
          <w:sz w:val="18"/>
          <w:szCs w:val="18"/>
          <w:b w:val="1"/>
          <w:bCs w:val="1"/>
          <w:color w:val="auto"/>
        </w:rPr>
        <w:t>Exhibit 31.2</w:t>
      </w:r>
    </w:p>
    <w:p>
      <w:pPr>
        <w:spacing w:after="0" w:line="171" w:lineRule="exact"/>
        <w:rPr>
          <w:sz w:val="20"/>
          <w:szCs w:val="20"/>
          <w:color w:val="auto"/>
        </w:rPr>
      </w:pPr>
    </w:p>
    <w:p>
      <w:pPr>
        <w:ind w:left="1220" w:right="1160" w:hanging="48"/>
        <w:spacing w:after="0" w:line="339" w:lineRule="auto"/>
        <w:rPr>
          <w:sz w:val="20"/>
          <w:szCs w:val="20"/>
          <w:color w:val="auto"/>
        </w:rPr>
      </w:pPr>
      <w:r>
        <w:rPr>
          <w:rFonts w:ascii="Arial" w:cs="Arial" w:eastAsia="Arial" w:hAnsi="Arial"/>
          <w:sz w:val="16"/>
          <w:szCs w:val="16"/>
          <w:b w:val="1"/>
          <w:bCs w:val="1"/>
          <w:color w:val="auto"/>
        </w:rPr>
        <w:t>CERTIFICATION OF THE CHIEF FINANCIAL OFFICER PURSUANT TO SECURITIES EXCHANGE ACT RULES 13a-14(a) AND 15d-14(a), AS ADOPTED PURSUANT TO SECTION 302 OF THE SARBANES-OXLEY ACT OF 2002</w:t>
      </w:r>
    </w:p>
    <w:p>
      <w:pPr>
        <w:spacing w:after="0" w:line="80" w:lineRule="exact"/>
        <w:rPr>
          <w:sz w:val="20"/>
          <w:szCs w:val="20"/>
          <w:color w:val="auto"/>
        </w:rPr>
      </w:pPr>
    </w:p>
    <w:p>
      <w:pPr>
        <w:spacing w:after="0"/>
        <w:rPr>
          <w:sz w:val="20"/>
          <w:szCs w:val="20"/>
          <w:color w:val="auto"/>
        </w:rPr>
      </w:pPr>
      <w:r>
        <w:rPr>
          <w:rFonts w:ascii="Arial" w:cs="Arial" w:eastAsia="Arial" w:hAnsi="Arial"/>
          <w:sz w:val="18"/>
          <w:szCs w:val="18"/>
          <w:color w:val="auto"/>
        </w:rPr>
        <w:t>I, Clyde R. Hosein, certify that:</w:t>
      </w:r>
    </w:p>
    <w:p>
      <w:pPr>
        <w:spacing w:after="0" w:line="90" w:lineRule="exact"/>
        <w:rPr>
          <w:sz w:val="20"/>
          <w:szCs w:val="20"/>
          <w:color w:val="auto"/>
        </w:rPr>
      </w:pPr>
    </w:p>
    <w:p>
      <w:pPr>
        <w:ind w:left="460" w:hanging="452"/>
        <w:spacing w:after="0"/>
        <w:tabs>
          <w:tab w:leader="none" w:pos="460" w:val="left"/>
        </w:tabs>
        <w:numPr>
          <w:ilvl w:val="0"/>
          <w:numId w:val="23"/>
        </w:numPr>
        <w:rPr>
          <w:rFonts w:ascii="Arial" w:cs="Arial" w:eastAsia="Arial" w:hAnsi="Arial"/>
          <w:sz w:val="18"/>
          <w:szCs w:val="18"/>
          <w:color w:val="auto"/>
        </w:rPr>
      </w:pPr>
      <w:r>
        <w:rPr>
          <w:rFonts w:ascii="Arial" w:cs="Arial" w:eastAsia="Arial" w:hAnsi="Arial"/>
          <w:sz w:val="18"/>
          <w:szCs w:val="18"/>
          <w:color w:val="auto"/>
        </w:rPr>
        <w:t>I have reviewed this quarterly report on Form 10-Q of Marvell Technology Group Ltd.;</w:t>
      </w:r>
    </w:p>
    <w:p>
      <w:pPr>
        <w:spacing w:after="0" w:line="90" w:lineRule="exact"/>
        <w:rPr>
          <w:rFonts w:ascii="Arial" w:cs="Arial" w:eastAsia="Arial" w:hAnsi="Arial"/>
          <w:sz w:val="18"/>
          <w:szCs w:val="18"/>
          <w:color w:val="auto"/>
        </w:rPr>
      </w:pPr>
    </w:p>
    <w:p>
      <w:pPr>
        <w:ind w:left="460" w:right="260" w:hanging="452"/>
        <w:spacing w:after="0" w:line="357" w:lineRule="auto"/>
        <w:tabs>
          <w:tab w:leader="none" w:pos="460" w:val="left"/>
        </w:tabs>
        <w:numPr>
          <w:ilvl w:val="0"/>
          <w:numId w:val="23"/>
        </w:numPr>
        <w:rPr>
          <w:rFonts w:ascii="Arial" w:cs="Arial" w:eastAsia="Arial" w:hAnsi="Arial"/>
          <w:sz w:val="15"/>
          <w:szCs w:val="15"/>
          <w:color w:val="auto"/>
        </w:rPr>
      </w:pPr>
      <w:r>
        <w:rPr>
          <w:rFonts w:ascii="Arial" w:cs="Arial" w:eastAsia="Arial" w:hAnsi="Arial"/>
          <w:sz w:val="15"/>
          <w:szCs w:val="15"/>
          <w:color w:val="auto"/>
        </w:rPr>
        <w:t>Based on my knowledge, this report does not contain any untrue statement of a material fact or omit to state a material fact necessary to make the statements made, in light of the circumstances under which such statements were made, not misleading with respect to the period covered by this report;</w:t>
      </w:r>
    </w:p>
    <w:p>
      <w:pPr>
        <w:ind w:left="460" w:right="60" w:hanging="452"/>
        <w:spacing w:after="0" w:line="268" w:lineRule="auto"/>
        <w:tabs>
          <w:tab w:leader="none" w:pos="460" w:val="left"/>
        </w:tabs>
        <w:numPr>
          <w:ilvl w:val="0"/>
          <w:numId w:val="23"/>
        </w:numPr>
        <w:rPr>
          <w:rFonts w:ascii="Arial" w:cs="Arial" w:eastAsia="Arial" w:hAnsi="Arial"/>
          <w:sz w:val="18"/>
          <w:szCs w:val="18"/>
          <w:color w:val="auto"/>
        </w:rPr>
      </w:pPr>
      <w:r>
        <w:rPr>
          <w:rFonts w:ascii="Arial" w:cs="Arial" w:eastAsia="Arial" w:hAnsi="Arial"/>
          <w:sz w:val="18"/>
          <w:szCs w:val="18"/>
          <w:color w:val="auto"/>
        </w:rPr>
        <w:t>Based on my knowledge, the financial statements, and other financial information included in this report, fairly present in all material respects the financial condition, results of operations and cash flows of the registrant as of, and for, the periods presented in this report;</w:t>
      </w:r>
    </w:p>
    <w:p>
      <w:pPr>
        <w:spacing w:after="0" w:line="50" w:lineRule="exact"/>
        <w:rPr>
          <w:rFonts w:ascii="Arial" w:cs="Arial" w:eastAsia="Arial" w:hAnsi="Arial"/>
          <w:sz w:val="18"/>
          <w:szCs w:val="18"/>
          <w:color w:val="auto"/>
        </w:rPr>
      </w:pPr>
    </w:p>
    <w:p>
      <w:pPr>
        <w:ind w:left="460" w:right="200" w:hanging="452"/>
        <w:spacing w:after="0" w:line="259" w:lineRule="auto"/>
        <w:tabs>
          <w:tab w:leader="none" w:pos="460" w:val="left"/>
        </w:tabs>
        <w:numPr>
          <w:ilvl w:val="0"/>
          <w:numId w:val="23"/>
        </w:numPr>
        <w:rPr>
          <w:rFonts w:ascii="Arial" w:cs="Arial" w:eastAsia="Arial" w:hAnsi="Arial"/>
          <w:sz w:val="18"/>
          <w:szCs w:val="18"/>
          <w:color w:val="auto"/>
        </w:rPr>
      </w:pPr>
      <w:r>
        <w:rPr>
          <w:rFonts w:ascii="Arial" w:cs="Arial" w:eastAsia="Arial" w:hAnsi="Arial"/>
          <w:sz w:val="18"/>
          <w:szCs w:val="18"/>
          <w:color w:val="auto"/>
        </w:rPr>
        <w:t>The registrant’s other certifying officer and I are responsible for establishing and maintaining disclosure controls and procedures (as defined in Exchange Act Rules 13a-15(e) and 15d-15(e)) and internal control over financial reporting (as defined in Exchange Act Rules 13a-15(f) and 15d-15(f)) for the registrant and have:</w:t>
      </w:r>
    </w:p>
    <w:p>
      <w:pPr>
        <w:spacing w:after="0" w:line="59" w:lineRule="exact"/>
        <w:rPr>
          <w:rFonts w:ascii="Arial" w:cs="Arial" w:eastAsia="Arial" w:hAnsi="Arial"/>
          <w:sz w:val="18"/>
          <w:szCs w:val="18"/>
          <w:color w:val="auto"/>
        </w:rPr>
      </w:pPr>
    </w:p>
    <w:p>
      <w:pPr>
        <w:ind w:left="900" w:right="60" w:hanging="446"/>
        <w:spacing w:after="0" w:line="259" w:lineRule="auto"/>
        <w:tabs>
          <w:tab w:leader="none" w:pos="900" w:val="left"/>
        </w:tabs>
        <w:numPr>
          <w:ilvl w:val="1"/>
          <w:numId w:val="23"/>
        </w:numPr>
        <w:rPr>
          <w:rFonts w:ascii="Arial" w:cs="Arial" w:eastAsia="Arial" w:hAnsi="Arial"/>
          <w:sz w:val="18"/>
          <w:szCs w:val="18"/>
          <w:color w:val="auto"/>
        </w:rPr>
      </w:pPr>
      <w:r>
        <w:rPr>
          <w:rFonts w:ascii="Arial" w:cs="Arial" w:eastAsia="Arial" w:hAnsi="Arial"/>
          <w:sz w:val="18"/>
          <w:szCs w:val="18"/>
          <w:color w:val="auto"/>
        </w:rPr>
        <w:t>Designed such disclosure controls and procedures, or caused such disclosure controls and procedures to be designed under our supervision, to ensure that material information relating to the registrant, including its consolidated subsidiaries, is made known to us by others within those entities, particularly during the period in which this report is being prepared;</w:t>
      </w:r>
    </w:p>
    <w:p>
      <w:pPr>
        <w:spacing w:after="0" w:line="59" w:lineRule="exact"/>
        <w:rPr>
          <w:rFonts w:ascii="Arial" w:cs="Arial" w:eastAsia="Arial" w:hAnsi="Arial"/>
          <w:sz w:val="18"/>
          <w:szCs w:val="18"/>
          <w:color w:val="auto"/>
        </w:rPr>
      </w:pPr>
    </w:p>
    <w:p>
      <w:pPr>
        <w:ind w:left="900" w:right="40" w:hanging="446"/>
        <w:spacing w:after="0" w:line="259" w:lineRule="auto"/>
        <w:tabs>
          <w:tab w:leader="none" w:pos="900" w:val="left"/>
        </w:tabs>
        <w:numPr>
          <w:ilvl w:val="1"/>
          <w:numId w:val="23"/>
        </w:numPr>
        <w:rPr>
          <w:rFonts w:ascii="Arial" w:cs="Arial" w:eastAsia="Arial" w:hAnsi="Arial"/>
          <w:sz w:val="18"/>
          <w:szCs w:val="18"/>
          <w:color w:val="auto"/>
        </w:rPr>
      </w:pPr>
      <w:r>
        <w:rPr>
          <w:rFonts w:ascii="Arial" w:cs="Arial" w:eastAsia="Arial" w:hAnsi="Arial"/>
          <w:sz w:val="18"/>
          <w:szCs w:val="18"/>
          <w:color w:val="auto"/>
        </w:rPr>
        <w:t>Designed such internal control over financial reporting, or caused such internal control over financial reporting to be designed under our supervision, to provide reasonable assurance regarding the reliability of financial reporting and the preparation of financial statements for external purposes in accordance with generally accepted accounting principles;</w:t>
      </w:r>
    </w:p>
    <w:p>
      <w:pPr>
        <w:spacing w:after="0" w:line="59" w:lineRule="exact"/>
        <w:rPr>
          <w:rFonts w:ascii="Arial" w:cs="Arial" w:eastAsia="Arial" w:hAnsi="Arial"/>
          <w:sz w:val="18"/>
          <w:szCs w:val="18"/>
          <w:color w:val="auto"/>
        </w:rPr>
      </w:pPr>
    </w:p>
    <w:p>
      <w:pPr>
        <w:ind w:left="900" w:right="100" w:hanging="446"/>
        <w:spacing w:after="0" w:line="332" w:lineRule="auto"/>
        <w:tabs>
          <w:tab w:leader="none" w:pos="900" w:val="left"/>
        </w:tabs>
        <w:numPr>
          <w:ilvl w:val="1"/>
          <w:numId w:val="23"/>
        </w:numPr>
        <w:rPr>
          <w:rFonts w:ascii="Arial" w:cs="Arial" w:eastAsia="Arial" w:hAnsi="Arial"/>
          <w:sz w:val="16"/>
          <w:szCs w:val="16"/>
          <w:color w:val="auto"/>
        </w:rPr>
      </w:pPr>
      <w:r>
        <w:rPr>
          <w:rFonts w:ascii="Arial" w:cs="Arial" w:eastAsia="Arial" w:hAnsi="Arial"/>
          <w:sz w:val="16"/>
          <w:szCs w:val="16"/>
          <w:color w:val="auto"/>
        </w:rPr>
        <w:t>Evaluated the effectiveness of the registrant’s disclosure controls and procedures and presented in this report our conclusions about the effectiveness of the disclosure controls and procedures, as of the end of the period covered by this report based on such evaluation; and</w:t>
      </w:r>
    </w:p>
    <w:p>
      <w:pPr>
        <w:spacing w:after="0" w:line="4" w:lineRule="exact"/>
        <w:rPr>
          <w:rFonts w:ascii="Arial" w:cs="Arial" w:eastAsia="Arial" w:hAnsi="Arial"/>
          <w:sz w:val="16"/>
          <w:szCs w:val="16"/>
          <w:color w:val="auto"/>
        </w:rPr>
      </w:pPr>
    </w:p>
    <w:p>
      <w:pPr>
        <w:ind w:left="900" w:right="140" w:hanging="446"/>
        <w:spacing w:after="0" w:line="259" w:lineRule="auto"/>
        <w:tabs>
          <w:tab w:leader="none" w:pos="900" w:val="left"/>
        </w:tabs>
        <w:numPr>
          <w:ilvl w:val="1"/>
          <w:numId w:val="23"/>
        </w:numPr>
        <w:rPr>
          <w:rFonts w:ascii="Arial" w:cs="Arial" w:eastAsia="Arial" w:hAnsi="Arial"/>
          <w:sz w:val="18"/>
          <w:szCs w:val="18"/>
          <w:color w:val="auto"/>
        </w:rPr>
      </w:pPr>
      <w:r>
        <w:rPr>
          <w:rFonts w:ascii="Arial" w:cs="Arial" w:eastAsia="Arial" w:hAnsi="Arial"/>
          <w:sz w:val="18"/>
          <w:szCs w:val="18"/>
          <w:color w:val="auto"/>
        </w:rPr>
        <w:t>Disclosed in this report any change in the registrant’s internal control over financial reporting that occurred during the registrant’s most recent fiscal quarter (the registrant’s fourth fiscal quarter in the case of an annual report) that has materially affected, or is reasonably likely to materially affect, the registrant’s internal control over financial reporting; and</w:t>
      </w:r>
    </w:p>
    <w:p>
      <w:pPr>
        <w:spacing w:after="0" w:line="59" w:lineRule="exact"/>
        <w:rPr>
          <w:rFonts w:ascii="Arial" w:cs="Arial" w:eastAsia="Arial" w:hAnsi="Arial"/>
          <w:sz w:val="18"/>
          <w:szCs w:val="18"/>
          <w:color w:val="auto"/>
        </w:rPr>
      </w:pPr>
    </w:p>
    <w:p>
      <w:pPr>
        <w:ind w:left="460" w:right="640" w:hanging="452"/>
        <w:spacing w:after="0" w:line="332" w:lineRule="auto"/>
        <w:tabs>
          <w:tab w:leader="none" w:pos="460" w:val="left"/>
        </w:tabs>
        <w:numPr>
          <w:ilvl w:val="0"/>
          <w:numId w:val="23"/>
        </w:numPr>
        <w:rPr>
          <w:rFonts w:ascii="Arial" w:cs="Arial" w:eastAsia="Arial" w:hAnsi="Arial"/>
          <w:sz w:val="16"/>
          <w:szCs w:val="16"/>
          <w:color w:val="auto"/>
        </w:rPr>
      </w:pPr>
      <w:r>
        <w:rPr>
          <w:rFonts w:ascii="Arial" w:cs="Arial" w:eastAsia="Arial" w:hAnsi="Arial"/>
          <w:sz w:val="16"/>
          <w:szCs w:val="16"/>
          <w:color w:val="auto"/>
        </w:rPr>
        <w:t>The registrant’s other certifying officer and I have disclosed, based on our most recent evaluation of internal control over financial reporting, to the registrant’s auditors and the audit committee of the registrant’s board of directors (or persons performing the equivalent functions):</w:t>
      </w:r>
    </w:p>
    <w:p>
      <w:pPr>
        <w:spacing w:after="0" w:line="4" w:lineRule="exact"/>
        <w:rPr>
          <w:rFonts w:ascii="Arial" w:cs="Arial" w:eastAsia="Arial" w:hAnsi="Arial"/>
          <w:sz w:val="16"/>
          <w:szCs w:val="16"/>
          <w:color w:val="auto"/>
        </w:rPr>
      </w:pPr>
    </w:p>
    <w:p>
      <w:pPr>
        <w:ind w:left="900" w:right="20" w:hanging="446"/>
        <w:spacing w:after="0" w:line="268" w:lineRule="auto"/>
        <w:tabs>
          <w:tab w:leader="none" w:pos="900" w:val="left"/>
        </w:tabs>
        <w:numPr>
          <w:ilvl w:val="1"/>
          <w:numId w:val="23"/>
        </w:numPr>
        <w:rPr>
          <w:rFonts w:ascii="Arial" w:cs="Arial" w:eastAsia="Arial" w:hAnsi="Arial"/>
          <w:sz w:val="18"/>
          <w:szCs w:val="18"/>
          <w:color w:val="auto"/>
        </w:rPr>
      </w:pPr>
      <w:r>
        <w:rPr>
          <w:rFonts w:ascii="Arial" w:cs="Arial" w:eastAsia="Arial" w:hAnsi="Arial"/>
          <w:sz w:val="18"/>
          <w:szCs w:val="18"/>
          <w:color w:val="auto"/>
        </w:rPr>
        <w:t>All significant deficiencies and material weaknesses in the design or operation of internal control over financial reporting which are reasonably likely to adversely affect the registrant’s ability to record, process, summarize and report financial information; and</w:t>
      </w:r>
    </w:p>
    <w:p>
      <w:pPr>
        <w:spacing w:after="0" w:line="50" w:lineRule="exact"/>
        <w:rPr>
          <w:rFonts w:ascii="Arial" w:cs="Arial" w:eastAsia="Arial" w:hAnsi="Arial"/>
          <w:sz w:val="18"/>
          <w:szCs w:val="18"/>
          <w:color w:val="auto"/>
        </w:rPr>
      </w:pPr>
    </w:p>
    <w:p>
      <w:pPr>
        <w:ind w:left="900" w:right="60" w:hanging="446"/>
        <w:spacing w:after="0" w:line="268" w:lineRule="auto"/>
        <w:tabs>
          <w:tab w:leader="none" w:pos="900" w:val="left"/>
        </w:tabs>
        <w:numPr>
          <w:ilvl w:val="1"/>
          <w:numId w:val="23"/>
        </w:numPr>
        <w:rPr>
          <w:rFonts w:ascii="Arial" w:cs="Arial" w:eastAsia="Arial" w:hAnsi="Arial"/>
          <w:sz w:val="18"/>
          <w:szCs w:val="18"/>
          <w:color w:val="auto"/>
        </w:rPr>
      </w:pPr>
      <w:r>
        <w:rPr>
          <w:rFonts w:ascii="Arial" w:cs="Arial" w:eastAsia="Arial" w:hAnsi="Arial"/>
          <w:sz w:val="18"/>
          <w:szCs w:val="18"/>
          <w:color w:val="auto"/>
        </w:rPr>
        <w:t>Any fraud, whether or not material, that involves management or other employees who have a significant role in the registrant’s internal control over financial reporting.</w:t>
      </w:r>
    </w:p>
    <w:p>
      <w:pPr>
        <w:spacing w:after="0" w:line="172" w:lineRule="exact"/>
        <w:rPr>
          <w:sz w:val="20"/>
          <w:szCs w:val="20"/>
          <w:color w:val="auto"/>
        </w:rPr>
      </w:pPr>
    </w:p>
    <w:p>
      <w:pPr>
        <w:spacing w:after="0"/>
        <w:tabs>
          <w:tab w:leader="none" w:pos="6640" w:val="left"/>
          <w:tab w:leader="none" w:pos="7180" w:val="left"/>
        </w:tabs>
        <w:rPr>
          <w:sz w:val="20"/>
          <w:szCs w:val="20"/>
          <w:color w:val="auto"/>
        </w:rPr>
      </w:pPr>
      <w:r>
        <w:rPr>
          <w:rFonts w:ascii="Arial" w:cs="Arial" w:eastAsia="Arial" w:hAnsi="Arial"/>
          <w:sz w:val="18"/>
          <w:szCs w:val="18"/>
          <w:color w:val="auto"/>
        </w:rPr>
        <w:t xml:space="preserve">Date: </w:t>
      </w:r>
      <w:r>
        <w:rPr>
          <w:rFonts w:ascii="Arial" w:cs="Arial" w:eastAsia="Arial" w:hAnsi="Arial"/>
          <w:sz w:val="18"/>
          <w:szCs w:val="18"/>
          <w:u w:val="single" w:color="auto"/>
          <w:color w:val="auto"/>
        </w:rPr>
        <w:t>December 9, 2009</w:t>
      </w:r>
      <w:r>
        <w:rPr>
          <w:sz w:val="20"/>
          <w:szCs w:val="20"/>
          <w:color w:val="auto"/>
        </w:rPr>
        <w:tab/>
      </w:r>
      <w:r>
        <w:rPr>
          <w:rFonts w:ascii="Arial" w:cs="Arial" w:eastAsia="Arial" w:hAnsi="Arial"/>
          <w:sz w:val="18"/>
          <w:szCs w:val="18"/>
          <w:color w:val="auto"/>
        </w:rPr>
        <w:t>By:</w:t>
      </w:r>
      <w:r>
        <w:rPr>
          <w:sz w:val="20"/>
          <w:szCs w:val="20"/>
          <w:color w:val="auto"/>
        </w:rPr>
        <w:tab/>
      </w:r>
      <w:r>
        <w:rPr>
          <w:rFonts w:ascii="Arial" w:cs="Arial" w:eastAsia="Arial" w:hAnsi="Arial"/>
          <w:sz w:val="16"/>
          <w:szCs w:val="16"/>
          <w:color w:val="auto"/>
        </w:rPr>
        <w:t>/s/ Clyde R. Hosein</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4575810</wp:posOffset>
            </wp:positionH>
            <wp:positionV relativeFrom="paragraph">
              <wp:posOffset>10795</wp:posOffset>
            </wp:positionV>
            <wp:extent cx="2675890" cy="8890"/>
            <wp:wrapNone/>
            <wp:docPr id="74" name="Picture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
                    <pic:cNvPicPr>
                      <a:picLocks noChangeAspect="1" noChangeArrowheads="1"/>
                    </pic:cNvPicPr>
                  </pic:nvPicPr>
                  <pic:blipFill>
                    <a:blip r:embed="rId81">
                      <a:extLst>
                        <a:ext uri="{28A0092B-C50C-407E-A947-70E740481C1C}"/>
                      </a:extLst>
                    </a:blip>
                    <a:srcRect/>
                    <a:stretch>
                      <a:fillRect/>
                    </a:stretch>
                  </pic:blipFill>
                  <pic:spPr bwMode="auto">
                    <a:xfrm>
                      <a:off x="0" y="0"/>
                      <a:ext cx="2675890" cy="8890"/>
                    </a:xfrm>
                    <a:prstGeom prst="rect">
                      <a:avLst/>
                    </a:prstGeom>
                    <a:noFill/>
                  </pic:spPr>
                </pic:pic>
              </a:graphicData>
            </a:graphic>
          </wp:anchor>
        </w:drawing>
      </w:r>
    </w:p>
    <w:p>
      <w:pPr>
        <w:spacing w:after="0" w:line="22" w:lineRule="exact"/>
        <w:rPr>
          <w:sz w:val="20"/>
          <w:szCs w:val="20"/>
          <w:color w:val="auto"/>
        </w:rPr>
      </w:pPr>
    </w:p>
    <w:p>
      <w:pPr>
        <w:ind w:left="7200"/>
        <w:spacing w:after="0"/>
        <w:rPr>
          <w:sz w:val="20"/>
          <w:szCs w:val="20"/>
          <w:color w:val="auto"/>
        </w:rPr>
      </w:pPr>
      <w:r>
        <w:rPr>
          <w:rFonts w:ascii="Arial" w:cs="Arial" w:eastAsia="Arial" w:hAnsi="Arial"/>
          <w:sz w:val="18"/>
          <w:szCs w:val="18"/>
          <w:color w:val="auto"/>
        </w:rPr>
        <w:t>Clyde R. Hosein</w:t>
      </w:r>
    </w:p>
    <w:p>
      <w:pPr>
        <w:spacing w:after="0" w:line="9" w:lineRule="exact"/>
        <w:rPr>
          <w:sz w:val="20"/>
          <w:szCs w:val="20"/>
          <w:color w:val="auto"/>
        </w:rPr>
      </w:pPr>
    </w:p>
    <w:p>
      <w:pPr>
        <w:ind w:left="7200"/>
        <w:spacing w:after="0"/>
        <w:rPr>
          <w:sz w:val="20"/>
          <w:szCs w:val="20"/>
          <w:color w:val="auto"/>
        </w:rPr>
      </w:pPr>
      <w:r>
        <w:rPr>
          <w:rFonts w:ascii="Arial" w:cs="Arial" w:eastAsia="Arial" w:hAnsi="Arial"/>
          <w:sz w:val="16"/>
          <w:szCs w:val="16"/>
          <w:color w:val="auto"/>
        </w:rPr>
        <w:t>Chief Financial Officer, Interim Chief Operating Officer</w:t>
      </w:r>
    </w:p>
    <w:p>
      <w:pPr>
        <w:spacing w:after="0" w:line="32" w:lineRule="exact"/>
        <w:rPr>
          <w:sz w:val="20"/>
          <w:szCs w:val="20"/>
          <w:color w:val="auto"/>
        </w:rPr>
      </w:pPr>
    </w:p>
    <w:p>
      <w:pPr>
        <w:ind w:left="7200"/>
        <w:spacing w:after="0"/>
        <w:rPr>
          <w:sz w:val="20"/>
          <w:szCs w:val="20"/>
          <w:color w:val="auto"/>
        </w:rPr>
      </w:pPr>
      <w:r>
        <w:rPr>
          <w:rFonts w:ascii="Arial" w:cs="Arial" w:eastAsia="Arial" w:hAnsi="Arial"/>
          <w:sz w:val="18"/>
          <w:szCs w:val="18"/>
          <w:color w:val="auto"/>
        </w:rPr>
        <w:t>and Secretary</w:t>
      </w:r>
    </w:p>
    <w:p>
      <w:pPr>
        <w:sectPr>
          <w:pgSz w:w="11900" w:h="16838" w:orient="portrait"/>
          <w:cols w:equalWidth="0" w:num="1">
            <w:col w:w="11420"/>
          </w:cols>
          <w:pgMar w:left="240" w:top="125" w:right="239" w:bottom="1440" w:gutter="0" w:footer="0" w:header="0"/>
        </w:sectPr>
      </w:pPr>
    </w:p>
    <w:bookmarkStart w:id="64" w:name="page65"/>
    <w:bookmarkEnd w:id="64"/>
    <w:p>
      <w:pPr>
        <w:jc w:val="right"/>
        <w:spacing w:after="0"/>
        <w:rPr>
          <w:sz w:val="20"/>
          <w:szCs w:val="20"/>
          <w:color w:val="auto"/>
        </w:rPr>
      </w:pPr>
      <w:r>
        <w:rPr>
          <w:rFonts w:ascii="Arial" w:cs="Arial" w:eastAsia="Arial" w:hAnsi="Arial"/>
          <w:sz w:val="18"/>
          <w:szCs w:val="18"/>
          <w:b w:val="1"/>
          <w:bCs w:val="1"/>
          <w:color w:val="auto"/>
        </w:rPr>
        <w:t>Exhibit 32.1</w:t>
      </w:r>
    </w:p>
    <w:p>
      <w:pPr>
        <w:spacing w:after="0" w:line="171"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STATEMENT OF THE PRESIDENT AND CHIEF EXECUTIVE OFFICER PURSUANT TO 18 U.S.C. § 1350, AS</w:t>
      </w:r>
    </w:p>
    <w:p>
      <w:pPr>
        <w:spacing w:after="0" w:line="21"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ADOPTED PURSUANT TO SECTION 906 OF THE SARBANES-OXLEY ACT OF 2002</w:t>
      </w:r>
    </w:p>
    <w:p>
      <w:pPr>
        <w:spacing w:after="0" w:line="165" w:lineRule="exact"/>
        <w:rPr>
          <w:sz w:val="20"/>
          <w:szCs w:val="20"/>
          <w:color w:val="auto"/>
        </w:rPr>
      </w:pPr>
    </w:p>
    <w:p>
      <w:pPr>
        <w:ind w:right="340"/>
        <w:spacing w:after="0" w:line="268" w:lineRule="auto"/>
        <w:rPr>
          <w:sz w:val="20"/>
          <w:szCs w:val="20"/>
          <w:color w:val="auto"/>
        </w:rPr>
      </w:pPr>
      <w:r>
        <w:rPr>
          <w:rFonts w:ascii="Arial" w:cs="Arial" w:eastAsia="Arial" w:hAnsi="Arial"/>
          <w:sz w:val="18"/>
          <w:szCs w:val="18"/>
          <w:color w:val="auto"/>
        </w:rPr>
        <w:t>I, Sehat Sutardja Ph.D, the chief executive officer of Marvell Technology Group Ltd. (the “Company”), certify for the purposes of 18 U.S.C. Section 1350, as adopted pursuant to Section 906 of the Sarbanes-Oxley Act of 2002, that, to the best of my knowledge,</w:t>
      </w:r>
    </w:p>
    <w:p>
      <w:pPr>
        <w:spacing w:after="0" w:line="51" w:lineRule="exact"/>
        <w:rPr>
          <w:sz w:val="20"/>
          <w:szCs w:val="20"/>
          <w:color w:val="auto"/>
        </w:rPr>
      </w:pPr>
    </w:p>
    <w:p>
      <w:pPr>
        <w:ind w:left="900" w:right="880" w:hanging="446"/>
        <w:spacing w:after="0" w:line="268" w:lineRule="auto"/>
        <w:tabs>
          <w:tab w:leader="none" w:pos="900" w:val="left"/>
        </w:tabs>
        <w:numPr>
          <w:ilvl w:val="0"/>
          <w:numId w:val="24"/>
        </w:numPr>
        <w:rPr>
          <w:rFonts w:ascii="Arial" w:cs="Arial" w:eastAsia="Arial" w:hAnsi="Arial"/>
          <w:sz w:val="18"/>
          <w:szCs w:val="18"/>
          <w:color w:val="auto"/>
        </w:rPr>
      </w:pPr>
      <w:r>
        <w:rPr>
          <w:rFonts w:ascii="Arial" w:cs="Arial" w:eastAsia="Arial" w:hAnsi="Arial"/>
          <w:sz w:val="18"/>
          <w:szCs w:val="18"/>
          <w:color w:val="auto"/>
        </w:rPr>
        <w:t>the Quarterly Report of the Company on Form 10-Q for the fiscal quarter ended October 31, 2009 (the “Report”), fully complies with the requirements of Section 13(a) or 15(d) of the Securities Exchange Act of 1934, as amended; and</w:t>
      </w:r>
    </w:p>
    <w:p>
      <w:pPr>
        <w:spacing w:after="0" w:line="50" w:lineRule="exact"/>
        <w:rPr>
          <w:rFonts w:ascii="Arial" w:cs="Arial" w:eastAsia="Arial" w:hAnsi="Arial"/>
          <w:sz w:val="18"/>
          <w:szCs w:val="18"/>
          <w:color w:val="auto"/>
        </w:rPr>
      </w:pPr>
    </w:p>
    <w:p>
      <w:pPr>
        <w:ind w:left="900" w:hanging="446"/>
        <w:spacing w:after="0"/>
        <w:tabs>
          <w:tab w:leader="none" w:pos="900" w:val="left"/>
        </w:tabs>
        <w:numPr>
          <w:ilvl w:val="0"/>
          <w:numId w:val="24"/>
        </w:numPr>
        <w:rPr>
          <w:rFonts w:ascii="Arial" w:cs="Arial" w:eastAsia="Arial" w:hAnsi="Arial"/>
          <w:sz w:val="16"/>
          <w:szCs w:val="16"/>
          <w:color w:val="auto"/>
        </w:rPr>
      </w:pPr>
      <w:r>
        <w:rPr>
          <w:rFonts w:ascii="Arial" w:cs="Arial" w:eastAsia="Arial" w:hAnsi="Arial"/>
          <w:sz w:val="16"/>
          <w:szCs w:val="16"/>
          <w:color w:val="auto"/>
        </w:rPr>
        <w:t>the information contained in the Report fairly presents, in all material respects, the financial condition and results of operations of the Company.</w:t>
      </w:r>
    </w:p>
    <w:p>
      <w:pPr>
        <w:spacing w:after="0" w:line="235" w:lineRule="exact"/>
        <w:rPr>
          <w:sz w:val="20"/>
          <w:szCs w:val="20"/>
          <w:color w:val="auto"/>
        </w:rPr>
      </w:pPr>
    </w:p>
    <w:p>
      <w:pPr>
        <w:ind w:left="6860"/>
        <w:spacing w:after="0"/>
        <w:rPr>
          <w:sz w:val="20"/>
          <w:szCs w:val="20"/>
          <w:color w:val="auto"/>
        </w:rPr>
      </w:pPr>
      <w:r>
        <w:rPr>
          <w:rFonts w:ascii="Arial" w:cs="Arial" w:eastAsia="Arial" w:hAnsi="Arial"/>
          <w:sz w:val="18"/>
          <w:szCs w:val="18"/>
          <w:color w:val="auto"/>
        </w:rPr>
        <w:t>/s/ Sehat Sutardja</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4352925</wp:posOffset>
            </wp:positionH>
            <wp:positionV relativeFrom="paragraph">
              <wp:posOffset>10795</wp:posOffset>
            </wp:positionV>
            <wp:extent cx="2898775" cy="8890"/>
            <wp:wrapNone/>
            <wp:docPr id="75" name="Picture 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
                    <pic:cNvPicPr>
                      <a:picLocks noChangeAspect="1" noChangeArrowheads="1"/>
                    </pic:cNvPicPr>
                  </pic:nvPicPr>
                  <pic:blipFill>
                    <a:blip r:embed="rId82">
                      <a:extLst>
                        <a:ext uri="{28A0092B-C50C-407E-A947-70E740481C1C}"/>
                      </a:extLst>
                    </a:blip>
                    <a:srcRect/>
                    <a:stretch>
                      <a:fillRect/>
                    </a:stretch>
                  </pic:blipFill>
                  <pic:spPr bwMode="auto">
                    <a:xfrm>
                      <a:off x="0" y="0"/>
                      <a:ext cx="2898775" cy="8890"/>
                    </a:xfrm>
                    <a:prstGeom prst="rect">
                      <a:avLst/>
                    </a:prstGeom>
                    <a:noFill/>
                  </pic:spPr>
                </pic:pic>
              </a:graphicData>
            </a:graphic>
          </wp:anchor>
        </w:drawing>
      </w:r>
    </w:p>
    <w:p>
      <w:pPr>
        <w:spacing w:after="0" w:line="16" w:lineRule="exact"/>
        <w:rPr>
          <w:sz w:val="20"/>
          <w:szCs w:val="20"/>
          <w:color w:val="auto"/>
        </w:rPr>
      </w:pPr>
    </w:p>
    <w:p>
      <w:pPr>
        <w:ind w:left="6860"/>
        <w:spacing w:after="0"/>
        <w:rPr>
          <w:sz w:val="20"/>
          <w:szCs w:val="20"/>
          <w:color w:val="auto"/>
        </w:rPr>
      </w:pPr>
      <w:r>
        <w:rPr>
          <w:rFonts w:ascii="Arial" w:cs="Arial" w:eastAsia="Arial" w:hAnsi="Arial"/>
          <w:sz w:val="18"/>
          <w:szCs w:val="18"/>
          <w:color w:val="auto"/>
        </w:rPr>
        <w:t>Sehat Sutardja, Ph.D.</w:t>
      </w:r>
    </w:p>
    <w:p>
      <w:pPr>
        <w:spacing w:after="0" w:line="15" w:lineRule="exact"/>
        <w:rPr>
          <w:sz w:val="20"/>
          <w:szCs w:val="20"/>
          <w:color w:val="auto"/>
        </w:rPr>
      </w:pPr>
    </w:p>
    <w:p>
      <w:pPr>
        <w:ind w:left="6860"/>
        <w:spacing w:after="0"/>
        <w:rPr>
          <w:sz w:val="20"/>
          <w:szCs w:val="20"/>
          <w:color w:val="auto"/>
        </w:rPr>
      </w:pPr>
      <w:r>
        <w:rPr>
          <w:rFonts w:ascii="Arial" w:cs="Arial" w:eastAsia="Arial" w:hAnsi="Arial"/>
          <w:sz w:val="18"/>
          <w:szCs w:val="18"/>
          <w:color w:val="auto"/>
        </w:rPr>
        <w:t>President and Chief Executive Officer</w:t>
      </w:r>
    </w:p>
    <w:p>
      <w:pPr>
        <w:spacing w:after="0" w:line="232" w:lineRule="exact"/>
        <w:rPr>
          <w:sz w:val="20"/>
          <w:szCs w:val="20"/>
          <w:color w:val="auto"/>
        </w:rPr>
      </w:pPr>
    </w:p>
    <w:p>
      <w:pPr>
        <w:ind w:left="6860"/>
        <w:spacing w:after="0"/>
        <w:rPr>
          <w:sz w:val="20"/>
          <w:szCs w:val="20"/>
          <w:color w:val="auto"/>
        </w:rPr>
      </w:pPr>
      <w:r>
        <w:rPr>
          <w:rFonts w:ascii="Arial" w:cs="Arial" w:eastAsia="Arial" w:hAnsi="Arial"/>
          <w:sz w:val="18"/>
          <w:szCs w:val="18"/>
          <w:color w:val="auto"/>
        </w:rPr>
        <w:t>Date: December 9, 2009</w:t>
      </w:r>
    </w:p>
    <w:p>
      <w:pPr>
        <w:sectPr>
          <w:pgSz w:w="11900" w:h="16838" w:orient="portrait"/>
          <w:cols w:equalWidth="0" w:num="1">
            <w:col w:w="11420"/>
          </w:cols>
          <w:pgMar w:left="240" w:top="125" w:right="239" w:bottom="1440" w:gutter="0" w:footer="0" w:header="0"/>
        </w:sectPr>
      </w:pPr>
    </w:p>
    <w:bookmarkStart w:id="65" w:name="page66"/>
    <w:bookmarkEnd w:id="65"/>
    <w:p>
      <w:pPr>
        <w:jc w:val="right"/>
        <w:spacing w:after="0"/>
        <w:rPr>
          <w:sz w:val="20"/>
          <w:szCs w:val="20"/>
          <w:color w:val="auto"/>
        </w:rPr>
      </w:pPr>
      <w:r>
        <w:rPr>
          <w:rFonts w:ascii="Arial" w:cs="Arial" w:eastAsia="Arial" w:hAnsi="Arial"/>
          <w:sz w:val="18"/>
          <w:szCs w:val="18"/>
          <w:b w:val="1"/>
          <w:bCs w:val="1"/>
          <w:color w:val="auto"/>
        </w:rPr>
        <w:t>Exhibit 32.2</w:t>
      </w:r>
    </w:p>
    <w:p>
      <w:pPr>
        <w:spacing w:after="0" w:line="171"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STATEMENT OF CHIEF FINANCIAL OFFICER PURSUANT TO 18 U.S.C. § 1350, AS ADOPTED PURSUANT TO</w:t>
      </w:r>
    </w:p>
    <w:p>
      <w:pPr>
        <w:spacing w:after="0" w:line="21"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SECTION 906 OF THE SARBANES-OXLEY ACT OF 2002</w:t>
      </w:r>
    </w:p>
    <w:p>
      <w:pPr>
        <w:spacing w:after="0" w:line="165" w:lineRule="exact"/>
        <w:rPr>
          <w:sz w:val="20"/>
          <w:szCs w:val="20"/>
          <w:color w:val="auto"/>
        </w:rPr>
      </w:pPr>
    </w:p>
    <w:p>
      <w:pPr>
        <w:ind w:right="40"/>
        <w:spacing w:after="0" w:line="268" w:lineRule="auto"/>
        <w:rPr>
          <w:sz w:val="20"/>
          <w:szCs w:val="20"/>
          <w:color w:val="auto"/>
        </w:rPr>
      </w:pPr>
      <w:r>
        <w:rPr>
          <w:rFonts w:ascii="Arial" w:cs="Arial" w:eastAsia="Arial" w:hAnsi="Arial"/>
          <w:sz w:val="18"/>
          <w:szCs w:val="18"/>
          <w:color w:val="auto"/>
        </w:rPr>
        <w:t>I, Clyde R. Hosein, the chief financial officer of Marvell Technology Group Ltd. (the “Company”), certify for the purposes of 18 U.S.C. Section 1350, as adopted pursuant to Section 906 of the Sarbanes-Oxley Act of 2002, that, to the best of my knowledge,</w:t>
      </w:r>
    </w:p>
    <w:p>
      <w:pPr>
        <w:spacing w:after="0" w:line="51" w:lineRule="exact"/>
        <w:rPr>
          <w:sz w:val="20"/>
          <w:szCs w:val="20"/>
          <w:color w:val="auto"/>
        </w:rPr>
      </w:pPr>
    </w:p>
    <w:p>
      <w:pPr>
        <w:ind w:left="900" w:right="880" w:hanging="446"/>
        <w:spacing w:after="0" w:line="268" w:lineRule="auto"/>
        <w:tabs>
          <w:tab w:leader="none" w:pos="900" w:val="left"/>
        </w:tabs>
        <w:numPr>
          <w:ilvl w:val="0"/>
          <w:numId w:val="25"/>
        </w:numPr>
        <w:rPr>
          <w:rFonts w:ascii="Arial" w:cs="Arial" w:eastAsia="Arial" w:hAnsi="Arial"/>
          <w:sz w:val="18"/>
          <w:szCs w:val="18"/>
          <w:color w:val="auto"/>
        </w:rPr>
      </w:pPr>
      <w:r>
        <w:rPr>
          <w:rFonts w:ascii="Arial" w:cs="Arial" w:eastAsia="Arial" w:hAnsi="Arial"/>
          <w:sz w:val="18"/>
          <w:szCs w:val="18"/>
          <w:color w:val="auto"/>
        </w:rPr>
        <w:t>the Quarterly Report of the Company on Form 10-Q for the fiscal quarter ended October 31, 2009 (the “Report”), fully complies with the requirements of Section 13(a) or 15(d) of the Securities Exchange Act of 1934, as amended; and</w:t>
      </w:r>
    </w:p>
    <w:p>
      <w:pPr>
        <w:spacing w:after="0" w:line="50" w:lineRule="exact"/>
        <w:rPr>
          <w:rFonts w:ascii="Arial" w:cs="Arial" w:eastAsia="Arial" w:hAnsi="Arial"/>
          <w:sz w:val="18"/>
          <w:szCs w:val="18"/>
          <w:color w:val="auto"/>
        </w:rPr>
      </w:pPr>
    </w:p>
    <w:p>
      <w:pPr>
        <w:ind w:left="900" w:hanging="446"/>
        <w:spacing w:after="0"/>
        <w:tabs>
          <w:tab w:leader="none" w:pos="900" w:val="left"/>
        </w:tabs>
        <w:numPr>
          <w:ilvl w:val="0"/>
          <w:numId w:val="25"/>
        </w:numPr>
        <w:rPr>
          <w:rFonts w:ascii="Arial" w:cs="Arial" w:eastAsia="Arial" w:hAnsi="Arial"/>
          <w:sz w:val="16"/>
          <w:szCs w:val="16"/>
          <w:color w:val="auto"/>
        </w:rPr>
      </w:pPr>
      <w:r>
        <w:rPr>
          <w:rFonts w:ascii="Arial" w:cs="Arial" w:eastAsia="Arial" w:hAnsi="Arial"/>
          <w:sz w:val="16"/>
          <w:szCs w:val="16"/>
          <w:color w:val="auto"/>
        </w:rPr>
        <w:t>the information contained in the Report fairly presents, in all material respects, the financial condition and results of operations of the Company.</w:t>
      </w:r>
    </w:p>
    <w:p>
      <w:pPr>
        <w:spacing w:after="0" w:line="235" w:lineRule="exact"/>
        <w:rPr>
          <w:sz w:val="20"/>
          <w:szCs w:val="20"/>
          <w:color w:val="auto"/>
        </w:rPr>
      </w:pPr>
    </w:p>
    <w:p>
      <w:pPr>
        <w:ind w:left="6860"/>
        <w:spacing w:after="0"/>
        <w:rPr>
          <w:sz w:val="20"/>
          <w:szCs w:val="20"/>
          <w:color w:val="auto"/>
        </w:rPr>
      </w:pPr>
      <w:r>
        <w:rPr>
          <w:rFonts w:ascii="Arial" w:cs="Arial" w:eastAsia="Arial" w:hAnsi="Arial"/>
          <w:sz w:val="18"/>
          <w:szCs w:val="18"/>
          <w:color w:val="auto"/>
        </w:rPr>
        <w:t>/s/ Clyde R. Hosein</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4352925</wp:posOffset>
            </wp:positionH>
            <wp:positionV relativeFrom="paragraph">
              <wp:posOffset>10795</wp:posOffset>
            </wp:positionV>
            <wp:extent cx="2898775" cy="8890"/>
            <wp:wrapNone/>
            <wp:docPr id="76" name="Picture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6"/>
                    <pic:cNvPicPr>
                      <a:picLocks noChangeAspect="1" noChangeArrowheads="1"/>
                    </pic:cNvPicPr>
                  </pic:nvPicPr>
                  <pic:blipFill>
                    <a:blip r:embed="rId83">
                      <a:extLst>
                        <a:ext uri="{28A0092B-C50C-407E-A947-70E740481C1C}"/>
                      </a:extLst>
                    </a:blip>
                    <a:srcRect/>
                    <a:stretch>
                      <a:fillRect/>
                    </a:stretch>
                  </pic:blipFill>
                  <pic:spPr bwMode="auto">
                    <a:xfrm>
                      <a:off x="0" y="0"/>
                      <a:ext cx="2898775" cy="8890"/>
                    </a:xfrm>
                    <a:prstGeom prst="rect">
                      <a:avLst/>
                    </a:prstGeom>
                    <a:noFill/>
                  </pic:spPr>
                </pic:pic>
              </a:graphicData>
            </a:graphic>
          </wp:anchor>
        </w:drawing>
      </w:r>
    </w:p>
    <w:p>
      <w:pPr>
        <w:spacing w:after="0" w:line="16" w:lineRule="exact"/>
        <w:rPr>
          <w:sz w:val="20"/>
          <w:szCs w:val="20"/>
          <w:color w:val="auto"/>
        </w:rPr>
      </w:pPr>
    </w:p>
    <w:p>
      <w:pPr>
        <w:ind w:left="6860"/>
        <w:spacing w:after="0"/>
        <w:rPr>
          <w:sz w:val="20"/>
          <w:szCs w:val="20"/>
          <w:color w:val="auto"/>
        </w:rPr>
      </w:pPr>
      <w:r>
        <w:rPr>
          <w:rFonts w:ascii="Arial" w:cs="Arial" w:eastAsia="Arial" w:hAnsi="Arial"/>
          <w:sz w:val="18"/>
          <w:szCs w:val="18"/>
          <w:color w:val="auto"/>
        </w:rPr>
        <w:t>Clyde R. Hosein</w:t>
      </w:r>
    </w:p>
    <w:p>
      <w:pPr>
        <w:spacing w:after="0" w:line="15" w:lineRule="exact"/>
        <w:rPr>
          <w:sz w:val="20"/>
          <w:szCs w:val="20"/>
          <w:color w:val="auto"/>
        </w:rPr>
      </w:pPr>
    </w:p>
    <w:p>
      <w:pPr>
        <w:ind w:left="6860"/>
        <w:spacing w:after="0"/>
        <w:rPr>
          <w:sz w:val="20"/>
          <w:szCs w:val="20"/>
          <w:color w:val="auto"/>
        </w:rPr>
      </w:pPr>
      <w:r>
        <w:rPr>
          <w:rFonts w:ascii="Arial" w:cs="Arial" w:eastAsia="Arial" w:hAnsi="Arial"/>
          <w:sz w:val="16"/>
          <w:szCs w:val="16"/>
          <w:color w:val="auto"/>
        </w:rPr>
        <w:t>Chief Financial Officer, Interim Chief Operating Officer and</w:t>
      </w:r>
    </w:p>
    <w:p>
      <w:pPr>
        <w:spacing w:after="0" w:line="32" w:lineRule="exact"/>
        <w:rPr>
          <w:sz w:val="20"/>
          <w:szCs w:val="20"/>
          <w:color w:val="auto"/>
        </w:rPr>
      </w:pPr>
    </w:p>
    <w:p>
      <w:pPr>
        <w:ind w:left="6860"/>
        <w:spacing w:after="0"/>
        <w:rPr>
          <w:sz w:val="20"/>
          <w:szCs w:val="20"/>
          <w:color w:val="auto"/>
        </w:rPr>
      </w:pPr>
      <w:r>
        <w:rPr>
          <w:rFonts w:ascii="Arial" w:cs="Arial" w:eastAsia="Arial" w:hAnsi="Arial"/>
          <w:sz w:val="18"/>
          <w:szCs w:val="18"/>
          <w:color w:val="auto"/>
        </w:rPr>
        <w:t>Secretary</w:t>
      </w:r>
    </w:p>
    <w:p>
      <w:pPr>
        <w:spacing w:after="0" w:line="232" w:lineRule="exact"/>
        <w:rPr>
          <w:sz w:val="20"/>
          <w:szCs w:val="20"/>
          <w:color w:val="auto"/>
        </w:rPr>
      </w:pPr>
    </w:p>
    <w:p>
      <w:pPr>
        <w:ind w:left="6860"/>
        <w:spacing w:after="0"/>
        <w:rPr>
          <w:sz w:val="20"/>
          <w:szCs w:val="20"/>
          <w:color w:val="auto"/>
        </w:rPr>
      </w:pPr>
      <w:r>
        <w:rPr>
          <w:rFonts w:ascii="Arial" w:cs="Arial" w:eastAsia="Arial" w:hAnsi="Arial"/>
          <w:sz w:val="18"/>
          <w:szCs w:val="18"/>
          <w:color w:val="auto"/>
        </w:rPr>
        <w:t>Date: December 9, 2009</w:t>
      </w:r>
    </w:p>
    <w:sectPr>
      <w:pgSz w:w="11900" w:h="16838" w:orient="portrait"/>
      <w:cols w:equalWidth="0" w:num="1">
        <w:col w:w="11420"/>
      </w:cols>
      <w:pgMar w:left="240" w:top="125" w:right="239"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 w:name="MS PGothic">
    <w:panose1 w:val="020B0600070205080204"/>
    <w:charset w:val="80"/>
    <w:family w:val="swiss"/>
    <w:pitch w:val="variable"/>
    <w:sig w:usb0="E00002FF" w:usb1="6AC7FDFB" w:usb2="08000012" w:usb3="00000000" w:csb0="4002009F" w:csb1="DFD70000"/>
  </w:font>
</w:fonts>
</file>

<file path=word/numbering.xml><?xml version="1.0" encoding="utf-8"?>
<w:numbering xmlns:w="http://schemas.openxmlformats.org/wordprocessingml/2006/main">
  <w:abstractNum w:abstractNumId="0">
    <w:nsid w:val="3352255A"/>
    <w:multiLevelType w:val="hybridMultilevel"/>
    <w:lvl w:ilvl="0">
      <w:lvlJc w:val="left"/>
      <w:lvlText w:val="☒"/>
      <w:numFmt w:val="bullet"/>
      <w:start w:val="1"/>
    </w:lvl>
  </w:abstractNum>
  <w:abstractNum w:abstractNumId="1">
    <w:nsid w:val="109CF92E"/>
    <w:multiLevelType w:val="hybridMultilevel"/>
    <w:lvl w:ilvl="0">
      <w:lvlJc w:val="left"/>
      <w:lvlText w:val="☐"/>
      <w:numFmt w:val="bullet"/>
      <w:start w:val="1"/>
    </w:lvl>
  </w:abstractNum>
  <w:abstractNum w:abstractNumId="2">
    <w:nsid w:val="DED7263"/>
    <w:multiLevelType w:val="hybridMultilevel"/>
    <w:lvl w:ilvl="0">
      <w:lvlJc w:val="left"/>
      <w:lvlText w:val="•"/>
      <w:numFmt w:val="bullet"/>
      <w:start w:val="1"/>
    </w:lvl>
  </w:abstractNum>
  <w:abstractNum w:abstractNumId="3">
    <w:nsid w:val="7FDCC233"/>
    <w:multiLevelType w:val="hybridMultilevel"/>
    <w:lvl w:ilvl="0">
      <w:lvlJc w:val="left"/>
      <w:lvlText w:val="•"/>
      <w:numFmt w:val="bullet"/>
      <w:start w:val="1"/>
    </w:lvl>
  </w:abstractNum>
  <w:abstractNum w:abstractNumId="4">
    <w:nsid w:val="1BEFD79F"/>
    <w:multiLevelType w:val="hybridMultilevel"/>
    <w:lvl w:ilvl="0">
      <w:lvlJc w:val="left"/>
      <w:lvlText w:val="•"/>
      <w:numFmt w:val="bullet"/>
      <w:start w:val="1"/>
    </w:lvl>
  </w:abstractNum>
  <w:abstractNum w:abstractNumId="5">
    <w:nsid w:val="41A7C4C9"/>
    <w:multiLevelType w:val="hybridMultilevel"/>
    <w:lvl w:ilvl="0">
      <w:lvlJc w:val="left"/>
      <w:lvlText w:val="•"/>
      <w:numFmt w:val="bullet"/>
      <w:start w:val="1"/>
    </w:lvl>
  </w:abstractNum>
  <w:abstractNum w:abstractNumId="6">
    <w:nsid w:val="6B68079A"/>
    <w:multiLevelType w:val="hybridMultilevel"/>
    <w:lvl w:ilvl="0">
      <w:lvlJc w:val="left"/>
      <w:lvlText w:val="•"/>
      <w:numFmt w:val="bullet"/>
      <w:start w:val="1"/>
    </w:lvl>
  </w:abstractNum>
  <w:abstractNum w:abstractNumId="7">
    <w:nsid w:val="4E6AFB66"/>
    <w:multiLevelType w:val="hybridMultilevel"/>
    <w:lvl w:ilvl="0">
      <w:lvlJc w:val="left"/>
      <w:lvlText w:val="•"/>
      <w:numFmt w:val="bullet"/>
      <w:start w:val="1"/>
    </w:lvl>
  </w:abstractNum>
  <w:abstractNum w:abstractNumId="8">
    <w:nsid w:val="25E45D32"/>
    <w:multiLevelType w:val="hybridMultilevel"/>
    <w:lvl w:ilvl="0">
      <w:lvlJc w:val="left"/>
      <w:lvlText w:val="•"/>
      <w:numFmt w:val="bullet"/>
      <w:start w:val="1"/>
    </w:lvl>
  </w:abstractNum>
  <w:abstractNum w:abstractNumId="9">
    <w:nsid w:val="519B500D"/>
    <w:multiLevelType w:val="hybridMultilevel"/>
    <w:lvl w:ilvl="0">
      <w:lvlJc w:val="left"/>
      <w:lvlText w:val="•"/>
      <w:numFmt w:val="bullet"/>
      <w:start w:val="1"/>
    </w:lvl>
  </w:abstractNum>
  <w:abstractNum w:abstractNumId="10">
    <w:nsid w:val="431BD7B7"/>
    <w:multiLevelType w:val="hybridMultilevel"/>
    <w:lvl w:ilvl="0">
      <w:lvlJc w:val="left"/>
      <w:lvlText w:val="†"/>
      <w:numFmt w:val="bullet"/>
      <w:start w:val="1"/>
    </w:lvl>
  </w:abstractNum>
  <w:abstractNum w:abstractNumId="11">
    <w:nsid w:val="3F2DBA31"/>
    <w:multiLevelType w:val="hybridMultilevel"/>
    <w:lvl w:ilvl="0">
      <w:lvlJc w:val="left"/>
      <w:lvlText w:val="*"/>
      <w:numFmt w:val="bullet"/>
      <w:start w:val="1"/>
    </w:lvl>
  </w:abstractNum>
  <w:abstractNum w:abstractNumId="12">
    <w:nsid w:val="7C83E458"/>
    <w:multiLevelType w:val="hybridMultilevel"/>
    <w:lvl w:ilvl="0">
      <w:lvlJc w:val="left"/>
      <w:lvlText w:val="**"/>
      <w:numFmt w:val="bullet"/>
      <w:start w:val="1"/>
    </w:lvl>
  </w:abstractNum>
  <w:abstractNum w:abstractNumId="13">
    <w:nsid w:val="257130A3"/>
    <w:multiLevelType w:val="hybridMultilevel"/>
    <w:lvl w:ilvl="0">
      <w:lvlJc w:val="left"/>
      <w:lvlText w:val="†"/>
      <w:numFmt w:val="bullet"/>
      <w:start w:val="1"/>
    </w:lvl>
  </w:abstractNum>
  <w:abstractNum w:abstractNumId="14">
    <w:nsid w:val="62BBD95A"/>
    <w:multiLevelType w:val="hybridMultilevel"/>
    <w:lvl w:ilvl="0">
      <w:lvlJc w:val="left"/>
      <w:lvlText w:val="*"/>
      <w:numFmt w:val="bullet"/>
      <w:start w:val="1"/>
    </w:lvl>
  </w:abstractNum>
  <w:abstractNum w:abstractNumId="15">
    <w:nsid w:val="436C6125"/>
    <w:multiLevelType w:val="hybridMultilevel"/>
    <w:lvl w:ilvl="0">
      <w:lvlJc w:val="left"/>
      <w:lvlText w:val="**"/>
      <w:numFmt w:val="bullet"/>
      <w:start w:val="1"/>
    </w:lvl>
  </w:abstractNum>
  <w:abstractNum w:abstractNumId="16">
    <w:nsid w:val="628C895D"/>
    <w:multiLevelType w:val="hybridMultilevel"/>
    <w:lvl w:ilvl="0">
      <w:lvlJc w:val="left"/>
      <w:lvlText w:val="%1."/>
      <w:numFmt w:val="decimal"/>
      <w:start w:val="1"/>
    </w:lvl>
  </w:abstractNum>
  <w:abstractNum w:abstractNumId="17">
    <w:nsid w:val="333AB105"/>
    <w:multiLevelType w:val="hybridMultilevel"/>
    <w:lvl w:ilvl="0">
      <w:lvlJc w:val="left"/>
      <w:lvlText w:val="%1."/>
      <w:numFmt w:val="decimal"/>
      <w:start w:val="3"/>
    </w:lvl>
  </w:abstractNum>
  <w:abstractNum w:abstractNumId="18">
    <w:nsid w:val="721DA317"/>
    <w:multiLevelType w:val="hybridMultilevel"/>
    <w:lvl w:ilvl="0">
      <w:lvlJc w:val="left"/>
      <w:lvlText w:val="%1."/>
      <w:numFmt w:val="decimal"/>
      <w:start w:val="6"/>
    </w:lvl>
  </w:abstractNum>
  <w:abstractNum w:abstractNumId="19">
    <w:nsid w:val="2443A858"/>
    <w:multiLevelType w:val="hybridMultilevel"/>
    <w:lvl w:ilvl="0">
      <w:lvlJc w:val="left"/>
      <w:lvlText w:val="%1."/>
      <w:numFmt w:val="decimal"/>
      <w:start w:val="8"/>
    </w:lvl>
  </w:abstractNum>
  <w:abstractNum w:abstractNumId="20">
    <w:nsid w:val="2D1D5AE9"/>
    <w:multiLevelType w:val="hybridMultilevel"/>
    <w:lvl w:ilvl="0">
      <w:lvlJc w:val="left"/>
      <w:lvlText w:val="%1."/>
      <w:numFmt w:val="decimal"/>
      <w:start w:val="15"/>
    </w:lvl>
  </w:abstractNum>
  <w:abstractNum w:abstractNumId="21">
    <w:nsid w:val="6763845E"/>
    <w:multiLevelType w:val="hybridMultilevel"/>
    <w:lvl w:ilvl="0">
      <w:lvlJc w:val="left"/>
      <w:lvlText w:val="%1."/>
      <w:numFmt w:val="decimal"/>
      <w:start w:val="1"/>
    </w:lvl>
    <w:lvl w:ilvl="1">
      <w:lvlJc w:val="left"/>
      <w:lvlText w:val="%2)"/>
      <w:numFmt w:val="lowerLetter"/>
      <w:start w:val="1"/>
    </w:lvl>
  </w:abstractNum>
  <w:abstractNum w:abstractNumId="22">
    <w:nsid w:val="75A2A8D4"/>
    <w:multiLevelType w:val="hybridMultilevel"/>
    <w:lvl w:ilvl="0">
      <w:lvlJc w:val="left"/>
      <w:lvlText w:val="%1."/>
      <w:numFmt w:val="decimal"/>
      <w:start w:val="1"/>
    </w:lvl>
    <w:lvl w:ilvl="1">
      <w:lvlJc w:val="left"/>
      <w:lvlText w:val="%2)"/>
      <w:numFmt w:val="lowerLetter"/>
      <w:start w:val="1"/>
    </w:lvl>
  </w:abstractNum>
  <w:abstractNum w:abstractNumId="23">
    <w:nsid w:val="8EDBDAB"/>
    <w:multiLevelType w:val="hybridMultilevel"/>
    <w:lvl w:ilvl="0">
      <w:lvlJc w:val="left"/>
      <w:lvlText w:val="(%1)"/>
      <w:numFmt w:val="lowerRoman"/>
      <w:start w:val="1"/>
    </w:lvl>
  </w:abstractNum>
  <w:abstractNum w:abstractNumId="24">
    <w:nsid w:val="79838CB2"/>
    <w:multiLevelType w:val="hybridMultilevel"/>
    <w:lvl w:ilvl="0">
      <w:lvlJc w:val="left"/>
      <w:lvlText w:val="(%1)"/>
      <w:numFmt w:val="lowerRoman"/>
      <w:start w:val="1"/>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7"/>
  </w:num>
  <w:num w:numId="19">
    <w:abstractNumId w:val="18"/>
  </w:num>
  <w:num w:numId="20">
    <w:abstractNumId w:val="19"/>
  </w:num>
  <w:num w:numId="21">
    <w:abstractNumId w:val="20"/>
  </w:num>
  <w:num w:numId="22">
    <w:abstractNumId w:val="21"/>
  </w:num>
  <w:num w:numId="23">
    <w:abstractNumId w:val="22"/>
  </w:num>
  <w:num w:numId="24">
    <w:abstractNumId w:val="23"/>
  </w:num>
  <w:num w:numId="25">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pn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image" Target="media/image5.png"/><Relationship Id="rId13" Type="http://schemas.openxmlformats.org/officeDocument/2006/relationships/image" Target="media/image6.png"/><Relationship Id="rId14" Type="http://schemas.openxmlformats.org/officeDocument/2006/relationships/image" Target="media/image7.png"/><Relationship Id="rId15" Type="http://schemas.openxmlformats.org/officeDocument/2006/relationships/image" Target="media/image8.png"/><Relationship Id="rId16" Type="http://schemas.openxmlformats.org/officeDocument/2006/relationships/image" Target="media/image9.png"/><Relationship Id="rId17" Type="http://schemas.openxmlformats.org/officeDocument/2006/relationships/image" Target="media/image10.png"/><Relationship Id="rId18" Type="http://schemas.openxmlformats.org/officeDocument/2006/relationships/image" Target="media/image11.png"/><Relationship Id="rId19" Type="http://schemas.openxmlformats.org/officeDocument/2006/relationships/image" Target="media/image12.png"/><Relationship Id="rId20" Type="http://schemas.openxmlformats.org/officeDocument/2006/relationships/image" Target="media/image13.png"/><Relationship Id="rId21" Type="http://schemas.openxmlformats.org/officeDocument/2006/relationships/image" Target="media/image14.png"/><Relationship Id="rId22" Type="http://schemas.openxmlformats.org/officeDocument/2006/relationships/image" Target="media/image15.png"/><Relationship Id="rId23" Type="http://schemas.openxmlformats.org/officeDocument/2006/relationships/image" Target="media/image16.png"/><Relationship Id="rId24" Type="http://schemas.openxmlformats.org/officeDocument/2006/relationships/image" Target="media/image17.png"/><Relationship Id="rId25" Type="http://schemas.openxmlformats.org/officeDocument/2006/relationships/image" Target="media/image18.png"/><Relationship Id="rId26" Type="http://schemas.openxmlformats.org/officeDocument/2006/relationships/image" Target="media/image19.png"/><Relationship Id="rId27" Type="http://schemas.openxmlformats.org/officeDocument/2006/relationships/image" Target="media/image20.png"/><Relationship Id="rId28" Type="http://schemas.openxmlformats.org/officeDocument/2006/relationships/image" Target="media/image21.png"/><Relationship Id="rId29" Type="http://schemas.openxmlformats.org/officeDocument/2006/relationships/image" Target="media/image22.png"/><Relationship Id="rId30" Type="http://schemas.openxmlformats.org/officeDocument/2006/relationships/image" Target="media/image23.png"/><Relationship Id="rId31" Type="http://schemas.openxmlformats.org/officeDocument/2006/relationships/image" Target="media/image24.png"/><Relationship Id="rId32" Type="http://schemas.openxmlformats.org/officeDocument/2006/relationships/image" Target="media/image25.png"/><Relationship Id="rId33" Type="http://schemas.openxmlformats.org/officeDocument/2006/relationships/image" Target="media/image26.png"/><Relationship Id="rId34" Type="http://schemas.openxmlformats.org/officeDocument/2006/relationships/image" Target="media/image27.png"/><Relationship Id="rId35" Type="http://schemas.openxmlformats.org/officeDocument/2006/relationships/image" Target="media/image28.png"/><Relationship Id="rId36" Type="http://schemas.openxmlformats.org/officeDocument/2006/relationships/image" Target="media/image29.png"/><Relationship Id="rId37" Type="http://schemas.openxmlformats.org/officeDocument/2006/relationships/image" Target="media/image30.png"/><Relationship Id="rId38" Type="http://schemas.openxmlformats.org/officeDocument/2006/relationships/image" Target="media/image31.png"/><Relationship Id="rId39" Type="http://schemas.openxmlformats.org/officeDocument/2006/relationships/image" Target="media/image32.png"/><Relationship Id="rId40" Type="http://schemas.openxmlformats.org/officeDocument/2006/relationships/image" Target="media/image33.png"/><Relationship Id="rId41" Type="http://schemas.openxmlformats.org/officeDocument/2006/relationships/image" Target="media/image34.png"/><Relationship Id="rId42" Type="http://schemas.openxmlformats.org/officeDocument/2006/relationships/image" Target="media/image35.png"/><Relationship Id="rId43" Type="http://schemas.openxmlformats.org/officeDocument/2006/relationships/image" Target="media/image36.png"/><Relationship Id="rId44" Type="http://schemas.openxmlformats.org/officeDocument/2006/relationships/image" Target="media/image37.png"/><Relationship Id="rId45" Type="http://schemas.openxmlformats.org/officeDocument/2006/relationships/image" Target="media/image38.png"/><Relationship Id="rId46" Type="http://schemas.openxmlformats.org/officeDocument/2006/relationships/image" Target="media/image39.png"/><Relationship Id="rId47" Type="http://schemas.openxmlformats.org/officeDocument/2006/relationships/image" Target="media/image40.png"/><Relationship Id="rId48" Type="http://schemas.openxmlformats.org/officeDocument/2006/relationships/image" Target="media/image41.png"/><Relationship Id="rId49" Type="http://schemas.openxmlformats.org/officeDocument/2006/relationships/image" Target="media/image42.png"/><Relationship Id="rId50" Type="http://schemas.openxmlformats.org/officeDocument/2006/relationships/image" Target="media/image43.png"/><Relationship Id="rId51" Type="http://schemas.openxmlformats.org/officeDocument/2006/relationships/image" Target="media/image44.png"/><Relationship Id="rId52" Type="http://schemas.openxmlformats.org/officeDocument/2006/relationships/image" Target="media/image45.png"/><Relationship Id="rId53" Type="http://schemas.openxmlformats.org/officeDocument/2006/relationships/image" Target="media/image46.png"/><Relationship Id="rId54" Type="http://schemas.openxmlformats.org/officeDocument/2006/relationships/image" Target="media/image47.png"/><Relationship Id="rId55" Type="http://schemas.openxmlformats.org/officeDocument/2006/relationships/image" Target="media/image48.png"/><Relationship Id="rId56" Type="http://schemas.openxmlformats.org/officeDocument/2006/relationships/image" Target="media/image49.png"/><Relationship Id="rId57" Type="http://schemas.openxmlformats.org/officeDocument/2006/relationships/image" Target="media/image50.png"/><Relationship Id="rId58" Type="http://schemas.openxmlformats.org/officeDocument/2006/relationships/image" Target="media/image51.png"/><Relationship Id="rId59" Type="http://schemas.openxmlformats.org/officeDocument/2006/relationships/image" Target="media/image52.png"/><Relationship Id="rId60" Type="http://schemas.openxmlformats.org/officeDocument/2006/relationships/image" Target="media/image53.png"/><Relationship Id="rId61" Type="http://schemas.openxmlformats.org/officeDocument/2006/relationships/image" Target="media/image54.png"/><Relationship Id="rId62" Type="http://schemas.openxmlformats.org/officeDocument/2006/relationships/image" Target="media/image55.png"/><Relationship Id="rId63" Type="http://schemas.openxmlformats.org/officeDocument/2006/relationships/image" Target="media/image56.png"/><Relationship Id="rId64" Type="http://schemas.openxmlformats.org/officeDocument/2006/relationships/image" Target="media/image57.png"/><Relationship Id="rId65" Type="http://schemas.openxmlformats.org/officeDocument/2006/relationships/image" Target="media/image58.png"/><Relationship Id="rId66" Type="http://schemas.openxmlformats.org/officeDocument/2006/relationships/image" Target="media/image59.png"/><Relationship Id="rId67" Type="http://schemas.openxmlformats.org/officeDocument/2006/relationships/image" Target="media/image60.png"/><Relationship Id="rId68" Type="http://schemas.openxmlformats.org/officeDocument/2006/relationships/image" Target="media/image61.png"/><Relationship Id="rId69" Type="http://schemas.openxmlformats.org/officeDocument/2006/relationships/image" Target="media/image62.png"/><Relationship Id="rId70" Type="http://schemas.openxmlformats.org/officeDocument/2006/relationships/image" Target="media/image63.png"/><Relationship Id="rId71" Type="http://schemas.openxmlformats.org/officeDocument/2006/relationships/image" Target="media/image64.png"/><Relationship Id="rId72" Type="http://schemas.openxmlformats.org/officeDocument/2006/relationships/image" Target="media/image65.png"/><Relationship Id="rId73" Type="http://schemas.openxmlformats.org/officeDocument/2006/relationships/image" Target="media/image66.png"/><Relationship Id="rId74" Type="http://schemas.openxmlformats.org/officeDocument/2006/relationships/image" Target="media/image67.png"/><Relationship Id="rId75" Type="http://schemas.openxmlformats.org/officeDocument/2006/relationships/image" Target="media/image68.png"/><Relationship Id="rId76" Type="http://schemas.openxmlformats.org/officeDocument/2006/relationships/image" Target="media/image69.png"/><Relationship Id="rId77" Type="http://schemas.openxmlformats.org/officeDocument/2006/relationships/image" Target="media/image70.png"/><Relationship Id="rId78" Type="http://schemas.openxmlformats.org/officeDocument/2006/relationships/image" Target="media/image71.png"/><Relationship Id="rId79" Type="http://schemas.openxmlformats.org/officeDocument/2006/relationships/image" Target="media/image72.png"/><Relationship Id="rId80" Type="http://schemas.openxmlformats.org/officeDocument/2006/relationships/image" Target="media/image73.png"/><Relationship Id="rId81" Type="http://schemas.openxmlformats.org/officeDocument/2006/relationships/image" Target="media/image74.png"/><Relationship Id="rId82" Type="http://schemas.openxmlformats.org/officeDocument/2006/relationships/image" Target="media/image75.png"/><Relationship Id="rId83" Type="http://schemas.openxmlformats.org/officeDocument/2006/relationships/image" Target="media/image76.png"/></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2019-12-10T17:02:57Z</dcterms:created>
  <dcterms:modified xsi:type="dcterms:W3CDTF">2019-12-10T17:02:57Z</dcterms:modified>
</cp:coreProperties>
</file>