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6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6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6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6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4"/>
          <w:szCs w:val="24"/>
          <w:color w:val="auto"/>
        </w:rPr>
      </w:pPr>
    </w:p>
    <w:p>
      <w:pPr>
        <w:jc w:val="center"/>
        <w:ind w:right="-6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6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1" w:lineRule="exact"/>
        <w:rPr>
          <w:sz w:val="24"/>
          <w:szCs w:val="24"/>
          <w:color w:val="auto"/>
        </w:rPr>
      </w:pPr>
    </w:p>
    <w:p>
      <w:pPr>
        <w:ind w:left="3220"/>
        <w:spacing w:after="0"/>
        <w:rPr>
          <w:sz w:val="20"/>
          <w:szCs w:val="20"/>
          <w:color w:val="auto"/>
        </w:rPr>
      </w:pPr>
      <w:r>
        <w:rPr>
          <w:rFonts w:ascii="Arial" w:cs="Arial" w:eastAsia="Arial" w:hAnsi="Arial"/>
          <w:sz w:val="18"/>
          <w:szCs w:val="18"/>
          <w:b w:val="1"/>
          <w:bCs w:val="1"/>
          <w:color w:val="auto"/>
        </w:rPr>
        <w:t>Date of Report (Date of earliest event reported): December 3, 2009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5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01" w:right="8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640"/>
          </w:cols>
          <w:pgMar w:left="240" w:top="301" w:right="83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1760"/>
          </w:cols>
          <w:pgMar w:left="240" w:top="301" w:right="839" w:bottom="1440" w:gutter="0" w:footer="0" w:header="0"/>
          <w:type w:val="continuous"/>
        </w:sectPr>
      </w:pPr>
    </w:p>
    <w:p>
      <w:pPr>
        <w:jc w:val="center"/>
        <w:ind w:right="-6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01" w:right="839" w:bottom="1440" w:gutter="0" w:footer="0" w:header="0"/>
          <w:type w:val="continuous"/>
        </w:sectPr>
      </w:pPr>
    </w:p>
    <w:p>
      <w:pPr>
        <w:spacing w:after="0" w:line="261" w:lineRule="exact"/>
        <w:rPr>
          <w:sz w:val="24"/>
          <w:szCs w:val="24"/>
          <w:color w:val="auto"/>
        </w:rPr>
      </w:pPr>
    </w:p>
    <w:p>
      <w:pPr>
        <w:ind w:firstLine="456"/>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20"/>
          </w:cols>
          <w:pgMar w:left="240" w:top="301" w:right="83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On December 3, 2009, Marvell Technology Group Ltd. (“Marvell”) issued a press release regarding its financial results for its third fiscal quarter ended October 31, 2009.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one-time costs and benefits.</w:t>
      </w:r>
    </w:p>
    <w:p>
      <w:pPr>
        <w:spacing w:after="0" w:line="113" w:lineRule="exact"/>
        <w:rPr>
          <w:sz w:val="20"/>
          <w:szCs w:val="20"/>
          <w:color w:val="auto"/>
        </w:rPr>
      </w:pPr>
    </w:p>
    <w:p>
      <w:pPr>
        <w:ind w:right="14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hanging="446"/>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target utilized to measure the achievement of stock-based bonus compensation for certain Marvell executive officers;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200" w:hanging="446"/>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900" w:right="40" w:hanging="446"/>
        <w:spacing w:after="0" w:line="370" w:lineRule="auto"/>
        <w:tabs>
          <w:tab w:leader="none" w:pos="900" w:val="left"/>
        </w:tabs>
        <w:numPr>
          <w:ilvl w:val="0"/>
          <w:numId w:val="3"/>
        </w:numPr>
        <w:rPr>
          <w:rFonts w:ascii="Arial" w:cs="Arial" w:eastAsia="Arial" w:hAnsi="Arial"/>
          <w:sz w:val="15"/>
          <w:szCs w:val="15"/>
          <w:color w:val="auto"/>
        </w:rPr>
      </w:pPr>
      <w:r>
        <w:rPr>
          <w:rFonts w:ascii="Arial" w:cs="Arial" w:eastAsia="Arial" w:hAnsi="Arial"/>
          <w:sz w:val="15"/>
          <w:szCs w:val="15"/>
          <w:i w:val="1"/>
          <w:iCs w:val="1"/>
          <w:color w:val="auto"/>
        </w:rPr>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2" w:name="page3"/>
    <w:bookmarkEnd w:id="2"/>
    <w:p>
      <w:pPr>
        <w:ind w:left="900" w:right="120" w:hanging="446"/>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60" w:hanging="446"/>
        <w:spacing w:after="0" w:line="256"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 example, in</w:t>
      </w:r>
      <w:r>
        <w:rPr>
          <w:rFonts w:ascii="Arial" w:cs="Arial" w:eastAsia="Arial" w:hAnsi="Arial"/>
          <w:sz w:val="18"/>
          <w:szCs w:val="18"/>
          <w:i w:val="1"/>
          <w:iCs w:val="1"/>
          <w:color w:val="auto"/>
        </w:rPr>
        <w:t xml:space="preserve"> </w:t>
      </w:r>
      <w:r>
        <w:rPr>
          <w:rFonts w:ascii="Arial" w:cs="Arial" w:eastAsia="Arial" w:hAnsi="Arial"/>
          <w:sz w:val="18"/>
          <w:szCs w:val="18"/>
          <w:color w:val="auto"/>
        </w:rPr>
        <w:t>the first quarter ended May 2, 2009, Marvell recorded a $72 million charge in connection with the settlement of a class action lawsuit related to its historical stock option granting practices. As the litigation directly related to stock compensation costs, which are consistently excluded from Marvell’s non-GAAP results, Marvell excluded the settlement costs as well.</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hanging="446"/>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SFAS 123R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20" w:firstLine="447"/>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90"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December 3, 2009.</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December 3, 2009</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8300" w:val="left"/>
          <w:tab w:leader="none" w:pos="86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10795</wp:posOffset>
            </wp:positionV>
            <wp:extent cx="269303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2" w:lineRule="exact"/>
        <w:rPr>
          <w:sz w:val="20"/>
          <w:szCs w:val="20"/>
          <w:color w:val="auto"/>
        </w:rPr>
      </w:pPr>
    </w:p>
    <w:p>
      <w:pPr>
        <w:jc w:val="center"/>
        <w:ind w:left="7180"/>
        <w:spacing w:after="0"/>
        <w:rPr>
          <w:sz w:val="20"/>
          <w:szCs w:val="20"/>
          <w:color w:val="auto"/>
        </w:rPr>
      </w:pPr>
      <w:r>
        <w:rPr>
          <w:rFonts w:ascii="Arial" w:cs="Arial" w:eastAsia="Arial" w:hAnsi="Arial"/>
          <w:sz w:val="14"/>
          <w:szCs w:val="14"/>
          <w:b w:val="1"/>
          <w:bCs w:val="1"/>
          <w:color w:val="auto"/>
        </w:rPr>
        <w:t>Clyde R. Hosein</w:t>
      </w:r>
    </w:p>
    <w:p>
      <w:pPr>
        <w:jc w:val="center"/>
        <w:ind w:left="7180"/>
        <w:spacing w:after="0" w:line="223" w:lineRule="auto"/>
        <w:rPr>
          <w:sz w:val="20"/>
          <w:szCs w:val="20"/>
          <w:color w:val="auto"/>
        </w:rPr>
      </w:pPr>
      <w:r>
        <w:rPr>
          <w:rFonts w:ascii="Arial" w:cs="Arial" w:eastAsia="Arial" w:hAnsi="Arial"/>
          <w:sz w:val="14"/>
          <w:szCs w:val="14"/>
          <w:b w:val="1"/>
          <w:bCs w:val="1"/>
          <w:color w:val="auto"/>
        </w:rPr>
        <w:t>Chief Financial Officer, Interim Chief Operating Officer</w:t>
      </w:r>
    </w:p>
    <w:p>
      <w:pPr>
        <w:jc w:val="center"/>
        <w:ind w:left="7180"/>
        <w:spacing w:after="0"/>
        <w:rPr>
          <w:sz w:val="20"/>
          <w:szCs w:val="20"/>
          <w:color w:val="auto"/>
        </w:rPr>
      </w:pPr>
      <w:r>
        <w:rPr>
          <w:rFonts w:ascii="Arial" w:cs="Arial" w:eastAsia="Arial" w:hAnsi="Arial"/>
          <w:sz w:val="14"/>
          <w:szCs w:val="14"/>
          <w:b w:val="1"/>
          <w:bCs w:val="1"/>
          <w:color w:val="auto"/>
        </w:rPr>
        <w:t>and Secretary</w:t>
      </w:r>
    </w:p>
    <w:p>
      <w:pPr>
        <w:spacing w:after="0" w:line="1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3"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Exhibit</w:t>
      </w:r>
    </w:p>
    <w:p>
      <w:pPr>
        <w:spacing w:after="0" w:line="2" w:lineRule="exact"/>
        <w:rPr>
          <w:sz w:val="20"/>
          <w:szCs w:val="20"/>
          <w:color w:val="auto"/>
        </w:rPr>
      </w:pPr>
    </w:p>
    <w:p>
      <w:pPr>
        <w:ind w:left="120"/>
        <w:spacing w:after="0"/>
        <w:tabs>
          <w:tab w:leader="none" w:pos="76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-8255</wp:posOffset>
            </wp:positionV>
            <wp:extent cx="29146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93" w:lineRule="exact"/>
        <w:rPr>
          <w:sz w:val="20"/>
          <w:szCs w:val="20"/>
          <w:color w:val="auto"/>
        </w:rPr>
      </w:pPr>
    </w:p>
    <w:p>
      <w:pPr>
        <w:ind w:left="60"/>
        <w:spacing w:after="0"/>
        <w:tabs>
          <w:tab w:leader="none" w:pos="7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3, 2009.</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199"/>
          </w:cols>
          <w:pgMar w:left="260" w:top="274" w:right="1440"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90"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520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70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620" w:type="dxa"/>
            <w:vAlign w:val="bottom"/>
          </w:tcPr>
          <w:p>
            <w:pPr>
              <w:spacing w:after="0"/>
              <w:rPr>
                <w:sz w:val="19"/>
                <w:szCs w:val="19"/>
                <w:color w:val="auto"/>
              </w:rPr>
            </w:pPr>
          </w:p>
        </w:tc>
      </w:tr>
      <w:tr>
        <w:trPr>
          <w:trHeight w:val="216"/>
        </w:trPr>
        <w:tc>
          <w:tcPr>
            <w:tcW w:w="520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4640" w:type="dxa"/>
            <w:vAlign w:val="bottom"/>
            <w:gridSpan w:val="3"/>
          </w:tcPr>
          <w:p>
            <w:pPr>
              <w:ind w:left="2700"/>
              <w:spacing w:after="0"/>
              <w:rPr>
                <w:sz w:val="20"/>
                <w:szCs w:val="20"/>
                <w:color w:val="auto"/>
              </w:rPr>
            </w:pPr>
            <w:r>
              <w:rPr>
                <w:rFonts w:ascii="Arial" w:cs="Arial" w:eastAsia="Arial" w:hAnsi="Arial"/>
                <w:sz w:val="18"/>
                <w:szCs w:val="18"/>
                <w:color w:val="auto"/>
              </w:rPr>
              <w:t>Tom Hayes</w:t>
            </w:r>
          </w:p>
        </w:tc>
      </w:tr>
      <w:tr>
        <w:trPr>
          <w:trHeight w:val="216"/>
        </w:trPr>
        <w:tc>
          <w:tcPr>
            <w:tcW w:w="520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640" w:type="dxa"/>
            <w:vAlign w:val="bottom"/>
            <w:gridSpan w:val="3"/>
          </w:tcPr>
          <w:p>
            <w:pPr>
              <w:ind w:left="2700"/>
              <w:spacing w:after="0"/>
              <w:rPr>
                <w:sz w:val="20"/>
                <w:szCs w:val="20"/>
                <w:color w:val="auto"/>
              </w:rPr>
            </w:pPr>
            <w:r>
              <w:rPr>
                <w:rFonts w:ascii="Arial" w:cs="Arial" w:eastAsia="Arial" w:hAnsi="Arial"/>
                <w:sz w:val="18"/>
                <w:szCs w:val="18"/>
                <w:color w:val="auto"/>
                <w:w w:val="87"/>
              </w:rPr>
              <w:t>Corporate Communications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3620" w:type="dxa"/>
            <w:vAlign w:val="bottom"/>
          </w:tcPr>
          <w:p>
            <w:pPr>
              <w:spacing w:after="0"/>
              <w:rPr>
                <w:sz w:val="18"/>
                <w:szCs w:val="18"/>
                <w:color w:val="auto"/>
              </w:rPr>
            </w:pPr>
          </w:p>
        </w:tc>
        <w:tc>
          <w:tcPr>
            <w:tcW w:w="4020" w:type="dxa"/>
            <w:vAlign w:val="bottom"/>
            <w:gridSpan w:val="2"/>
          </w:tcPr>
          <w:p>
            <w:pPr>
              <w:ind w:left="2700"/>
              <w:spacing w:after="0"/>
              <w:rPr>
                <w:sz w:val="20"/>
                <w:szCs w:val="20"/>
                <w:color w:val="auto"/>
              </w:rPr>
            </w:pPr>
            <w:r>
              <w:rPr>
                <w:rFonts w:ascii="Arial" w:cs="Arial" w:eastAsia="Arial" w:hAnsi="Arial"/>
                <w:sz w:val="18"/>
                <w:szCs w:val="18"/>
                <w:color w:val="auto"/>
              </w:rPr>
              <w:t>408-222-2815</w:t>
            </w:r>
          </w:p>
        </w:tc>
        <w:tc>
          <w:tcPr>
            <w:tcW w:w="620" w:type="dxa"/>
            <w:vAlign w:val="bottom"/>
          </w:tcPr>
          <w:p>
            <w:pPr>
              <w:spacing w:after="0"/>
              <w:rPr>
                <w:sz w:val="18"/>
                <w:szCs w:val="18"/>
                <w:color w:val="auto"/>
              </w:rPr>
            </w:pPr>
          </w:p>
        </w:tc>
      </w:tr>
      <w:tr>
        <w:trPr>
          <w:trHeight w:val="184"/>
        </w:trPr>
        <w:tc>
          <w:tcPr>
            <w:tcW w:w="520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4640" w:type="dxa"/>
            <w:vAlign w:val="bottom"/>
            <w:gridSpan w:val="3"/>
          </w:tcPr>
          <w:p>
            <w:pPr>
              <w:ind w:left="2700"/>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r>
    </w:tbl>
    <w:p>
      <w:pPr>
        <w:spacing w:after="0" w:line="175" w:lineRule="exact"/>
        <w:rPr>
          <w:sz w:val="20"/>
          <w:szCs w:val="20"/>
          <w:color w:val="auto"/>
        </w:rPr>
      </w:pPr>
    </w:p>
    <w:p>
      <w:pPr>
        <w:ind w:left="3100"/>
        <w:spacing w:after="0"/>
        <w:rPr>
          <w:sz w:val="20"/>
          <w:szCs w:val="20"/>
          <w:color w:val="auto"/>
        </w:rPr>
      </w:pPr>
      <w:r>
        <w:rPr>
          <w:rFonts w:ascii="Arial" w:cs="Arial" w:eastAsia="Arial" w:hAnsi="Arial"/>
          <w:sz w:val="18"/>
          <w:szCs w:val="18"/>
          <w:b w:val="1"/>
          <w:bCs w:val="1"/>
          <w:color w:val="auto"/>
        </w:rPr>
        <w:t>Marvell Technology Group Ltd. Reports Fiscal Third Quarter Results</w:t>
      </w:r>
    </w:p>
    <w:p>
      <w:pPr>
        <w:spacing w:after="0" w:line="177" w:lineRule="exact"/>
        <w:rPr>
          <w:sz w:val="20"/>
          <w:szCs w:val="20"/>
          <w:color w:val="auto"/>
        </w:rPr>
      </w:pPr>
    </w:p>
    <w:p>
      <w:pPr>
        <w:ind w:left="3780"/>
        <w:spacing w:after="0"/>
        <w:rPr>
          <w:sz w:val="20"/>
          <w:szCs w:val="20"/>
          <w:color w:val="auto"/>
        </w:rPr>
      </w:pPr>
      <w:r>
        <w:rPr>
          <w:rFonts w:ascii="Arial" w:cs="Arial" w:eastAsia="Arial" w:hAnsi="Arial"/>
          <w:sz w:val="18"/>
          <w:szCs w:val="18"/>
          <w:b w:val="1"/>
          <w:bCs w:val="1"/>
          <w:i w:val="1"/>
          <w:iCs w:val="1"/>
          <w:color w:val="auto"/>
        </w:rPr>
        <w:t>Revenue: $803.1 Million, Up 25 Percent Sequentially</w:t>
      </w:r>
    </w:p>
    <w:p>
      <w:pPr>
        <w:spacing w:after="0" w:line="15" w:lineRule="exact"/>
        <w:rPr>
          <w:sz w:val="20"/>
          <w:szCs w:val="20"/>
          <w:color w:val="auto"/>
        </w:rPr>
      </w:pPr>
    </w:p>
    <w:p>
      <w:pPr>
        <w:ind w:left="3660"/>
        <w:spacing w:after="0"/>
        <w:rPr>
          <w:sz w:val="20"/>
          <w:szCs w:val="20"/>
          <w:color w:val="auto"/>
        </w:rPr>
      </w:pPr>
      <w:r>
        <w:rPr>
          <w:rFonts w:ascii="Arial" w:cs="Arial" w:eastAsia="Arial" w:hAnsi="Arial"/>
          <w:sz w:val="18"/>
          <w:szCs w:val="18"/>
          <w:b w:val="1"/>
          <w:bCs w:val="1"/>
          <w:i w:val="1"/>
          <w:iCs w:val="1"/>
          <w:color w:val="auto"/>
        </w:rPr>
        <w:t>GAAP Net Income: $201.6 Million, $0.31 per share EPS</w:t>
      </w:r>
    </w:p>
    <w:p>
      <w:pPr>
        <w:spacing w:after="0" w:line="9" w:lineRule="exact"/>
        <w:rPr>
          <w:sz w:val="20"/>
          <w:szCs w:val="20"/>
          <w:color w:val="auto"/>
        </w:rPr>
      </w:pPr>
    </w:p>
    <w:p>
      <w:pPr>
        <w:ind w:left="3660"/>
        <w:spacing w:after="0"/>
        <w:rPr>
          <w:sz w:val="20"/>
          <w:szCs w:val="20"/>
          <w:color w:val="auto"/>
        </w:rPr>
      </w:pPr>
      <w:r>
        <w:rPr>
          <w:rFonts w:ascii="Arial" w:cs="Arial" w:eastAsia="Arial" w:hAnsi="Arial"/>
          <w:sz w:val="18"/>
          <w:szCs w:val="18"/>
          <w:b w:val="1"/>
          <w:bCs w:val="1"/>
          <w:i w:val="1"/>
          <w:iCs w:val="1"/>
          <w:color w:val="auto"/>
        </w:rPr>
        <w:t>Free Cash Flow: $195.9 Million, 24 Percent of Revenues</w:t>
      </w:r>
    </w:p>
    <w:p>
      <w:pPr>
        <w:spacing w:after="0" w:line="159" w:lineRule="exact"/>
        <w:rPr>
          <w:sz w:val="20"/>
          <w:szCs w:val="20"/>
          <w:color w:val="auto"/>
        </w:rPr>
      </w:pPr>
    </w:p>
    <w:p>
      <w:pPr>
        <w:ind w:right="80"/>
        <w:spacing w:after="0" w:line="275" w:lineRule="auto"/>
        <w:rPr>
          <w:sz w:val="20"/>
          <w:szCs w:val="20"/>
          <w:color w:val="auto"/>
        </w:rPr>
      </w:pPr>
      <w:r>
        <w:rPr>
          <w:rFonts w:ascii="Arial" w:cs="Arial" w:eastAsia="Arial" w:hAnsi="Arial"/>
          <w:sz w:val="18"/>
          <w:szCs w:val="18"/>
          <w:b w:val="1"/>
          <w:bCs w:val="1"/>
          <w:color w:val="auto"/>
        </w:rPr>
        <w:t xml:space="preserve">Santa Clara, California (December 3, 2009) </w:t>
      </w:r>
      <w:r>
        <w:rPr>
          <w:rFonts w:ascii="Arial" w:cs="Arial" w:eastAsia="Arial" w:hAnsi="Arial"/>
          <w:sz w:val="18"/>
          <w:szCs w:val="18"/>
          <w:color w:val="auto"/>
        </w:rPr>
        <w:t>— Marvell Technology Group Ltd. (NASDAQ: MRVL), a world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financial results for the third quarter of fiscal 2010, ended October 31, 2009.</w:t>
      </w:r>
    </w:p>
    <w:p>
      <w:pPr>
        <w:spacing w:after="0" w:line="126" w:lineRule="exact"/>
        <w:rPr>
          <w:sz w:val="20"/>
          <w:szCs w:val="20"/>
          <w:color w:val="auto"/>
        </w:rPr>
      </w:pPr>
    </w:p>
    <w:p>
      <w:pPr>
        <w:ind w:right="380"/>
        <w:spacing w:after="0" w:line="332" w:lineRule="auto"/>
        <w:rPr>
          <w:sz w:val="20"/>
          <w:szCs w:val="20"/>
          <w:color w:val="auto"/>
        </w:rPr>
      </w:pPr>
      <w:r>
        <w:rPr>
          <w:rFonts w:ascii="Arial" w:cs="Arial" w:eastAsia="Arial" w:hAnsi="Arial"/>
          <w:sz w:val="16"/>
          <w:szCs w:val="16"/>
          <w:color w:val="auto"/>
        </w:rPr>
        <w:t>Net revenue for the third quarter of fiscal 2010 was $803.1 million, a 25 percent sequential increase from $640.6 million in the second quarter of fiscal 2010, ended August 1, 2009, and a 2 percent increase from $791.0 million in the third quarter of fiscal 2009, ended November 1, 2008.</w:t>
      </w:r>
    </w:p>
    <w:p>
      <w:pPr>
        <w:spacing w:after="0" w:line="85" w:lineRule="exact"/>
        <w:rPr>
          <w:sz w:val="20"/>
          <w:szCs w:val="20"/>
          <w:color w:val="auto"/>
        </w:rPr>
      </w:pPr>
    </w:p>
    <w:p>
      <w:pPr>
        <w:ind w:right="340"/>
        <w:spacing w:after="0" w:line="259" w:lineRule="auto"/>
        <w:rPr>
          <w:sz w:val="20"/>
          <w:szCs w:val="20"/>
          <w:color w:val="auto"/>
        </w:rPr>
      </w:pPr>
      <w:r>
        <w:rPr>
          <w:rFonts w:ascii="Arial" w:cs="Arial" w:eastAsia="Arial" w:hAnsi="Arial"/>
          <w:sz w:val="18"/>
          <w:szCs w:val="18"/>
          <w:color w:val="auto"/>
        </w:rPr>
        <w:t>GAAP net income was $201.6 million, or $0.31 per share (diluted), for the third quarter of fiscal 2010, as compared to GAAP net income of $58.5 million, or $0.09 per share (diluted), for the second quarter of fiscal 2010. For the third quarter of fiscal 2009 GAAP net income was $70.9 million, or $0.11 per share (diluted).</w:t>
      </w:r>
    </w:p>
    <w:p>
      <w:pPr>
        <w:spacing w:after="0" w:line="140"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Non-GAAP net income was $231.8 million, or $0.35 per share (diluted), for the third quarter of fiscal 2010, an increase of 95 percent from non-GAAP net income of $118.7 million, or $0.18 per share (diluted), for the second quarter of fiscal 2010, and a 59 percent increase compared with non-GAAP net income of $145.3 million, or $0.23 per share (diluted), for the third quarter of fiscal 2009.</w:t>
      </w:r>
    </w:p>
    <w:p>
      <w:pPr>
        <w:spacing w:after="0" w:line="140"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“We are very pleased with the revenue growth we experienced in the third quarter of fiscal 2010,” said Dr. Sehat Sutardja, Marvell Chairman and Chief Executive Officer. “Our sequential revenue growth was better than our revised guidance provided on October 26, 2009, as order momentum improved across all our addressable end-markets. Our results during the third quarter demonstrate that financial discipline is firmly entrenched in Marvell’s long-term business model as we again delivered significant improvement across all financial metrics.”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5" w:right="239" w:bottom="1440" w:gutter="0" w:footer="0" w:header="0"/>
        </w:sectPr>
      </w:pPr>
    </w:p>
    <w:bookmarkStart w:id="6" w:name="page7"/>
    <w:bookmarkEnd w:id="6"/>
    <w:p>
      <w:pPr>
        <w:ind w:right="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reports net income or loss, basic and diluted net income or loss per share in accordance with U.S. generally accepted accounting principles (GAAP) and on a non-GAAP basis as outlined below. Reconciliations of GAAP net income or loss to non-GAAP net income for the three months ended October 31, 2009, August 1, 2009 and November 1, 2008, respectively, appear in the financial statements below.</w:t>
      </w:r>
    </w:p>
    <w:p>
      <w:pPr>
        <w:spacing w:after="0" w:line="140"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GAAP gross margin for the third quarter of fiscal 2010 was 57.5 percent, compared to 55.0 percent for the second quarter of fiscal 2010 and 52.1 percent for the third quarter of fiscal 2009. Non-GAAP gross margin for the third quarter of fiscal 2010 increased to 57.8 percent, compared to 55.3 percent for the second quarter of fiscal 2010 and 52.3 percent for the third quarter of fiscal 2009.</w:t>
      </w:r>
    </w:p>
    <w:p>
      <w:pPr>
        <w:spacing w:after="0" w:line="140"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Shares used to compute GAAP net income per diluted share for the third quarter of fiscal 2010 were 660 million shares, compared with 648 million shares in the second quarter of fiscal 2010 and 631 million shares in the third quarter of fiscal 2009. Shares used to compute non-GAAP net income per diluted share for the third quarter of fiscal 2010 were 664 million shares, compared with 652 million shares for the second quarter of fiscal 2010 and 633 million shares for the third quarter of fiscal 2009.</w:t>
      </w:r>
    </w:p>
    <w:p>
      <w:pPr>
        <w:spacing w:after="0" w:line="143" w:lineRule="exact"/>
        <w:rPr>
          <w:sz w:val="20"/>
          <w:szCs w:val="20"/>
          <w:color w:val="auto"/>
        </w:rPr>
      </w:pPr>
    </w:p>
    <w:p>
      <w:pPr>
        <w:jc w:val="both"/>
        <w:ind w:right="60"/>
        <w:spacing w:after="0" w:line="256" w:lineRule="auto"/>
        <w:rPr>
          <w:sz w:val="20"/>
          <w:szCs w:val="20"/>
          <w:color w:val="auto"/>
        </w:rPr>
      </w:pPr>
      <w:r>
        <w:rPr>
          <w:rFonts w:ascii="Arial" w:cs="Arial" w:eastAsia="Arial" w:hAnsi="Arial"/>
          <w:sz w:val="18"/>
          <w:szCs w:val="18"/>
          <w:color w:val="auto"/>
        </w:rPr>
        <w:t>Cash flow from operations for the third quarter of fiscal 2010 was $203.5 million, up 12 percent sequentially from $182.3 million in the second quarter of fiscal 2010 and down 21 percent from $258.5 million in the third quarter of fiscal 2009. Free cash flow, defined as cash flow from operations less capital expenditures and purchases of IP licenses, was $195.9 million, up 12 percent sequentially from $175.3 million in the second quarter of fiscal 2010 and down 20 percent from $244.3 million in the third quarter of fiscal 2009.</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will be conducting a conference call on December 3, 2009 at 1:30 p.m. PST to discuss results for the third quarter ended October 31, 2009. Interested parties may dial-in to the conference call at </w:t>
      </w:r>
      <w:r>
        <w:rPr>
          <w:rFonts w:ascii="Arial" w:cs="Arial" w:eastAsia="Arial" w:hAnsi="Arial"/>
          <w:sz w:val="18"/>
          <w:szCs w:val="18"/>
          <w:b w:val="1"/>
          <w:bCs w:val="1"/>
          <w:color w:val="auto"/>
        </w:rPr>
        <w:t>1-866-271-0645, pass-code 78345706</w:t>
      </w:r>
      <w:r>
        <w:rPr>
          <w:rFonts w:ascii="Arial" w:cs="Arial" w:eastAsia="Arial" w:hAnsi="Arial"/>
          <w:sz w:val="18"/>
          <w:szCs w:val="18"/>
          <w:color w:val="auto"/>
        </w:rPr>
        <w:t xml:space="preserve">. The call is being webcast by Thomson Reuters and can be accessed at Marvell’s website under the Investor Events section of the Investor Relations page at </w:t>
      </w:r>
      <w:r>
        <w:rPr>
          <w:rFonts w:ascii="Arial" w:cs="Arial" w:eastAsia="Arial" w:hAnsi="Arial"/>
          <w:sz w:val="18"/>
          <w:szCs w:val="18"/>
          <w:u w:val="single" w:color="auto"/>
          <w:color w:val="auto"/>
        </w:rPr>
        <w:t>http://www.marvell.com/investors/events.jsp</w:t>
      </w:r>
      <w:r>
        <w:rPr>
          <w:rFonts w:ascii="Arial" w:cs="Arial" w:eastAsia="Arial" w:hAnsi="Arial"/>
          <w:sz w:val="18"/>
          <w:szCs w:val="18"/>
          <w:color w:val="auto"/>
        </w:rPr>
        <w:t>. Replay on the internet will be available following the call until January 3, 2009.</w:t>
      </w:r>
    </w:p>
    <w:p>
      <w:pPr>
        <w:spacing w:after="0" w:line="13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20"/>
          </w:cols>
          <w:pgMar w:left="240" w:top="280" w:right="3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Discussion of Non-GAAP Financial Measures</w:t>
      </w:r>
    </w:p>
    <w:p>
      <w:pPr>
        <w:spacing w:after="0" w:line="96"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w:t>
      </w:r>
    </w:p>
    <w:p>
      <w:pPr>
        <w:spacing w:after="0" w:line="120"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 website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w:t>
      </w:r>
      <w:r>
        <w:rPr>
          <w:rFonts w:ascii="Arial" w:cs="Arial" w:eastAsia="Arial" w:hAnsi="Arial"/>
          <w:sz w:val="18"/>
          <w:szCs w:val="18"/>
          <w:u w:val="single" w:color="auto"/>
          <w:color w:val="auto"/>
        </w:rPr>
        <w:t>www.marvell.com</w:t>
      </w:r>
    </w:p>
    <w:p>
      <w:pPr>
        <w:spacing w:after="0" w:line="13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80"/>
          </w:cols>
          <w:pgMar w:left="240" w:top="274" w:right="37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w:t>
      </w:r>
    </w:p>
    <w:p>
      <w:pPr>
        <w:spacing w:after="0" w:line="96" w:lineRule="exact"/>
        <w:rPr>
          <w:sz w:val="20"/>
          <w:szCs w:val="20"/>
          <w:color w:val="auto"/>
        </w:rPr>
      </w:pPr>
    </w:p>
    <w:p>
      <w:pPr>
        <w:spacing w:after="0" w:line="307" w:lineRule="auto"/>
        <w:rPr>
          <w:sz w:val="20"/>
          <w:szCs w:val="20"/>
          <w:color w:val="auto"/>
        </w:rPr>
      </w:pPr>
      <w:r>
        <w:rPr>
          <w:rFonts w:ascii="Arial" w:cs="Arial" w:eastAsia="Arial" w:hAnsi="Arial"/>
          <w:sz w:val="15"/>
          <w:szCs w:val="15"/>
          <w:color w:val="auto"/>
        </w:rPr>
        <w:t>This press release contains forward-looking statements that involve risks and uncertainties, including statements regarding the Company’s expectations regarding the entrenchment of financial discipline; and statements concerning the Company’s use of non-GAAP financial measures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the Company’s reliance on major customers and suppliers; market acceptance of new products; uncertainty in the worldwide economic environment; successful execution of the Company’s restructuring plan and other risks detailed in Marvell’s SEC filings. When Marvell files its Form 10-Q for the third quarter of fiscal 2010,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Marvell’s latest Annual Report on Form 10-K for the year end January 31, 2009, Quarterly Reports on Form 10-Q and Current Reports on Form 8-K, as filed with the SEC and other factors detailed from time to time in Marvell’s filings with the SEC. Marvell undertakes no obligation to revise or update publicly any forward-looking statements.</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360" w:type="dxa"/>
            <w:vAlign w:val="bottom"/>
            <w:gridSpan w:val="5"/>
          </w:tcPr>
          <w:p>
            <w:pPr>
              <w:jc w:val="center"/>
              <w:spacing w:after="0"/>
              <w:rPr>
                <w:sz w:val="20"/>
                <w:szCs w:val="20"/>
                <w:color w:val="auto"/>
              </w:rPr>
            </w:pPr>
            <w:r>
              <w:rPr>
                <w:rFonts w:ascii="Arial" w:cs="Arial" w:eastAsia="Arial" w:hAnsi="Arial"/>
                <w:sz w:val="14"/>
                <w:szCs w:val="14"/>
                <w:b w:val="1"/>
                <w:bCs w:val="1"/>
                <w:color w:val="auto"/>
                <w:w w:val="88"/>
              </w:rPr>
              <w:t>Three Months Ended</w:t>
            </w:r>
          </w:p>
        </w:tc>
        <w:tc>
          <w:tcPr>
            <w:tcW w:w="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5"/>
          </w:tcPr>
          <w:p>
            <w:pPr>
              <w:jc w:val="right"/>
              <w:ind w:right="4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1640" w:type="dxa"/>
            <w:vAlign w:val="bottom"/>
          </w:tcPr>
          <w:p>
            <w:pPr>
              <w:spacing w:after="0"/>
              <w:rPr>
                <w:sz w:val="11"/>
                <w:szCs w:val="11"/>
                <w:color w:val="auto"/>
              </w:rPr>
            </w:pPr>
          </w:p>
        </w:tc>
        <w:tc>
          <w:tcPr>
            <w:tcW w:w="10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4"/>
              </w:rPr>
              <w:t>August 1,</w:t>
            </w:r>
          </w:p>
        </w:tc>
        <w:tc>
          <w:tcPr>
            <w:tcW w:w="2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380"/>
              <w:spacing w:after="0" w:line="129" w:lineRule="exact"/>
              <w:rPr>
                <w:sz w:val="20"/>
                <w:szCs w:val="20"/>
                <w:color w:val="auto"/>
              </w:rPr>
            </w:pPr>
            <w:r>
              <w:rPr>
                <w:rFonts w:ascii="Arial" w:cs="Arial" w:eastAsia="Arial" w:hAnsi="Arial"/>
                <w:sz w:val="14"/>
                <w:szCs w:val="14"/>
                <w:b w:val="1"/>
                <w:bCs w:val="1"/>
                <w:color w:val="auto"/>
                <w:w w:val="93"/>
              </w:rPr>
              <w:t>October 31,</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November 1,</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3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2009</w:t>
            </w:r>
          </w:p>
        </w:tc>
        <w:tc>
          <w:tcPr>
            <w:tcW w:w="2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2008</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720" w:type="dxa"/>
            <w:vAlign w:val="bottom"/>
            <w:gridSpan w:val="2"/>
            <w:shd w:val="clear" w:color="auto" w:fill="CCEEFF"/>
          </w:tcPr>
          <w:p>
            <w:pPr>
              <w:ind w:left="164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803,098</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640,620</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791,046</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1,965,152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2,437,696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1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341,617</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288,059</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w w:val="89"/>
              </w:rPr>
              <w:t>379,137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887,306</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1,173,892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461,481</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352,561</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411,909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1,077,846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1,263,804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1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212,873</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196,190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234,222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615,152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722,411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35,442</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32,907</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41,158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102,260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129,080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16,660</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29,469</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28,869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148,856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72,809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26,450</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26,446</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34,814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83,252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105,049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0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291,425</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285,012</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339,063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949,520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1,029,349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Operating income</w:t>
            </w:r>
          </w:p>
        </w:tc>
        <w:tc>
          <w:tcPr>
            <w:tcW w:w="16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20" w:type="dxa"/>
            <w:vAlign w:val="bottom"/>
            <w:gridSpan w:val="2"/>
            <w:vMerge w:val="continue"/>
          </w:tcPr>
          <w:p>
            <w:pPr>
              <w:spacing w:after="0"/>
              <w:rPr>
                <w:sz w:val="19"/>
                <w:szCs w:val="19"/>
                <w:color w:val="auto"/>
              </w:rPr>
            </w:pPr>
          </w:p>
        </w:tc>
        <w:tc>
          <w:tcPr>
            <w:tcW w:w="16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170,056</w:t>
            </w: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67,549</w:t>
            </w: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72,846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128,326</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234,455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(1,373)</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11,543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(1,254)</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6,097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Income before income taxes</w:t>
            </w:r>
          </w:p>
        </w:tc>
        <w:tc>
          <w:tcPr>
            <w:tcW w:w="16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20" w:type="dxa"/>
            <w:vAlign w:val="bottom"/>
            <w:gridSpan w:val="2"/>
            <w:vMerge w:val="continue"/>
          </w:tcPr>
          <w:p>
            <w:pPr>
              <w:spacing w:after="0"/>
              <w:rPr>
                <w:sz w:val="19"/>
                <w:szCs w:val="19"/>
                <w:color w:val="auto"/>
              </w:rPr>
            </w:pPr>
          </w:p>
        </w:tc>
        <w:tc>
          <w:tcPr>
            <w:tcW w:w="16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168,683</w:t>
            </w: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67,828</w:t>
            </w: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84,389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127,072</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240,552</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w w:val="92"/>
              </w:rPr>
              <w:t>(32,916)</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9,335</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13,443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(21,563)</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16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20" w:type="dxa"/>
            <w:vAlign w:val="bottom"/>
            <w:gridSpan w:val="2"/>
            <w:vMerge w:val="continue"/>
          </w:tcPr>
          <w:p>
            <w:pPr>
              <w:spacing w:after="0"/>
              <w:rPr>
                <w:sz w:val="19"/>
                <w:szCs w:val="19"/>
                <w:color w:val="auto"/>
              </w:rPr>
            </w:pPr>
          </w:p>
        </w:tc>
        <w:tc>
          <w:tcPr>
            <w:tcW w:w="1720" w:type="dxa"/>
            <w:vAlign w:val="bottom"/>
            <w:gridSpan w:val="2"/>
          </w:tcPr>
          <w:p>
            <w:pPr>
              <w:ind w:left="1640"/>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201,599</w:t>
            </w:r>
          </w:p>
        </w:tc>
        <w:tc>
          <w:tcPr>
            <w:tcW w:w="34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58,493</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70,946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148,635</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212,252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720" w:type="dxa"/>
            <w:vAlign w:val="bottom"/>
            <w:gridSpan w:val="2"/>
            <w:shd w:val="clear" w:color="auto" w:fill="CCEEFF"/>
          </w:tcPr>
          <w:p>
            <w:pPr>
              <w:ind w:left="164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0.12</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1720" w:type="dxa"/>
            <w:vAlign w:val="bottom"/>
            <w:gridSpan w:val="2"/>
          </w:tcPr>
          <w:p>
            <w:pPr>
              <w:ind w:left="164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0.31</w:t>
            </w:r>
          </w:p>
        </w:tc>
        <w:tc>
          <w:tcPr>
            <w:tcW w:w="34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0.09</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0.11</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0.23</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623,613</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620,881</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611,945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621,057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606,676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6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659,739</w:t>
            </w: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648,110</w:t>
            </w: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w w:val="89"/>
              </w:rPr>
              <w:t>630,810</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647,863</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630,997</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1640" w:type="dxa"/>
            <w:vAlign w:val="bottom"/>
          </w:tcPr>
          <w:p>
            <w:pPr>
              <w:ind w:left="660"/>
              <w:spacing w:after="0"/>
              <w:rPr>
                <w:sz w:val="20"/>
                <w:szCs w:val="20"/>
                <w:color w:val="auto"/>
              </w:rPr>
            </w:pPr>
            <w:r>
              <w:rPr>
                <w:rFonts w:ascii="Arial" w:cs="Arial" w:eastAsia="Arial" w:hAnsi="Arial"/>
                <w:sz w:val="18"/>
                <w:szCs w:val="18"/>
                <w:color w:val="auto"/>
              </w:rPr>
              <w:t>5</w:t>
            </w: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GAAP Net Income to Non-GAAP Net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6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w w:val="90"/>
              </w:rPr>
              <w:t>Three Months Ended</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8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8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280" w:type="dxa"/>
            <w:vAlign w:val="bottom"/>
            <w:tcBorders>
              <w:top w:val="single" w:sz="8" w:color="auto"/>
            </w:tcBorders>
          </w:tcPr>
          <w:p>
            <w:pPr>
              <w:spacing w:after="0"/>
              <w:rPr>
                <w:sz w:val="11"/>
                <w:szCs w:val="11"/>
                <w:color w:val="auto"/>
              </w:rPr>
            </w:pPr>
          </w:p>
        </w:tc>
        <w:tc>
          <w:tcPr>
            <w:tcW w:w="1080" w:type="dxa"/>
            <w:vAlign w:val="bottom"/>
            <w:tcBorders>
              <w:top w:val="single" w:sz="8" w:color="auto"/>
            </w:tcBorders>
            <w:gridSpan w:val="3"/>
          </w:tcPr>
          <w:p>
            <w:pPr>
              <w:jc w:val="right"/>
              <w:ind w:right="460"/>
              <w:spacing w:after="0" w:line="129" w:lineRule="exact"/>
              <w:rPr>
                <w:sz w:val="20"/>
                <w:szCs w:val="20"/>
                <w:color w:val="auto"/>
              </w:rPr>
            </w:pPr>
            <w:r>
              <w:rPr>
                <w:rFonts w:ascii="Arial" w:cs="Arial" w:eastAsia="Arial" w:hAnsi="Arial"/>
                <w:sz w:val="14"/>
                <w:szCs w:val="14"/>
                <w:b w:val="1"/>
                <w:bCs w:val="1"/>
                <w:color w:val="auto"/>
                <w:w w:val="93"/>
              </w:rPr>
              <w:t>August 1,</w:t>
            </w:r>
          </w:p>
        </w:tc>
        <w:tc>
          <w:tcPr>
            <w:tcW w:w="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tcBorders>
              <w:top w:val="single" w:sz="8" w:color="auto"/>
            </w:tcBorders>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90"/>
              </w:rPr>
              <w:t>October 31,</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November 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201,599</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58,493</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70,946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148,635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212,252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tcPr>
          <w:p>
            <w:pPr>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34,377</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30,015</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39,578</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96,040</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132,431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26,450</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26,446</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34,814</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83,252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105,049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tcPr>
          <w:p>
            <w:pPr>
              <w:spacing w:after="0"/>
              <w:rPr>
                <w:sz w:val="20"/>
                <w:szCs w:val="20"/>
                <w:color w:val="auto"/>
              </w:rPr>
            </w:pPr>
            <w:r>
              <w:rPr>
                <w:rFonts w:ascii="Arial" w:cs="Arial" w:eastAsia="Arial" w:hAnsi="Arial"/>
                <w:sz w:val="18"/>
                <w:szCs w:val="18"/>
                <w:color w:val="auto"/>
              </w:rPr>
              <w:t xml:space="preserve">Restructuring </w:t>
            </w:r>
            <w:r>
              <w:rPr>
                <w:rFonts w:ascii="Arial" w:cs="Arial" w:eastAsia="Arial" w:hAnsi="Arial"/>
                <w:sz w:val="18"/>
                <w:szCs w:val="18"/>
                <w:i w:val="1"/>
                <w:iCs w:val="1"/>
                <w:color w:val="auto"/>
              </w:rPr>
              <w:t>(b)</w:t>
            </w: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1,919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4,956</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80"/>
              <w:spacing w:after="0"/>
              <w:rPr>
                <w:sz w:val="20"/>
                <w:szCs w:val="20"/>
                <w:color w:val="auto"/>
              </w:rPr>
            </w:pPr>
            <w:r>
              <w:rPr>
                <w:rFonts w:ascii="Arial" w:cs="Arial" w:eastAsia="Arial" w:hAnsi="Arial"/>
                <w:sz w:val="18"/>
                <w:szCs w:val="18"/>
                <w:color w:val="auto"/>
              </w:rPr>
              <w:t>15,211</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(a)</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2"/>
              </w:rPr>
              <w:t>(32,569)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(1,202)</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38,229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620" w:type="dxa"/>
            <w:vAlign w:val="bottom"/>
            <w:gridSpan w:val="2"/>
          </w:tcPr>
          <w:p>
            <w:pPr>
              <w:spacing w:after="0"/>
              <w:rPr>
                <w:sz w:val="20"/>
                <w:szCs w:val="20"/>
                <w:color w:val="auto"/>
              </w:rPr>
            </w:pPr>
            <w:r>
              <w:rPr>
                <w:rFonts w:ascii="Arial" w:cs="Arial" w:eastAsia="Arial" w:hAnsi="Arial"/>
                <w:sz w:val="18"/>
                <w:szCs w:val="18"/>
                <w:color w:val="auto"/>
              </w:rPr>
              <w:t>Other (b)</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990</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231,776</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118,708</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145,338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382,357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449,732</w:t>
            </w:r>
          </w:p>
        </w:tc>
        <w:tc>
          <w:tcPr>
            <w:tcW w:w="0" w:type="dxa"/>
            <w:vAlign w:val="bottom"/>
          </w:tcPr>
          <w:p>
            <w:pPr>
              <w:spacing w:after="0"/>
              <w:rPr>
                <w:sz w:val="1"/>
                <w:szCs w:val="1"/>
                <w:color w:val="auto"/>
              </w:rPr>
            </w:pPr>
          </w:p>
        </w:tc>
      </w:tr>
      <w:tr>
        <w:trPr>
          <w:trHeight w:val="20"/>
        </w:trPr>
        <w:tc>
          <w:tcPr>
            <w:tcW w:w="5640" w:type="dxa"/>
            <w:vAlign w:val="bottom"/>
            <w:gridSpan w:val="3"/>
            <w:vMerge w:val="restart"/>
          </w:tcPr>
          <w:p>
            <w:pPr>
              <w:spacing w:after="0"/>
              <w:rPr>
                <w:sz w:val="20"/>
                <w:szCs w:val="20"/>
                <w:color w:val="auto"/>
              </w:rPr>
            </w:pPr>
            <w:r>
              <w:rPr>
                <w:rFonts w:ascii="Arial" w:cs="Arial" w:eastAsia="Arial" w:hAnsi="Arial"/>
                <w:sz w:val="18"/>
                <w:szCs w:val="18"/>
                <w:color w:val="auto"/>
              </w:rPr>
              <w:t>GAAP weighted average shares - diluted</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640" w:type="dxa"/>
            <w:vAlign w:val="bottom"/>
            <w:gridSpan w:val="3"/>
            <w:vMerge w:val="continue"/>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659,739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648,110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w w:val="92"/>
              </w:rPr>
              <w:t>630,810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647,863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630,997</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4,297</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3,651</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1,740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168</w:t>
            </w:r>
          </w:p>
        </w:tc>
        <w:tc>
          <w:tcPr>
            <w:tcW w:w="0" w:type="dxa"/>
            <w:vAlign w:val="bottom"/>
          </w:tcPr>
          <w:p>
            <w:pPr>
              <w:spacing w:after="0"/>
              <w:rPr>
                <w:sz w:val="1"/>
                <w:szCs w:val="1"/>
                <w:color w:val="auto"/>
              </w:rPr>
            </w:pPr>
          </w:p>
        </w:tc>
      </w:tr>
      <w:tr>
        <w:trPr>
          <w:trHeight w:val="20"/>
        </w:trPr>
        <w:tc>
          <w:tcPr>
            <w:tcW w:w="5640" w:type="dxa"/>
            <w:vAlign w:val="bottom"/>
            <w:gridSpan w:val="3"/>
            <w:vMerge w:val="restart"/>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(c)</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640" w:type="dxa"/>
            <w:vAlign w:val="bottom"/>
            <w:gridSpan w:val="3"/>
            <w:vMerge w:val="continue"/>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664,036</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651,761</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w w:val="92"/>
              </w:rPr>
              <w:t>632,550</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650,801</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631,165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0.31</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0.09</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0.11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20"/>
        </w:trPr>
        <w:tc>
          <w:tcPr>
            <w:tcW w:w="5640" w:type="dxa"/>
            <w:vAlign w:val="bottom"/>
            <w:gridSpan w:val="3"/>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640" w:type="dxa"/>
            <w:vAlign w:val="bottom"/>
            <w:gridSpan w:val="3"/>
            <w:vMerge w:val="continue"/>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0.35</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0.18</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0.23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0.59</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0.71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461,481</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352,561</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411,909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1,077,846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1,263,804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2,389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1,810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1,795</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8,315</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8,623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640" w:type="dxa"/>
            <w:vAlign w:val="bottom"/>
            <w:gridSpan w:val="3"/>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463,870</w:t>
            </w:r>
          </w:p>
        </w:tc>
        <w:tc>
          <w:tcPr>
            <w:tcW w:w="3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354,371</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w w:val="92"/>
              </w:rPr>
              <w:t>413,704</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1,087,151</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1,272,427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gross profit as a % of revenue</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57.5%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55.0%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52.1%</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54.8%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0.3%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0.3%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0.2%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0.4%</w:t>
            </w: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0.0%</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640" w:type="dxa"/>
            <w:vAlign w:val="bottom"/>
            <w:gridSpan w:val="3"/>
            <w:vMerge w:val="restart"/>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640" w:type="dxa"/>
            <w:vAlign w:val="bottom"/>
            <w:gridSpan w:val="3"/>
            <w:vMerge w:val="continue"/>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57.8%</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55.3%</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52.3%</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55.3%</w:t>
            </w:r>
          </w:p>
        </w:tc>
        <w:tc>
          <w:tcPr>
            <w:tcW w:w="10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212,873</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196,190</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234,222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615,152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722,411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(24,134)</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w w:val="92"/>
              </w:rPr>
              <w:t>(22,193)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(30,607)</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(68,064)</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(93,537)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(1,338)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(3,526)</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(10,704)</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tcPr>
          <w:p>
            <w:pPr>
              <w:ind w:left="420"/>
              <w:spacing w:after="0"/>
              <w:rPr>
                <w:sz w:val="20"/>
                <w:szCs w:val="20"/>
                <w:color w:val="auto"/>
              </w:rPr>
            </w:pPr>
            <w:r>
              <w:rPr>
                <w:rFonts w:ascii="Arial" w:cs="Arial" w:eastAsia="Arial" w:hAnsi="Arial"/>
                <w:sz w:val="18"/>
                <w:szCs w:val="18"/>
                <w:color w:val="auto"/>
              </w:rPr>
              <w:t>Legal/Tax settlement</w:t>
            </w: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1,820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1,820</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140" w:type="dxa"/>
            <w:vAlign w:val="bottom"/>
          </w:tcPr>
          <w:p>
            <w:pPr>
              <w:spacing w:after="0"/>
              <w:rPr>
                <w:sz w:val="2"/>
                <w:szCs w:val="2"/>
                <w:color w:val="auto"/>
              </w:rPr>
            </w:pPr>
          </w:p>
        </w:tc>
        <w:tc>
          <w:tcPr>
            <w:tcW w:w="4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187,401</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172,291</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203,615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538,204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628,874</w:t>
            </w:r>
          </w:p>
        </w:tc>
        <w:tc>
          <w:tcPr>
            <w:tcW w:w="0" w:type="dxa"/>
            <w:vAlign w:val="bottom"/>
          </w:tcPr>
          <w:p>
            <w:pPr>
              <w:spacing w:after="0"/>
              <w:rPr>
                <w:sz w:val="1"/>
                <w:szCs w:val="1"/>
                <w:color w:val="auto"/>
              </w:rPr>
            </w:pPr>
          </w:p>
        </w:tc>
      </w:tr>
      <w:tr>
        <w:trPr>
          <w:trHeight w:val="20"/>
        </w:trPr>
        <w:tc>
          <w:tcPr>
            <w:tcW w:w="5640" w:type="dxa"/>
            <w:vAlign w:val="bottom"/>
            <w:gridSpan w:val="3"/>
            <w:vMerge w:val="restart"/>
          </w:tcPr>
          <w:p>
            <w:pPr>
              <w:spacing w:after="0"/>
              <w:rPr>
                <w:sz w:val="20"/>
                <w:szCs w:val="20"/>
                <w:color w:val="auto"/>
              </w:rPr>
            </w:pPr>
            <w:r>
              <w:rPr>
                <w:rFonts w:ascii="Arial" w:cs="Arial" w:eastAsia="Arial" w:hAnsi="Arial"/>
                <w:sz w:val="18"/>
                <w:szCs w:val="18"/>
                <w:color w:val="auto"/>
              </w:rPr>
              <w:t>GAAP selling and marketing:</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640" w:type="dxa"/>
            <w:vAlign w:val="bottom"/>
            <w:gridSpan w:val="3"/>
            <w:vMerge w:val="continue"/>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35,442</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32,907</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41,158</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102,260</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129,080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(4,087)</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(3,659)</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(6,896)</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(11,457)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(20,403)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(51)</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(523)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(1,839)</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Legal/Tax settlement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659</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640" w:type="dxa"/>
            <w:vAlign w:val="bottom"/>
            <w:gridSpan w:val="3"/>
            <w:vMerge w:val="restart"/>
          </w:tcPr>
          <w:p>
            <w:pPr>
              <w:spacing w:after="0"/>
              <w:rPr>
                <w:sz w:val="20"/>
                <w:szCs w:val="20"/>
                <w:color w:val="auto"/>
              </w:rPr>
            </w:pPr>
            <w:r>
              <w:rPr>
                <w:rFonts w:ascii="Arial" w:cs="Arial" w:eastAsia="Arial" w:hAnsi="Arial"/>
                <w:sz w:val="18"/>
                <w:szCs w:val="18"/>
                <w:color w:val="auto"/>
              </w:rPr>
              <w:t>Non-GAAP selling and marketing</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640" w:type="dxa"/>
            <w:vAlign w:val="bottom"/>
            <w:gridSpan w:val="3"/>
            <w:vMerge w:val="continue"/>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31,304</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29,384</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34,262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89,623</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108,677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16,660</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29,469</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28,869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148,856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72,809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(3,767)</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(2,353)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(280)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(8,204)</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(9,868)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(530)</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(907)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(2,668)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tcPr>
          <w:p>
            <w:pPr>
              <w:ind w:left="420"/>
              <w:spacing w:after="0"/>
              <w:rPr>
                <w:sz w:val="20"/>
                <w:szCs w:val="20"/>
                <w:color w:val="auto"/>
              </w:rPr>
            </w:pPr>
            <w:r>
              <w:rPr>
                <w:rFonts w:ascii="Arial" w:cs="Arial" w:eastAsia="Arial" w:hAnsi="Arial"/>
                <w:sz w:val="18"/>
                <w:szCs w:val="18"/>
                <w:color w:val="auto"/>
              </w:rPr>
              <w:t>Legal/Tax settlement</w:t>
            </w: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158</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(71,842)</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140" w:type="dxa"/>
            <w:vAlign w:val="bottom"/>
          </w:tcPr>
          <w:p>
            <w:pPr>
              <w:spacing w:after="0"/>
              <w:rPr>
                <w:sz w:val="2"/>
                <w:szCs w:val="2"/>
                <w:color w:val="auto"/>
              </w:rPr>
            </w:pPr>
          </w:p>
        </w:tc>
        <w:tc>
          <w:tcPr>
            <w:tcW w:w="4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12,363</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26,367</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28,589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66,142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62,941</w:t>
            </w:r>
          </w:p>
        </w:tc>
        <w:tc>
          <w:tcPr>
            <w:tcW w:w="0" w:type="dxa"/>
            <w:vAlign w:val="bottom"/>
          </w:tcPr>
          <w:p>
            <w:pPr>
              <w:spacing w:after="0"/>
              <w:rPr>
                <w:sz w:val="1"/>
                <w:szCs w:val="1"/>
                <w:color w:val="auto"/>
              </w:rPr>
            </w:pPr>
          </w:p>
        </w:tc>
      </w:tr>
      <w:tr>
        <w:trPr>
          <w:trHeight w:val="20"/>
        </w:trPr>
        <w:tc>
          <w:tcPr>
            <w:tcW w:w="5640" w:type="dxa"/>
            <w:vAlign w:val="bottom"/>
            <w:gridSpan w:val="3"/>
            <w:vMerge w:val="restart"/>
          </w:tcPr>
          <w:p>
            <w:pPr>
              <w:spacing w:after="0"/>
              <w:rPr>
                <w:sz w:val="20"/>
                <w:szCs w:val="20"/>
                <w:color w:val="auto"/>
              </w:rPr>
            </w:pPr>
            <w:r>
              <w:rPr>
                <w:rFonts w:ascii="Arial" w:cs="Arial" w:eastAsia="Arial" w:hAnsi="Arial"/>
                <w:sz w:val="18"/>
                <w:szCs w:val="18"/>
                <w:color w:val="auto"/>
              </w:rPr>
              <w:t>GAAP provision (benefit) for income taxes: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640" w:type="dxa"/>
            <w:vAlign w:val="bottom"/>
            <w:gridSpan w:val="3"/>
            <w:vMerge w:val="continue"/>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(32,916)</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9,335</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13,443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(21,563)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28,300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Tax reserve reversal</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27,317</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27,317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620" w:type="dxa"/>
            <w:vAlign w:val="bottom"/>
            <w:gridSpan w:val="2"/>
          </w:tcPr>
          <w:p>
            <w:pPr>
              <w:ind w:left="420"/>
              <w:spacing w:after="0"/>
              <w:rPr>
                <w:sz w:val="20"/>
                <w:szCs w:val="20"/>
                <w:color w:val="auto"/>
              </w:rPr>
            </w:pPr>
            <w:r>
              <w:rPr>
                <w:rFonts w:ascii="Arial" w:cs="Arial" w:eastAsia="Arial" w:hAnsi="Arial"/>
                <w:sz w:val="18"/>
                <w:szCs w:val="18"/>
                <w:color w:val="auto"/>
              </w:rPr>
              <w:t>Income tax payable adjustment</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5,252</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5,252</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Non-GAAP provision (benefit) for income taxes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(347)</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9,335</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13,443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11,006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28,300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1140" w:type="dxa"/>
            <w:vAlign w:val="bottom"/>
            <w:tcBorders>
              <w:bottom w:val="single" w:sz="8" w:color="auto"/>
            </w:tcBorders>
          </w:tcPr>
          <w:p>
            <w:pPr>
              <w:spacing w:after="0"/>
              <w:rPr>
                <w:sz w:val="8"/>
                <w:szCs w:val="8"/>
                <w:color w:val="auto"/>
              </w:rPr>
            </w:pPr>
          </w:p>
        </w:tc>
        <w:tc>
          <w:tcPr>
            <w:tcW w:w="4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40" w:hanging="452"/>
        <w:spacing w:after="0" w:line="251"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Fiscal quarter ended October 31, 2009 includes a $27.3 million benefit as a result of the expiration of the statute of limitations related to a tax contingency reserve. In addition, a $5.3 million income tax benefit was recorded relating to the adjustment of a prior year deferred tax asset. Fiscal quarter ended August 1, 2009 includes the net impact of our payroll related settlement with the IRS on related to our historical stock option granting practices. As the composition of the settlement was different than the initial reserve, the net benefit includes a $2.6 million benefit to operating expense with an offset of $1.4 million of interest expense. The nine months ended October 31, 2009 also includes the $72 million charge taken in fiscal Q1’10 in connection with the settlement of the class action litigation.</w:t>
      </w:r>
    </w:p>
    <w:p>
      <w:pPr>
        <w:spacing w:after="0" w:line="4" w:lineRule="exact"/>
        <w:rPr>
          <w:rFonts w:ascii="Arial" w:cs="Arial" w:eastAsia="Arial" w:hAnsi="Arial"/>
          <w:sz w:val="18"/>
          <w:szCs w:val="18"/>
          <w:i w:val="1"/>
          <w:iCs w:val="1"/>
          <w:color w:val="auto"/>
        </w:rPr>
      </w:pPr>
    </w:p>
    <w:p>
      <w:pPr>
        <w:ind w:left="460" w:right="400" w:hanging="452"/>
        <w:spacing w:after="0" w:line="300" w:lineRule="auto"/>
        <w:tabs>
          <w:tab w:leader="none" w:pos="460" w:val="left"/>
        </w:tabs>
        <w:numPr>
          <w:ilvl w:val="0"/>
          <w:numId w:val="7"/>
        </w:numPr>
        <w:rPr>
          <w:rFonts w:ascii="Arial" w:cs="Arial" w:eastAsia="Arial" w:hAnsi="Arial"/>
          <w:sz w:val="15"/>
          <w:szCs w:val="15"/>
          <w:i w:val="1"/>
          <w:iCs w:val="1"/>
          <w:color w:val="auto"/>
        </w:rPr>
      </w:pPr>
      <w:r>
        <w:rPr>
          <w:rFonts w:ascii="Arial" w:cs="Arial" w:eastAsia="Arial" w:hAnsi="Arial"/>
          <w:sz w:val="15"/>
          <w:szCs w:val="15"/>
          <w:color w:val="auto"/>
        </w:rPr>
        <w:t>Amount represents restructuring related costs including severance costs from reductions in force, asset impairment charges and facilities consolidation charges. The nine months ended October 31, 2009 including under-utilization charges related to the rampdown of the Malaysia test operations.</w:t>
      </w:r>
    </w:p>
    <w:p>
      <w:pPr>
        <w:jc w:val="both"/>
        <w:ind w:left="460" w:right="360" w:hanging="452"/>
        <w:spacing w:after="0" w:line="255"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For purposes of calculating non-GAAP diluted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 shares under the GAAP treasury method.</w:t>
      </w:r>
    </w:p>
    <w:p>
      <w:pPr>
        <w:sectPr>
          <w:pgSz w:w="11900" w:h="16838" w:orient="portrait"/>
          <w:cols w:equalWidth="0" w:num="1">
            <w:col w:w="11420"/>
          </w:cols>
          <w:pgMar w:left="240" w:top="274" w:right="239" w:bottom="1440" w:gutter="0" w:footer="0" w:header="0"/>
        </w:sectPr>
      </w:pP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6</w:t>
      </w:r>
    </w:p>
    <w:p>
      <w:pPr>
        <w:sectPr>
          <w:pgSz w:w="11900" w:h="16838" w:orient="portrait"/>
          <w:cols w:equalWidth="0" w:num="1">
            <w:col w:w="11420"/>
          </w:cols>
          <w:pgMar w:left="240" w:top="274" w:right="239" w:bottom="1440" w:gutter="0" w:footer="0" w:header="0"/>
          <w:type w:val="continuous"/>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32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112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w w:val="90"/>
              </w:rPr>
              <w:t>October 31,</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61"/>
        </w:trPr>
        <w:tc>
          <w:tcPr>
            <w:tcW w:w="532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Current assets:</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cash equivalents, and short-term investments</w:t>
            </w:r>
          </w:p>
        </w:tc>
        <w:tc>
          <w:tcPr>
            <w:tcW w:w="4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1,464,187</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951,909</w:t>
            </w: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Accounts receivable, net</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394,319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222,101</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Inventories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239,209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310,654</w:t>
            </w:r>
          </w:p>
        </w:tc>
        <w:tc>
          <w:tcPr>
            <w:tcW w:w="0" w:type="dxa"/>
            <w:vAlign w:val="bottom"/>
          </w:tcPr>
          <w:p>
            <w:pPr>
              <w:spacing w:after="0"/>
              <w:rPr>
                <w:sz w:val="1"/>
                <w:szCs w:val="1"/>
                <w:color w:val="auto"/>
              </w:rPr>
            </w:pPr>
          </w:p>
        </w:tc>
      </w:tr>
      <w:tr>
        <w:trPr>
          <w:trHeight w:val="223"/>
        </w:trPr>
        <w:tc>
          <w:tcPr>
            <w:tcW w:w="5320" w:type="dxa"/>
            <w:vAlign w:val="bottom"/>
          </w:tcPr>
          <w:p>
            <w:pPr>
              <w:ind w:left="440"/>
              <w:spacing w:after="0"/>
              <w:rPr>
                <w:sz w:val="20"/>
                <w:szCs w:val="20"/>
                <w:color w:val="auto"/>
              </w:rPr>
            </w:pPr>
            <w:r>
              <w:rPr>
                <w:rFonts w:ascii="Arial" w:cs="Arial" w:eastAsia="Arial" w:hAnsi="Arial"/>
                <w:sz w:val="18"/>
                <w:szCs w:val="18"/>
                <w:color w:val="auto"/>
                <w:w w:val="91"/>
              </w:rPr>
              <w:t>Prepaid expenses, deferred income taxes and other current assets</w:t>
            </w:r>
          </w:p>
        </w:tc>
        <w:tc>
          <w:tcPr>
            <w:tcW w:w="40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72,796</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75,651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2,170,511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1,560,315</w:t>
            </w: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349,276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390,853</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39,274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40,541</w:t>
            </w: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2,201,016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2,284,164</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0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127,643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32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41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4,887,720</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4,414,200</w:t>
            </w:r>
          </w:p>
        </w:tc>
        <w:tc>
          <w:tcPr>
            <w:tcW w:w="0" w:type="dxa"/>
            <w:vAlign w:val="bottom"/>
          </w:tcPr>
          <w:p>
            <w:pPr>
              <w:spacing w:after="0"/>
              <w:rPr>
                <w:sz w:val="1"/>
                <w:szCs w:val="1"/>
                <w:color w:val="auto"/>
              </w:rPr>
            </w:pPr>
          </w:p>
        </w:tc>
      </w:tr>
      <w:tr>
        <w:trPr>
          <w:trHeight w:val="20"/>
        </w:trPr>
        <w:tc>
          <w:tcPr>
            <w:tcW w:w="5320" w:type="dxa"/>
            <w:vAlign w:val="bottom"/>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5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Current liabilities:</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4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317,233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139,028</w:t>
            </w: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Accrued liabilities</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201,033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175,135</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Income taxes payable</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14,671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35,803</w:t>
            </w: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Deferred income</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71,273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57,895</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Current portion of capital lease obligations</w:t>
            </w:r>
          </w:p>
        </w:tc>
        <w:tc>
          <w:tcPr>
            <w:tcW w:w="40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1,901</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32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40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606,111</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409,648</w:t>
            </w:r>
          </w:p>
        </w:tc>
        <w:tc>
          <w:tcPr>
            <w:tcW w:w="0" w:type="dxa"/>
            <w:vAlign w:val="bottom"/>
          </w:tcPr>
          <w:p>
            <w:pPr>
              <w:spacing w:after="0"/>
              <w:rPr>
                <w:sz w:val="1"/>
                <w:szCs w:val="1"/>
                <w:color w:val="auto"/>
              </w:rPr>
            </w:pPr>
          </w:p>
        </w:tc>
      </w:tr>
      <w:tr>
        <w:trPr>
          <w:trHeight w:val="218"/>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1,011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2,451</w:t>
            </w:r>
          </w:p>
        </w:tc>
        <w:tc>
          <w:tcPr>
            <w:tcW w:w="0" w:type="dxa"/>
            <w:vAlign w:val="bottom"/>
          </w:tcPr>
          <w:p>
            <w:pPr>
              <w:spacing w:after="0"/>
              <w:rPr>
                <w:sz w:val="1"/>
                <w:szCs w:val="1"/>
                <w:color w:val="auto"/>
              </w:rPr>
            </w:pPr>
          </w:p>
        </w:tc>
      </w:tr>
      <w:tr>
        <w:trPr>
          <w:trHeight w:val="223"/>
        </w:trPr>
        <w:tc>
          <w:tcPr>
            <w:tcW w:w="53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0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174,298</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173,034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781,420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585,133</w:t>
            </w:r>
          </w:p>
        </w:tc>
        <w:tc>
          <w:tcPr>
            <w:tcW w:w="0" w:type="dxa"/>
            <w:vAlign w:val="bottom"/>
          </w:tcPr>
          <w:p>
            <w:pPr>
              <w:spacing w:after="0"/>
              <w:rPr>
                <w:sz w:val="1"/>
                <w:szCs w:val="1"/>
                <w:color w:val="auto"/>
              </w:rPr>
            </w:pPr>
          </w:p>
        </w:tc>
      </w:tr>
      <w:tr>
        <w:trPr>
          <w:trHeight w:val="222"/>
        </w:trPr>
        <w:tc>
          <w:tcPr>
            <w:tcW w:w="5320" w:type="dxa"/>
            <w:vAlign w:val="bottom"/>
          </w:tcPr>
          <w:p>
            <w:pPr>
              <w:spacing w:after="0"/>
              <w:rPr>
                <w:sz w:val="20"/>
                <w:szCs w:val="20"/>
                <w:color w:val="auto"/>
              </w:rPr>
            </w:pPr>
            <w:r>
              <w:rPr>
                <w:rFonts w:ascii="Arial" w:cs="Arial" w:eastAsia="Arial" w:hAnsi="Arial"/>
                <w:sz w:val="18"/>
                <w:szCs w:val="18"/>
                <w:color w:val="auto"/>
              </w:rPr>
              <w:t>Shareholders’ equity:</w:t>
            </w:r>
          </w:p>
        </w:tc>
        <w:tc>
          <w:tcPr>
            <w:tcW w:w="40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Common stock</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1,249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1,233</w:t>
            </w: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4,501,258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4,372,265</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(1,129)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(718)</w:t>
            </w:r>
          </w:p>
        </w:tc>
        <w:tc>
          <w:tcPr>
            <w:tcW w:w="0" w:type="dxa"/>
            <w:vAlign w:val="bottom"/>
          </w:tcPr>
          <w:p>
            <w:pPr>
              <w:spacing w:after="0"/>
              <w:rPr>
                <w:sz w:val="1"/>
                <w:szCs w:val="1"/>
                <w:color w:val="auto"/>
              </w:rPr>
            </w:pPr>
          </w:p>
        </w:tc>
      </w:tr>
      <w:tr>
        <w:trPr>
          <w:trHeight w:val="223"/>
        </w:trPr>
        <w:tc>
          <w:tcPr>
            <w:tcW w:w="5320" w:type="dxa"/>
            <w:vAlign w:val="bottom"/>
          </w:tcPr>
          <w:p>
            <w:pPr>
              <w:ind w:left="440"/>
              <w:spacing w:after="0"/>
              <w:rPr>
                <w:sz w:val="20"/>
                <w:szCs w:val="20"/>
                <w:color w:val="auto"/>
              </w:rPr>
            </w:pPr>
            <w:r>
              <w:rPr>
                <w:rFonts w:ascii="Arial" w:cs="Arial" w:eastAsia="Arial" w:hAnsi="Arial"/>
                <w:sz w:val="18"/>
                <w:szCs w:val="18"/>
                <w:color w:val="auto"/>
              </w:rPr>
              <w:t>Accumulated deficit</w:t>
            </w:r>
          </w:p>
        </w:tc>
        <w:tc>
          <w:tcPr>
            <w:tcW w:w="40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(395,078)</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(543,713)</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408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4,106,300</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3,829,067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32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41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4,887,720</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4,414,200</w:t>
            </w:r>
          </w:p>
        </w:tc>
        <w:tc>
          <w:tcPr>
            <w:tcW w:w="0" w:type="dxa"/>
            <w:vAlign w:val="bottom"/>
          </w:tcPr>
          <w:p>
            <w:pPr>
              <w:spacing w:after="0"/>
              <w:rPr>
                <w:sz w:val="1"/>
                <w:szCs w:val="1"/>
                <w:color w:val="auto"/>
              </w:rPr>
            </w:pPr>
          </w:p>
        </w:tc>
      </w:tr>
      <w:tr>
        <w:trPr>
          <w:trHeight w:val="20"/>
        </w:trPr>
        <w:tc>
          <w:tcPr>
            <w:tcW w:w="5320" w:type="dxa"/>
            <w:vAlign w:val="bottom"/>
          </w:tcPr>
          <w:p>
            <w:pPr>
              <w:spacing w:after="0" w:line="20" w:lineRule="exact"/>
              <w:rPr>
                <w:sz w:val="1"/>
                <w:szCs w:val="1"/>
                <w:color w:val="auto"/>
              </w:rPr>
            </w:pPr>
          </w:p>
        </w:tc>
        <w:tc>
          <w:tcPr>
            <w:tcW w:w="4080" w:type="dxa"/>
            <w:vAlign w:val="bottom"/>
            <w:vMerge w:val="restart"/>
          </w:tcPr>
          <w:p>
            <w:pPr>
              <w:jc w:val="right"/>
              <w:ind w:right="355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5320" w:type="dxa"/>
            <w:vAlign w:val="bottom"/>
          </w:tcPr>
          <w:p>
            <w:pPr>
              <w:spacing w:after="0"/>
              <w:rPr>
                <w:sz w:val="24"/>
                <w:szCs w:val="24"/>
                <w:color w:val="auto"/>
              </w:rPr>
            </w:pPr>
          </w:p>
        </w:tc>
        <w:tc>
          <w:tcPr>
            <w:tcW w:w="40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60" w:type="dxa"/>
            <w:vAlign w:val="bottom"/>
            <w:gridSpan w:val="6"/>
          </w:tcPr>
          <w:p>
            <w:pPr>
              <w:jc w:val="right"/>
              <w:ind w:right="680"/>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14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260"/>
              <w:spacing w:after="0" w:line="129" w:lineRule="exact"/>
              <w:rPr>
                <w:sz w:val="20"/>
                <w:szCs w:val="20"/>
                <w:color w:val="auto"/>
              </w:rPr>
            </w:pPr>
            <w:r>
              <w:rPr>
                <w:rFonts w:ascii="Arial" w:cs="Arial" w:eastAsia="Arial" w:hAnsi="Arial"/>
                <w:sz w:val="14"/>
                <w:szCs w:val="14"/>
                <w:b w:val="1"/>
                <w:bCs w:val="1"/>
                <w:color w:val="auto"/>
                <w:w w:val="90"/>
              </w:rPr>
              <w:t>October 31,</w:t>
            </w:r>
          </w:p>
        </w:tc>
        <w:tc>
          <w:tcPr>
            <w:tcW w:w="1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November 1,</w:t>
            </w:r>
          </w:p>
        </w:tc>
        <w:tc>
          <w:tcPr>
            <w:tcW w:w="32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October 31,</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spacing w:after="0"/>
              <w:rPr>
                <w:sz w:val="20"/>
                <w:szCs w:val="20"/>
                <w:color w:val="auto"/>
              </w:rPr>
            </w:pPr>
            <w:r>
              <w:rPr>
                <w:rFonts w:ascii="Arial" w:cs="Arial" w:eastAsia="Arial" w:hAnsi="Arial"/>
                <w:sz w:val="18"/>
                <w:szCs w:val="18"/>
                <w:color w:val="auto"/>
              </w:rPr>
              <w:t>Net income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201,599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70,946</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148,635</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212,252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24,571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29,136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74,976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85,786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34,377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39,578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96,040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132,431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26,450</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34,814</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83,252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105,049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(10,807)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(3,406)</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(13,883)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(14,163)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(136)</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(205)</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 taxes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263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6,131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Changes in assets and liabilities, net of assets acquired and liabilities assumed in</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140" w:type="dxa"/>
            <w:vAlign w:val="bottom"/>
          </w:tcPr>
          <w:p>
            <w:pPr>
              <w:ind w:left="640"/>
              <w:spacing w:after="0"/>
              <w:rPr>
                <w:sz w:val="20"/>
                <w:szCs w:val="20"/>
                <w:color w:val="auto"/>
              </w:rPr>
            </w:pPr>
            <w:r>
              <w:rPr>
                <w:rFonts w:ascii="Arial" w:cs="Arial" w:eastAsia="Arial" w:hAnsi="Arial"/>
                <w:sz w:val="18"/>
                <w:szCs w:val="18"/>
                <w:color w:val="auto"/>
              </w:rPr>
              <w:t>acquisitions:</w:t>
            </w:r>
          </w:p>
        </w:tc>
        <w:tc>
          <w:tcPr>
            <w:tcW w:w="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Restricted cash</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24,500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24,500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(65,857)</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72,810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(172,218)</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(65,816)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(17,039)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(7,477)</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83,548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95,850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(1,362)</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19,037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7,559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61,847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38,281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(11,882)</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172,062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(82,687)</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10,306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(13,628)</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(23,693)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36,123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35,149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17,659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860"/>
              <w:spacing w:after="0"/>
              <w:rPr>
                <w:sz w:val="20"/>
                <w:szCs w:val="20"/>
                <w:color w:val="auto"/>
              </w:rPr>
            </w:pPr>
            <w:r>
              <w:rPr>
                <w:rFonts w:ascii="Arial" w:cs="Arial" w:eastAsia="Arial" w:hAnsi="Arial"/>
                <w:sz w:val="18"/>
                <w:szCs w:val="18"/>
                <w:color w:val="auto"/>
              </w:rPr>
              <w:t>Income taxes payable</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(33,988)</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(5,914)</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(29,060)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29,246</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27,538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(4,700)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40" w:type="dxa"/>
            <w:vAlign w:val="bottom"/>
            <w:vMerge w:val="restart"/>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714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203,534</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258,465</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530,396</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571,542</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(426,998)</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(426,998)</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(10,172)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short-term and long-term investments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10,268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5,388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10,318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29,181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(1,400)</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(12,550)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(2,650)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(7,629)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(12,780)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(14,808)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(59,312)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40" w:type="dxa"/>
            <w:vAlign w:val="bottom"/>
            <w:vMerge w:val="restart"/>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714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(424,359)</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(8,792)</w:t>
            </w: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(444,038)</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(42,953)</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13,728</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12,797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34,749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80,453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debt obligations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(451)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(101,634)</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(1,326)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(205,039)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136</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(138)</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205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356</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financing activities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13,413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(88,975)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33,628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(124,230)</w:t>
            </w:r>
          </w:p>
        </w:tc>
        <w:tc>
          <w:tcPr>
            <w:tcW w:w="0" w:type="dxa"/>
            <w:vAlign w:val="bottom"/>
          </w:tcPr>
          <w:p>
            <w:pPr>
              <w:spacing w:after="0"/>
              <w:rPr>
                <w:sz w:val="1"/>
                <w:szCs w:val="1"/>
                <w:color w:val="auto"/>
              </w:rPr>
            </w:pPr>
          </w:p>
        </w:tc>
      </w:tr>
      <w:tr>
        <w:trPr>
          <w:trHeight w:val="20"/>
        </w:trPr>
        <w:tc>
          <w:tcPr>
            <w:tcW w:w="7160" w:type="dxa"/>
            <w:vAlign w:val="bottom"/>
            <w:gridSpan w:val="2"/>
            <w:vMerge w:val="restart"/>
          </w:tcPr>
          <w:p>
            <w:pPr>
              <w:spacing w:after="0"/>
              <w:rPr>
                <w:sz w:val="20"/>
                <w:szCs w:val="20"/>
                <w:color w:val="auto"/>
              </w:rPr>
            </w:pPr>
            <w:r>
              <w:rPr>
                <w:rFonts w:ascii="Arial" w:cs="Arial" w:eastAsia="Arial" w:hAnsi="Arial"/>
                <w:sz w:val="18"/>
                <w:szCs w:val="18"/>
                <w:color w:val="auto"/>
              </w:rPr>
              <w:t>Net increase in cash and cash equivalents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16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(207,412)</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160,698</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119,986</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404,359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1,254,807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859,309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927,409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615,648</w:t>
            </w:r>
          </w:p>
        </w:tc>
        <w:tc>
          <w:tcPr>
            <w:tcW w:w="0" w:type="dxa"/>
            <w:vAlign w:val="bottom"/>
          </w:tcPr>
          <w:p>
            <w:pPr>
              <w:spacing w:after="0"/>
              <w:rPr>
                <w:sz w:val="1"/>
                <w:szCs w:val="1"/>
                <w:color w:val="auto"/>
              </w:rPr>
            </w:pPr>
          </w:p>
        </w:tc>
      </w:tr>
      <w:tr>
        <w:trPr>
          <w:trHeight w:val="20"/>
        </w:trPr>
        <w:tc>
          <w:tcPr>
            <w:tcW w:w="716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160" w:type="dxa"/>
            <w:vAlign w:val="bottom"/>
            <w:gridSpan w:val="2"/>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1,047,395</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1,020,007</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1,047,395</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1,020,007</w:t>
            </w:r>
          </w:p>
        </w:tc>
        <w:tc>
          <w:tcPr>
            <w:tcW w:w="0" w:type="dxa"/>
            <w:vAlign w:val="bottom"/>
          </w:tcPr>
          <w:p>
            <w:pPr>
              <w:spacing w:after="0"/>
              <w:rPr>
                <w:sz w:val="1"/>
                <w:szCs w:val="1"/>
                <w:color w:val="auto"/>
              </w:rPr>
            </w:pPr>
          </w:p>
        </w:tc>
      </w:tr>
      <w:tr>
        <w:trPr>
          <w:trHeight w:val="20"/>
        </w:trPr>
        <w:tc>
          <w:tcPr>
            <w:tcW w:w="7160" w:type="dxa"/>
            <w:vAlign w:val="bottom"/>
            <w:gridSpan w:val="2"/>
            <w:vMerge w:val="restart"/>
          </w:tcPr>
          <w:p>
            <w:pPr>
              <w:jc w:val="right"/>
              <w:ind w:right="1312"/>
              <w:spacing w:after="0"/>
              <w:rPr>
                <w:sz w:val="20"/>
                <w:szCs w:val="20"/>
                <w:color w:val="auto"/>
              </w:rPr>
            </w:pPr>
            <w:r>
              <w:rPr>
                <w:rFonts w:ascii="Arial" w:cs="Arial" w:eastAsia="Arial" w:hAnsi="Arial"/>
                <w:sz w:val="18"/>
                <w:szCs w:val="18"/>
                <w:color w:val="auto"/>
              </w:rPr>
              <w:t>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16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2019-12-10T15:57:53Z</dcterms:created>
  <dcterms:modified xsi:type="dcterms:W3CDTF">2019-12-10T15:57:53Z</dcterms:modified>
</cp:coreProperties>
</file>