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18"/>
          <w:szCs w:val="18"/>
          <w:b w:val="1"/>
          <w:bCs w:val="1"/>
          <w:color w:val="auto"/>
        </w:rPr>
        <w:t>As filed with the Securities and Exchange Commission on December 10, 2009</w:t>
      </w:r>
    </w:p>
    <w:p>
      <w:pPr>
        <w:spacing w:after="0" w:line="21" w:lineRule="exact"/>
        <w:rPr>
          <w:sz w:val="24"/>
          <w:szCs w:val="24"/>
          <w:color w:val="auto"/>
        </w:rPr>
      </w:pPr>
    </w:p>
    <w:p>
      <w:pPr>
        <w:ind w:left="9300"/>
        <w:spacing w:after="0"/>
        <w:rPr>
          <w:sz w:val="20"/>
          <w:szCs w:val="20"/>
          <w:color w:val="auto"/>
        </w:rPr>
      </w:pPr>
      <w:r>
        <w:rPr>
          <w:rFonts w:ascii="Arial" w:cs="Arial" w:eastAsia="Arial" w:hAnsi="Arial"/>
          <w:sz w:val="18"/>
          <w:szCs w:val="18"/>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6985</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33020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44"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S-8</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REGISTRATION STATEMENT</w:t>
      </w:r>
    </w:p>
    <w:p>
      <w:pPr>
        <w:jc w:val="center"/>
        <w:ind w:right="-39"/>
        <w:spacing w:after="0" w:line="230" w:lineRule="auto"/>
        <w:rPr>
          <w:sz w:val="20"/>
          <w:szCs w:val="20"/>
          <w:color w:val="auto"/>
        </w:rPr>
      </w:pPr>
      <w:r>
        <w:rPr>
          <w:rFonts w:ascii="Arial" w:cs="Arial" w:eastAsia="Arial" w:hAnsi="Arial"/>
          <w:sz w:val="22"/>
          <w:szCs w:val="22"/>
          <w:b w:val="1"/>
          <w:bCs w:val="1"/>
          <w:i w:val="1"/>
          <w:iCs w:val="1"/>
          <w:color w:val="auto"/>
        </w:rPr>
        <w:t>UNDER</w:t>
      </w:r>
    </w:p>
    <w:p>
      <w:pPr>
        <w:spacing w:after="0" w:line="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99060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187" w:lineRule="exact"/>
        <w:rPr>
          <w:sz w:val="24"/>
          <w:szCs w:val="24"/>
          <w:color w:val="auto"/>
        </w:rPr>
      </w:pPr>
    </w:p>
    <w:p>
      <w:pPr>
        <w:jc w:val="center"/>
        <w:ind w:right="-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105410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53" w:lineRule="exact"/>
        <w:rPr>
          <w:sz w:val="24"/>
          <w:szCs w:val="24"/>
          <w:color w:val="auto"/>
        </w:rPr>
      </w:pPr>
    </w:p>
    <w:tbl>
      <w:tblPr>
        <w:tblLayout w:type="fixed"/>
        <w:tblInd w:w="1980" w:type="dxa"/>
        <w:tblCellMar>
          <w:top w:w="0" w:type="dxa"/>
          <w:left w:w="0" w:type="dxa"/>
          <w:bottom w:w="0" w:type="dxa"/>
          <w:right w:w="0" w:type="dxa"/>
        </w:tblCellMar>
      </w:tblPr>
      <w:tr>
        <w:trPr>
          <w:trHeight w:val="218"/>
        </w:trPr>
        <w:tc>
          <w:tcPr>
            <w:tcW w:w="3900" w:type="dxa"/>
            <w:vAlign w:val="bottom"/>
          </w:tcPr>
          <w:p>
            <w:pPr>
              <w:jc w:val="center"/>
              <w:ind w:right="2046"/>
              <w:spacing w:after="0"/>
              <w:rPr>
                <w:sz w:val="20"/>
                <w:szCs w:val="20"/>
                <w:color w:val="auto"/>
              </w:rPr>
            </w:pPr>
            <w:r>
              <w:rPr>
                <w:rFonts w:ascii="Arial" w:cs="Arial" w:eastAsia="Arial" w:hAnsi="Arial"/>
                <w:sz w:val="18"/>
                <w:szCs w:val="18"/>
                <w:b w:val="1"/>
                <w:bCs w:val="1"/>
                <w:color w:val="auto"/>
                <w:w w:val="89"/>
              </w:rPr>
              <w:t>Bermuda</w:t>
            </w:r>
          </w:p>
        </w:tc>
        <w:tc>
          <w:tcPr>
            <w:tcW w:w="3480" w:type="dxa"/>
            <w:vAlign w:val="bottom"/>
          </w:tcPr>
          <w:p>
            <w:pPr>
              <w:jc w:val="center"/>
              <w:ind w:left="2046"/>
              <w:spacing w:after="0"/>
              <w:rPr>
                <w:sz w:val="20"/>
                <w:szCs w:val="20"/>
                <w:color w:val="auto"/>
              </w:rPr>
            </w:pPr>
            <w:r>
              <w:rPr>
                <w:rFonts w:ascii="Arial" w:cs="Arial" w:eastAsia="Arial" w:hAnsi="Arial"/>
                <w:sz w:val="18"/>
                <w:szCs w:val="18"/>
                <w:b w:val="1"/>
                <w:bCs w:val="1"/>
                <w:color w:val="auto"/>
                <w:w w:val="87"/>
              </w:rPr>
              <w:t>77-0481679</w:t>
            </w:r>
          </w:p>
        </w:tc>
      </w:tr>
      <w:tr>
        <w:trPr>
          <w:trHeight w:val="149"/>
        </w:trPr>
        <w:tc>
          <w:tcPr>
            <w:tcW w:w="3900" w:type="dxa"/>
            <w:vAlign w:val="bottom"/>
          </w:tcPr>
          <w:p>
            <w:pPr>
              <w:jc w:val="center"/>
              <w:ind w:right="2066"/>
              <w:spacing w:after="0" w:line="149" w:lineRule="exact"/>
              <w:rPr>
                <w:sz w:val="20"/>
                <w:szCs w:val="20"/>
                <w:color w:val="auto"/>
              </w:rPr>
            </w:pPr>
            <w:r>
              <w:rPr>
                <w:rFonts w:ascii="Arial" w:cs="Arial" w:eastAsia="Arial" w:hAnsi="Arial"/>
                <w:sz w:val="14"/>
                <w:szCs w:val="14"/>
                <w:b w:val="1"/>
                <w:bCs w:val="1"/>
                <w:color w:val="auto"/>
                <w:w w:val="87"/>
              </w:rPr>
              <w:t>(State or other jurisdiction of</w:t>
            </w:r>
          </w:p>
        </w:tc>
        <w:tc>
          <w:tcPr>
            <w:tcW w:w="3480" w:type="dxa"/>
            <w:vAlign w:val="bottom"/>
          </w:tcPr>
          <w:p>
            <w:pPr>
              <w:jc w:val="center"/>
              <w:ind w:left="2066"/>
              <w:spacing w:after="0" w:line="149" w:lineRule="exact"/>
              <w:rPr>
                <w:sz w:val="20"/>
                <w:szCs w:val="20"/>
                <w:color w:val="auto"/>
              </w:rPr>
            </w:pPr>
            <w:r>
              <w:rPr>
                <w:rFonts w:ascii="Arial" w:cs="Arial" w:eastAsia="Arial" w:hAnsi="Arial"/>
                <w:sz w:val="14"/>
                <w:szCs w:val="14"/>
                <w:b w:val="1"/>
                <w:bCs w:val="1"/>
                <w:color w:val="auto"/>
                <w:w w:val="91"/>
              </w:rPr>
              <w:t>(I.R.S. Employer</w:t>
            </w:r>
          </w:p>
        </w:tc>
      </w:tr>
      <w:tr>
        <w:trPr>
          <w:trHeight w:val="174"/>
        </w:trPr>
        <w:tc>
          <w:tcPr>
            <w:tcW w:w="3900" w:type="dxa"/>
            <w:vAlign w:val="bottom"/>
          </w:tcPr>
          <w:p>
            <w:pPr>
              <w:jc w:val="center"/>
              <w:ind w:right="2066"/>
              <w:spacing w:after="0"/>
              <w:rPr>
                <w:sz w:val="20"/>
                <w:szCs w:val="20"/>
                <w:color w:val="auto"/>
              </w:rPr>
            </w:pPr>
            <w:r>
              <w:rPr>
                <w:rFonts w:ascii="Arial" w:cs="Arial" w:eastAsia="Arial" w:hAnsi="Arial"/>
                <w:sz w:val="14"/>
                <w:szCs w:val="14"/>
                <w:b w:val="1"/>
                <w:bCs w:val="1"/>
                <w:color w:val="auto"/>
                <w:w w:val="88"/>
              </w:rPr>
              <w:t>incorporation or organization)</w:t>
            </w:r>
          </w:p>
        </w:tc>
        <w:tc>
          <w:tcPr>
            <w:tcW w:w="3480" w:type="dxa"/>
            <w:vAlign w:val="bottom"/>
          </w:tcPr>
          <w:p>
            <w:pPr>
              <w:jc w:val="center"/>
              <w:ind w:left="2066"/>
              <w:spacing w:after="0"/>
              <w:rPr>
                <w:sz w:val="20"/>
                <w:szCs w:val="20"/>
                <w:color w:val="auto"/>
              </w:rPr>
            </w:pPr>
            <w:r>
              <w:rPr>
                <w:rFonts w:ascii="Arial" w:cs="Arial" w:eastAsia="Arial" w:hAnsi="Arial"/>
                <w:sz w:val="14"/>
                <w:szCs w:val="14"/>
                <w:b w:val="1"/>
                <w:bCs w:val="1"/>
                <w:color w:val="auto"/>
                <w:w w:val="90"/>
              </w:rPr>
              <w:t>Identification Number)</w:t>
            </w:r>
          </w:p>
        </w:tc>
      </w:tr>
    </w:tbl>
    <w:p>
      <w:pPr>
        <w:spacing w:after="0" w:line="31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4"/>
          <w:szCs w:val="14"/>
          <w:b w:val="1"/>
          <w:bCs w:val="1"/>
          <w:color w:val="auto"/>
        </w:rPr>
        <w:t>(Address, including zip code, and telephone number, including area code, of Registrant’s principal executive offices)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104775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25"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Amended and Restated 1995 Stock Option Plan, as amended</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2000 Employee Stock Purchase Plan, as amended and restated</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4"/>
          <w:szCs w:val="14"/>
          <w:b w:val="1"/>
          <w:bCs w:val="1"/>
          <w:color w:val="auto"/>
        </w:rPr>
        <w:t>(Full title of the plan)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96520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2"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Tom Savage</w:t>
      </w:r>
    </w:p>
    <w:p>
      <w:pPr>
        <w:spacing w:after="0" w:line="2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Vice President, Global Legal Affairs and Governmental Policy</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(408) 222-2500</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96520</wp:posOffset>
            </wp:positionV>
            <wp:extent cx="15176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8"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i w:val="1"/>
          <w:iCs w:val="1"/>
          <w:color w:val="auto"/>
        </w:rPr>
        <w:t>Copy to:</w:t>
      </w:r>
    </w:p>
    <w:p>
      <w:pPr>
        <w:spacing w:after="0" w:line="165"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Carmen Chang, Esq.</w:t>
      </w:r>
    </w:p>
    <w:p>
      <w:pPr>
        <w:spacing w:after="0" w:line="2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Wilson Sonsini Goodrich &amp; Rosati, P.C.</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650 Page Mill Road</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Palo Alto, CA 94304</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(650) 493-9300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118745</wp:posOffset>
            </wp:positionV>
            <wp:extent cx="151765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53" w:lineRule="exact"/>
        <w:rPr>
          <w:sz w:val="24"/>
          <w:szCs w:val="24"/>
          <w:color w:val="auto"/>
        </w:rPr>
      </w:pPr>
    </w:p>
    <w:p>
      <w:pPr>
        <w:ind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 reporting company. See the definitions of “large accelerated filer,” “accelerated filer” and “smaller reporting company” in Rule 12b-2 of the Exchange Act. (Check one):</w:t>
      </w:r>
    </w:p>
    <w:p>
      <w:pPr>
        <w:sectPr>
          <w:pgSz w:w="11900" w:h="16838" w:orient="portrait"/>
          <w:cols w:equalWidth="0" w:num="1">
            <w:col w:w="11380"/>
          </w:cols>
          <w:pgMar w:left="240" w:top="233" w:right="279" w:bottom="1440" w:gutter="0" w:footer="0" w:header="0"/>
        </w:sectPr>
      </w:pPr>
    </w:p>
    <w:bookmarkStart w:id="1" w:name="page2"/>
    <w:bookmarkEnd w:id="1"/>
    <w:tbl>
      <w:tblPr>
        <w:tblLayout w:type="fixed"/>
        <w:tblInd w:w="0" w:type="dxa"/>
        <w:tblCellMar>
          <w:top w:w="0" w:type="dxa"/>
          <w:left w:w="0" w:type="dxa"/>
          <w:bottom w:w="0" w:type="dxa"/>
          <w:right w:w="0" w:type="dxa"/>
        </w:tblCellMar>
      </w:tblPr>
      <w:tr>
        <w:trPr>
          <w:trHeight w:val="275"/>
        </w:trPr>
        <w:tc>
          <w:tcPr>
            <w:tcW w:w="1760" w:type="dxa"/>
            <w:vAlign w:val="bottom"/>
            <w:gridSpan w:val="2"/>
          </w:tcPr>
          <w:p>
            <w:pPr>
              <w:spacing w:after="0"/>
              <w:rPr>
                <w:sz w:val="20"/>
                <w:szCs w:val="20"/>
                <w:color w:val="auto"/>
              </w:rPr>
            </w:pPr>
            <w:r>
              <w:rPr>
                <w:rFonts w:ascii="Arial" w:cs="Arial" w:eastAsia="Arial" w:hAnsi="Arial"/>
                <w:sz w:val="18"/>
                <w:szCs w:val="18"/>
                <w:color w:val="auto"/>
                <w:w w:val="97"/>
              </w:rPr>
              <w:t>Large accelerated filer</w:t>
            </w:r>
          </w:p>
        </w:tc>
        <w:tc>
          <w:tcPr>
            <w:tcW w:w="3300" w:type="dxa"/>
            <w:vAlign w:val="bottom"/>
            <w:gridSpan w:val="2"/>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158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900" w:type="dxa"/>
            <w:vAlign w:val="bottom"/>
            <w:gridSpan w:val="2"/>
          </w:tcPr>
          <w:p>
            <w:pPr>
              <w:ind w:left="600"/>
              <w:spacing w:after="0"/>
              <w:rPr>
                <w:sz w:val="20"/>
                <w:szCs w:val="20"/>
                <w:color w:val="auto"/>
              </w:rPr>
            </w:pPr>
            <w:r>
              <w:rPr>
                <w:rFonts w:ascii="Arial" w:cs="Arial" w:eastAsia="Arial" w:hAnsi="Arial"/>
                <w:sz w:val="18"/>
                <w:szCs w:val="18"/>
                <w:color w:val="auto"/>
                <w:w w:val="99"/>
              </w:rPr>
              <w:t>Accelerated filer</w:t>
            </w:r>
          </w:p>
        </w:tc>
        <w:tc>
          <w:tcPr>
            <w:tcW w:w="1000" w:type="dxa"/>
            <w:vAlign w:val="bottom"/>
          </w:tcPr>
          <w:p>
            <w:pPr>
              <w:spacing w:after="0"/>
              <w:rPr>
                <w:sz w:val="23"/>
                <w:szCs w:val="23"/>
                <w:color w:val="auto"/>
              </w:rPr>
            </w:pPr>
          </w:p>
        </w:tc>
        <w:tc>
          <w:tcPr>
            <w:tcW w:w="260" w:type="dxa"/>
            <w:vAlign w:val="bottom"/>
          </w:tcPr>
          <w:p>
            <w:pPr>
              <w:ind w:left="10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60" w:type="dxa"/>
            <w:vAlign w:val="bottom"/>
            <w:gridSpan w:val="2"/>
          </w:tcPr>
          <w:p>
            <w:pPr>
              <w:spacing w:after="0"/>
              <w:rPr>
                <w:sz w:val="20"/>
                <w:szCs w:val="20"/>
                <w:color w:val="auto"/>
              </w:rPr>
            </w:pPr>
            <w:r>
              <w:rPr>
                <w:rFonts w:ascii="Arial" w:cs="Arial" w:eastAsia="Arial" w:hAnsi="Arial"/>
                <w:sz w:val="18"/>
                <w:szCs w:val="18"/>
                <w:color w:val="auto"/>
              </w:rPr>
              <w:t>Non-accelerated filer</w:t>
            </w:r>
          </w:p>
        </w:tc>
        <w:tc>
          <w:tcPr>
            <w:tcW w:w="5140" w:type="dxa"/>
            <w:vAlign w:val="bottom"/>
            <w:gridSpan w:val="4"/>
          </w:tcPr>
          <w:p>
            <w:pPr>
              <w:ind w:left="16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1360" w:type="dxa"/>
            <w:vAlign w:val="bottom"/>
          </w:tcPr>
          <w:p>
            <w:pPr>
              <w:spacing w:after="0"/>
              <w:rPr>
                <w:sz w:val="24"/>
                <w:szCs w:val="24"/>
                <w:color w:val="auto"/>
              </w:rPr>
            </w:pPr>
          </w:p>
        </w:tc>
        <w:tc>
          <w:tcPr>
            <w:tcW w:w="2900" w:type="dxa"/>
            <w:vAlign w:val="bottom"/>
            <w:gridSpan w:val="3"/>
          </w:tcPr>
          <w:p>
            <w:pPr>
              <w:ind w:left="600"/>
              <w:spacing w:after="0"/>
              <w:rPr>
                <w:sz w:val="20"/>
                <w:szCs w:val="20"/>
                <w:color w:val="auto"/>
              </w:rPr>
            </w:pPr>
            <w:r>
              <w:rPr>
                <w:rFonts w:ascii="Arial" w:cs="Arial" w:eastAsia="Arial" w:hAnsi="Arial"/>
                <w:sz w:val="18"/>
                <w:szCs w:val="18"/>
                <w:color w:val="auto"/>
              </w:rPr>
              <w:t>Smaller reporting company</w:t>
            </w:r>
          </w:p>
        </w:tc>
        <w:tc>
          <w:tcPr>
            <w:tcW w:w="260" w:type="dxa"/>
            <w:vAlign w:val="bottom"/>
          </w:tcPr>
          <w:p>
            <w:pPr>
              <w:ind w:left="10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144"/>
        </w:trPr>
        <w:tc>
          <w:tcPr>
            <w:tcW w:w="2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2760" w:type="dxa"/>
            <w:vAlign w:val="bottom"/>
          </w:tcPr>
          <w:p>
            <w:pPr>
              <w:spacing w:after="0"/>
              <w:rPr>
                <w:sz w:val="12"/>
                <w:szCs w:val="12"/>
                <w:color w:val="auto"/>
              </w:rPr>
            </w:pPr>
          </w:p>
        </w:tc>
        <w:tc>
          <w:tcPr>
            <w:tcW w:w="540" w:type="dxa"/>
            <w:vAlign w:val="bottom"/>
            <w:tcBorders>
              <w:bottom w:val="single" w:sz="8" w:color="auto"/>
            </w:tcBorders>
          </w:tcPr>
          <w:p>
            <w:pPr>
              <w:spacing w:after="0"/>
              <w:rPr>
                <w:sz w:val="12"/>
                <w:szCs w:val="12"/>
                <w:color w:val="auto"/>
              </w:rPr>
            </w:pPr>
          </w:p>
        </w:tc>
        <w:tc>
          <w:tcPr>
            <w:tcW w:w="1580" w:type="dxa"/>
            <w:vAlign w:val="bottom"/>
            <w:tcBorders>
              <w:bottom w:val="single" w:sz="8" w:color="auto"/>
            </w:tcBorders>
          </w:tcPr>
          <w:p>
            <w:pPr>
              <w:spacing w:after="0"/>
              <w:rPr>
                <w:sz w:val="12"/>
                <w:szCs w:val="12"/>
                <w:color w:val="auto"/>
              </w:rPr>
            </w:pPr>
          </w:p>
        </w:tc>
        <w:tc>
          <w:tcPr>
            <w:tcW w:w="260" w:type="dxa"/>
            <w:vAlign w:val="bottom"/>
            <w:tcBorders>
              <w:bottom w:val="single" w:sz="8" w:color="auto"/>
            </w:tcBorders>
          </w:tcPr>
          <w:p>
            <w:pPr>
              <w:spacing w:after="0"/>
              <w:rPr>
                <w:sz w:val="12"/>
                <w:szCs w:val="12"/>
                <w:color w:val="auto"/>
              </w:rPr>
            </w:pPr>
          </w:p>
        </w:tc>
        <w:tc>
          <w:tcPr>
            <w:tcW w:w="136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260" w:type="dxa"/>
            <w:vAlign w:val="bottom"/>
          </w:tcPr>
          <w:p>
            <w:pPr>
              <w:spacing w:after="0"/>
              <w:rPr>
                <w:sz w:val="12"/>
                <w:szCs w:val="12"/>
                <w:color w:val="auto"/>
              </w:rPr>
            </w:pPr>
          </w:p>
        </w:tc>
      </w:tr>
      <w:tr>
        <w:trPr>
          <w:trHeight w:val="370"/>
        </w:trPr>
        <w:tc>
          <w:tcPr>
            <w:tcW w:w="2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6500" w:type="dxa"/>
            <w:vAlign w:val="bottom"/>
            <w:gridSpan w:val="5"/>
          </w:tcPr>
          <w:p>
            <w:pPr>
              <w:ind w:left="2260"/>
              <w:spacing w:after="0"/>
              <w:rPr>
                <w:sz w:val="20"/>
                <w:szCs w:val="20"/>
                <w:color w:val="auto"/>
              </w:rPr>
            </w:pPr>
            <w:r>
              <w:rPr>
                <w:rFonts w:ascii="Arial" w:cs="Arial" w:eastAsia="Arial" w:hAnsi="Arial"/>
                <w:sz w:val="18"/>
                <w:szCs w:val="18"/>
                <w:b w:val="1"/>
                <w:bCs w:val="1"/>
                <w:color w:val="auto"/>
              </w:rPr>
              <w:t>CALCULATION OF REGISTRATION FEE</w:t>
            </w:r>
          </w:p>
        </w:tc>
        <w:tc>
          <w:tcPr>
            <w:tcW w:w="1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260" w:type="dxa"/>
            <w:vAlign w:val="bottom"/>
          </w:tcPr>
          <w:p>
            <w:pPr>
              <w:spacing w:after="0"/>
              <w:rPr>
                <w:sz w:val="24"/>
                <w:szCs w:val="24"/>
                <w:color w:val="auto"/>
              </w:rPr>
            </w:pPr>
          </w:p>
        </w:tc>
      </w:tr>
      <w:tr>
        <w:trPr>
          <w:trHeight w:val="205"/>
        </w:trPr>
        <w:tc>
          <w:tcPr>
            <w:tcW w:w="20" w:type="dxa"/>
            <w:vAlign w:val="bottom"/>
          </w:tcPr>
          <w:p>
            <w:pPr>
              <w:spacing w:after="0"/>
              <w:rPr>
                <w:sz w:val="17"/>
                <w:szCs w:val="17"/>
                <w:color w:val="auto"/>
              </w:rPr>
            </w:pPr>
          </w:p>
        </w:tc>
        <w:tc>
          <w:tcPr>
            <w:tcW w:w="1740" w:type="dxa"/>
            <w:vAlign w:val="bottom"/>
            <w:tcBorders>
              <w:bottom w:val="single" w:sz="8" w:color="auto"/>
            </w:tcBorders>
          </w:tcPr>
          <w:p>
            <w:pPr>
              <w:spacing w:after="0"/>
              <w:rPr>
                <w:sz w:val="17"/>
                <w:szCs w:val="17"/>
                <w:color w:val="auto"/>
              </w:rPr>
            </w:pPr>
          </w:p>
        </w:tc>
        <w:tc>
          <w:tcPr>
            <w:tcW w:w="2760" w:type="dxa"/>
            <w:vAlign w:val="bottom"/>
            <w:tcBorders>
              <w:bottom w:val="single" w:sz="8" w:color="auto"/>
            </w:tcBorders>
          </w:tcPr>
          <w:p>
            <w:pPr>
              <w:spacing w:after="0"/>
              <w:rPr>
                <w:sz w:val="17"/>
                <w:szCs w:val="17"/>
                <w:color w:val="auto"/>
              </w:rPr>
            </w:pPr>
          </w:p>
        </w:tc>
        <w:tc>
          <w:tcPr>
            <w:tcW w:w="540" w:type="dxa"/>
            <w:vAlign w:val="bottom"/>
            <w:tcBorders>
              <w:bottom w:val="single" w:sz="8" w:color="auto"/>
            </w:tcBorders>
          </w:tcPr>
          <w:p>
            <w:pPr>
              <w:spacing w:after="0"/>
              <w:rPr>
                <w:sz w:val="17"/>
                <w:szCs w:val="17"/>
                <w:color w:val="auto"/>
              </w:rPr>
            </w:pPr>
          </w:p>
        </w:tc>
        <w:tc>
          <w:tcPr>
            <w:tcW w:w="1580" w:type="dxa"/>
            <w:vAlign w:val="bottom"/>
            <w:tcBorders>
              <w:bottom w:val="single" w:sz="8" w:color="auto"/>
            </w:tcBorders>
          </w:tcPr>
          <w:p>
            <w:pPr>
              <w:spacing w:after="0"/>
              <w:rPr>
                <w:sz w:val="17"/>
                <w:szCs w:val="17"/>
                <w:color w:val="auto"/>
              </w:rPr>
            </w:pPr>
          </w:p>
        </w:tc>
        <w:tc>
          <w:tcPr>
            <w:tcW w:w="260" w:type="dxa"/>
            <w:vAlign w:val="bottom"/>
            <w:tcBorders>
              <w:bottom w:val="single" w:sz="8" w:color="auto"/>
            </w:tcBorders>
          </w:tcPr>
          <w:p>
            <w:pPr>
              <w:spacing w:after="0"/>
              <w:rPr>
                <w:sz w:val="17"/>
                <w:szCs w:val="17"/>
                <w:color w:val="auto"/>
              </w:rPr>
            </w:pPr>
          </w:p>
        </w:tc>
        <w:tc>
          <w:tcPr>
            <w:tcW w:w="1360" w:type="dxa"/>
            <w:vAlign w:val="bottom"/>
            <w:tcBorders>
              <w:bottom w:val="single" w:sz="8" w:color="auto"/>
            </w:tcBorders>
          </w:tcPr>
          <w:p>
            <w:pPr>
              <w:spacing w:after="0"/>
              <w:rPr>
                <w:sz w:val="17"/>
                <w:szCs w:val="17"/>
                <w:color w:val="auto"/>
              </w:rPr>
            </w:pPr>
          </w:p>
        </w:tc>
        <w:tc>
          <w:tcPr>
            <w:tcW w:w="1580" w:type="dxa"/>
            <w:vAlign w:val="bottom"/>
            <w:tcBorders>
              <w:bottom w:val="single" w:sz="8" w:color="auto"/>
            </w:tcBorders>
          </w:tcPr>
          <w:p>
            <w:pPr>
              <w:spacing w:after="0"/>
              <w:rPr>
                <w:sz w:val="17"/>
                <w:szCs w:val="17"/>
                <w:color w:val="auto"/>
              </w:rPr>
            </w:pPr>
          </w:p>
        </w:tc>
        <w:tc>
          <w:tcPr>
            <w:tcW w:w="320" w:type="dxa"/>
            <w:vAlign w:val="bottom"/>
            <w:tcBorders>
              <w:bottom w:val="single" w:sz="8" w:color="auto"/>
            </w:tcBorders>
          </w:tcPr>
          <w:p>
            <w:pPr>
              <w:spacing w:after="0"/>
              <w:rPr>
                <w:sz w:val="17"/>
                <w:szCs w:val="17"/>
                <w:color w:val="auto"/>
              </w:rPr>
            </w:pPr>
          </w:p>
        </w:tc>
        <w:tc>
          <w:tcPr>
            <w:tcW w:w="1000" w:type="dxa"/>
            <w:vAlign w:val="bottom"/>
            <w:tcBorders>
              <w:bottom w:val="single" w:sz="8" w:color="auto"/>
            </w:tcBorders>
          </w:tcPr>
          <w:p>
            <w:pPr>
              <w:spacing w:after="0"/>
              <w:rPr>
                <w:sz w:val="17"/>
                <w:szCs w:val="17"/>
                <w:color w:val="auto"/>
              </w:rPr>
            </w:pPr>
          </w:p>
        </w:tc>
        <w:tc>
          <w:tcPr>
            <w:tcW w:w="260" w:type="dxa"/>
            <w:vAlign w:val="bottom"/>
            <w:tcBorders>
              <w:bottom w:val="single" w:sz="8" w:color="auto"/>
            </w:tcBorders>
          </w:tcPr>
          <w:p>
            <w:pPr>
              <w:spacing w:after="0"/>
              <w:rPr>
                <w:sz w:val="17"/>
                <w:szCs w:val="17"/>
                <w:color w:val="auto"/>
              </w:rPr>
            </w:pPr>
          </w:p>
        </w:tc>
      </w:tr>
      <w:tr>
        <w:trPr>
          <w:trHeight w:val="20"/>
        </w:trPr>
        <w:tc>
          <w:tcPr>
            <w:tcW w:w="20" w:type="dxa"/>
            <w:vAlign w:val="bottom"/>
          </w:tcPr>
          <w:p>
            <w:pPr>
              <w:spacing w:after="0" w:line="20" w:lineRule="exact"/>
              <w:rPr>
                <w:sz w:val="1"/>
                <w:szCs w:val="1"/>
                <w:color w:val="auto"/>
              </w:rPr>
            </w:pPr>
          </w:p>
        </w:tc>
        <w:tc>
          <w:tcPr>
            <w:tcW w:w="1740" w:type="dxa"/>
            <w:vAlign w:val="bottom"/>
            <w:tcBorders>
              <w:bottom w:val="single" w:sz="8" w:color="auto"/>
            </w:tcBorders>
          </w:tcPr>
          <w:p>
            <w:pPr>
              <w:spacing w:after="0" w:line="20" w:lineRule="exact"/>
              <w:rPr>
                <w:sz w:val="1"/>
                <w:szCs w:val="1"/>
                <w:color w:val="auto"/>
              </w:rPr>
            </w:pPr>
          </w:p>
        </w:tc>
        <w:tc>
          <w:tcPr>
            <w:tcW w:w="276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58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158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2760" w:type="dxa"/>
            <w:vAlign w:val="bottom"/>
          </w:tcPr>
          <w:p>
            <w:pPr>
              <w:spacing w:after="0"/>
              <w:rPr>
                <w:sz w:val="11"/>
                <w:szCs w:val="11"/>
                <w:color w:val="auto"/>
              </w:rPr>
            </w:pPr>
          </w:p>
        </w:tc>
        <w:tc>
          <w:tcPr>
            <w:tcW w:w="540" w:type="dxa"/>
            <w:vAlign w:val="bottom"/>
            <w:tcBorders>
              <w:right w:val="single" w:sz="8" w:color="auto"/>
            </w:tcBorders>
          </w:tcPr>
          <w:p>
            <w:pPr>
              <w:spacing w:after="0"/>
              <w:rPr>
                <w:sz w:val="11"/>
                <w:szCs w:val="11"/>
                <w:color w:val="auto"/>
              </w:rPr>
            </w:pPr>
          </w:p>
        </w:tc>
        <w:tc>
          <w:tcPr>
            <w:tcW w:w="1580" w:type="dxa"/>
            <w:vAlign w:val="bottom"/>
            <w:tcBorders>
              <w:right w:val="single" w:sz="8" w:color="auto"/>
            </w:tcBorders>
          </w:tcPr>
          <w:p>
            <w:pPr>
              <w:spacing w:after="0"/>
              <w:rPr>
                <w:sz w:val="11"/>
                <w:szCs w:val="11"/>
                <w:color w:val="auto"/>
              </w:rPr>
            </w:pPr>
          </w:p>
        </w:tc>
        <w:tc>
          <w:tcPr>
            <w:tcW w:w="260" w:type="dxa"/>
            <w:vAlign w:val="bottom"/>
          </w:tcPr>
          <w:p>
            <w:pPr>
              <w:spacing w:after="0"/>
              <w:rPr>
                <w:sz w:val="11"/>
                <w:szCs w:val="11"/>
                <w:color w:val="auto"/>
              </w:rPr>
            </w:pPr>
          </w:p>
        </w:tc>
        <w:tc>
          <w:tcPr>
            <w:tcW w:w="1360" w:type="dxa"/>
            <w:vAlign w:val="bottom"/>
            <w:tcBorders>
              <w:right w:val="single" w:sz="8" w:color="auto"/>
            </w:tcBorders>
          </w:tcPr>
          <w:p>
            <w:pPr>
              <w:jc w:val="center"/>
              <w:ind w:right="82"/>
              <w:spacing w:after="0" w:line="130" w:lineRule="exact"/>
              <w:rPr>
                <w:sz w:val="20"/>
                <w:szCs w:val="20"/>
                <w:color w:val="auto"/>
              </w:rPr>
            </w:pPr>
            <w:r>
              <w:rPr>
                <w:rFonts w:ascii="Arial" w:cs="Arial" w:eastAsia="Arial" w:hAnsi="Arial"/>
                <w:sz w:val="14"/>
                <w:szCs w:val="14"/>
                <w:b w:val="1"/>
                <w:bCs w:val="1"/>
                <w:color w:val="auto"/>
                <w:w w:val="86"/>
              </w:rPr>
              <w:t>Proposed maximum</w:t>
            </w:r>
          </w:p>
        </w:tc>
        <w:tc>
          <w:tcPr>
            <w:tcW w:w="1580" w:type="dxa"/>
            <w:vAlign w:val="bottom"/>
            <w:tcBorders>
              <w:right w:val="single" w:sz="8" w:color="auto"/>
            </w:tcBorders>
          </w:tcPr>
          <w:p>
            <w:pPr>
              <w:jc w:val="center"/>
              <w:ind w:left="20"/>
              <w:spacing w:after="0" w:line="130" w:lineRule="exact"/>
              <w:rPr>
                <w:sz w:val="20"/>
                <w:szCs w:val="20"/>
                <w:color w:val="auto"/>
              </w:rPr>
            </w:pPr>
            <w:r>
              <w:rPr>
                <w:rFonts w:ascii="Arial" w:cs="Arial" w:eastAsia="Arial" w:hAnsi="Arial"/>
                <w:sz w:val="14"/>
                <w:szCs w:val="14"/>
                <w:b w:val="1"/>
                <w:bCs w:val="1"/>
                <w:color w:val="auto"/>
                <w:w w:val="86"/>
              </w:rPr>
              <w:t>Proposed maximum</w:t>
            </w:r>
          </w:p>
        </w:tc>
        <w:tc>
          <w:tcPr>
            <w:tcW w:w="320" w:type="dxa"/>
            <w:vAlign w:val="bottom"/>
          </w:tcPr>
          <w:p>
            <w:pPr>
              <w:spacing w:after="0"/>
              <w:rPr>
                <w:sz w:val="11"/>
                <w:szCs w:val="11"/>
                <w:color w:val="auto"/>
              </w:rPr>
            </w:pPr>
          </w:p>
        </w:tc>
        <w:tc>
          <w:tcPr>
            <w:tcW w:w="1000" w:type="dxa"/>
            <w:vAlign w:val="bottom"/>
          </w:tcPr>
          <w:p>
            <w:pPr>
              <w:jc w:val="center"/>
              <w:spacing w:after="0" w:line="130" w:lineRule="exact"/>
              <w:rPr>
                <w:sz w:val="20"/>
                <w:szCs w:val="20"/>
                <w:color w:val="auto"/>
              </w:rPr>
            </w:pPr>
            <w:r>
              <w:rPr>
                <w:rFonts w:ascii="Arial" w:cs="Arial" w:eastAsia="Arial" w:hAnsi="Arial"/>
                <w:sz w:val="14"/>
                <w:szCs w:val="14"/>
                <w:b w:val="1"/>
                <w:bCs w:val="1"/>
                <w:color w:val="auto"/>
                <w:w w:val="88"/>
              </w:rPr>
              <w:t>Amount of</w:t>
            </w:r>
          </w:p>
        </w:tc>
        <w:tc>
          <w:tcPr>
            <w:tcW w:w="260" w:type="dxa"/>
            <w:vAlign w:val="bottom"/>
          </w:tcPr>
          <w:p>
            <w:pPr>
              <w:spacing w:after="0"/>
              <w:rPr>
                <w:sz w:val="11"/>
                <w:szCs w:val="11"/>
                <w:color w:val="auto"/>
              </w:rPr>
            </w:pPr>
          </w:p>
        </w:tc>
      </w:tr>
      <w:tr>
        <w:trPr>
          <w:trHeight w:val="149"/>
        </w:trPr>
        <w:tc>
          <w:tcPr>
            <w:tcW w:w="2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2760" w:type="dxa"/>
            <w:vAlign w:val="bottom"/>
          </w:tcPr>
          <w:p>
            <w:pPr>
              <w:spacing w:after="0"/>
              <w:rPr>
                <w:sz w:val="12"/>
                <w:szCs w:val="12"/>
                <w:color w:val="auto"/>
              </w:rPr>
            </w:pPr>
          </w:p>
        </w:tc>
        <w:tc>
          <w:tcPr>
            <w:tcW w:w="540" w:type="dxa"/>
            <w:vAlign w:val="bottom"/>
            <w:tcBorders>
              <w:right w:val="single" w:sz="8" w:color="auto"/>
            </w:tcBorders>
          </w:tcPr>
          <w:p>
            <w:pPr>
              <w:spacing w:after="0"/>
              <w:rPr>
                <w:sz w:val="12"/>
                <w:szCs w:val="12"/>
                <w:color w:val="auto"/>
              </w:rPr>
            </w:pPr>
          </w:p>
        </w:tc>
        <w:tc>
          <w:tcPr>
            <w:tcW w:w="158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86"/>
              </w:rPr>
              <w:t>Amount to be</w:t>
            </w:r>
          </w:p>
        </w:tc>
        <w:tc>
          <w:tcPr>
            <w:tcW w:w="260" w:type="dxa"/>
            <w:vAlign w:val="bottom"/>
          </w:tcPr>
          <w:p>
            <w:pPr>
              <w:spacing w:after="0"/>
              <w:rPr>
                <w:sz w:val="12"/>
                <w:szCs w:val="12"/>
                <w:color w:val="auto"/>
              </w:rPr>
            </w:pPr>
          </w:p>
        </w:tc>
        <w:tc>
          <w:tcPr>
            <w:tcW w:w="1360" w:type="dxa"/>
            <w:vAlign w:val="bottom"/>
            <w:tcBorders>
              <w:right w:val="single" w:sz="8" w:color="auto"/>
            </w:tcBorders>
          </w:tcPr>
          <w:p>
            <w:pPr>
              <w:jc w:val="center"/>
              <w:ind w:right="62"/>
              <w:spacing w:after="0" w:line="149" w:lineRule="exact"/>
              <w:rPr>
                <w:sz w:val="20"/>
                <w:szCs w:val="20"/>
                <w:color w:val="auto"/>
              </w:rPr>
            </w:pPr>
            <w:r>
              <w:rPr>
                <w:rFonts w:ascii="Arial" w:cs="Arial" w:eastAsia="Arial" w:hAnsi="Arial"/>
                <w:sz w:val="14"/>
                <w:szCs w:val="14"/>
                <w:b w:val="1"/>
                <w:bCs w:val="1"/>
                <w:color w:val="auto"/>
                <w:w w:val="87"/>
              </w:rPr>
              <w:t>offering price</w:t>
            </w:r>
          </w:p>
        </w:tc>
        <w:tc>
          <w:tcPr>
            <w:tcW w:w="1580" w:type="dxa"/>
            <w:vAlign w:val="bottom"/>
            <w:tcBorders>
              <w:right w:val="single" w:sz="8" w:color="auto"/>
            </w:tcBorders>
          </w:tcPr>
          <w:p>
            <w:pPr>
              <w:jc w:val="center"/>
              <w:ind w:left="20"/>
              <w:spacing w:after="0" w:line="149" w:lineRule="exact"/>
              <w:rPr>
                <w:sz w:val="20"/>
                <w:szCs w:val="20"/>
                <w:color w:val="auto"/>
              </w:rPr>
            </w:pPr>
            <w:r>
              <w:rPr>
                <w:rFonts w:ascii="Arial" w:cs="Arial" w:eastAsia="Arial" w:hAnsi="Arial"/>
                <w:sz w:val="14"/>
                <w:szCs w:val="14"/>
                <w:b w:val="1"/>
                <w:bCs w:val="1"/>
                <w:color w:val="auto"/>
                <w:w w:val="83"/>
              </w:rPr>
              <w:t>aggregate</w:t>
            </w:r>
          </w:p>
        </w:tc>
        <w:tc>
          <w:tcPr>
            <w:tcW w:w="320" w:type="dxa"/>
            <w:vAlign w:val="bottom"/>
          </w:tcPr>
          <w:p>
            <w:pPr>
              <w:spacing w:after="0"/>
              <w:rPr>
                <w:sz w:val="12"/>
                <w:szCs w:val="12"/>
                <w:color w:val="auto"/>
              </w:rPr>
            </w:pPr>
          </w:p>
        </w:tc>
        <w:tc>
          <w:tcPr>
            <w:tcW w:w="10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registration</w:t>
            </w:r>
          </w:p>
        </w:tc>
        <w:tc>
          <w:tcPr>
            <w:tcW w:w="260" w:type="dxa"/>
            <w:vAlign w:val="bottom"/>
          </w:tcPr>
          <w:p>
            <w:pPr>
              <w:spacing w:after="0"/>
              <w:rPr>
                <w:sz w:val="12"/>
                <w:szCs w:val="12"/>
                <w:color w:val="auto"/>
              </w:rPr>
            </w:pPr>
          </w:p>
        </w:tc>
      </w:tr>
      <w:tr>
        <w:trPr>
          <w:trHeight w:val="175"/>
        </w:trPr>
        <w:tc>
          <w:tcPr>
            <w:tcW w:w="20" w:type="dxa"/>
            <w:vAlign w:val="bottom"/>
          </w:tcPr>
          <w:p>
            <w:pPr>
              <w:spacing w:after="0"/>
              <w:rPr>
                <w:sz w:val="15"/>
                <w:szCs w:val="15"/>
                <w:color w:val="auto"/>
              </w:rPr>
            </w:pPr>
          </w:p>
        </w:tc>
        <w:tc>
          <w:tcPr>
            <w:tcW w:w="5040" w:type="dxa"/>
            <w:vAlign w:val="bottom"/>
            <w:tcBorders>
              <w:bottom w:val="single" w:sz="8" w:color="auto"/>
              <w:right w:val="single" w:sz="8" w:color="auto"/>
            </w:tcBorders>
            <w:gridSpan w:val="3"/>
          </w:tcPr>
          <w:p>
            <w:pPr>
              <w:ind w:left="1540"/>
              <w:spacing w:after="0"/>
              <w:rPr>
                <w:sz w:val="20"/>
                <w:szCs w:val="20"/>
                <w:color w:val="auto"/>
              </w:rPr>
            </w:pPr>
            <w:r>
              <w:rPr>
                <w:rFonts w:ascii="Arial" w:cs="Arial" w:eastAsia="Arial" w:hAnsi="Arial"/>
                <w:sz w:val="14"/>
                <w:szCs w:val="14"/>
                <w:b w:val="1"/>
                <w:bCs w:val="1"/>
                <w:color w:val="auto"/>
              </w:rPr>
              <w:t>Title of securities to be registered</w:t>
            </w:r>
          </w:p>
        </w:tc>
        <w:tc>
          <w:tcPr>
            <w:tcW w:w="15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registered (1)</w:t>
            </w:r>
          </w:p>
        </w:tc>
        <w:tc>
          <w:tcPr>
            <w:tcW w:w="260" w:type="dxa"/>
            <w:vAlign w:val="bottom"/>
            <w:tcBorders>
              <w:bottom w:val="single" w:sz="8" w:color="auto"/>
            </w:tcBorders>
          </w:tcPr>
          <w:p>
            <w:pPr>
              <w:spacing w:after="0"/>
              <w:rPr>
                <w:sz w:val="15"/>
                <w:szCs w:val="15"/>
                <w:color w:val="auto"/>
              </w:rPr>
            </w:pPr>
          </w:p>
        </w:tc>
        <w:tc>
          <w:tcPr>
            <w:tcW w:w="1360" w:type="dxa"/>
            <w:vAlign w:val="bottom"/>
            <w:tcBorders>
              <w:bottom w:val="single" w:sz="8" w:color="auto"/>
              <w:right w:val="single" w:sz="8" w:color="auto"/>
            </w:tcBorders>
          </w:tcPr>
          <w:p>
            <w:pPr>
              <w:jc w:val="center"/>
              <w:ind w:right="82"/>
              <w:spacing w:after="0"/>
              <w:rPr>
                <w:sz w:val="20"/>
                <w:szCs w:val="20"/>
                <w:color w:val="auto"/>
              </w:rPr>
            </w:pPr>
            <w:r>
              <w:rPr>
                <w:rFonts w:ascii="Arial" w:cs="Arial" w:eastAsia="Arial" w:hAnsi="Arial"/>
                <w:sz w:val="14"/>
                <w:szCs w:val="14"/>
                <w:b w:val="1"/>
                <w:bCs w:val="1"/>
                <w:color w:val="auto"/>
                <w:w w:val="85"/>
              </w:rPr>
              <w:t>per share (2)</w:t>
            </w:r>
          </w:p>
        </w:tc>
        <w:tc>
          <w:tcPr>
            <w:tcW w:w="15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offering price</w:t>
            </w:r>
          </w:p>
        </w:tc>
        <w:tc>
          <w:tcPr>
            <w:tcW w:w="320" w:type="dxa"/>
            <w:vAlign w:val="bottom"/>
            <w:tcBorders>
              <w:bottom w:val="single" w:sz="8" w:color="auto"/>
            </w:tcBorders>
          </w:tcPr>
          <w:p>
            <w:pPr>
              <w:spacing w:after="0"/>
              <w:rPr>
                <w:sz w:val="15"/>
                <w:szCs w:val="15"/>
                <w:color w:val="auto"/>
              </w:rPr>
            </w:pPr>
          </w:p>
        </w:tc>
        <w:tc>
          <w:tcPr>
            <w:tcW w:w="10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fee (3)</w:t>
            </w:r>
          </w:p>
        </w:tc>
        <w:tc>
          <w:tcPr>
            <w:tcW w:w="260" w:type="dxa"/>
            <w:vAlign w:val="bottom"/>
            <w:tcBorders>
              <w:bottom w:val="single" w:sz="8" w:color="auto"/>
            </w:tcBorders>
          </w:tcPr>
          <w:p>
            <w:pPr>
              <w:spacing w:after="0"/>
              <w:rPr>
                <w:sz w:val="15"/>
                <w:szCs w:val="15"/>
                <w:color w:val="auto"/>
              </w:rPr>
            </w:pPr>
          </w:p>
        </w:tc>
      </w:tr>
      <w:tr>
        <w:trPr>
          <w:trHeight w:val="201"/>
        </w:trPr>
        <w:tc>
          <w:tcPr>
            <w:tcW w:w="20" w:type="dxa"/>
            <w:vAlign w:val="bottom"/>
          </w:tcPr>
          <w:p>
            <w:pPr>
              <w:spacing w:after="0"/>
              <w:rPr>
                <w:sz w:val="17"/>
                <w:szCs w:val="17"/>
                <w:color w:val="auto"/>
              </w:rPr>
            </w:pPr>
          </w:p>
        </w:tc>
        <w:tc>
          <w:tcPr>
            <w:tcW w:w="5040" w:type="dxa"/>
            <w:vAlign w:val="bottom"/>
            <w:tcBorders>
              <w:right w:val="single" w:sz="8" w:color="auto"/>
            </w:tcBorders>
            <w:gridSpan w:val="3"/>
          </w:tcPr>
          <w:p>
            <w:pPr>
              <w:spacing w:after="0" w:line="201" w:lineRule="exact"/>
              <w:rPr>
                <w:sz w:val="20"/>
                <w:szCs w:val="20"/>
                <w:color w:val="auto"/>
              </w:rPr>
            </w:pPr>
            <w:r>
              <w:rPr>
                <w:rFonts w:ascii="Arial" w:cs="Arial" w:eastAsia="Arial" w:hAnsi="Arial"/>
                <w:sz w:val="18"/>
                <w:szCs w:val="18"/>
                <w:color w:val="auto"/>
                <w:w w:val="91"/>
              </w:rPr>
              <w:t>Common shares, par value $0.002 per share, to be issued under the</w:t>
            </w:r>
          </w:p>
        </w:tc>
        <w:tc>
          <w:tcPr>
            <w:tcW w:w="1580" w:type="dxa"/>
            <w:vAlign w:val="bottom"/>
            <w:tcBorders>
              <w:right w:val="single" w:sz="8" w:color="auto"/>
            </w:tcBorders>
          </w:tcPr>
          <w:p>
            <w:pPr>
              <w:spacing w:after="0"/>
              <w:rPr>
                <w:sz w:val="17"/>
                <w:szCs w:val="17"/>
                <w:color w:val="auto"/>
              </w:rPr>
            </w:pPr>
          </w:p>
        </w:tc>
        <w:tc>
          <w:tcPr>
            <w:tcW w:w="260" w:type="dxa"/>
            <w:vAlign w:val="bottom"/>
          </w:tcPr>
          <w:p>
            <w:pPr>
              <w:spacing w:after="0"/>
              <w:rPr>
                <w:sz w:val="17"/>
                <w:szCs w:val="17"/>
                <w:color w:val="auto"/>
              </w:rPr>
            </w:pPr>
          </w:p>
        </w:tc>
        <w:tc>
          <w:tcPr>
            <w:tcW w:w="1360" w:type="dxa"/>
            <w:vAlign w:val="bottom"/>
            <w:tcBorders>
              <w:right w:val="single" w:sz="8" w:color="auto"/>
            </w:tcBorders>
          </w:tcPr>
          <w:p>
            <w:pPr>
              <w:spacing w:after="0"/>
              <w:rPr>
                <w:sz w:val="17"/>
                <w:szCs w:val="17"/>
                <w:color w:val="auto"/>
              </w:rPr>
            </w:pPr>
          </w:p>
        </w:tc>
        <w:tc>
          <w:tcPr>
            <w:tcW w:w="1580" w:type="dxa"/>
            <w:vAlign w:val="bottom"/>
            <w:tcBorders>
              <w:right w:val="single" w:sz="8" w:color="auto"/>
            </w:tcBorders>
          </w:tcPr>
          <w:p>
            <w:pPr>
              <w:spacing w:after="0"/>
              <w:rPr>
                <w:sz w:val="17"/>
                <w:szCs w:val="17"/>
                <w:color w:val="auto"/>
              </w:rPr>
            </w:pPr>
          </w:p>
        </w:tc>
        <w:tc>
          <w:tcPr>
            <w:tcW w:w="32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260" w:type="dxa"/>
            <w:vAlign w:val="bottom"/>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5040" w:type="dxa"/>
            <w:vAlign w:val="bottom"/>
            <w:tcBorders>
              <w:right w:val="single" w:sz="8" w:color="auto"/>
            </w:tcBorders>
            <w:gridSpan w:val="3"/>
          </w:tcPr>
          <w:p>
            <w:pPr>
              <w:ind w:left="200"/>
              <w:spacing w:after="0"/>
              <w:rPr>
                <w:sz w:val="20"/>
                <w:szCs w:val="20"/>
                <w:color w:val="auto"/>
              </w:rPr>
            </w:pPr>
            <w:r>
              <w:rPr>
                <w:rFonts w:ascii="Arial" w:cs="Arial" w:eastAsia="Arial" w:hAnsi="Arial"/>
                <w:sz w:val="18"/>
                <w:szCs w:val="18"/>
                <w:color w:val="auto"/>
                <w:w w:val="89"/>
              </w:rPr>
              <w:t>Marvell Technology Group Ltd. Amended and Restated 1995 Stock</w:t>
            </w:r>
          </w:p>
        </w:tc>
        <w:tc>
          <w:tcPr>
            <w:tcW w:w="1580" w:type="dxa"/>
            <w:vAlign w:val="bottom"/>
            <w:tcBorders>
              <w:right w:val="single" w:sz="8" w:color="auto"/>
            </w:tcBorders>
          </w:tcPr>
          <w:p>
            <w:pPr>
              <w:spacing w:after="0"/>
              <w:rPr>
                <w:sz w:val="18"/>
                <w:szCs w:val="18"/>
                <w:color w:val="auto"/>
              </w:rPr>
            </w:pPr>
          </w:p>
        </w:tc>
        <w:tc>
          <w:tcPr>
            <w:tcW w:w="260" w:type="dxa"/>
            <w:vAlign w:val="bottom"/>
          </w:tcPr>
          <w:p>
            <w:pPr>
              <w:spacing w:after="0"/>
              <w:rPr>
                <w:sz w:val="18"/>
                <w:szCs w:val="18"/>
                <w:color w:val="auto"/>
              </w:rPr>
            </w:pPr>
          </w:p>
        </w:tc>
        <w:tc>
          <w:tcPr>
            <w:tcW w:w="1360" w:type="dxa"/>
            <w:vAlign w:val="bottom"/>
            <w:tcBorders>
              <w:right w:val="single" w:sz="8" w:color="auto"/>
            </w:tcBorders>
          </w:tcPr>
          <w:p>
            <w:pPr>
              <w:spacing w:after="0"/>
              <w:rPr>
                <w:sz w:val="18"/>
                <w:szCs w:val="18"/>
                <w:color w:val="auto"/>
              </w:rPr>
            </w:pPr>
          </w:p>
        </w:tc>
        <w:tc>
          <w:tcPr>
            <w:tcW w:w="1580" w:type="dxa"/>
            <w:vAlign w:val="bottom"/>
            <w:tcBorders>
              <w:right w:val="single" w:sz="8" w:color="auto"/>
            </w:tcBorders>
          </w:tcPr>
          <w:p>
            <w:pPr>
              <w:spacing w:after="0"/>
              <w:rPr>
                <w:sz w:val="18"/>
                <w:szCs w:val="18"/>
                <w:color w:val="auto"/>
              </w:rPr>
            </w:pPr>
          </w:p>
        </w:tc>
        <w:tc>
          <w:tcPr>
            <w:tcW w:w="32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60" w:type="dxa"/>
            <w:vAlign w:val="bottom"/>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5040" w:type="dxa"/>
            <w:vAlign w:val="bottom"/>
            <w:tcBorders>
              <w:bottom w:val="single" w:sz="8" w:color="auto"/>
              <w:right w:val="single" w:sz="8" w:color="auto"/>
            </w:tcBorders>
            <w:gridSpan w:val="3"/>
          </w:tcPr>
          <w:p>
            <w:pPr>
              <w:ind w:left="200"/>
              <w:spacing w:after="0"/>
              <w:rPr>
                <w:sz w:val="20"/>
                <w:szCs w:val="20"/>
                <w:color w:val="auto"/>
              </w:rPr>
            </w:pPr>
            <w:r>
              <w:rPr>
                <w:rFonts w:ascii="Arial" w:cs="Arial" w:eastAsia="Arial" w:hAnsi="Arial"/>
                <w:sz w:val="18"/>
                <w:szCs w:val="18"/>
                <w:color w:val="auto"/>
              </w:rPr>
              <w:t>Option Plan, as amended</w:t>
            </w:r>
          </w:p>
        </w:tc>
        <w:tc>
          <w:tcPr>
            <w:tcW w:w="15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4"/>
              </w:rPr>
              <w:t>30,880,318 shares</w:t>
            </w:r>
          </w:p>
        </w:tc>
        <w:tc>
          <w:tcPr>
            <w:tcW w:w="260" w:type="dxa"/>
            <w:vAlign w:val="bottom"/>
            <w:tcBorders>
              <w:bottom w:val="single" w:sz="8" w:color="auto"/>
            </w:tcBorders>
          </w:tcPr>
          <w:p>
            <w:pPr>
              <w:spacing w:after="0"/>
              <w:rPr>
                <w:sz w:val="19"/>
                <w:szCs w:val="19"/>
                <w:color w:val="auto"/>
              </w:rPr>
            </w:pPr>
          </w:p>
        </w:tc>
        <w:tc>
          <w:tcPr>
            <w:tcW w:w="1360" w:type="dxa"/>
            <w:vAlign w:val="bottom"/>
            <w:tcBorders>
              <w:bottom w:val="single" w:sz="8" w:color="auto"/>
              <w:right w:val="single" w:sz="8" w:color="auto"/>
            </w:tcBorders>
          </w:tcPr>
          <w:p>
            <w:pPr>
              <w:jc w:val="center"/>
              <w:ind w:right="82"/>
              <w:spacing w:after="0"/>
              <w:rPr>
                <w:sz w:val="20"/>
                <w:szCs w:val="20"/>
                <w:color w:val="auto"/>
              </w:rPr>
            </w:pPr>
            <w:r>
              <w:rPr>
                <w:rFonts w:ascii="Arial" w:cs="Arial" w:eastAsia="Arial" w:hAnsi="Arial"/>
                <w:sz w:val="18"/>
                <w:szCs w:val="18"/>
                <w:color w:val="auto"/>
                <w:w w:val="86"/>
              </w:rPr>
              <w:t>$16.685</w:t>
            </w:r>
          </w:p>
        </w:tc>
        <w:tc>
          <w:tcPr>
            <w:tcW w:w="15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$515,238,105.83</w:t>
            </w:r>
          </w:p>
        </w:tc>
        <w:tc>
          <w:tcPr>
            <w:tcW w:w="32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$28,750.29</w:t>
            </w:r>
          </w:p>
        </w:tc>
        <w:tc>
          <w:tcPr>
            <w:tcW w:w="260" w:type="dxa"/>
            <w:vAlign w:val="bottom"/>
            <w:tcBorders>
              <w:bottom w:val="single" w:sz="8" w:color="auto"/>
            </w:tcBorders>
          </w:tcPr>
          <w:p>
            <w:pPr>
              <w:spacing w:after="0"/>
              <w:rPr>
                <w:sz w:val="19"/>
                <w:szCs w:val="19"/>
                <w:color w:val="auto"/>
              </w:rPr>
            </w:pPr>
          </w:p>
        </w:tc>
      </w:tr>
      <w:tr>
        <w:trPr>
          <w:trHeight w:val="202"/>
        </w:trPr>
        <w:tc>
          <w:tcPr>
            <w:tcW w:w="20" w:type="dxa"/>
            <w:vAlign w:val="bottom"/>
          </w:tcPr>
          <w:p>
            <w:pPr>
              <w:spacing w:after="0"/>
              <w:rPr>
                <w:sz w:val="17"/>
                <w:szCs w:val="17"/>
                <w:color w:val="auto"/>
              </w:rPr>
            </w:pPr>
          </w:p>
        </w:tc>
        <w:tc>
          <w:tcPr>
            <w:tcW w:w="5040" w:type="dxa"/>
            <w:vAlign w:val="bottom"/>
            <w:tcBorders>
              <w:right w:val="single" w:sz="8" w:color="auto"/>
            </w:tcBorders>
            <w:gridSpan w:val="3"/>
          </w:tcPr>
          <w:p>
            <w:pPr>
              <w:spacing w:after="0" w:line="202" w:lineRule="exact"/>
              <w:rPr>
                <w:sz w:val="20"/>
                <w:szCs w:val="20"/>
                <w:color w:val="auto"/>
              </w:rPr>
            </w:pPr>
            <w:r>
              <w:rPr>
                <w:rFonts w:ascii="Arial" w:cs="Arial" w:eastAsia="Arial" w:hAnsi="Arial"/>
                <w:sz w:val="18"/>
                <w:szCs w:val="18"/>
                <w:color w:val="auto"/>
                <w:w w:val="91"/>
              </w:rPr>
              <w:t>Common shares, par value $0.002 per share, to be issued under the</w:t>
            </w:r>
          </w:p>
        </w:tc>
        <w:tc>
          <w:tcPr>
            <w:tcW w:w="1580" w:type="dxa"/>
            <w:vAlign w:val="bottom"/>
            <w:tcBorders>
              <w:right w:val="single" w:sz="8" w:color="auto"/>
            </w:tcBorders>
          </w:tcPr>
          <w:p>
            <w:pPr>
              <w:spacing w:after="0"/>
              <w:rPr>
                <w:sz w:val="17"/>
                <w:szCs w:val="17"/>
                <w:color w:val="auto"/>
              </w:rPr>
            </w:pPr>
          </w:p>
        </w:tc>
        <w:tc>
          <w:tcPr>
            <w:tcW w:w="260" w:type="dxa"/>
            <w:vAlign w:val="bottom"/>
          </w:tcPr>
          <w:p>
            <w:pPr>
              <w:spacing w:after="0"/>
              <w:rPr>
                <w:sz w:val="17"/>
                <w:szCs w:val="17"/>
                <w:color w:val="auto"/>
              </w:rPr>
            </w:pPr>
          </w:p>
        </w:tc>
        <w:tc>
          <w:tcPr>
            <w:tcW w:w="1360" w:type="dxa"/>
            <w:vAlign w:val="bottom"/>
            <w:tcBorders>
              <w:right w:val="single" w:sz="8" w:color="auto"/>
            </w:tcBorders>
          </w:tcPr>
          <w:p>
            <w:pPr>
              <w:spacing w:after="0"/>
              <w:rPr>
                <w:sz w:val="17"/>
                <w:szCs w:val="17"/>
                <w:color w:val="auto"/>
              </w:rPr>
            </w:pPr>
          </w:p>
        </w:tc>
        <w:tc>
          <w:tcPr>
            <w:tcW w:w="1580" w:type="dxa"/>
            <w:vAlign w:val="bottom"/>
            <w:tcBorders>
              <w:right w:val="single" w:sz="8" w:color="auto"/>
            </w:tcBorders>
          </w:tcPr>
          <w:p>
            <w:pPr>
              <w:spacing w:after="0"/>
              <w:rPr>
                <w:sz w:val="17"/>
                <w:szCs w:val="17"/>
                <w:color w:val="auto"/>
              </w:rPr>
            </w:pPr>
          </w:p>
        </w:tc>
        <w:tc>
          <w:tcPr>
            <w:tcW w:w="32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260" w:type="dxa"/>
            <w:vAlign w:val="bottom"/>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5040" w:type="dxa"/>
            <w:vAlign w:val="bottom"/>
            <w:tcBorders>
              <w:right w:val="single" w:sz="8" w:color="auto"/>
            </w:tcBorders>
            <w:gridSpan w:val="3"/>
          </w:tcPr>
          <w:p>
            <w:pPr>
              <w:ind w:left="200"/>
              <w:spacing w:after="0"/>
              <w:rPr>
                <w:sz w:val="20"/>
                <w:szCs w:val="20"/>
                <w:color w:val="auto"/>
              </w:rPr>
            </w:pPr>
            <w:r>
              <w:rPr>
                <w:rFonts w:ascii="Arial" w:cs="Arial" w:eastAsia="Arial" w:hAnsi="Arial"/>
                <w:sz w:val="18"/>
                <w:szCs w:val="18"/>
                <w:color w:val="auto"/>
                <w:w w:val="94"/>
              </w:rPr>
              <w:t>Marvell Technology Group Ltd. 2000 Employee Stock Purchase</w:t>
            </w:r>
          </w:p>
        </w:tc>
        <w:tc>
          <w:tcPr>
            <w:tcW w:w="1580" w:type="dxa"/>
            <w:vAlign w:val="bottom"/>
            <w:tcBorders>
              <w:right w:val="single" w:sz="8" w:color="auto"/>
            </w:tcBorders>
          </w:tcPr>
          <w:p>
            <w:pPr>
              <w:spacing w:after="0"/>
              <w:rPr>
                <w:sz w:val="18"/>
                <w:szCs w:val="18"/>
                <w:color w:val="auto"/>
              </w:rPr>
            </w:pPr>
          </w:p>
        </w:tc>
        <w:tc>
          <w:tcPr>
            <w:tcW w:w="260" w:type="dxa"/>
            <w:vAlign w:val="bottom"/>
          </w:tcPr>
          <w:p>
            <w:pPr>
              <w:spacing w:after="0"/>
              <w:rPr>
                <w:sz w:val="18"/>
                <w:szCs w:val="18"/>
                <w:color w:val="auto"/>
              </w:rPr>
            </w:pPr>
          </w:p>
        </w:tc>
        <w:tc>
          <w:tcPr>
            <w:tcW w:w="1360" w:type="dxa"/>
            <w:vAlign w:val="bottom"/>
            <w:tcBorders>
              <w:right w:val="single" w:sz="8" w:color="auto"/>
            </w:tcBorders>
          </w:tcPr>
          <w:p>
            <w:pPr>
              <w:spacing w:after="0"/>
              <w:rPr>
                <w:sz w:val="18"/>
                <w:szCs w:val="18"/>
                <w:color w:val="auto"/>
              </w:rPr>
            </w:pPr>
          </w:p>
        </w:tc>
        <w:tc>
          <w:tcPr>
            <w:tcW w:w="1580" w:type="dxa"/>
            <w:vAlign w:val="bottom"/>
            <w:tcBorders>
              <w:right w:val="single" w:sz="8" w:color="auto"/>
            </w:tcBorders>
          </w:tcPr>
          <w:p>
            <w:pPr>
              <w:spacing w:after="0"/>
              <w:rPr>
                <w:sz w:val="18"/>
                <w:szCs w:val="18"/>
                <w:color w:val="auto"/>
              </w:rPr>
            </w:pPr>
          </w:p>
        </w:tc>
        <w:tc>
          <w:tcPr>
            <w:tcW w:w="32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60" w:type="dxa"/>
            <w:vAlign w:val="bottom"/>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5040" w:type="dxa"/>
            <w:vAlign w:val="bottom"/>
            <w:tcBorders>
              <w:bottom w:val="single" w:sz="8" w:color="auto"/>
              <w:right w:val="single" w:sz="8" w:color="auto"/>
            </w:tcBorders>
            <w:gridSpan w:val="3"/>
          </w:tcPr>
          <w:p>
            <w:pPr>
              <w:ind w:left="200"/>
              <w:spacing w:after="0"/>
              <w:rPr>
                <w:sz w:val="20"/>
                <w:szCs w:val="20"/>
                <w:color w:val="auto"/>
              </w:rPr>
            </w:pPr>
            <w:r>
              <w:rPr>
                <w:rFonts w:ascii="Arial" w:cs="Arial" w:eastAsia="Arial" w:hAnsi="Arial"/>
                <w:sz w:val="18"/>
                <w:szCs w:val="18"/>
                <w:color w:val="auto"/>
              </w:rPr>
              <w:t>Plan, as amended and restated</w:t>
            </w:r>
          </w:p>
        </w:tc>
        <w:tc>
          <w:tcPr>
            <w:tcW w:w="15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4"/>
              </w:rPr>
              <w:t>8,000,000 shares</w:t>
            </w:r>
          </w:p>
        </w:tc>
        <w:tc>
          <w:tcPr>
            <w:tcW w:w="260" w:type="dxa"/>
            <w:vAlign w:val="bottom"/>
            <w:tcBorders>
              <w:bottom w:val="single" w:sz="8" w:color="auto"/>
            </w:tcBorders>
          </w:tcPr>
          <w:p>
            <w:pPr>
              <w:spacing w:after="0"/>
              <w:rPr>
                <w:sz w:val="19"/>
                <w:szCs w:val="19"/>
                <w:color w:val="auto"/>
              </w:rPr>
            </w:pPr>
          </w:p>
        </w:tc>
        <w:tc>
          <w:tcPr>
            <w:tcW w:w="1360" w:type="dxa"/>
            <w:vAlign w:val="bottom"/>
            <w:tcBorders>
              <w:bottom w:val="single" w:sz="8" w:color="auto"/>
              <w:right w:val="single" w:sz="8" w:color="auto"/>
            </w:tcBorders>
          </w:tcPr>
          <w:p>
            <w:pPr>
              <w:jc w:val="center"/>
              <w:ind w:right="82"/>
              <w:spacing w:after="0"/>
              <w:rPr>
                <w:sz w:val="20"/>
                <w:szCs w:val="20"/>
                <w:color w:val="auto"/>
              </w:rPr>
            </w:pPr>
            <w:r>
              <w:rPr>
                <w:rFonts w:ascii="Arial" w:cs="Arial" w:eastAsia="Arial" w:hAnsi="Arial"/>
                <w:sz w:val="18"/>
                <w:szCs w:val="18"/>
                <w:color w:val="auto"/>
                <w:w w:val="86"/>
              </w:rPr>
              <w:t>$16.685</w:t>
            </w:r>
          </w:p>
        </w:tc>
        <w:tc>
          <w:tcPr>
            <w:tcW w:w="15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$133,480,000.00</w:t>
            </w:r>
          </w:p>
        </w:tc>
        <w:tc>
          <w:tcPr>
            <w:tcW w:w="32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7"/>
              </w:rPr>
              <w:t>$7,448.18</w:t>
            </w:r>
          </w:p>
        </w:tc>
        <w:tc>
          <w:tcPr>
            <w:tcW w:w="260" w:type="dxa"/>
            <w:vAlign w:val="bottom"/>
            <w:tcBorders>
              <w:bottom w:val="single" w:sz="8" w:color="auto"/>
            </w:tcBorders>
          </w:tcPr>
          <w:p>
            <w:pPr>
              <w:spacing w:after="0"/>
              <w:rPr>
                <w:sz w:val="19"/>
                <w:szCs w:val="19"/>
                <w:color w:val="auto"/>
              </w:rPr>
            </w:pPr>
          </w:p>
        </w:tc>
      </w:tr>
      <w:tr>
        <w:trPr>
          <w:trHeight w:val="211"/>
        </w:trPr>
        <w:tc>
          <w:tcPr>
            <w:tcW w:w="20" w:type="dxa"/>
            <w:vAlign w:val="bottom"/>
          </w:tcPr>
          <w:p>
            <w:pPr>
              <w:spacing w:after="0"/>
              <w:rPr>
                <w:sz w:val="18"/>
                <w:szCs w:val="18"/>
                <w:color w:val="auto"/>
              </w:rPr>
            </w:pPr>
          </w:p>
        </w:tc>
        <w:tc>
          <w:tcPr>
            <w:tcW w:w="5040" w:type="dxa"/>
            <w:vAlign w:val="bottom"/>
            <w:tcBorders>
              <w:bottom w:val="single" w:sz="8" w:color="auto"/>
              <w:right w:val="single" w:sz="8" w:color="auto"/>
            </w:tcBorders>
            <w:gridSpan w:val="3"/>
          </w:tcPr>
          <w:p>
            <w:pPr>
              <w:ind w:left="420"/>
              <w:spacing w:after="0"/>
              <w:rPr>
                <w:sz w:val="20"/>
                <w:szCs w:val="20"/>
                <w:color w:val="auto"/>
              </w:rPr>
            </w:pPr>
            <w:r>
              <w:rPr>
                <w:rFonts w:ascii="Arial" w:cs="Arial" w:eastAsia="Arial" w:hAnsi="Arial"/>
                <w:sz w:val="18"/>
                <w:szCs w:val="18"/>
                <w:b w:val="1"/>
                <w:bCs w:val="1"/>
                <w:color w:val="auto"/>
              </w:rPr>
              <w:t>Total Registration Fee</w:t>
            </w:r>
          </w:p>
        </w:tc>
        <w:tc>
          <w:tcPr>
            <w:tcW w:w="15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9"/>
              </w:rPr>
              <w:t>N/A</w:t>
            </w:r>
          </w:p>
        </w:tc>
        <w:tc>
          <w:tcPr>
            <w:tcW w:w="260" w:type="dxa"/>
            <w:vAlign w:val="bottom"/>
            <w:tcBorders>
              <w:bottom w:val="single" w:sz="8" w:color="auto"/>
            </w:tcBorders>
          </w:tcPr>
          <w:p>
            <w:pPr>
              <w:spacing w:after="0"/>
              <w:rPr>
                <w:sz w:val="18"/>
                <w:szCs w:val="18"/>
                <w:color w:val="auto"/>
              </w:rPr>
            </w:pPr>
          </w:p>
        </w:tc>
        <w:tc>
          <w:tcPr>
            <w:tcW w:w="1360" w:type="dxa"/>
            <w:vAlign w:val="bottom"/>
            <w:tcBorders>
              <w:bottom w:val="single" w:sz="8" w:color="auto"/>
              <w:right w:val="single" w:sz="8" w:color="auto"/>
            </w:tcBorders>
          </w:tcPr>
          <w:p>
            <w:pPr>
              <w:jc w:val="center"/>
              <w:ind w:right="62"/>
              <w:spacing w:after="0"/>
              <w:rPr>
                <w:sz w:val="20"/>
                <w:szCs w:val="20"/>
                <w:color w:val="auto"/>
              </w:rPr>
            </w:pPr>
            <w:r>
              <w:rPr>
                <w:rFonts w:ascii="Arial" w:cs="Arial" w:eastAsia="Arial" w:hAnsi="Arial"/>
                <w:sz w:val="18"/>
                <w:szCs w:val="18"/>
                <w:color w:val="auto"/>
                <w:w w:val="99"/>
              </w:rPr>
              <w:t>N/A</w:t>
            </w:r>
          </w:p>
        </w:tc>
        <w:tc>
          <w:tcPr>
            <w:tcW w:w="15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9"/>
              </w:rPr>
              <w:t>N/A</w:t>
            </w:r>
          </w:p>
        </w:tc>
        <w:tc>
          <w:tcPr>
            <w:tcW w:w="32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$36,198.47</w:t>
            </w:r>
          </w:p>
        </w:tc>
        <w:tc>
          <w:tcPr>
            <w:tcW w:w="260" w:type="dxa"/>
            <w:vAlign w:val="bottom"/>
            <w:tcBorders>
              <w:bottom w:val="single" w:sz="8" w:color="auto"/>
            </w:tcBorders>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1740" w:type="dxa"/>
            <w:vAlign w:val="bottom"/>
            <w:tcBorders>
              <w:bottom w:val="single" w:sz="8" w:color="auto"/>
            </w:tcBorders>
          </w:tcPr>
          <w:p>
            <w:pPr>
              <w:spacing w:after="0" w:line="20" w:lineRule="exact"/>
              <w:rPr>
                <w:sz w:val="1"/>
                <w:szCs w:val="1"/>
                <w:color w:val="auto"/>
              </w:rPr>
            </w:pPr>
          </w:p>
        </w:tc>
        <w:tc>
          <w:tcPr>
            <w:tcW w:w="276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58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158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r>
    </w:tbl>
    <w:p>
      <w:pPr>
        <w:spacing w:after="0" w:line="5" w:lineRule="exact"/>
        <w:rPr>
          <w:sz w:val="20"/>
          <w:szCs w:val="20"/>
          <w:color w:val="auto"/>
        </w:rPr>
      </w:pPr>
    </w:p>
    <w:p>
      <w:pPr>
        <w:ind w:left="460" w:right="140" w:hanging="452"/>
        <w:spacing w:after="0" w:line="283" w:lineRule="auto"/>
        <w:tabs>
          <w:tab w:leader="none" w:pos="460" w:val="left"/>
        </w:tabs>
        <w:numPr>
          <w:ilvl w:val="0"/>
          <w:numId w:val="1"/>
        </w:numPr>
        <w:rPr>
          <w:rFonts w:ascii="Arial" w:cs="Arial" w:eastAsia="Arial" w:hAnsi="Arial"/>
          <w:sz w:val="16"/>
          <w:szCs w:val="16"/>
          <w:color w:val="auto"/>
        </w:rPr>
      </w:pPr>
      <w:r>
        <w:rPr>
          <w:rFonts w:ascii="Arial" w:cs="Arial" w:eastAsia="Arial" w:hAnsi="Arial"/>
          <w:sz w:val="16"/>
          <w:szCs w:val="16"/>
          <w:color w:val="auto"/>
        </w:rPr>
        <w:t>Pursuant to Rule 416(a) of the Securities Act of 1933, as amended (the “Securities Act”), this Registration Statement also covers shares issued pursuant to certain anti-dilution provisions as set forth in the Marvell Technology Group Ltd. Amended and Restated 1995 Stock Option Plan, as amended, and the Marvell Technology Group Ltd. 2000 Employee Stock Purchase Plan, as amended and restated, including, without limitation, shares issued as a result of any stock split, stock dividend, recapitalization or any other similar transaction effected without the Registrant’s receipt of consideration that results in an increase in the number of the Registrant’s outstanding common shares.</w:t>
      </w:r>
    </w:p>
    <w:p>
      <w:pPr>
        <w:spacing w:after="0" w:line="2" w:lineRule="exact"/>
        <w:rPr>
          <w:rFonts w:ascii="Arial" w:cs="Arial" w:eastAsia="Arial" w:hAnsi="Arial"/>
          <w:sz w:val="16"/>
          <w:szCs w:val="16"/>
          <w:color w:val="auto"/>
        </w:rPr>
      </w:pPr>
    </w:p>
    <w:p>
      <w:pPr>
        <w:ind w:left="460" w:right="60" w:hanging="452"/>
        <w:spacing w:after="0" w:line="250" w:lineRule="auto"/>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Estimated in accordance with Rules 457(c) and (h) of the Securities Act solely for the purpose of calculating the registration fee, based upon the average of the high and low prices of the Registrant’s common shares as reported on the Nasdaq Global Select Market on December 3, 2009, which amount was $16.685 per share.</w:t>
      </w:r>
    </w:p>
    <w:p>
      <w:pPr>
        <w:spacing w:after="0" w:line="1" w:lineRule="exact"/>
        <w:rPr>
          <w:rFonts w:ascii="Arial" w:cs="Arial" w:eastAsia="Arial" w:hAnsi="Arial"/>
          <w:sz w:val="18"/>
          <w:szCs w:val="18"/>
          <w:color w:val="auto"/>
        </w:rPr>
      </w:pPr>
    </w:p>
    <w:p>
      <w:pPr>
        <w:ind w:left="460" w:right="280" w:hanging="452"/>
        <w:spacing w:after="0" w:line="261" w:lineRule="auto"/>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Amount of the Registration Fee was calculated pursuant to Section 6(b) of the Securities Act, and was determined by multiplying the aggregate offering amount by 0.0000558.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67310</wp:posOffset>
            </wp:positionV>
            <wp:extent cx="724662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101600</wp:posOffset>
            </wp:positionV>
            <wp:extent cx="724662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301" w:right="239" w:bottom="1440" w:gutter="0" w:footer="0" w:header="0"/>
        </w:sectPr>
      </w:pPr>
    </w:p>
    <w:bookmarkStart w:id="2" w:name="page3"/>
    <w:bookmarkEnd w:id="2"/>
    <w:p>
      <w:pPr>
        <w:ind w:right="2140" w:firstLine="2158"/>
        <w:spacing w:after="0" w:line="394"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INFORMATION REQUIRED PURSUANT TO GENERAL INSTRUCTION E TO FORM S-8 General Instruction E Information</w:t>
      </w:r>
    </w:p>
    <w:p>
      <w:pPr>
        <w:spacing w:after="0" w:line="2" w:lineRule="exact"/>
        <w:rPr>
          <w:sz w:val="20"/>
          <w:szCs w:val="20"/>
          <w:color w:val="auto"/>
        </w:rPr>
      </w:pPr>
    </w:p>
    <w:p>
      <w:pPr>
        <w:spacing w:after="0" w:line="294" w:lineRule="auto"/>
        <w:rPr>
          <w:sz w:val="20"/>
          <w:szCs w:val="20"/>
          <w:color w:val="auto"/>
        </w:rPr>
      </w:pPr>
      <w:r>
        <w:rPr>
          <w:rFonts w:ascii="Arial" w:cs="Arial" w:eastAsia="Arial" w:hAnsi="Arial"/>
          <w:sz w:val="16"/>
          <w:szCs w:val="16"/>
          <w:color w:val="auto"/>
        </w:rPr>
        <w:t>This Registration Statement on Form S-8 is being filed by Marvell Technology Group Ltd. (“Marvell” or the “Registrant”) to register an additional 30,880,318 of its common shares, par value $0.002 per share (“Common Shares”), issuable to holders of options issued under the Marvell Technology Group Ltd. Amended and Restated 1995 Stock Option Plan, as amended (the “1995 Stock Plan”) and an additional 8,000,000 Common Shares issuable to employees of Marvell and certain of its subsidiaries under the Marvell Technology Group Ltd. 2000 Employee Stock Purchase Plan, as amended and restated (the “2000 ESPP”), and consists of only those items required by General Instruction E to Form S-8.</w:t>
      </w:r>
    </w:p>
    <w:p>
      <w:pPr>
        <w:spacing w:after="0" w:line="116" w:lineRule="exact"/>
        <w:rPr>
          <w:sz w:val="20"/>
          <w:szCs w:val="20"/>
          <w:color w:val="auto"/>
        </w:rPr>
      </w:pPr>
    </w:p>
    <w:p>
      <w:pPr>
        <w:ind w:right="160"/>
        <w:spacing w:after="0" w:line="284" w:lineRule="auto"/>
        <w:rPr>
          <w:sz w:val="20"/>
          <w:szCs w:val="20"/>
          <w:color w:val="auto"/>
        </w:rPr>
      </w:pPr>
      <w:r>
        <w:rPr>
          <w:rFonts w:ascii="Arial" w:cs="Arial" w:eastAsia="Arial" w:hAnsi="Arial"/>
          <w:sz w:val="16"/>
          <w:szCs w:val="16"/>
          <w:color w:val="auto"/>
        </w:rPr>
        <w:t>The contents of Marvell’s Registration Statements on Form S-8 previously filed with the Securities and Exchange Commission (the “Commission”) on June 26, 2000 (Registration No. 333-40152), February 21, 2001 (Registration No. 333-55974), May 1, 2002 (Registration No. 333-87322), May 2, 2003 (Registration No. 333-104925), August 28, 2003 (Registration No. 333-108334), April 13, 2004 (Registration No. 333-114434), April 14, 2005 (Registration No. 333-</w:t>
      </w:r>
    </w:p>
    <w:p>
      <w:pPr>
        <w:spacing w:after="0" w:line="1" w:lineRule="exact"/>
        <w:rPr>
          <w:sz w:val="20"/>
          <w:szCs w:val="20"/>
          <w:color w:val="auto"/>
        </w:rPr>
      </w:pPr>
    </w:p>
    <w:p>
      <w:pPr>
        <w:ind w:right="40"/>
        <w:spacing w:after="0" w:line="261" w:lineRule="auto"/>
        <w:rPr>
          <w:sz w:val="20"/>
          <w:szCs w:val="20"/>
          <w:color w:val="auto"/>
        </w:rPr>
      </w:pPr>
      <w:r>
        <w:rPr>
          <w:rFonts w:ascii="Arial" w:cs="Arial" w:eastAsia="Arial" w:hAnsi="Arial"/>
          <w:sz w:val="18"/>
          <w:szCs w:val="18"/>
          <w:color w:val="auto"/>
        </w:rPr>
        <w:t>124072), April 13, 2006 (Registration No. 333-133281), January 11, 2008 (Registration No. 333-148621) and June 20, 2008 (Registration No. 333-151816), each of which relates to the 1995 Stock Plan, are incorporated herein by reference and made a part hereof.</w:t>
      </w:r>
    </w:p>
    <w:p>
      <w:pPr>
        <w:spacing w:after="0" w:line="138"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color w:val="auto"/>
        </w:rPr>
        <w:t>The contents of Marvell’s Registration Statements on Form S-8 previously filed with the Commission on June 26, 2000 (Registration No. 333-40154), February 28, 2001 (Registration No. 333-56322), May 1, 2002 (Registration No. 333-87322), May 2, 2003 (Registration No. 333-104925), April 13, 2004 (Registration No. 333-114434), April 14, 2005 (Registration No. 333-124072), April 13, 2006 (Registration No. 333-133281), January 11, 2008 (Registration No. 333-148621) and June 20, 2008 (Registration No. 333-151816), each of which relates to the 2000 ESPP, are incorporated herein by reference and made a part hereof.</w:t>
      </w:r>
    </w:p>
    <w:p>
      <w:pPr>
        <w:spacing w:after="0" w:line="299" w:lineRule="exact"/>
        <w:rPr>
          <w:sz w:val="20"/>
          <w:szCs w:val="20"/>
          <w:color w:val="auto"/>
        </w:rPr>
      </w:pPr>
    </w:p>
    <w:p>
      <w:pPr>
        <w:ind w:left="5400"/>
        <w:spacing w:after="0"/>
        <w:rPr>
          <w:sz w:val="20"/>
          <w:szCs w:val="20"/>
          <w:color w:val="auto"/>
        </w:rPr>
      </w:pPr>
      <w:r>
        <w:rPr>
          <w:rFonts w:ascii="Arial" w:cs="Arial" w:eastAsia="Arial" w:hAnsi="Arial"/>
          <w:sz w:val="18"/>
          <w:szCs w:val="18"/>
          <w:b w:val="1"/>
          <w:bCs w:val="1"/>
          <w:color w:val="auto"/>
        </w:rPr>
        <w:t>PART II</w:t>
      </w:r>
    </w:p>
    <w:p>
      <w:pPr>
        <w:spacing w:after="0" w:line="171" w:lineRule="exact"/>
        <w:rPr>
          <w:sz w:val="20"/>
          <w:szCs w:val="20"/>
          <w:color w:val="auto"/>
        </w:rPr>
      </w:pPr>
    </w:p>
    <w:p>
      <w:pPr>
        <w:ind w:left="2980"/>
        <w:spacing w:after="0"/>
        <w:rPr>
          <w:sz w:val="20"/>
          <w:szCs w:val="20"/>
          <w:color w:val="auto"/>
        </w:rPr>
      </w:pPr>
      <w:r>
        <w:rPr>
          <w:rFonts w:ascii="Arial" w:cs="Arial" w:eastAsia="Arial" w:hAnsi="Arial"/>
          <w:sz w:val="18"/>
          <w:szCs w:val="18"/>
          <w:b w:val="1"/>
          <w:bCs w:val="1"/>
          <w:color w:val="auto"/>
        </w:rPr>
        <w:t>INFORMATION REQUIRED IN THE REGISTRATION STATEMENT</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3. Incorporation of Documents by Reference.</w:t>
      </w:r>
    </w:p>
    <w:p>
      <w:pPr>
        <w:spacing w:after="0" w:line="96"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The following documents and information previously filed with the Commission by Marvell are hereby incorporated by reference in this Registration Statement unless otherwise noted:</w:t>
      </w:r>
    </w:p>
    <w:p>
      <w:pPr>
        <w:spacing w:after="0" w:line="51"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Marvell’s Annual Report on Form 10-K for the fiscal year ended January 31, 2009, filed with the Commission on April 1, 2009.</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Marvell’s Quarterly Report on Form 10-Q for the quarterly period ended May 2, 2009, filed with the Commission on June 11, 2009.</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2"/>
        </w:numPr>
        <w:rPr>
          <w:rFonts w:ascii="Arial" w:cs="Arial" w:eastAsia="Arial" w:hAnsi="Arial"/>
          <w:sz w:val="16"/>
          <w:szCs w:val="16"/>
          <w:color w:val="auto"/>
        </w:rPr>
      </w:pPr>
      <w:r>
        <w:rPr>
          <w:rFonts w:ascii="Arial" w:cs="Arial" w:eastAsia="Arial" w:hAnsi="Arial"/>
          <w:sz w:val="16"/>
          <w:szCs w:val="16"/>
          <w:color w:val="auto"/>
        </w:rPr>
        <w:t>Marvell’s Quarterly Report on Form 10-Q for the quarterly period ended August 1, 2009, filed with the Commission on September 10, 2009.</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0"/>
          <w:numId w:val="2"/>
        </w:numPr>
        <w:rPr>
          <w:rFonts w:ascii="Arial" w:cs="Arial" w:eastAsia="Arial" w:hAnsi="Arial"/>
          <w:sz w:val="16"/>
          <w:szCs w:val="16"/>
          <w:color w:val="auto"/>
        </w:rPr>
      </w:pPr>
      <w:r>
        <w:rPr>
          <w:rFonts w:ascii="Arial" w:cs="Arial" w:eastAsia="Arial" w:hAnsi="Arial"/>
          <w:sz w:val="16"/>
          <w:szCs w:val="16"/>
          <w:color w:val="auto"/>
        </w:rPr>
        <w:t>Marvell’s Quarterly Report on Form 10-Q for the quarterly period ended October 31, 2009, filed with the Commission on December 9, 2009.</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0"/>
          <w:numId w:val="2"/>
        </w:numPr>
        <w:rPr>
          <w:rFonts w:ascii="Arial" w:cs="Arial" w:eastAsia="Arial" w:hAnsi="Arial"/>
          <w:sz w:val="16"/>
          <w:szCs w:val="16"/>
          <w:color w:val="auto"/>
        </w:rPr>
      </w:pPr>
      <w:r>
        <w:rPr>
          <w:rFonts w:ascii="Arial" w:cs="Arial" w:eastAsia="Arial" w:hAnsi="Arial"/>
          <w:sz w:val="16"/>
          <w:szCs w:val="16"/>
          <w:color w:val="auto"/>
        </w:rPr>
        <w:t>Marvell’s Current Reports on Form 8-K filed with the Commission on March 5, 2009, May 28, 2009 (two filings), June 9, 2009, June 22,</w:t>
      </w:r>
    </w:p>
    <w:p>
      <w:pPr>
        <w:spacing w:after="0" w:line="38" w:lineRule="exact"/>
        <w:rPr>
          <w:rFonts w:ascii="Arial" w:cs="Arial" w:eastAsia="Arial" w:hAnsi="Arial"/>
          <w:sz w:val="16"/>
          <w:szCs w:val="16"/>
          <w:color w:val="auto"/>
        </w:rPr>
      </w:pPr>
    </w:p>
    <w:p>
      <w:pPr>
        <w:ind w:left="900" w:right="120"/>
        <w:spacing w:after="0" w:line="255" w:lineRule="auto"/>
        <w:rPr>
          <w:rFonts w:ascii="Arial" w:cs="Arial" w:eastAsia="Arial" w:hAnsi="Arial"/>
          <w:sz w:val="16"/>
          <w:szCs w:val="16"/>
          <w:color w:val="auto"/>
        </w:rPr>
      </w:pPr>
      <w:r>
        <w:rPr>
          <w:rFonts w:ascii="Arial" w:cs="Arial" w:eastAsia="Arial" w:hAnsi="Arial"/>
          <w:sz w:val="18"/>
          <w:szCs w:val="18"/>
          <w:color w:val="auto"/>
        </w:rPr>
        <w:t>2009, August 27, 2009, October 26, 2009, October 28, 2009, November 18, 2009 and December 3, 2009. With respect to such Current Reports on Form 8-K, Marvell specifically excludes from incorporation such information that has been furnished and not filed pursuant to Item 2.02, Item 7.01 and/or Item 9.01.</w:t>
      </w:r>
    </w:p>
    <w:p>
      <w:pPr>
        <w:sectPr>
          <w:pgSz w:w="11900" w:h="16838" w:orient="portrait"/>
          <w:cols w:equalWidth="0" w:num="1">
            <w:col w:w="11400"/>
          </w:cols>
          <w:pgMar w:left="240" w:top="274" w:right="259" w:bottom="1440" w:gutter="0" w:footer="0" w:header="0"/>
        </w:sectPr>
      </w:pPr>
    </w:p>
    <w:bookmarkStart w:id="3" w:name="page4"/>
    <w:bookmarkEnd w:id="3"/>
    <w:p>
      <w:pPr>
        <w:ind w:left="900" w:right="180" w:hanging="446"/>
        <w:spacing w:after="0" w:line="268"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description of the Common Shares contained in Marvell’s Registration Statement on Form 8-A as filed with the Commission on June 22, 2000 pursuant to Section 12(g) of the Securities Exchange Act of 1934, as amended (the “Exchange Act”).</w:t>
      </w:r>
    </w:p>
    <w:p>
      <w:pPr>
        <w:spacing w:after="0" w:line="132" w:lineRule="exact"/>
        <w:rPr>
          <w:sz w:val="20"/>
          <w:szCs w:val="20"/>
          <w:color w:val="auto"/>
        </w:rPr>
      </w:pPr>
    </w:p>
    <w:p>
      <w:pPr>
        <w:ind w:right="40"/>
        <w:spacing w:after="0" w:line="290" w:lineRule="auto"/>
        <w:rPr>
          <w:sz w:val="20"/>
          <w:szCs w:val="20"/>
          <w:color w:val="auto"/>
        </w:rPr>
      </w:pPr>
      <w:r>
        <w:rPr>
          <w:rFonts w:ascii="Arial" w:cs="Arial" w:eastAsia="Arial" w:hAnsi="Arial"/>
          <w:sz w:val="16"/>
          <w:szCs w:val="16"/>
          <w:color w:val="auto"/>
        </w:rPr>
        <w:t>All documents subsequently filed by Marvell pursuant to Sections 13(a), 13(c), 14 and 15(d) of the Exchange Act, prior to the filing of a post-effective amendment to the Registration Statement that indicates that all of the Common Shares offered have been sold or that deregisters all of such shares then remaining unsold, shall be deemed to be incorporated by reference in this Registration Statement and to be a part hereof from the date of the filing of such documents. For the purposes of this Registration Statement, any statement contained in a document incorporated or deemed to be incorporated by reference herein shall be deemed to be modified or superseded to the extent that a statement contained herein or in any other subsequently filed document that also is or is deemed to be incorporated by reference herein modifies or supersedes such statement. Any such statement so modified or superseded shall not be deemed, except as so modified or superseded, to constitute a part of this Registration Statement.</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6. Indemnification of Directors and Officers.</w:t>
      </w:r>
    </w:p>
    <w:p>
      <w:pPr>
        <w:spacing w:after="0" w:line="96"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Set forth below is a description of certain provisions of the Companies Act of 1981 of Bermuda (the “Companies Act”), Marvell’s Memorandum of Association, as presently in effect (the “Memorandum of Association”), and Marvell’s Second Amended and Resated Bye-laws (the “Bye-laws”), as such provisions relate to the indemnification of its directors and officers. This description is intended only as a summary and is qualified in its entirety by reference to the applicable provisions of the Companies Act, the Memorandum of Association and the Bye-laws, which are incorporated herein by reference.</w:t>
      </w:r>
    </w:p>
    <w:p>
      <w:pPr>
        <w:spacing w:after="0" w:line="113"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Companies Act permits Marvell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Marvell other than in respect of his own fraud or dishonesty.</w:t>
      </w:r>
    </w:p>
    <w:p>
      <w:pPr>
        <w:spacing w:after="0" w:line="14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The Bye-laws provide that every director, officer and committee member be indemnified against any liability, loss, damage or expense incurred or suffered in such capacity, subject to limitations imposed in the Companies Act.</w:t>
      </w:r>
    </w:p>
    <w:p>
      <w:pPr>
        <w:spacing w:after="0" w:line="132"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Bye-laws further provide that each shareholder agree to waive any claim or right of action against any director or officer, in respect of any failure to act or any action taken by such director or officer in the performance of his duties with or for Marvell. The waiver does not extend to claims arising under United States federal securities laws or any claims or rights of action arising from the fraud or dishonesty of the director or officer.</w:t>
      </w:r>
    </w:p>
    <w:p>
      <w:pPr>
        <w:spacing w:after="0" w:line="107"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Marvell has agreed to indemnify certain current and former directors and officers of Marvell and current and former officers and employees of its subsidiary, Marvell Semiconductor, Inc. (“MSI”), for reasonable costs and expenses incurred by such individuals in connection with certain civil actions and governmental investigations relating to Marvell’s historic stock option granting practices. Marvell’s agreement to pay reasonable fees and costs is subject to each individual’s agreement to reimburse Marvell in the event that it is subsequently determined by Marvell or a court of law that the individual is not entitled to indemnification under the Bye-laws or MSI’s bye-laws or applicable law.</w:t>
      </w:r>
    </w:p>
    <w:p>
      <w:pPr>
        <w:spacing w:after="0" w:line="116"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Marvell has entered into indemnification agreements with certain officers that may be sufficiently broad to permit indemnification of such officers for liabilities (including reimbursement of expenses incurred) arising under the Securities Act.</w:t>
      </w:r>
    </w:p>
    <w:p>
      <w:pPr>
        <w:sectPr>
          <w:pgSz w:w="11900" w:h="16838" w:orient="portrait"/>
          <w:cols w:equalWidth="0" w:num="1">
            <w:col w:w="11420"/>
          </w:cols>
          <w:pgMar w:left="240" w:top="280" w:right="239" w:bottom="1440" w:gutter="0" w:footer="0" w:header="0"/>
        </w:sectPr>
      </w:pPr>
    </w:p>
    <w:bookmarkStart w:id="4" w:name="page5"/>
    <w:bookmarkEnd w:id="4"/>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 Exhibits.</w:t>
      </w:r>
    </w:p>
    <w:p>
      <w:pPr>
        <w:spacing w:after="0" w:line="96"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620" w:type="dxa"/>
            <w:vAlign w:val="bottom"/>
            <w:gridSpan w:val="3"/>
          </w:tcPr>
          <w:p>
            <w:pPr>
              <w:ind w:left="200"/>
              <w:spacing w:after="0"/>
              <w:rPr>
                <w:sz w:val="20"/>
                <w:szCs w:val="20"/>
                <w:color w:val="auto"/>
              </w:rPr>
            </w:pPr>
            <w:r>
              <w:rPr>
                <w:rFonts w:ascii="Arial" w:cs="Arial" w:eastAsia="Arial" w:hAnsi="Arial"/>
                <w:sz w:val="18"/>
                <w:szCs w:val="18"/>
                <w:color w:val="auto"/>
              </w:rPr>
              <w:t>The following exhibits are filed as part of this Registration Statement:</w:t>
            </w:r>
          </w:p>
        </w:tc>
        <w:tc>
          <w:tcPr>
            <w:tcW w:w="0" w:type="dxa"/>
            <w:vAlign w:val="bottom"/>
          </w:tcPr>
          <w:p>
            <w:pPr>
              <w:spacing w:after="0"/>
              <w:rPr>
                <w:sz w:val="1"/>
                <w:szCs w:val="1"/>
                <w:color w:val="auto"/>
              </w:rPr>
            </w:pPr>
          </w:p>
        </w:tc>
      </w:tr>
      <w:tr>
        <w:trPr>
          <w:trHeight w:val="353"/>
        </w:trPr>
        <w:tc>
          <w:tcPr>
            <w:tcW w:w="720" w:type="dxa"/>
            <w:vAlign w:val="bottom"/>
            <w:gridSpan w:val="2"/>
          </w:tcPr>
          <w:p>
            <w:pPr>
              <w:jc w:val="right"/>
              <w:spacing w:after="0"/>
              <w:rPr>
                <w:sz w:val="20"/>
                <w:szCs w:val="20"/>
                <w:color w:val="auto"/>
              </w:rPr>
            </w:pPr>
            <w:r>
              <w:rPr>
                <w:rFonts w:ascii="Arial" w:cs="Arial" w:eastAsia="Arial" w:hAnsi="Arial"/>
                <w:sz w:val="14"/>
                <w:szCs w:val="14"/>
                <w:b w:val="1"/>
                <w:bCs w:val="1"/>
                <w:color w:val="auto"/>
                <w:w w:val="87"/>
              </w:rPr>
              <w:t>Exhibit No.</w:t>
            </w:r>
          </w:p>
        </w:tc>
        <w:tc>
          <w:tcPr>
            <w:tcW w:w="5200" w:type="dxa"/>
            <w:vAlign w:val="bottom"/>
            <w:vMerge w:val="restart"/>
          </w:tcPr>
          <w:p>
            <w:pPr>
              <w:ind w:left="400"/>
              <w:spacing w:after="0"/>
              <w:rPr>
                <w:sz w:val="20"/>
                <w:szCs w:val="20"/>
                <w:color w:val="auto"/>
              </w:rPr>
            </w:pPr>
            <w:r>
              <w:rPr>
                <w:rFonts w:ascii="Arial" w:cs="Arial" w:eastAsia="Arial" w:hAnsi="Arial"/>
                <w:sz w:val="18"/>
                <w:szCs w:val="18"/>
                <w:color w:val="auto"/>
              </w:rPr>
              <w:t>Opinion of Appleby</w:t>
            </w:r>
          </w:p>
        </w:tc>
        <w:tc>
          <w:tcPr>
            <w:tcW w:w="5420" w:type="dxa"/>
            <w:vAlign w:val="bottom"/>
            <w:gridSpan w:val="2"/>
          </w:tcPr>
          <w:p>
            <w:pPr>
              <w:ind w:left="20"/>
              <w:spacing w:after="0"/>
              <w:rPr>
                <w:sz w:val="20"/>
                <w:szCs w:val="20"/>
                <w:color w:val="auto"/>
              </w:rPr>
            </w:pPr>
            <w:r>
              <w:rPr>
                <w:rFonts w:ascii="Arial" w:cs="Arial" w:eastAsia="Arial" w:hAnsi="Arial"/>
                <w:sz w:val="14"/>
                <w:szCs w:val="14"/>
                <w:b w:val="1"/>
                <w:bCs w:val="1"/>
                <w:color w:val="auto"/>
              </w:rPr>
              <w:t>Description</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0" w:type="dxa"/>
            <w:vAlign w:val="bottom"/>
            <w:tcBorders>
              <w:top w:val="single" w:sz="8" w:color="auto"/>
            </w:tcBorders>
          </w:tcPr>
          <w:p>
            <w:pPr>
              <w:jc w:val="right"/>
              <w:ind w:right="112"/>
              <w:spacing w:after="0"/>
              <w:rPr>
                <w:sz w:val="20"/>
                <w:szCs w:val="20"/>
                <w:color w:val="auto"/>
              </w:rPr>
            </w:pPr>
            <w:r>
              <w:rPr>
                <w:rFonts w:ascii="Arial" w:cs="Arial" w:eastAsia="Arial" w:hAnsi="Arial"/>
                <w:sz w:val="18"/>
                <w:szCs w:val="18"/>
                <w:color w:val="auto"/>
              </w:rPr>
              <w:t>5.1</w:t>
            </w:r>
          </w:p>
        </w:tc>
        <w:tc>
          <w:tcPr>
            <w:tcW w:w="5200" w:type="dxa"/>
            <w:vAlign w:val="bottom"/>
            <w:vMerge w:val="continue"/>
          </w:tcPr>
          <w:p>
            <w:pPr>
              <w:spacing w:after="0"/>
              <w:rPr>
                <w:sz w:val="18"/>
                <w:szCs w:val="18"/>
                <w:color w:val="auto"/>
              </w:rPr>
            </w:pPr>
          </w:p>
        </w:tc>
        <w:tc>
          <w:tcPr>
            <w:tcW w:w="700" w:type="dxa"/>
            <w:vAlign w:val="bottom"/>
            <w:tcBorders>
              <w:top w:val="single" w:sz="8" w:color="auto"/>
            </w:tcBorders>
          </w:tcPr>
          <w:p>
            <w:pPr>
              <w:spacing w:after="0"/>
              <w:rPr>
                <w:sz w:val="18"/>
                <w:szCs w:val="18"/>
                <w:color w:val="auto"/>
              </w:rPr>
            </w:pPr>
          </w:p>
        </w:tc>
        <w:tc>
          <w:tcPr>
            <w:tcW w:w="47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09"/>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10.1</w:t>
            </w:r>
          </w:p>
        </w:tc>
        <w:tc>
          <w:tcPr>
            <w:tcW w:w="10620" w:type="dxa"/>
            <w:vAlign w:val="bottom"/>
            <w:gridSpan w:val="3"/>
          </w:tcPr>
          <w:p>
            <w:pPr>
              <w:ind w:left="400"/>
              <w:spacing w:after="0"/>
              <w:rPr>
                <w:sz w:val="20"/>
                <w:szCs w:val="20"/>
                <w:color w:val="auto"/>
              </w:rPr>
            </w:pPr>
            <w:r>
              <w:rPr>
                <w:rFonts w:ascii="Arial" w:cs="Arial" w:eastAsia="Arial" w:hAnsi="Arial"/>
                <w:sz w:val="18"/>
                <w:szCs w:val="18"/>
                <w:color w:val="auto"/>
                <w:w w:val="89"/>
              </w:rPr>
              <w:t>Amended and Restated 1995 Stock Option Plan, incorporated by reference to Exhibit 10.24 to Marvell’s Quarterly Report on Form 10-Q for the</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620" w:type="dxa"/>
            <w:vAlign w:val="bottom"/>
            <w:gridSpan w:val="3"/>
          </w:tcPr>
          <w:p>
            <w:pPr>
              <w:ind w:left="400"/>
              <w:spacing w:after="0"/>
              <w:rPr>
                <w:sz w:val="20"/>
                <w:szCs w:val="20"/>
                <w:color w:val="auto"/>
              </w:rPr>
            </w:pPr>
            <w:r>
              <w:rPr>
                <w:rFonts w:ascii="Arial" w:cs="Arial" w:eastAsia="Arial" w:hAnsi="Arial"/>
                <w:sz w:val="18"/>
                <w:szCs w:val="18"/>
                <w:color w:val="auto"/>
              </w:rPr>
              <w:t>quarter ended July 30, 2005, as filed on September 8, 2005</w:t>
            </w:r>
          </w:p>
        </w:tc>
        <w:tc>
          <w:tcPr>
            <w:tcW w:w="0" w:type="dxa"/>
            <w:vAlign w:val="bottom"/>
          </w:tcPr>
          <w:p>
            <w:pPr>
              <w:spacing w:after="0"/>
              <w:rPr>
                <w:sz w:val="1"/>
                <w:szCs w:val="1"/>
                <w:color w:val="auto"/>
              </w:rPr>
            </w:pPr>
          </w:p>
        </w:tc>
      </w:tr>
      <w:tr>
        <w:trPr>
          <w:trHeight w:val="318"/>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10.2</w:t>
            </w:r>
          </w:p>
        </w:tc>
        <w:tc>
          <w:tcPr>
            <w:tcW w:w="10620" w:type="dxa"/>
            <w:vAlign w:val="bottom"/>
            <w:gridSpan w:val="3"/>
          </w:tcPr>
          <w:p>
            <w:pPr>
              <w:ind w:left="400"/>
              <w:spacing w:after="0"/>
              <w:rPr>
                <w:sz w:val="20"/>
                <w:szCs w:val="20"/>
                <w:color w:val="auto"/>
              </w:rPr>
            </w:pPr>
            <w:r>
              <w:rPr>
                <w:rFonts w:ascii="Arial" w:cs="Arial" w:eastAsia="Arial" w:hAnsi="Arial"/>
                <w:sz w:val="18"/>
                <w:szCs w:val="18"/>
                <w:color w:val="auto"/>
                <w:w w:val="90"/>
              </w:rPr>
              <w:t>Amendment to the Amended and Restated 1995 Stock Option Plan, incorporated by reference to Exhibit 10.1 to Marvell’s Quarterly Report on</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620" w:type="dxa"/>
            <w:vAlign w:val="bottom"/>
            <w:gridSpan w:val="3"/>
          </w:tcPr>
          <w:p>
            <w:pPr>
              <w:ind w:left="400"/>
              <w:spacing w:after="0"/>
              <w:rPr>
                <w:sz w:val="20"/>
                <w:szCs w:val="20"/>
                <w:color w:val="auto"/>
              </w:rPr>
            </w:pPr>
            <w:r>
              <w:rPr>
                <w:rFonts w:ascii="Arial" w:cs="Arial" w:eastAsia="Arial" w:hAnsi="Arial"/>
                <w:sz w:val="18"/>
                <w:szCs w:val="18"/>
                <w:color w:val="auto"/>
              </w:rPr>
              <w:t>Form 10-Q for the quarter ended October 31, 2009, as filed on December 9, 2009</w:t>
            </w:r>
          </w:p>
        </w:tc>
        <w:tc>
          <w:tcPr>
            <w:tcW w:w="0" w:type="dxa"/>
            <w:vAlign w:val="bottom"/>
          </w:tcPr>
          <w:p>
            <w:pPr>
              <w:spacing w:after="0"/>
              <w:rPr>
                <w:sz w:val="1"/>
                <w:szCs w:val="1"/>
                <w:color w:val="auto"/>
              </w:rPr>
            </w:pPr>
          </w:p>
        </w:tc>
      </w:tr>
      <w:tr>
        <w:trPr>
          <w:trHeight w:val="318"/>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10.3</w:t>
            </w:r>
          </w:p>
        </w:tc>
        <w:tc>
          <w:tcPr>
            <w:tcW w:w="10620" w:type="dxa"/>
            <w:vAlign w:val="bottom"/>
            <w:gridSpan w:val="3"/>
          </w:tcPr>
          <w:p>
            <w:pPr>
              <w:ind w:left="400"/>
              <w:spacing w:after="0"/>
              <w:rPr>
                <w:sz w:val="20"/>
                <w:szCs w:val="20"/>
                <w:color w:val="auto"/>
              </w:rPr>
            </w:pPr>
            <w:r>
              <w:rPr>
                <w:rFonts w:ascii="Arial" w:cs="Arial" w:eastAsia="Arial" w:hAnsi="Arial"/>
                <w:sz w:val="18"/>
                <w:szCs w:val="18"/>
                <w:color w:val="auto"/>
                <w:w w:val="93"/>
              </w:rPr>
              <w:t>Form of Option Agreement for use with the Amended and Restated 1995 Stock Option Plan, incorporated by reference to Exhibit 10.21 to</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620" w:type="dxa"/>
            <w:vAlign w:val="bottom"/>
            <w:gridSpan w:val="3"/>
          </w:tcPr>
          <w:p>
            <w:pPr>
              <w:ind w:left="400"/>
              <w:spacing w:after="0"/>
              <w:rPr>
                <w:sz w:val="20"/>
                <w:szCs w:val="20"/>
                <w:color w:val="auto"/>
              </w:rPr>
            </w:pPr>
            <w:r>
              <w:rPr>
                <w:rFonts w:ascii="Arial" w:cs="Arial" w:eastAsia="Arial" w:hAnsi="Arial"/>
                <w:sz w:val="18"/>
                <w:szCs w:val="18"/>
                <w:color w:val="auto"/>
              </w:rPr>
              <w:t>Marvell’s Annual Report on Form 10-K for the year ended January 28, 2006, as filed on April 13, 2006</w:t>
            </w:r>
          </w:p>
        </w:tc>
        <w:tc>
          <w:tcPr>
            <w:tcW w:w="0" w:type="dxa"/>
            <w:vAlign w:val="bottom"/>
          </w:tcPr>
          <w:p>
            <w:pPr>
              <w:spacing w:after="0"/>
              <w:rPr>
                <w:sz w:val="1"/>
                <w:szCs w:val="1"/>
                <w:color w:val="auto"/>
              </w:rPr>
            </w:pPr>
          </w:p>
        </w:tc>
      </w:tr>
      <w:tr>
        <w:trPr>
          <w:trHeight w:val="318"/>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10.4</w:t>
            </w:r>
          </w:p>
        </w:tc>
        <w:tc>
          <w:tcPr>
            <w:tcW w:w="10620" w:type="dxa"/>
            <w:vAlign w:val="bottom"/>
            <w:gridSpan w:val="3"/>
          </w:tcPr>
          <w:p>
            <w:pPr>
              <w:ind w:left="400"/>
              <w:spacing w:after="0"/>
              <w:rPr>
                <w:sz w:val="20"/>
                <w:szCs w:val="20"/>
                <w:color w:val="auto"/>
              </w:rPr>
            </w:pPr>
            <w:r>
              <w:rPr>
                <w:rFonts w:ascii="Arial" w:cs="Arial" w:eastAsia="Arial" w:hAnsi="Arial"/>
                <w:sz w:val="18"/>
                <w:szCs w:val="18"/>
                <w:color w:val="auto"/>
                <w:w w:val="91"/>
              </w:rPr>
              <w:t>Form of Stock Option Agreement and Notice of Grant of Stock Options and Option Agreement for use with the Amended and Restated 1995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620" w:type="dxa"/>
            <w:vAlign w:val="bottom"/>
            <w:gridSpan w:val="3"/>
          </w:tcPr>
          <w:p>
            <w:pPr>
              <w:ind w:left="400"/>
              <w:spacing w:after="0"/>
              <w:rPr>
                <w:sz w:val="20"/>
                <w:szCs w:val="20"/>
                <w:color w:val="auto"/>
              </w:rPr>
            </w:pPr>
            <w:r>
              <w:rPr>
                <w:rFonts w:ascii="Arial" w:cs="Arial" w:eastAsia="Arial" w:hAnsi="Arial"/>
                <w:sz w:val="18"/>
                <w:szCs w:val="18"/>
                <w:color w:val="auto"/>
                <w:w w:val="93"/>
              </w:rPr>
              <w:t>Stock Option Plan, incorporated by reference to Exhibit 10.1 of Marvell’s Current Report on Form 8-K as filed on December 17, 2008 (for</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620" w:type="dxa"/>
            <w:vAlign w:val="bottom"/>
            <w:gridSpan w:val="3"/>
          </w:tcPr>
          <w:p>
            <w:pPr>
              <w:ind w:left="400"/>
              <w:spacing w:after="0"/>
              <w:rPr>
                <w:sz w:val="20"/>
                <w:szCs w:val="20"/>
                <w:color w:val="auto"/>
              </w:rPr>
            </w:pPr>
            <w:r>
              <w:rPr>
                <w:rFonts w:ascii="Arial" w:cs="Arial" w:eastAsia="Arial" w:hAnsi="Arial"/>
                <w:sz w:val="18"/>
                <w:szCs w:val="18"/>
                <w:color w:val="auto"/>
              </w:rPr>
              <w:t>options granted on or after December 4, 2008)</w:t>
            </w:r>
          </w:p>
        </w:tc>
        <w:tc>
          <w:tcPr>
            <w:tcW w:w="0" w:type="dxa"/>
            <w:vAlign w:val="bottom"/>
          </w:tcPr>
          <w:p>
            <w:pPr>
              <w:spacing w:after="0"/>
              <w:rPr>
                <w:sz w:val="1"/>
                <w:szCs w:val="1"/>
                <w:color w:val="auto"/>
              </w:rPr>
            </w:pPr>
          </w:p>
        </w:tc>
      </w:tr>
      <w:tr>
        <w:trPr>
          <w:trHeight w:val="318"/>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10.5</w:t>
            </w:r>
          </w:p>
        </w:tc>
        <w:tc>
          <w:tcPr>
            <w:tcW w:w="10620" w:type="dxa"/>
            <w:vAlign w:val="bottom"/>
            <w:gridSpan w:val="3"/>
          </w:tcPr>
          <w:p>
            <w:pPr>
              <w:ind w:left="400"/>
              <w:spacing w:after="0"/>
              <w:rPr>
                <w:sz w:val="20"/>
                <w:szCs w:val="20"/>
                <w:color w:val="auto"/>
              </w:rPr>
            </w:pPr>
            <w:r>
              <w:rPr>
                <w:rFonts w:ascii="Arial" w:cs="Arial" w:eastAsia="Arial" w:hAnsi="Arial"/>
                <w:sz w:val="18"/>
                <w:szCs w:val="18"/>
                <w:color w:val="auto"/>
                <w:w w:val="92"/>
              </w:rPr>
              <w:t>Form of Restricted Stock Unit Agreement, incorporated by reference to Exhibit 10.34 of Marvell’s Annual Report on Form 10-K for the year</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620" w:type="dxa"/>
            <w:vAlign w:val="bottom"/>
            <w:gridSpan w:val="3"/>
          </w:tcPr>
          <w:p>
            <w:pPr>
              <w:ind w:left="400"/>
              <w:spacing w:after="0"/>
              <w:rPr>
                <w:sz w:val="20"/>
                <w:szCs w:val="20"/>
                <w:color w:val="auto"/>
              </w:rPr>
            </w:pPr>
            <w:r>
              <w:rPr>
                <w:rFonts w:ascii="Arial" w:cs="Arial" w:eastAsia="Arial" w:hAnsi="Arial"/>
                <w:sz w:val="18"/>
                <w:szCs w:val="18"/>
                <w:color w:val="auto"/>
              </w:rPr>
              <w:t>ended January 27, 2007 as filed on July 2, 2007</w:t>
            </w:r>
          </w:p>
        </w:tc>
        <w:tc>
          <w:tcPr>
            <w:tcW w:w="0" w:type="dxa"/>
            <w:vAlign w:val="bottom"/>
          </w:tcPr>
          <w:p>
            <w:pPr>
              <w:spacing w:after="0"/>
              <w:rPr>
                <w:sz w:val="1"/>
                <w:szCs w:val="1"/>
                <w:color w:val="auto"/>
              </w:rPr>
            </w:pPr>
          </w:p>
        </w:tc>
      </w:tr>
      <w:tr>
        <w:trPr>
          <w:trHeight w:val="318"/>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10.6</w:t>
            </w:r>
          </w:p>
        </w:tc>
        <w:tc>
          <w:tcPr>
            <w:tcW w:w="10620" w:type="dxa"/>
            <w:vAlign w:val="bottom"/>
            <w:gridSpan w:val="3"/>
          </w:tcPr>
          <w:p>
            <w:pPr>
              <w:ind w:left="400"/>
              <w:spacing w:after="0"/>
              <w:rPr>
                <w:sz w:val="20"/>
                <w:szCs w:val="20"/>
                <w:color w:val="auto"/>
              </w:rPr>
            </w:pPr>
            <w:r>
              <w:rPr>
                <w:rFonts w:ascii="Arial" w:cs="Arial" w:eastAsia="Arial" w:hAnsi="Arial"/>
                <w:sz w:val="18"/>
                <w:szCs w:val="18"/>
                <w:color w:val="auto"/>
                <w:w w:val="89"/>
              </w:rPr>
              <w:t>Form of Stock Unit Agreement and Notice of Grant of Award and Award Agreement for use with the Amended and Restated 1995 Stock Option</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620" w:type="dxa"/>
            <w:vAlign w:val="bottom"/>
            <w:gridSpan w:val="3"/>
          </w:tcPr>
          <w:p>
            <w:pPr>
              <w:ind w:left="400"/>
              <w:spacing w:after="0"/>
              <w:rPr>
                <w:sz w:val="20"/>
                <w:szCs w:val="20"/>
                <w:color w:val="auto"/>
              </w:rPr>
            </w:pPr>
            <w:r>
              <w:rPr>
                <w:rFonts w:ascii="Arial" w:cs="Arial" w:eastAsia="Arial" w:hAnsi="Arial"/>
                <w:sz w:val="18"/>
                <w:szCs w:val="18"/>
                <w:color w:val="auto"/>
                <w:w w:val="89"/>
              </w:rPr>
              <w:t>Plan, incorporated by reference to Exhibit 10.2 of Marvell’s Current Report on Form 8-K as filed on December 17, 2008 (for RSUs granted on or</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620" w:type="dxa"/>
            <w:vAlign w:val="bottom"/>
            <w:gridSpan w:val="3"/>
          </w:tcPr>
          <w:p>
            <w:pPr>
              <w:ind w:left="400"/>
              <w:spacing w:after="0"/>
              <w:rPr>
                <w:sz w:val="20"/>
                <w:szCs w:val="20"/>
                <w:color w:val="auto"/>
              </w:rPr>
            </w:pPr>
            <w:r>
              <w:rPr>
                <w:rFonts w:ascii="Arial" w:cs="Arial" w:eastAsia="Arial" w:hAnsi="Arial"/>
                <w:sz w:val="18"/>
                <w:szCs w:val="18"/>
                <w:color w:val="auto"/>
              </w:rPr>
              <w:t>after December 4, 2008)</w:t>
            </w:r>
          </w:p>
        </w:tc>
        <w:tc>
          <w:tcPr>
            <w:tcW w:w="0" w:type="dxa"/>
            <w:vAlign w:val="bottom"/>
          </w:tcPr>
          <w:p>
            <w:pPr>
              <w:spacing w:after="0"/>
              <w:rPr>
                <w:sz w:val="1"/>
                <w:szCs w:val="1"/>
                <w:color w:val="auto"/>
              </w:rPr>
            </w:pPr>
          </w:p>
        </w:tc>
      </w:tr>
      <w:tr>
        <w:trPr>
          <w:trHeight w:val="318"/>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10.7</w:t>
            </w:r>
          </w:p>
        </w:tc>
        <w:tc>
          <w:tcPr>
            <w:tcW w:w="10620" w:type="dxa"/>
            <w:vAlign w:val="bottom"/>
            <w:gridSpan w:val="3"/>
          </w:tcPr>
          <w:p>
            <w:pPr>
              <w:ind w:left="400"/>
              <w:spacing w:after="0"/>
              <w:rPr>
                <w:sz w:val="20"/>
                <w:szCs w:val="20"/>
                <w:color w:val="auto"/>
              </w:rPr>
            </w:pPr>
            <w:r>
              <w:rPr>
                <w:rFonts w:ascii="Arial" w:cs="Arial" w:eastAsia="Arial" w:hAnsi="Arial"/>
                <w:sz w:val="18"/>
                <w:szCs w:val="18"/>
                <w:color w:val="auto"/>
                <w:w w:val="91"/>
              </w:rPr>
              <w:t>Amended and Restated 1995 Stock Option Plan Restricted Stock Agreement, incorporated by reference to Exhibit 10.20 of Marvell’s Annual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620" w:type="dxa"/>
            <w:vAlign w:val="bottom"/>
            <w:gridSpan w:val="3"/>
          </w:tcPr>
          <w:p>
            <w:pPr>
              <w:ind w:left="400"/>
              <w:spacing w:after="0"/>
              <w:rPr>
                <w:sz w:val="20"/>
                <w:szCs w:val="20"/>
                <w:color w:val="auto"/>
              </w:rPr>
            </w:pPr>
            <w:r>
              <w:rPr>
                <w:rFonts w:ascii="Arial" w:cs="Arial" w:eastAsia="Arial" w:hAnsi="Arial"/>
                <w:sz w:val="18"/>
                <w:szCs w:val="18"/>
                <w:color w:val="auto"/>
              </w:rPr>
              <w:t>Report on Form 10-K for the year ended January 28, 2006 as filed on April 13, 2006</w:t>
            </w:r>
          </w:p>
        </w:tc>
        <w:tc>
          <w:tcPr>
            <w:tcW w:w="0" w:type="dxa"/>
            <w:vAlign w:val="bottom"/>
          </w:tcPr>
          <w:p>
            <w:pPr>
              <w:spacing w:after="0"/>
              <w:rPr>
                <w:sz w:val="1"/>
                <w:szCs w:val="1"/>
                <w:color w:val="auto"/>
              </w:rPr>
            </w:pPr>
          </w:p>
        </w:tc>
      </w:tr>
      <w:tr>
        <w:trPr>
          <w:trHeight w:val="318"/>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10.8</w:t>
            </w:r>
          </w:p>
        </w:tc>
        <w:tc>
          <w:tcPr>
            <w:tcW w:w="10620" w:type="dxa"/>
            <w:vAlign w:val="bottom"/>
            <w:gridSpan w:val="3"/>
          </w:tcPr>
          <w:p>
            <w:pPr>
              <w:ind w:left="400"/>
              <w:spacing w:after="0"/>
              <w:rPr>
                <w:sz w:val="20"/>
                <w:szCs w:val="20"/>
                <w:color w:val="auto"/>
              </w:rPr>
            </w:pPr>
            <w:r>
              <w:rPr>
                <w:rFonts w:ascii="Arial" w:cs="Arial" w:eastAsia="Arial" w:hAnsi="Arial"/>
                <w:sz w:val="18"/>
                <w:szCs w:val="18"/>
                <w:color w:val="auto"/>
                <w:w w:val="89"/>
              </w:rPr>
              <w:t>2000 Employee Stock Purchase Plan (as amended and restated as of October 22, 2009), incorporated by reference to Exhibit 10.1 of Marvell’s</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620" w:type="dxa"/>
            <w:vAlign w:val="bottom"/>
            <w:gridSpan w:val="3"/>
          </w:tcPr>
          <w:p>
            <w:pPr>
              <w:ind w:left="400"/>
              <w:spacing w:after="0"/>
              <w:rPr>
                <w:sz w:val="20"/>
                <w:szCs w:val="20"/>
                <w:color w:val="auto"/>
              </w:rPr>
            </w:pPr>
            <w:r>
              <w:rPr>
                <w:rFonts w:ascii="Arial" w:cs="Arial" w:eastAsia="Arial" w:hAnsi="Arial"/>
                <w:sz w:val="18"/>
                <w:szCs w:val="18"/>
                <w:color w:val="auto"/>
              </w:rPr>
              <w:t>Current Report on Form 8-K as filed on October 28, 2009</w:t>
            </w:r>
          </w:p>
        </w:tc>
        <w:tc>
          <w:tcPr>
            <w:tcW w:w="0" w:type="dxa"/>
            <w:vAlign w:val="bottom"/>
          </w:tcPr>
          <w:p>
            <w:pPr>
              <w:spacing w:after="0"/>
              <w:rPr>
                <w:sz w:val="1"/>
                <w:szCs w:val="1"/>
                <w:color w:val="auto"/>
              </w:rPr>
            </w:pPr>
          </w:p>
        </w:tc>
      </w:tr>
      <w:tr>
        <w:trPr>
          <w:trHeight w:val="318"/>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10.9</w:t>
            </w:r>
          </w:p>
        </w:tc>
        <w:tc>
          <w:tcPr>
            <w:tcW w:w="10620" w:type="dxa"/>
            <w:vAlign w:val="bottom"/>
            <w:gridSpan w:val="3"/>
          </w:tcPr>
          <w:p>
            <w:pPr>
              <w:ind w:left="400"/>
              <w:spacing w:after="0"/>
              <w:rPr>
                <w:sz w:val="20"/>
                <w:szCs w:val="20"/>
                <w:color w:val="auto"/>
              </w:rPr>
            </w:pPr>
            <w:r>
              <w:rPr>
                <w:rFonts w:ascii="Arial" w:cs="Arial" w:eastAsia="Arial" w:hAnsi="Arial"/>
                <w:sz w:val="18"/>
                <w:szCs w:val="18"/>
                <w:color w:val="auto"/>
                <w:w w:val="90"/>
              </w:rPr>
              <w:t>2000 Employee Stock Purchase Plan Form of Subscription Agreement, incorporated by reference to Exhibit 10.3 to Marvell’s Quarterly Report</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620" w:type="dxa"/>
            <w:vAlign w:val="bottom"/>
            <w:gridSpan w:val="3"/>
          </w:tcPr>
          <w:p>
            <w:pPr>
              <w:ind w:left="400"/>
              <w:spacing w:after="0"/>
              <w:rPr>
                <w:sz w:val="20"/>
                <w:szCs w:val="20"/>
                <w:color w:val="auto"/>
              </w:rPr>
            </w:pPr>
            <w:r>
              <w:rPr>
                <w:rFonts w:ascii="Arial" w:cs="Arial" w:eastAsia="Arial" w:hAnsi="Arial"/>
                <w:sz w:val="18"/>
                <w:szCs w:val="18"/>
                <w:color w:val="auto"/>
              </w:rPr>
              <w:t>on Form 10-Q for the quarter ended October 31, 2009, as filed on December 9, 2009</w:t>
            </w:r>
          </w:p>
        </w:tc>
        <w:tc>
          <w:tcPr>
            <w:tcW w:w="0" w:type="dxa"/>
            <w:vAlign w:val="bottom"/>
          </w:tcPr>
          <w:p>
            <w:pPr>
              <w:spacing w:after="0"/>
              <w:rPr>
                <w:sz w:val="1"/>
                <w:szCs w:val="1"/>
                <w:color w:val="auto"/>
              </w:rPr>
            </w:pPr>
          </w:p>
        </w:tc>
      </w:tr>
      <w:tr>
        <w:trPr>
          <w:trHeight w:val="324"/>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23.1</w:t>
            </w:r>
          </w:p>
        </w:tc>
        <w:tc>
          <w:tcPr>
            <w:tcW w:w="10620" w:type="dxa"/>
            <w:vAlign w:val="bottom"/>
            <w:gridSpan w:val="3"/>
          </w:tcPr>
          <w:p>
            <w:pPr>
              <w:ind w:left="400"/>
              <w:spacing w:after="0"/>
              <w:rPr>
                <w:sz w:val="20"/>
                <w:szCs w:val="20"/>
                <w:color w:val="auto"/>
              </w:rPr>
            </w:pPr>
            <w:r>
              <w:rPr>
                <w:rFonts w:ascii="Arial" w:cs="Arial" w:eastAsia="Arial" w:hAnsi="Arial"/>
                <w:sz w:val="18"/>
                <w:szCs w:val="18"/>
                <w:color w:val="auto"/>
              </w:rPr>
              <w:t>Consent of PricewaterhouseCoopers LLP, Independent Registered Public Accounting Firm</w:t>
            </w:r>
          </w:p>
        </w:tc>
        <w:tc>
          <w:tcPr>
            <w:tcW w:w="0" w:type="dxa"/>
            <w:vAlign w:val="bottom"/>
          </w:tcPr>
          <w:p>
            <w:pPr>
              <w:spacing w:after="0"/>
              <w:rPr>
                <w:sz w:val="1"/>
                <w:szCs w:val="1"/>
                <w:color w:val="auto"/>
              </w:rPr>
            </w:pPr>
          </w:p>
        </w:tc>
      </w:tr>
      <w:tr>
        <w:trPr>
          <w:trHeight w:val="324"/>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23.2</w:t>
            </w:r>
          </w:p>
        </w:tc>
        <w:tc>
          <w:tcPr>
            <w:tcW w:w="10620" w:type="dxa"/>
            <w:vAlign w:val="bottom"/>
            <w:gridSpan w:val="3"/>
          </w:tcPr>
          <w:p>
            <w:pPr>
              <w:ind w:left="400"/>
              <w:spacing w:after="0"/>
              <w:rPr>
                <w:sz w:val="20"/>
                <w:szCs w:val="20"/>
                <w:color w:val="auto"/>
              </w:rPr>
            </w:pPr>
            <w:r>
              <w:rPr>
                <w:rFonts w:ascii="Arial" w:cs="Arial" w:eastAsia="Arial" w:hAnsi="Arial"/>
                <w:sz w:val="18"/>
                <w:szCs w:val="18"/>
                <w:color w:val="auto"/>
              </w:rPr>
              <w:t>Consent of Appleby (included in Exhibit 5.1)</w:t>
            </w:r>
          </w:p>
        </w:tc>
        <w:tc>
          <w:tcPr>
            <w:tcW w:w="0" w:type="dxa"/>
            <w:vAlign w:val="bottom"/>
          </w:tcPr>
          <w:p>
            <w:pPr>
              <w:spacing w:after="0"/>
              <w:rPr>
                <w:sz w:val="1"/>
                <w:szCs w:val="1"/>
                <w:color w:val="auto"/>
              </w:rPr>
            </w:pPr>
          </w:p>
        </w:tc>
      </w:tr>
      <w:tr>
        <w:trPr>
          <w:trHeight w:val="324"/>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24.1</w:t>
            </w:r>
          </w:p>
        </w:tc>
        <w:tc>
          <w:tcPr>
            <w:tcW w:w="10620" w:type="dxa"/>
            <w:vAlign w:val="bottom"/>
            <w:gridSpan w:val="3"/>
          </w:tcPr>
          <w:p>
            <w:pPr>
              <w:ind w:left="400"/>
              <w:spacing w:after="0"/>
              <w:rPr>
                <w:sz w:val="20"/>
                <w:szCs w:val="20"/>
                <w:color w:val="auto"/>
              </w:rPr>
            </w:pPr>
            <w:r>
              <w:rPr>
                <w:rFonts w:ascii="Arial" w:cs="Arial" w:eastAsia="Arial" w:hAnsi="Arial"/>
                <w:sz w:val="18"/>
                <w:szCs w:val="18"/>
                <w:color w:val="auto"/>
              </w:rPr>
              <w:t>Power of Attorney (included in signature page to this Registration Statement)</w:t>
            </w:r>
          </w:p>
        </w:tc>
        <w:tc>
          <w:tcPr>
            <w:tcW w:w="0" w:type="dxa"/>
            <w:vAlign w:val="bottom"/>
          </w:tcPr>
          <w:p>
            <w:pPr>
              <w:spacing w:after="0"/>
              <w:rPr>
                <w:sz w:val="1"/>
                <w:szCs w:val="1"/>
                <w:color w:val="auto"/>
              </w:rPr>
            </w:pPr>
          </w:p>
        </w:tc>
      </w:tr>
    </w:tbl>
    <w:p>
      <w:pPr>
        <w:spacing w:after="0" w:line="23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 Undertakings.</w:t>
      </w:r>
    </w:p>
    <w:p>
      <w:pPr>
        <w:spacing w:after="0" w:line="96" w:lineRule="exact"/>
        <w:rPr>
          <w:sz w:val="20"/>
          <w:szCs w:val="20"/>
          <w:color w:val="auto"/>
        </w:rPr>
      </w:pPr>
    </w:p>
    <w:p>
      <w:pPr>
        <w:ind w:left="460" w:hanging="452"/>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Registrant hereby undertakes:</w:t>
      </w:r>
    </w:p>
    <w:p>
      <w:pPr>
        <w:spacing w:after="0" w:line="171" w:lineRule="exact"/>
        <w:rPr>
          <w:rFonts w:ascii="Arial" w:cs="Arial" w:eastAsia="Arial" w:hAnsi="Arial"/>
          <w:sz w:val="18"/>
          <w:szCs w:val="18"/>
          <w:color w:val="auto"/>
        </w:rPr>
      </w:pPr>
    </w:p>
    <w:p>
      <w:pPr>
        <w:ind w:left="720" w:hanging="256"/>
        <w:spacing w:after="0"/>
        <w:tabs>
          <w:tab w:leader="none" w:pos="720" w:val="left"/>
        </w:tabs>
        <w:numPr>
          <w:ilvl w:val="1"/>
          <w:numId w:val="4"/>
        </w:numPr>
        <w:rPr>
          <w:rFonts w:ascii="Arial" w:cs="Arial" w:eastAsia="Arial" w:hAnsi="Arial"/>
          <w:sz w:val="18"/>
          <w:szCs w:val="18"/>
          <w:color w:val="auto"/>
        </w:rPr>
      </w:pPr>
      <w:r>
        <w:rPr>
          <w:rFonts w:ascii="Arial" w:cs="Arial" w:eastAsia="Arial" w:hAnsi="Arial"/>
          <w:sz w:val="18"/>
          <w:szCs w:val="18"/>
          <w:color w:val="auto"/>
        </w:rPr>
        <w:t>To file, during any period in which offers or sales are being made, a post-effective amendment to this Registration Statement:</w:t>
      </w:r>
    </w:p>
    <w:p>
      <w:pPr>
        <w:spacing w:after="0" w:line="171" w:lineRule="exact"/>
        <w:rPr>
          <w:rFonts w:ascii="Arial" w:cs="Arial" w:eastAsia="Arial" w:hAnsi="Arial"/>
          <w:sz w:val="18"/>
          <w:szCs w:val="18"/>
          <w:color w:val="auto"/>
        </w:rPr>
      </w:pPr>
    </w:p>
    <w:p>
      <w:pPr>
        <w:ind w:left="460"/>
        <w:spacing w:after="0"/>
        <w:rPr>
          <w:rFonts w:ascii="Arial" w:cs="Arial" w:eastAsia="Arial" w:hAnsi="Arial"/>
          <w:sz w:val="18"/>
          <w:szCs w:val="18"/>
          <w:color w:val="auto"/>
        </w:rPr>
      </w:pPr>
      <w:r>
        <w:rPr>
          <w:rFonts w:ascii="Arial" w:cs="Arial" w:eastAsia="Arial" w:hAnsi="Arial"/>
          <w:sz w:val="18"/>
          <w:szCs w:val="18"/>
          <w:color w:val="auto"/>
        </w:rPr>
        <w:t>(i) to include any prospectus required by Section 10(a)(3) of the Securities Act;</w:t>
      </w:r>
    </w:p>
    <w:p>
      <w:pPr>
        <w:spacing w:after="0" w:line="171" w:lineRule="exact"/>
        <w:rPr>
          <w:sz w:val="20"/>
          <w:szCs w:val="20"/>
          <w:color w:val="auto"/>
        </w:rPr>
      </w:pPr>
    </w:p>
    <w:p>
      <w:pPr>
        <w:jc w:val="both"/>
        <w:ind w:firstLine="464"/>
        <w:spacing w:after="0" w:line="256" w:lineRule="auto"/>
        <w:tabs>
          <w:tab w:leader="none" w:pos="715" w:val="left"/>
        </w:tabs>
        <w:numPr>
          <w:ilvl w:val="0"/>
          <w:numId w:val="5"/>
        </w:numPr>
        <w:rPr>
          <w:rFonts w:ascii="Arial" w:cs="Arial" w:eastAsia="Arial" w:hAnsi="Arial"/>
          <w:sz w:val="18"/>
          <w:szCs w:val="18"/>
          <w:color w:val="auto"/>
        </w:rPr>
      </w:pPr>
      <w:r>
        <w:rPr>
          <w:rFonts w:ascii="Arial" w:cs="Arial" w:eastAsia="Arial" w:hAnsi="Arial"/>
          <w:sz w:val="18"/>
          <w:szCs w:val="18"/>
          <w:color w:val="auto"/>
        </w:rPr>
        <w:t>to reflect in the prospectus any facts or events arising after the effective date of this Registration Statement (or the most recent post-effective amendment thereof) which, individually or in the aggregate, represent a fundamental change in the information set forth in this Registration Statement. Notwithstanding the foregoing, any increase or decrease in volume of securities offered (if the total dollar value of securities offered would not exceed that which was</w:t>
      </w:r>
    </w:p>
    <w:p>
      <w:pPr>
        <w:sectPr>
          <w:pgSz w:w="11900" w:h="16838" w:orient="portrait"/>
          <w:cols w:equalWidth="0" w:num="1">
            <w:col w:w="11360"/>
          </w:cols>
          <w:pgMar w:left="240" w:top="274" w:right="299" w:bottom="1440" w:gutter="0" w:footer="0" w:header="0"/>
        </w:sectPr>
      </w:pPr>
    </w:p>
    <w:bookmarkStart w:id="5" w:name="page6"/>
    <w:bookmarkEnd w:id="5"/>
    <w:p>
      <w:pPr>
        <w:ind w:right="4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registered) and any deviation from the low or high end of the estimated maximum offering range may be reflected in the form of prospectus filed with the Commission pursuant to Rule 424(b) if, in the aggregate, the changes in volume and price represent no more than a 20 percent change in the maximum aggregate offering price set forth in the “Calculation of Registration Fee” table in the effective registration statement;</w:t>
      </w:r>
    </w:p>
    <w:p>
      <w:pPr>
        <w:spacing w:after="0" w:line="140" w:lineRule="exact"/>
        <w:rPr>
          <w:sz w:val="20"/>
          <w:szCs w:val="20"/>
          <w:color w:val="auto"/>
        </w:rPr>
      </w:pPr>
    </w:p>
    <w:p>
      <w:pPr>
        <w:ind w:right="420" w:firstLine="464"/>
        <w:spacing w:after="0" w:line="268" w:lineRule="auto"/>
        <w:tabs>
          <w:tab w:leader="none" w:pos="764" w:val="left"/>
        </w:tabs>
        <w:numPr>
          <w:ilvl w:val="0"/>
          <w:numId w:val="6"/>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this Registration Statement or any material change to the information in this Registration Statement;</w:t>
      </w:r>
    </w:p>
    <w:p>
      <w:pPr>
        <w:spacing w:after="0" w:line="132"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i w:val="1"/>
          <w:iCs w:val="1"/>
          <w:color w:val="auto"/>
        </w:rPr>
        <w:t xml:space="preserve">provided, however, </w:t>
      </w:r>
      <w:r>
        <w:rPr>
          <w:rFonts w:ascii="Arial" w:cs="Arial" w:eastAsia="Arial" w:hAnsi="Arial"/>
          <w:sz w:val="18"/>
          <w:szCs w:val="18"/>
          <w:color w:val="auto"/>
        </w:rPr>
        <w:t>that paragraphs (a)(1)(i) and (a)(1)(ii) above do not apply if the information required to be included in a post-effective amendment by</w:t>
      </w:r>
      <w:r>
        <w:rPr>
          <w:rFonts w:ascii="Arial" w:cs="Arial" w:eastAsia="Arial" w:hAnsi="Arial"/>
          <w:sz w:val="18"/>
          <w:szCs w:val="18"/>
          <w:i w:val="1"/>
          <w:iCs w:val="1"/>
          <w:color w:val="auto"/>
        </w:rPr>
        <w:t xml:space="preserve"> </w:t>
      </w:r>
      <w:r>
        <w:rPr>
          <w:rFonts w:ascii="Arial" w:cs="Arial" w:eastAsia="Arial" w:hAnsi="Arial"/>
          <w:sz w:val="18"/>
          <w:szCs w:val="18"/>
          <w:color w:val="auto"/>
        </w:rPr>
        <w:t>those paragraphs is contained in periodic reports filed with or furnished to the Commission by Registrant pursuant to Section 13 or Section 15(d) of the Exchange Act that are incorporated by reference in this Registration Statement.</w:t>
      </w:r>
    </w:p>
    <w:p>
      <w:pPr>
        <w:spacing w:after="0" w:line="140" w:lineRule="exact"/>
        <w:rPr>
          <w:sz w:val="20"/>
          <w:szCs w:val="20"/>
          <w:color w:val="auto"/>
        </w:rPr>
      </w:pPr>
    </w:p>
    <w:p>
      <w:pPr>
        <w:ind w:right="340" w:firstLine="464"/>
        <w:spacing w:after="0" w:line="370" w:lineRule="auto"/>
        <w:tabs>
          <w:tab w:leader="none" w:pos="705" w:val="left"/>
        </w:tabs>
        <w:numPr>
          <w:ilvl w:val="1"/>
          <w:numId w:val="7"/>
        </w:numPr>
        <w:rPr>
          <w:rFonts w:ascii="Arial" w:cs="Arial" w:eastAsia="Arial" w:hAnsi="Arial"/>
          <w:sz w:val="15"/>
          <w:szCs w:val="15"/>
          <w:color w:val="auto"/>
        </w:rPr>
      </w:pPr>
      <w:r>
        <w:rPr>
          <w:rFonts w:ascii="Arial" w:cs="Arial" w:eastAsia="Arial" w:hAnsi="Arial"/>
          <w:sz w:val="15"/>
          <w:szCs w:val="15"/>
          <w:color w:val="auto"/>
        </w:rPr>
        <w:t xml:space="preserve">That, for the purpose of determining any liability under the Securities Act, each post-effective amendment shall be deemed to be a new registration statement relating to the securities offered therein, and the offering of such securities at that time shall be deemed to be the initial </w:t>
      </w:r>
      <w:r>
        <w:rPr>
          <w:rFonts w:ascii="Arial" w:cs="Arial" w:eastAsia="Arial" w:hAnsi="Arial"/>
          <w:sz w:val="15"/>
          <w:szCs w:val="15"/>
          <w:i w:val="1"/>
          <w:iCs w:val="1"/>
          <w:color w:val="auto"/>
        </w:rPr>
        <w:t>bona fide</w:t>
      </w:r>
      <w:r>
        <w:rPr>
          <w:rFonts w:ascii="Arial" w:cs="Arial" w:eastAsia="Arial" w:hAnsi="Arial"/>
          <w:sz w:val="15"/>
          <w:szCs w:val="15"/>
          <w:color w:val="auto"/>
        </w:rPr>
        <w:t xml:space="preserve"> offering thereof.</w:t>
      </w:r>
    </w:p>
    <w:p>
      <w:pPr>
        <w:spacing w:after="0" w:line="62" w:lineRule="exact"/>
        <w:rPr>
          <w:rFonts w:ascii="Arial" w:cs="Arial" w:eastAsia="Arial" w:hAnsi="Arial"/>
          <w:sz w:val="15"/>
          <w:szCs w:val="15"/>
          <w:color w:val="auto"/>
        </w:rPr>
      </w:pPr>
    </w:p>
    <w:p>
      <w:pPr>
        <w:ind w:right="180" w:firstLine="464"/>
        <w:spacing w:after="0" w:line="268" w:lineRule="auto"/>
        <w:tabs>
          <w:tab w:leader="none" w:pos="705" w:val="left"/>
        </w:tabs>
        <w:numPr>
          <w:ilvl w:val="1"/>
          <w:numId w:val="7"/>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131" w:lineRule="exact"/>
        <w:rPr>
          <w:rFonts w:ascii="Arial" w:cs="Arial" w:eastAsia="Arial" w:hAnsi="Arial"/>
          <w:sz w:val="18"/>
          <w:szCs w:val="18"/>
          <w:color w:val="auto"/>
        </w:rPr>
      </w:pPr>
    </w:p>
    <w:p>
      <w:pPr>
        <w:jc w:val="both"/>
        <w:ind w:firstLine="8"/>
        <w:spacing w:after="0" w:line="298" w:lineRule="auto"/>
        <w:tabs>
          <w:tab w:leader="none" w:pos="249" w:val="left"/>
        </w:tabs>
        <w:numPr>
          <w:ilvl w:val="0"/>
          <w:numId w:val="8"/>
        </w:numPr>
        <w:rPr>
          <w:rFonts w:ascii="Arial" w:cs="Arial" w:eastAsia="Arial" w:hAnsi="Arial"/>
          <w:sz w:val="16"/>
          <w:szCs w:val="16"/>
          <w:color w:val="auto"/>
        </w:rPr>
      </w:pPr>
      <w:r>
        <w:rPr>
          <w:rFonts w:ascii="Arial" w:cs="Arial" w:eastAsia="Arial" w:hAnsi="Arial"/>
          <w:sz w:val="16"/>
          <w:szCs w:val="16"/>
          <w:color w:val="auto"/>
        </w:rPr>
        <w:t>The Registrant hereby undertakes that, for purposes of determining any liability under the Securities Act, each filing of the Registrant’s annual report pursuant to Section 13(a) or Section 15(d) of the Exchange Act (and, where applicable, each filing of an employee benefit plan’s annual report pursuant to Section 15(d) of the Exchange Act) that is incorporated by reference in the registration statement shall be deemed to be a new registration statement relating to the securities offered therein, and the offering of such securities at that time shall be deemed to be the initial bona fide offering thereof.</w:t>
      </w:r>
    </w:p>
    <w:p>
      <w:pPr>
        <w:spacing w:after="0" w:line="112" w:lineRule="exact"/>
        <w:rPr>
          <w:rFonts w:ascii="Arial" w:cs="Arial" w:eastAsia="Arial" w:hAnsi="Arial"/>
          <w:sz w:val="16"/>
          <w:szCs w:val="16"/>
          <w:color w:val="auto"/>
        </w:rPr>
      </w:pPr>
    </w:p>
    <w:p>
      <w:pPr>
        <w:ind w:firstLine="8"/>
        <w:spacing w:after="0" w:line="290" w:lineRule="auto"/>
        <w:tabs>
          <w:tab w:leader="none" w:pos="239" w:val="left"/>
        </w:tabs>
        <w:numPr>
          <w:ilvl w:val="0"/>
          <w:numId w:val="8"/>
        </w:numPr>
        <w:rPr>
          <w:rFonts w:ascii="Arial" w:cs="Arial" w:eastAsia="Arial" w:hAnsi="Arial"/>
          <w:sz w:val="16"/>
          <w:szCs w:val="16"/>
          <w:color w:val="auto"/>
        </w:rPr>
      </w:pPr>
      <w:r>
        <w:rPr>
          <w:rFonts w:ascii="Arial" w:cs="Arial" w:eastAsia="Arial" w:hAnsi="Arial"/>
          <w:sz w:val="16"/>
          <w:szCs w:val="16"/>
          <w:color w:val="auto"/>
        </w:rPr>
        <w:t>Insofar as indemnification for liabilities arising under the Securities Act may be permitted to directors, officers and controlling persons of the Registrant pursuant to the foregoing provisions, or otherwise, the Registrant has been advised that in the opinion of the Commission,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ectPr>
          <w:pgSz w:w="11900" w:h="16838" w:orient="portrait"/>
          <w:cols w:equalWidth="0" w:num="1">
            <w:col w:w="11380"/>
          </w:cols>
          <w:pgMar w:left="240" w:top="280" w:right="279" w:bottom="1440" w:gutter="0" w:footer="0" w:header="0"/>
        </w:sectPr>
      </w:pPr>
    </w:p>
    <w:bookmarkStart w:id="6" w:name="page7"/>
    <w:bookmarkEnd w:id="6"/>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177"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 in the City of Santa Clara, State of California, on this 10th day of December 2009.</w:t>
      </w:r>
    </w:p>
    <w:p>
      <w:pPr>
        <w:spacing w:after="0" w:line="181"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tbl>
      <w:tblPr>
        <w:tblLayout w:type="fixed"/>
        <w:tblInd w:w="6860" w:type="dxa"/>
        <w:tblCellMar>
          <w:top w:w="0" w:type="dxa"/>
          <w:left w:w="0" w:type="dxa"/>
          <w:bottom w:w="0" w:type="dxa"/>
          <w:right w:w="0" w:type="dxa"/>
        </w:tblCellMar>
      </w:tblPr>
      <w:tr>
        <w:trPr>
          <w:trHeight w:val="222"/>
        </w:trPr>
        <w:tc>
          <w:tcPr>
            <w:tcW w:w="500" w:type="dxa"/>
            <w:vAlign w:val="bottom"/>
          </w:tcPr>
          <w:p>
            <w:pPr>
              <w:spacing w:after="0"/>
              <w:rPr>
                <w:sz w:val="20"/>
                <w:szCs w:val="20"/>
                <w:color w:val="auto"/>
              </w:rPr>
            </w:pPr>
            <w:r>
              <w:rPr>
                <w:rFonts w:ascii="Arial" w:cs="Arial" w:eastAsia="Arial" w:hAnsi="Arial"/>
                <w:sz w:val="18"/>
                <w:szCs w:val="18"/>
                <w:color w:val="auto"/>
              </w:rPr>
              <w:t>By:</w:t>
            </w:r>
          </w:p>
        </w:tc>
        <w:tc>
          <w:tcPr>
            <w:tcW w:w="4060" w:type="dxa"/>
            <w:vAlign w:val="bottom"/>
            <w:tcBorders>
              <w:bottom w:val="single" w:sz="8" w:color="auto"/>
            </w:tcBorders>
          </w:tcPr>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  D</w:t>
            </w:r>
            <w:r>
              <w:rPr>
                <w:rFonts w:ascii="Arial" w:cs="Arial" w:eastAsia="Arial" w:hAnsi="Arial"/>
                <w:sz w:val="14"/>
                <w:szCs w:val="14"/>
                <w:color w:val="auto"/>
              </w:rPr>
              <w:t>R</w:t>
            </w:r>
            <w:r>
              <w:rPr>
                <w:rFonts w:ascii="Arial" w:cs="Arial" w:eastAsia="Arial" w:hAnsi="Arial"/>
                <w:sz w:val="18"/>
                <w:szCs w:val="18"/>
                <w:color w:val="auto"/>
              </w:rPr>
              <w:t>. S</w:t>
            </w:r>
            <w:r>
              <w:rPr>
                <w:rFonts w:ascii="Arial" w:cs="Arial" w:eastAsia="Arial" w:hAnsi="Arial"/>
                <w:sz w:val="14"/>
                <w:szCs w:val="14"/>
                <w:color w:val="auto"/>
              </w:rPr>
              <w:t>EHAT</w:t>
            </w:r>
            <w:r>
              <w:rPr>
                <w:rFonts w:ascii="Arial" w:cs="Arial" w:eastAsia="Arial" w:hAnsi="Arial"/>
                <w:sz w:val="18"/>
                <w:szCs w:val="18"/>
                <w:color w:val="auto"/>
              </w:rPr>
              <w:t xml:space="preserve"> S</w:t>
            </w:r>
            <w:r>
              <w:rPr>
                <w:rFonts w:ascii="Arial" w:cs="Arial" w:eastAsia="Arial" w:hAnsi="Arial"/>
                <w:sz w:val="14"/>
                <w:szCs w:val="14"/>
                <w:color w:val="auto"/>
              </w:rPr>
              <w:t>UTARDJA</w:t>
            </w:r>
          </w:p>
        </w:tc>
      </w:tr>
      <w:tr>
        <w:trPr>
          <w:trHeight w:val="145"/>
        </w:trPr>
        <w:tc>
          <w:tcPr>
            <w:tcW w:w="500" w:type="dxa"/>
            <w:vAlign w:val="bottom"/>
          </w:tcPr>
          <w:p>
            <w:pPr>
              <w:spacing w:after="0" w:line="145" w:lineRule="exact"/>
              <w:rPr>
                <w:sz w:val="20"/>
                <w:szCs w:val="20"/>
                <w:color w:val="auto"/>
              </w:rPr>
            </w:pPr>
            <w:r>
              <w:rPr>
                <w:rFonts w:ascii="Arial" w:cs="Arial" w:eastAsia="Arial" w:hAnsi="Arial"/>
                <w:sz w:val="14"/>
                <w:szCs w:val="14"/>
                <w:b w:val="1"/>
                <w:bCs w:val="1"/>
                <w:color w:val="auto"/>
              </w:rPr>
              <w:t>Name:</w:t>
            </w:r>
          </w:p>
        </w:tc>
        <w:tc>
          <w:tcPr>
            <w:tcW w:w="4060" w:type="dxa"/>
            <w:vAlign w:val="bottom"/>
          </w:tcPr>
          <w:p>
            <w:pPr>
              <w:ind w:left="1500"/>
              <w:spacing w:after="0" w:line="145" w:lineRule="exact"/>
              <w:rPr>
                <w:sz w:val="20"/>
                <w:szCs w:val="20"/>
                <w:color w:val="auto"/>
              </w:rPr>
            </w:pPr>
            <w:r>
              <w:rPr>
                <w:rFonts w:ascii="Arial" w:cs="Arial" w:eastAsia="Arial" w:hAnsi="Arial"/>
                <w:sz w:val="14"/>
                <w:szCs w:val="14"/>
                <w:b w:val="1"/>
                <w:bCs w:val="1"/>
                <w:color w:val="auto"/>
              </w:rPr>
              <w:t>Dr. Sehat Sutardja</w:t>
            </w:r>
          </w:p>
        </w:tc>
      </w:tr>
      <w:tr>
        <w:trPr>
          <w:trHeight w:val="174"/>
        </w:trPr>
        <w:tc>
          <w:tcPr>
            <w:tcW w:w="500" w:type="dxa"/>
            <w:vAlign w:val="bottom"/>
          </w:tcPr>
          <w:p>
            <w:pPr>
              <w:spacing w:after="0"/>
              <w:rPr>
                <w:sz w:val="20"/>
                <w:szCs w:val="20"/>
                <w:color w:val="auto"/>
              </w:rPr>
            </w:pPr>
            <w:r>
              <w:rPr>
                <w:rFonts w:ascii="Arial" w:cs="Arial" w:eastAsia="Arial" w:hAnsi="Arial"/>
                <w:sz w:val="14"/>
                <w:szCs w:val="14"/>
                <w:b w:val="1"/>
                <w:bCs w:val="1"/>
                <w:color w:val="auto"/>
              </w:rPr>
              <w:t>Title:</w:t>
            </w:r>
          </w:p>
        </w:tc>
        <w:tc>
          <w:tcPr>
            <w:tcW w:w="4060" w:type="dxa"/>
            <w:vAlign w:val="bottom"/>
          </w:tcPr>
          <w:p>
            <w:pPr>
              <w:ind w:left="940"/>
              <w:spacing w:after="0"/>
              <w:rPr>
                <w:sz w:val="20"/>
                <w:szCs w:val="20"/>
                <w:color w:val="auto"/>
              </w:rPr>
            </w:pPr>
            <w:r>
              <w:rPr>
                <w:rFonts w:ascii="Arial" w:cs="Arial" w:eastAsia="Arial" w:hAnsi="Arial"/>
                <w:sz w:val="14"/>
                <w:szCs w:val="14"/>
                <w:b w:val="1"/>
                <w:bCs w:val="1"/>
                <w:color w:val="auto"/>
              </w:rPr>
              <w:t>President and Chief Executive Officer</w:t>
            </w:r>
          </w:p>
        </w:tc>
      </w:tr>
    </w:tbl>
    <w:p>
      <w:pPr>
        <w:spacing w:after="0" w:line="29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POWER OF ATTORNEY</w:t>
      </w:r>
    </w:p>
    <w:p>
      <w:pPr>
        <w:spacing w:after="0" w:line="177"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KNOW ALL PERSONS BY THESE PRESENTS, that each person whose signature appears below hereby constitutes and appoints Dr. Sehat Sutardja and Clyde R. Hosein and each of them, acting individually, as his attorney-in-fact, with full power of substitution, for him and in any and all capacities, to sign any and all amendments to this Registration Statement on this Form S-8 (including any post-effective amendments thereto) and to file the same, with all exhibits thereto and other documents in connection therewith, with the Securities and Exchange Commission, hereby ratifying and confirming all that each of said attorneys-in-fact, or his substitute or substitutes, may lawfully do or cause to be done by virtue hereof.</w:t>
      </w:r>
    </w:p>
    <w:p>
      <w:pPr>
        <w:spacing w:after="0" w:line="116" w:lineRule="exact"/>
        <w:rPr>
          <w:sz w:val="20"/>
          <w:szCs w:val="20"/>
          <w:color w:val="auto"/>
        </w:rPr>
      </w:pPr>
    </w:p>
    <w:p>
      <w:pPr>
        <w:ind w:right="580" w:firstLine="456"/>
        <w:spacing w:after="0" w:line="268" w:lineRule="auto"/>
        <w:rPr>
          <w:sz w:val="20"/>
          <w:szCs w:val="20"/>
          <w:color w:val="auto"/>
        </w:rPr>
      </w:pPr>
      <w:r>
        <w:rPr>
          <w:rFonts w:ascii="Arial" w:cs="Arial" w:eastAsia="Arial" w:hAnsi="Arial"/>
          <w:sz w:val="18"/>
          <w:szCs w:val="18"/>
          <w:color w:val="auto"/>
        </w:rPr>
        <w:t>Pursuant to the requirements of the Securities Act of 1933, this Registration Statement on Form S-8 has been signed by the following persons in the capacities and on the dates indicated.</w:t>
      </w:r>
    </w:p>
    <w:p>
      <w:pPr>
        <w:sectPr>
          <w:pgSz w:w="11900" w:h="16838" w:orient="portrait"/>
          <w:cols w:equalWidth="0" w:num="1">
            <w:col w:w="11420"/>
          </w:cols>
          <w:pgMar w:left="240" w:top="274" w:right="239" w:bottom="1440" w:gutter="0" w:footer="0" w:header="0"/>
        </w:sectPr>
      </w:pPr>
    </w:p>
    <w:p>
      <w:pPr>
        <w:spacing w:after="0" w:line="168" w:lineRule="exact"/>
        <w:rPr>
          <w:sz w:val="20"/>
          <w:szCs w:val="20"/>
          <w:color w:val="auto"/>
        </w:rPr>
      </w:pPr>
    </w:p>
    <w:p>
      <w:pPr>
        <w:ind w:left="1840"/>
        <w:spacing w:after="0"/>
        <w:rPr>
          <w:sz w:val="20"/>
          <w:szCs w:val="20"/>
          <w:color w:val="auto"/>
        </w:rPr>
      </w:pPr>
      <w:r>
        <w:rPr>
          <w:rFonts w:ascii="Arial" w:cs="Arial" w:eastAsia="Arial" w:hAnsi="Arial"/>
          <w:sz w:val="14"/>
          <w:szCs w:val="14"/>
          <w:b w:val="1"/>
          <w:bCs w:val="1"/>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8890</wp:posOffset>
            </wp:positionV>
            <wp:extent cx="2684145"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2684145" cy="8890"/>
                    </a:xfrm>
                    <a:prstGeom prst="rect">
                      <a:avLst/>
                    </a:prstGeom>
                    <a:noFill/>
                  </pic:spPr>
                </pic:pic>
              </a:graphicData>
            </a:graphic>
          </wp:anchor>
        </w:drawing>
      </w:r>
    </w:p>
    <w:p>
      <w:pPr>
        <w:spacing w:after="0" w:line="188" w:lineRule="exact"/>
        <w:rPr>
          <w:sz w:val="20"/>
          <w:szCs w:val="20"/>
          <w:color w:val="auto"/>
        </w:rPr>
      </w:pPr>
    </w:p>
    <w:p>
      <w:pPr>
        <w:ind w:left="960"/>
        <w:spacing w:after="0"/>
        <w:tabs>
          <w:tab w:leader="none" w:pos="1300" w:val="left"/>
        </w:tabs>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D</w:t>
      </w:r>
      <w:r>
        <w:rPr>
          <w:rFonts w:ascii="Arial" w:cs="Arial" w:eastAsia="Arial" w:hAnsi="Arial"/>
          <w:sz w:val="13"/>
          <w:szCs w:val="13"/>
          <w:color w:val="auto"/>
        </w:rPr>
        <w:t>R</w:t>
      </w:r>
      <w:r>
        <w:rPr>
          <w:rFonts w:ascii="Arial" w:cs="Arial" w:eastAsia="Arial" w:hAnsi="Arial"/>
          <w:sz w:val="16"/>
          <w:szCs w:val="16"/>
          <w:color w:val="auto"/>
        </w:rPr>
        <w:t>. 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10795</wp:posOffset>
            </wp:positionV>
            <wp:extent cx="268414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2684145" cy="8890"/>
                    </a:xfrm>
                    <a:prstGeom prst="rect">
                      <a:avLst/>
                    </a:prstGeom>
                    <a:noFill/>
                  </pic:spPr>
                </pic:pic>
              </a:graphicData>
            </a:graphic>
          </wp:anchor>
        </w:drawing>
      </w:r>
    </w:p>
    <w:p>
      <w:pPr>
        <w:spacing w:after="0" w:line="79" w:lineRule="exact"/>
        <w:rPr>
          <w:sz w:val="20"/>
          <w:szCs w:val="20"/>
          <w:color w:val="auto"/>
        </w:rPr>
      </w:pPr>
    </w:p>
    <w:p>
      <w:pPr>
        <w:ind w:left="1580"/>
        <w:spacing w:after="0"/>
        <w:rPr>
          <w:sz w:val="20"/>
          <w:szCs w:val="20"/>
          <w:color w:val="auto"/>
        </w:rPr>
      </w:pPr>
      <w:r>
        <w:rPr>
          <w:rFonts w:ascii="Arial" w:cs="Arial" w:eastAsia="Arial" w:hAnsi="Arial"/>
          <w:sz w:val="14"/>
          <w:szCs w:val="14"/>
          <w:b w:val="1"/>
          <w:bCs w:val="1"/>
          <w:color w:val="auto"/>
        </w:rPr>
        <w:t>Dr. Sehat Sutardja</w:t>
      </w:r>
    </w:p>
    <w:p>
      <w:pPr>
        <w:spacing w:after="0" w:line="397" w:lineRule="exact"/>
        <w:rPr>
          <w:sz w:val="20"/>
          <w:szCs w:val="20"/>
          <w:color w:val="auto"/>
        </w:rPr>
      </w:pPr>
    </w:p>
    <w:p>
      <w:pPr>
        <w:ind w:left="1100"/>
        <w:spacing w:after="0"/>
        <w:tabs>
          <w:tab w:leader="none" w:pos="1440" w:val="left"/>
        </w:tabs>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10795</wp:posOffset>
            </wp:positionV>
            <wp:extent cx="268414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2684145" cy="8890"/>
                    </a:xfrm>
                    <a:prstGeom prst="rect">
                      <a:avLst/>
                    </a:prstGeom>
                    <a:noFill/>
                  </pic:spPr>
                </pic:pic>
              </a:graphicData>
            </a:graphic>
          </wp:anchor>
        </w:drawing>
      </w:r>
    </w:p>
    <w:p>
      <w:pPr>
        <w:spacing w:after="0" w:line="79" w:lineRule="exact"/>
        <w:rPr>
          <w:sz w:val="20"/>
          <w:szCs w:val="20"/>
          <w:color w:val="auto"/>
        </w:rPr>
      </w:pPr>
    </w:p>
    <w:p>
      <w:pPr>
        <w:ind w:left="1660"/>
        <w:spacing w:after="0"/>
        <w:rPr>
          <w:sz w:val="20"/>
          <w:szCs w:val="20"/>
          <w:color w:val="auto"/>
        </w:rPr>
      </w:pPr>
      <w:r>
        <w:rPr>
          <w:rFonts w:ascii="Arial" w:cs="Arial" w:eastAsia="Arial" w:hAnsi="Arial"/>
          <w:sz w:val="14"/>
          <w:szCs w:val="14"/>
          <w:b w:val="1"/>
          <w:bCs w:val="1"/>
          <w:color w:val="auto"/>
        </w:rPr>
        <w:t>Clyde R. Hosein</w:t>
      </w:r>
    </w:p>
    <w:p>
      <w:pPr>
        <w:spacing w:after="0" w:line="397" w:lineRule="exact"/>
        <w:rPr>
          <w:sz w:val="20"/>
          <w:szCs w:val="20"/>
          <w:color w:val="auto"/>
        </w:rPr>
      </w:pPr>
    </w:p>
    <w:p>
      <w:pPr>
        <w:ind w:left="900"/>
        <w:spacing w:after="0"/>
        <w:tabs>
          <w:tab w:leader="none" w:pos="1240" w:val="left"/>
        </w:tabs>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D</w:t>
      </w:r>
      <w:r>
        <w:rPr>
          <w:rFonts w:ascii="Arial" w:cs="Arial" w:eastAsia="Arial" w:hAnsi="Arial"/>
          <w:sz w:val="13"/>
          <w:szCs w:val="13"/>
          <w:color w:val="auto"/>
        </w:rPr>
        <w:t>R</w:t>
      </w:r>
      <w:r>
        <w:rPr>
          <w:rFonts w:ascii="Arial" w:cs="Arial" w:eastAsia="Arial" w:hAnsi="Arial"/>
          <w:sz w:val="16"/>
          <w:szCs w:val="16"/>
          <w:color w:val="auto"/>
        </w:rPr>
        <w:t>. P</w:t>
      </w:r>
      <w:r>
        <w:rPr>
          <w:rFonts w:ascii="Arial" w:cs="Arial" w:eastAsia="Arial" w:hAnsi="Arial"/>
          <w:sz w:val="13"/>
          <w:szCs w:val="13"/>
          <w:color w:val="auto"/>
        </w:rPr>
        <w:t>ANTAS</w:t>
      </w:r>
      <w:r>
        <w:rPr>
          <w:rFonts w:ascii="Arial" w:cs="Arial" w:eastAsia="Arial" w:hAnsi="Arial"/>
          <w:sz w:val="16"/>
          <w:szCs w:val="16"/>
          <w:color w:val="auto"/>
        </w:rPr>
        <w:t xml:space="preserve"> S</w:t>
      </w:r>
      <w:r>
        <w:rPr>
          <w:rFonts w:ascii="Arial" w:cs="Arial" w:eastAsia="Arial" w:hAnsi="Arial"/>
          <w:sz w:val="13"/>
          <w:szCs w:val="13"/>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10795</wp:posOffset>
            </wp:positionV>
            <wp:extent cx="268414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2684145" cy="8890"/>
                    </a:xfrm>
                    <a:prstGeom prst="rect">
                      <a:avLst/>
                    </a:prstGeom>
                    <a:noFill/>
                  </pic:spPr>
                </pic:pic>
              </a:graphicData>
            </a:graphic>
          </wp:anchor>
        </w:drawing>
      </w:r>
    </w:p>
    <w:p>
      <w:pPr>
        <w:spacing w:after="0" w:line="12" w:lineRule="exact"/>
        <w:rPr>
          <w:sz w:val="20"/>
          <w:szCs w:val="20"/>
          <w:color w:val="auto"/>
        </w:rPr>
      </w:pPr>
    </w:p>
    <w:p>
      <w:pPr>
        <w:ind w:left="1540"/>
        <w:spacing w:after="0"/>
        <w:rPr>
          <w:sz w:val="20"/>
          <w:szCs w:val="20"/>
          <w:color w:val="auto"/>
        </w:rPr>
      </w:pPr>
      <w:r>
        <w:rPr>
          <w:rFonts w:ascii="Arial" w:cs="Arial" w:eastAsia="Arial" w:hAnsi="Arial"/>
          <w:sz w:val="14"/>
          <w:szCs w:val="14"/>
          <w:b w:val="1"/>
          <w:bCs w:val="1"/>
          <w:color w:val="auto"/>
        </w:rPr>
        <w:t>Dr. Pantas Sutardja</w:t>
      </w:r>
    </w:p>
    <w:p>
      <w:pPr>
        <w:spacing w:after="0" w:line="208" w:lineRule="exact"/>
        <w:rPr>
          <w:sz w:val="20"/>
          <w:szCs w:val="20"/>
          <w:color w:val="auto"/>
        </w:rPr>
      </w:pPr>
    </w:p>
    <w:p>
      <w:pPr>
        <w:ind w:left="700"/>
        <w:spacing w:after="0"/>
        <w:tabs>
          <w:tab w:leader="none" w:pos="1020" w:val="left"/>
        </w:tabs>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K</w:t>
      </w:r>
      <w:r>
        <w:rPr>
          <w:rFonts w:ascii="Arial" w:cs="Arial" w:eastAsia="Arial" w:hAnsi="Arial"/>
          <w:sz w:val="13"/>
          <w:szCs w:val="13"/>
          <w:color w:val="auto"/>
        </w:rPr>
        <w:t>UO</w:t>
      </w:r>
      <w:r>
        <w:rPr>
          <w:rFonts w:ascii="Arial" w:cs="Arial" w:eastAsia="Arial" w:hAnsi="Arial"/>
          <w:sz w:val="16"/>
          <w:szCs w:val="16"/>
          <w:color w:val="auto"/>
        </w:rPr>
        <w:t xml:space="preserve"> W</w:t>
      </w:r>
      <w:r>
        <w:rPr>
          <w:rFonts w:ascii="Arial" w:cs="Arial" w:eastAsia="Arial" w:hAnsi="Arial"/>
          <w:sz w:val="13"/>
          <w:szCs w:val="13"/>
          <w:color w:val="auto"/>
        </w:rPr>
        <w:t>EI</w:t>
      </w:r>
      <w:r>
        <w:rPr>
          <w:rFonts w:ascii="Arial" w:cs="Arial" w:eastAsia="Arial" w:hAnsi="Arial"/>
          <w:sz w:val="16"/>
          <w:szCs w:val="16"/>
          <w:color w:val="auto"/>
        </w:rPr>
        <w:t xml:space="preserve"> (H</w:t>
      </w:r>
      <w:r>
        <w:rPr>
          <w:rFonts w:ascii="Arial" w:cs="Arial" w:eastAsia="Arial" w:hAnsi="Arial"/>
          <w:sz w:val="13"/>
          <w:szCs w:val="13"/>
          <w:color w:val="auto"/>
        </w:rPr>
        <w:t>ERBERT</w:t>
      </w:r>
      <w:r>
        <w:rPr>
          <w:rFonts w:ascii="Arial" w:cs="Arial" w:eastAsia="Arial" w:hAnsi="Arial"/>
          <w:sz w:val="16"/>
          <w:szCs w:val="16"/>
          <w:color w:val="auto"/>
        </w:rPr>
        <w:t>) C</w:t>
      </w:r>
      <w:r>
        <w:rPr>
          <w:rFonts w:ascii="Arial" w:cs="Arial" w:eastAsia="Arial" w:hAnsi="Arial"/>
          <w:sz w:val="13"/>
          <w:szCs w:val="13"/>
          <w:color w:val="auto"/>
        </w:rPr>
        <w:t>HANG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10795</wp:posOffset>
            </wp:positionV>
            <wp:extent cx="2684145"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2684145" cy="8890"/>
                    </a:xfrm>
                    <a:prstGeom prst="rect">
                      <a:avLst/>
                    </a:prstGeom>
                    <a:noFill/>
                  </pic:spPr>
                </pic:pic>
              </a:graphicData>
            </a:graphic>
          </wp:anchor>
        </w:drawing>
      </w:r>
    </w:p>
    <w:p>
      <w:pPr>
        <w:spacing w:after="0" w:line="12" w:lineRule="exact"/>
        <w:rPr>
          <w:sz w:val="20"/>
          <w:szCs w:val="20"/>
          <w:color w:val="auto"/>
        </w:rPr>
      </w:pPr>
    </w:p>
    <w:p>
      <w:pPr>
        <w:ind w:left="1360"/>
        <w:spacing w:after="0"/>
        <w:rPr>
          <w:sz w:val="20"/>
          <w:szCs w:val="20"/>
          <w:color w:val="auto"/>
        </w:rPr>
      </w:pPr>
      <w:r>
        <w:rPr>
          <w:rFonts w:ascii="Arial" w:cs="Arial" w:eastAsia="Arial" w:hAnsi="Arial"/>
          <w:sz w:val="14"/>
          <w:szCs w:val="14"/>
          <w:b w:val="1"/>
          <w:bCs w:val="1"/>
          <w:color w:val="auto"/>
        </w:rPr>
        <w:t>Kuo Wei (Herbert) Chang</w:t>
      </w:r>
    </w:p>
    <w:p>
      <w:pPr>
        <w:spacing w:after="0" w:line="208" w:lineRule="exact"/>
        <w:rPr>
          <w:sz w:val="20"/>
          <w:szCs w:val="20"/>
          <w:color w:val="auto"/>
        </w:rPr>
      </w:pPr>
    </w:p>
    <w:p>
      <w:pPr>
        <w:ind w:left="920"/>
        <w:spacing w:after="0"/>
        <w:tabs>
          <w:tab w:leader="none" w:pos="1240" w:val="left"/>
        </w:tabs>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D</w:t>
      </w:r>
      <w:r>
        <w:rPr>
          <w:rFonts w:ascii="Arial" w:cs="Arial" w:eastAsia="Arial" w:hAnsi="Arial"/>
          <w:sz w:val="13"/>
          <w:szCs w:val="13"/>
          <w:color w:val="auto"/>
        </w:rPr>
        <w:t>R</w:t>
      </w:r>
      <w:r>
        <w:rPr>
          <w:rFonts w:ascii="Arial" w:cs="Arial" w:eastAsia="Arial" w:hAnsi="Arial"/>
          <w:sz w:val="16"/>
          <w:szCs w:val="16"/>
          <w:color w:val="auto"/>
        </w:rPr>
        <w:t>. J</w:t>
      </w:r>
      <w:r>
        <w:rPr>
          <w:rFonts w:ascii="Arial" w:cs="Arial" w:eastAsia="Arial" w:hAnsi="Arial"/>
          <w:sz w:val="13"/>
          <w:szCs w:val="13"/>
          <w:color w:val="auto"/>
        </w:rPr>
        <w:t>UERGEN</w:t>
      </w:r>
      <w:r>
        <w:rPr>
          <w:rFonts w:ascii="Arial" w:cs="Arial" w:eastAsia="Arial" w:hAnsi="Arial"/>
          <w:sz w:val="16"/>
          <w:szCs w:val="16"/>
          <w:color w:val="auto"/>
        </w:rPr>
        <w:t xml:space="preserve"> G</w:t>
      </w:r>
      <w:r>
        <w:rPr>
          <w:rFonts w:ascii="Arial" w:cs="Arial" w:eastAsia="Arial" w:hAnsi="Arial"/>
          <w:sz w:val="13"/>
          <w:szCs w:val="13"/>
          <w:color w:val="auto"/>
        </w:rPr>
        <w:t>ROMER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10795</wp:posOffset>
            </wp:positionV>
            <wp:extent cx="2684145"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2684145" cy="8890"/>
                    </a:xfrm>
                    <a:prstGeom prst="rect">
                      <a:avLst/>
                    </a:prstGeom>
                    <a:noFill/>
                  </pic:spPr>
                </pic:pic>
              </a:graphicData>
            </a:graphic>
          </wp:anchor>
        </w:drawing>
      </w:r>
    </w:p>
    <w:p>
      <w:pPr>
        <w:spacing w:after="0" w:line="12" w:lineRule="exact"/>
        <w:rPr>
          <w:sz w:val="20"/>
          <w:szCs w:val="20"/>
          <w:color w:val="auto"/>
        </w:rPr>
      </w:pPr>
    </w:p>
    <w:p>
      <w:pPr>
        <w:ind w:left="1540"/>
        <w:spacing w:after="0"/>
        <w:rPr>
          <w:sz w:val="20"/>
          <w:szCs w:val="20"/>
          <w:color w:val="auto"/>
        </w:rPr>
      </w:pPr>
      <w:r>
        <w:rPr>
          <w:rFonts w:ascii="Arial" w:cs="Arial" w:eastAsia="Arial" w:hAnsi="Arial"/>
          <w:sz w:val="14"/>
          <w:szCs w:val="14"/>
          <w:b w:val="1"/>
          <w:bCs w:val="1"/>
          <w:color w:val="auto"/>
        </w:rPr>
        <w:t>Dr. Juergen Gromer</w:t>
      </w:r>
    </w:p>
    <w:p>
      <w:pPr>
        <w:spacing w:after="0" w:line="208" w:lineRule="exact"/>
        <w:rPr>
          <w:sz w:val="20"/>
          <w:szCs w:val="20"/>
          <w:color w:val="auto"/>
        </w:rPr>
      </w:pPr>
    </w:p>
    <w:p>
      <w:pPr>
        <w:ind w:left="1160"/>
        <w:spacing w:after="0"/>
        <w:tabs>
          <w:tab w:leader="none" w:pos="1500" w:val="left"/>
        </w:tabs>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D</w:t>
      </w:r>
      <w:r>
        <w:rPr>
          <w:rFonts w:ascii="Arial" w:cs="Arial" w:eastAsia="Arial" w:hAnsi="Arial"/>
          <w:sz w:val="13"/>
          <w:szCs w:val="13"/>
          <w:color w:val="auto"/>
        </w:rPr>
        <w:t>R</w:t>
      </w:r>
      <w:r>
        <w:rPr>
          <w:rFonts w:ascii="Arial" w:cs="Arial" w:eastAsia="Arial" w:hAnsi="Arial"/>
          <w:sz w:val="16"/>
          <w:szCs w:val="16"/>
          <w:color w:val="auto"/>
        </w:rPr>
        <w:t>. T</w:t>
      </w:r>
      <w:r>
        <w:rPr>
          <w:rFonts w:ascii="Arial" w:cs="Arial" w:eastAsia="Arial" w:hAnsi="Arial"/>
          <w:sz w:val="13"/>
          <w:szCs w:val="13"/>
          <w:color w:val="auto"/>
        </w:rPr>
        <w:t>A</w:t>
      </w:r>
      <w:r>
        <w:rPr>
          <w:rFonts w:ascii="Arial" w:cs="Arial" w:eastAsia="Arial" w:hAnsi="Arial"/>
          <w:sz w:val="16"/>
          <w:szCs w:val="16"/>
          <w:color w:val="auto"/>
        </w:rPr>
        <w:t>-</w:t>
      </w:r>
      <w:r>
        <w:rPr>
          <w:rFonts w:ascii="Arial" w:cs="Arial" w:eastAsia="Arial" w:hAnsi="Arial"/>
          <w:sz w:val="13"/>
          <w:szCs w:val="13"/>
          <w:color w:val="auto"/>
        </w:rPr>
        <w:t>LIN</w:t>
      </w:r>
      <w:r>
        <w:rPr>
          <w:rFonts w:ascii="Arial" w:cs="Arial" w:eastAsia="Arial" w:hAnsi="Arial"/>
          <w:sz w:val="16"/>
          <w:szCs w:val="16"/>
          <w:color w:val="auto"/>
        </w:rPr>
        <w:t xml:space="preserve"> H</w:t>
      </w:r>
      <w:r>
        <w:rPr>
          <w:rFonts w:ascii="Arial" w:cs="Arial" w:eastAsia="Arial" w:hAnsi="Arial"/>
          <w:sz w:val="13"/>
          <w:szCs w:val="13"/>
          <w:color w:val="auto"/>
        </w:rPr>
        <w:t>SU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10795</wp:posOffset>
            </wp:positionV>
            <wp:extent cx="2684145"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2684145" cy="8890"/>
                    </a:xfrm>
                    <a:prstGeom prst="rect">
                      <a:avLst/>
                    </a:prstGeom>
                    <a:noFill/>
                  </pic:spPr>
                </pic:pic>
              </a:graphicData>
            </a:graphic>
          </wp:anchor>
        </w:drawing>
      </w:r>
    </w:p>
    <w:p>
      <w:pPr>
        <w:spacing w:after="0" w:line="12" w:lineRule="exact"/>
        <w:rPr>
          <w:sz w:val="20"/>
          <w:szCs w:val="20"/>
          <w:color w:val="auto"/>
        </w:rPr>
      </w:pPr>
    </w:p>
    <w:p>
      <w:pPr>
        <w:ind w:left="1720"/>
        <w:spacing w:after="0"/>
        <w:rPr>
          <w:sz w:val="20"/>
          <w:szCs w:val="20"/>
          <w:color w:val="auto"/>
        </w:rPr>
      </w:pPr>
      <w:r>
        <w:rPr>
          <w:rFonts w:ascii="Arial" w:cs="Arial" w:eastAsia="Arial" w:hAnsi="Arial"/>
          <w:sz w:val="14"/>
          <w:szCs w:val="14"/>
          <w:b w:val="1"/>
          <w:bCs w:val="1"/>
          <w:color w:val="auto"/>
        </w:rPr>
        <w:t>Dr. Ta-lin Hsu</w:t>
      </w:r>
    </w:p>
    <w:p>
      <w:pPr>
        <w:spacing w:after="0" w:line="208" w:lineRule="exact"/>
        <w:rPr>
          <w:sz w:val="20"/>
          <w:szCs w:val="20"/>
          <w:color w:val="auto"/>
        </w:rPr>
      </w:pPr>
    </w:p>
    <w:p>
      <w:pPr>
        <w:ind w:left="840"/>
        <w:spacing w:after="0"/>
        <w:tabs>
          <w:tab w:leader="none" w:pos="1180" w:val="left"/>
        </w:tabs>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D</w:t>
      </w:r>
      <w:r>
        <w:rPr>
          <w:rFonts w:ascii="Arial" w:cs="Arial" w:eastAsia="Arial" w:hAnsi="Arial"/>
          <w:sz w:val="13"/>
          <w:szCs w:val="13"/>
          <w:color w:val="auto"/>
        </w:rPr>
        <w:t>R</w:t>
      </w:r>
      <w:r>
        <w:rPr>
          <w:rFonts w:ascii="Arial" w:cs="Arial" w:eastAsia="Arial" w:hAnsi="Arial"/>
          <w:sz w:val="16"/>
          <w:szCs w:val="16"/>
          <w:color w:val="auto"/>
        </w:rPr>
        <w:t>. J</w:t>
      </w:r>
      <w:r>
        <w:rPr>
          <w:rFonts w:ascii="Arial" w:cs="Arial" w:eastAsia="Arial" w:hAnsi="Arial"/>
          <w:sz w:val="13"/>
          <w:szCs w:val="13"/>
          <w:color w:val="auto"/>
        </w:rPr>
        <w:t>OHN</w:t>
      </w:r>
      <w:r>
        <w:rPr>
          <w:rFonts w:ascii="Arial" w:cs="Arial" w:eastAsia="Arial" w:hAnsi="Arial"/>
          <w:sz w:val="16"/>
          <w:szCs w:val="16"/>
          <w:color w:val="auto"/>
        </w:rPr>
        <w:t xml:space="preserve"> G. K</w:t>
      </w:r>
      <w:r>
        <w:rPr>
          <w:rFonts w:ascii="Arial" w:cs="Arial" w:eastAsia="Arial" w:hAnsi="Arial"/>
          <w:sz w:val="13"/>
          <w:szCs w:val="13"/>
          <w:color w:val="auto"/>
        </w:rPr>
        <w:t>ASSAKIAN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10795</wp:posOffset>
            </wp:positionV>
            <wp:extent cx="2684145"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2684145" cy="8890"/>
                    </a:xfrm>
                    <a:prstGeom prst="rect">
                      <a:avLst/>
                    </a:prstGeom>
                    <a:noFill/>
                  </pic:spPr>
                </pic:pic>
              </a:graphicData>
            </a:graphic>
          </wp:anchor>
        </w:drawing>
      </w:r>
    </w:p>
    <w:p>
      <w:pPr>
        <w:spacing w:after="0" w:line="12" w:lineRule="exact"/>
        <w:rPr>
          <w:sz w:val="20"/>
          <w:szCs w:val="20"/>
          <w:color w:val="auto"/>
        </w:rPr>
      </w:pPr>
    </w:p>
    <w:p>
      <w:pPr>
        <w:ind w:left="1460"/>
        <w:spacing w:after="0"/>
        <w:rPr>
          <w:sz w:val="20"/>
          <w:szCs w:val="20"/>
          <w:color w:val="auto"/>
        </w:rPr>
      </w:pPr>
      <w:r>
        <w:rPr>
          <w:rFonts w:ascii="Arial" w:cs="Arial" w:eastAsia="Arial" w:hAnsi="Arial"/>
          <w:sz w:val="14"/>
          <w:szCs w:val="14"/>
          <w:b w:val="1"/>
          <w:bCs w:val="1"/>
          <w:color w:val="auto"/>
        </w:rPr>
        <w:t>Dr. John G. Kassakian</w:t>
      </w:r>
    </w:p>
    <w:p>
      <w:pPr>
        <w:spacing w:after="0" w:line="208" w:lineRule="exact"/>
        <w:rPr>
          <w:sz w:val="20"/>
          <w:szCs w:val="20"/>
          <w:color w:val="auto"/>
        </w:rPr>
      </w:pPr>
    </w:p>
    <w:p>
      <w:pPr>
        <w:ind w:left="1120"/>
        <w:spacing w:after="0"/>
        <w:tabs>
          <w:tab w:leader="none" w:pos="1440" w:val="left"/>
        </w:tabs>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A</w:t>
      </w:r>
      <w:r>
        <w:rPr>
          <w:rFonts w:ascii="Arial" w:cs="Arial" w:eastAsia="Arial" w:hAnsi="Arial"/>
          <w:sz w:val="13"/>
          <w:szCs w:val="13"/>
          <w:color w:val="auto"/>
        </w:rPr>
        <w:t>RTURO</w:t>
      </w:r>
      <w:r>
        <w:rPr>
          <w:rFonts w:ascii="Arial" w:cs="Arial" w:eastAsia="Arial" w:hAnsi="Arial"/>
          <w:sz w:val="16"/>
          <w:szCs w:val="16"/>
          <w:color w:val="auto"/>
        </w:rPr>
        <w:t xml:space="preserve"> K</w:t>
      </w:r>
      <w:r>
        <w:rPr>
          <w:rFonts w:ascii="Arial" w:cs="Arial" w:eastAsia="Arial" w:hAnsi="Arial"/>
          <w:sz w:val="13"/>
          <w:szCs w:val="13"/>
          <w:color w:val="auto"/>
        </w:rPr>
        <w:t>RUEGER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10795</wp:posOffset>
            </wp:positionV>
            <wp:extent cx="2684145"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2684145" cy="8890"/>
                    </a:xfrm>
                    <a:prstGeom prst="rect">
                      <a:avLst/>
                    </a:prstGeom>
                    <a:noFill/>
                  </pic:spPr>
                </pic:pic>
              </a:graphicData>
            </a:graphic>
          </wp:anchor>
        </w:drawing>
      </w:r>
    </w:p>
    <w:p>
      <w:pPr>
        <w:spacing w:after="0" w:line="12" w:lineRule="exact"/>
        <w:rPr>
          <w:sz w:val="20"/>
          <w:szCs w:val="20"/>
          <w:color w:val="auto"/>
        </w:rPr>
      </w:pPr>
    </w:p>
    <w:p>
      <w:pPr>
        <w:ind w:left="1660"/>
        <w:spacing w:after="0"/>
        <w:rPr>
          <w:sz w:val="20"/>
          <w:szCs w:val="20"/>
          <w:color w:val="auto"/>
        </w:rPr>
      </w:pPr>
      <w:r>
        <w:rPr>
          <w:rFonts w:ascii="Arial" w:cs="Arial" w:eastAsia="Arial" w:hAnsi="Arial"/>
          <w:sz w:val="14"/>
          <w:szCs w:val="14"/>
          <w:b w:val="1"/>
          <w:bCs w:val="1"/>
          <w:color w:val="auto"/>
        </w:rPr>
        <w:t>Arturo Krueger</w:t>
      </w:r>
    </w:p>
    <w:p>
      <w:pPr>
        <w:spacing w:after="0" w:line="20" w:lineRule="exact"/>
        <w:rPr>
          <w:sz w:val="20"/>
          <w:szCs w:val="20"/>
          <w:color w:val="auto"/>
        </w:rPr>
      </w:pPr>
      <w:r>
        <w:rPr>
          <w:sz w:val="20"/>
          <w:szCs w:val="20"/>
          <w:color w:val="auto"/>
        </w:rPr>
        <w:br w:type="column"/>
      </w:r>
    </w:p>
    <w:p>
      <w:pPr>
        <w:spacing w:after="0" w:line="148"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75"/>
        </w:trPr>
        <w:tc>
          <w:tcPr>
            <w:tcW w:w="50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7"/>
              </w:rPr>
              <w:t>Title</w:t>
            </w:r>
          </w:p>
        </w:tc>
        <w:tc>
          <w:tcPr>
            <w:tcW w:w="240" w:type="dxa"/>
            <w:vAlign w:val="bottom"/>
          </w:tcPr>
          <w:p>
            <w:pPr>
              <w:spacing w:after="0"/>
              <w:rPr>
                <w:sz w:val="15"/>
                <w:szCs w:val="15"/>
                <w:color w:val="auto"/>
              </w:rPr>
            </w:pPr>
          </w:p>
        </w:tc>
        <w:tc>
          <w:tcPr>
            <w:tcW w:w="1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Date</w:t>
            </w:r>
          </w:p>
        </w:tc>
      </w:tr>
      <w:tr>
        <w:trPr>
          <w:trHeight w:val="201"/>
        </w:trPr>
        <w:tc>
          <w:tcPr>
            <w:tcW w:w="5020" w:type="dxa"/>
            <w:vAlign w:val="bottom"/>
          </w:tcPr>
          <w:p>
            <w:pPr>
              <w:jc w:val="center"/>
              <w:spacing w:after="0" w:line="201" w:lineRule="exact"/>
              <w:rPr>
                <w:sz w:val="20"/>
                <w:szCs w:val="20"/>
                <w:color w:val="auto"/>
              </w:rPr>
            </w:pPr>
            <w:r>
              <w:rPr>
                <w:rFonts w:ascii="Arial" w:cs="Arial" w:eastAsia="Arial" w:hAnsi="Arial"/>
                <w:sz w:val="18"/>
                <w:szCs w:val="18"/>
                <w:color w:val="auto"/>
                <w:w w:val="88"/>
              </w:rPr>
              <w:t>Chairman of the Board, President</w:t>
            </w:r>
          </w:p>
        </w:tc>
        <w:tc>
          <w:tcPr>
            <w:tcW w:w="240" w:type="dxa"/>
            <w:vAlign w:val="bottom"/>
          </w:tcPr>
          <w:p>
            <w:pPr>
              <w:spacing w:after="0"/>
              <w:rPr>
                <w:sz w:val="17"/>
                <w:szCs w:val="17"/>
                <w:color w:val="auto"/>
              </w:rPr>
            </w:pPr>
          </w:p>
        </w:tc>
        <w:tc>
          <w:tcPr>
            <w:tcW w:w="1700" w:type="dxa"/>
            <w:vAlign w:val="bottom"/>
          </w:tcPr>
          <w:p>
            <w:pPr>
              <w:spacing w:after="0"/>
              <w:rPr>
                <w:sz w:val="17"/>
                <w:szCs w:val="17"/>
                <w:color w:val="auto"/>
              </w:rPr>
            </w:pPr>
          </w:p>
        </w:tc>
      </w:tr>
      <w:tr>
        <w:trPr>
          <w:trHeight w:val="216"/>
        </w:trPr>
        <w:tc>
          <w:tcPr>
            <w:tcW w:w="5020" w:type="dxa"/>
            <w:vAlign w:val="bottom"/>
          </w:tcPr>
          <w:p>
            <w:pPr>
              <w:jc w:val="center"/>
              <w:spacing w:after="0"/>
              <w:rPr>
                <w:sz w:val="20"/>
                <w:szCs w:val="20"/>
                <w:color w:val="auto"/>
              </w:rPr>
            </w:pPr>
            <w:r>
              <w:rPr>
                <w:rFonts w:ascii="Arial" w:cs="Arial" w:eastAsia="Arial" w:hAnsi="Arial"/>
                <w:sz w:val="18"/>
                <w:szCs w:val="18"/>
                <w:color w:val="auto"/>
                <w:w w:val="90"/>
              </w:rPr>
              <w:t>and Chief Executive Officer</w:t>
            </w:r>
          </w:p>
        </w:tc>
        <w:tc>
          <w:tcPr>
            <w:tcW w:w="240" w:type="dxa"/>
            <w:vAlign w:val="bottom"/>
          </w:tcPr>
          <w:p>
            <w:pPr>
              <w:spacing w:after="0"/>
              <w:rPr>
                <w:sz w:val="18"/>
                <w:szCs w:val="18"/>
                <w:color w:val="auto"/>
              </w:rPr>
            </w:pPr>
          </w:p>
        </w:tc>
        <w:tc>
          <w:tcPr>
            <w:tcW w:w="1700" w:type="dxa"/>
            <w:vAlign w:val="bottom"/>
          </w:tcPr>
          <w:p>
            <w:pPr>
              <w:jc w:val="center"/>
              <w:spacing w:after="0"/>
              <w:rPr>
                <w:sz w:val="20"/>
                <w:szCs w:val="20"/>
                <w:color w:val="auto"/>
              </w:rPr>
            </w:pPr>
            <w:r>
              <w:rPr>
                <w:rFonts w:ascii="Arial" w:cs="Arial" w:eastAsia="Arial" w:hAnsi="Arial"/>
                <w:sz w:val="18"/>
                <w:szCs w:val="18"/>
                <w:color w:val="auto"/>
                <w:w w:val="87"/>
              </w:rPr>
              <w:t>December 10, 2009</w:t>
            </w:r>
          </w:p>
        </w:tc>
      </w:tr>
      <w:tr>
        <w:trPr>
          <w:trHeight w:val="222"/>
        </w:trPr>
        <w:tc>
          <w:tcPr>
            <w:tcW w:w="5020" w:type="dxa"/>
            <w:vAlign w:val="bottom"/>
          </w:tcPr>
          <w:p>
            <w:pPr>
              <w:jc w:val="center"/>
              <w:spacing w:after="0"/>
              <w:rPr>
                <w:sz w:val="20"/>
                <w:szCs w:val="20"/>
                <w:color w:val="auto"/>
              </w:rPr>
            </w:pPr>
            <w:r>
              <w:rPr>
                <w:rFonts w:ascii="Arial" w:cs="Arial" w:eastAsia="Arial" w:hAnsi="Arial"/>
                <w:sz w:val="18"/>
                <w:szCs w:val="18"/>
                <w:i w:val="1"/>
                <w:iCs w:val="1"/>
                <w:color w:val="auto"/>
                <w:w w:val="91"/>
              </w:rPr>
              <w:t>(Principal Executive Officer)</w:t>
            </w:r>
          </w:p>
        </w:tc>
        <w:tc>
          <w:tcPr>
            <w:tcW w:w="240" w:type="dxa"/>
            <w:vAlign w:val="bottom"/>
          </w:tcPr>
          <w:p>
            <w:pPr>
              <w:spacing w:after="0"/>
              <w:rPr>
                <w:sz w:val="19"/>
                <w:szCs w:val="19"/>
                <w:color w:val="auto"/>
              </w:rPr>
            </w:pPr>
          </w:p>
        </w:tc>
        <w:tc>
          <w:tcPr>
            <w:tcW w:w="1700" w:type="dxa"/>
            <w:vAlign w:val="bottom"/>
          </w:tcPr>
          <w:p>
            <w:pPr>
              <w:spacing w:after="0"/>
              <w:rPr>
                <w:sz w:val="19"/>
                <w:szCs w:val="19"/>
                <w:color w:val="auto"/>
              </w:rPr>
            </w:pPr>
          </w:p>
        </w:tc>
      </w:tr>
      <w:tr>
        <w:trPr>
          <w:trHeight w:val="426"/>
        </w:trPr>
        <w:tc>
          <w:tcPr>
            <w:tcW w:w="5020" w:type="dxa"/>
            <w:vAlign w:val="bottom"/>
          </w:tcPr>
          <w:p>
            <w:pPr>
              <w:jc w:val="center"/>
              <w:spacing w:after="0"/>
              <w:rPr>
                <w:sz w:val="20"/>
                <w:szCs w:val="20"/>
                <w:color w:val="auto"/>
              </w:rPr>
            </w:pPr>
            <w:r>
              <w:rPr>
                <w:rFonts w:ascii="Arial" w:cs="Arial" w:eastAsia="Arial" w:hAnsi="Arial"/>
                <w:sz w:val="18"/>
                <w:szCs w:val="18"/>
                <w:color w:val="auto"/>
                <w:w w:val="91"/>
              </w:rPr>
              <w:t>Chief Financial Officer, Interim Chief Operating</w:t>
            </w:r>
          </w:p>
        </w:tc>
        <w:tc>
          <w:tcPr>
            <w:tcW w:w="240" w:type="dxa"/>
            <w:vAlign w:val="bottom"/>
          </w:tcPr>
          <w:p>
            <w:pPr>
              <w:spacing w:after="0"/>
              <w:rPr>
                <w:sz w:val="24"/>
                <w:szCs w:val="24"/>
                <w:color w:val="auto"/>
              </w:rPr>
            </w:pPr>
          </w:p>
        </w:tc>
        <w:tc>
          <w:tcPr>
            <w:tcW w:w="1700" w:type="dxa"/>
            <w:vAlign w:val="bottom"/>
          </w:tcPr>
          <w:p>
            <w:pPr>
              <w:spacing w:after="0"/>
              <w:rPr>
                <w:sz w:val="24"/>
                <w:szCs w:val="24"/>
                <w:color w:val="auto"/>
              </w:rPr>
            </w:pPr>
          </w:p>
        </w:tc>
      </w:tr>
      <w:tr>
        <w:trPr>
          <w:trHeight w:val="216"/>
        </w:trPr>
        <w:tc>
          <w:tcPr>
            <w:tcW w:w="5020" w:type="dxa"/>
            <w:vAlign w:val="bottom"/>
          </w:tcPr>
          <w:p>
            <w:pPr>
              <w:jc w:val="center"/>
              <w:spacing w:after="0"/>
              <w:rPr>
                <w:sz w:val="20"/>
                <w:szCs w:val="20"/>
                <w:color w:val="auto"/>
              </w:rPr>
            </w:pPr>
            <w:r>
              <w:rPr>
                <w:rFonts w:ascii="Arial" w:cs="Arial" w:eastAsia="Arial" w:hAnsi="Arial"/>
                <w:sz w:val="18"/>
                <w:szCs w:val="18"/>
                <w:color w:val="auto"/>
                <w:w w:val="89"/>
              </w:rPr>
              <w:t>Officer and Secretary</w:t>
            </w:r>
          </w:p>
        </w:tc>
        <w:tc>
          <w:tcPr>
            <w:tcW w:w="240" w:type="dxa"/>
            <w:vAlign w:val="bottom"/>
          </w:tcPr>
          <w:p>
            <w:pPr>
              <w:spacing w:after="0"/>
              <w:rPr>
                <w:sz w:val="18"/>
                <w:szCs w:val="18"/>
                <w:color w:val="auto"/>
              </w:rPr>
            </w:pPr>
          </w:p>
        </w:tc>
        <w:tc>
          <w:tcPr>
            <w:tcW w:w="1700" w:type="dxa"/>
            <w:vAlign w:val="bottom"/>
          </w:tcPr>
          <w:p>
            <w:pPr>
              <w:jc w:val="center"/>
              <w:spacing w:after="0"/>
              <w:rPr>
                <w:sz w:val="20"/>
                <w:szCs w:val="20"/>
                <w:color w:val="auto"/>
              </w:rPr>
            </w:pPr>
            <w:r>
              <w:rPr>
                <w:rFonts w:ascii="Arial" w:cs="Arial" w:eastAsia="Arial" w:hAnsi="Arial"/>
                <w:sz w:val="18"/>
                <w:szCs w:val="18"/>
                <w:color w:val="auto"/>
                <w:w w:val="87"/>
              </w:rPr>
              <w:t>December 10, 2009</w:t>
            </w:r>
          </w:p>
        </w:tc>
      </w:tr>
      <w:tr>
        <w:trPr>
          <w:trHeight w:val="222"/>
        </w:trPr>
        <w:tc>
          <w:tcPr>
            <w:tcW w:w="5020" w:type="dxa"/>
            <w:vAlign w:val="bottom"/>
          </w:tcPr>
          <w:p>
            <w:pPr>
              <w:jc w:val="center"/>
              <w:spacing w:after="0"/>
              <w:rPr>
                <w:sz w:val="20"/>
                <w:szCs w:val="20"/>
                <w:color w:val="auto"/>
              </w:rPr>
            </w:pPr>
            <w:r>
              <w:rPr>
                <w:rFonts w:ascii="Arial" w:cs="Arial" w:eastAsia="Arial" w:hAnsi="Arial"/>
                <w:sz w:val="18"/>
                <w:szCs w:val="18"/>
                <w:i w:val="1"/>
                <w:iCs w:val="1"/>
                <w:color w:val="auto"/>
                <w:w w:val="92"/>
              </w:rPr>
              <w:t>(Principal Financial and Accounting Officer)</w:t>
            </w:r>
          </w:p>
        </w:tc>
        <w:tc>
          <w:tcPr>
            <w:tcW w:w="240" w:type="dxa"/>
            <w:vAlign w:val="bottom"/>
          </w:tcPr>
          <w:p>
            <w:pPr>
              <w:spacing w:after="0"/>
              <w:rPr>
                <w:sz w:val="19"/>
                <w:szCs w:val="19"/>
                <w:color w:val="auto"/>
              </w:rPr>
            </w:pPr>
          </w:p>
        </w:tc>
        <w:tc>
          <w:tcPr>
            <w:tcW w:w="1700" w:type="dxa"/>
            <w:vAlign w:val="bottom"/>
          </w:tcPr>
          <w:p>
            <w:pPr>
              <w:spacing w:after="0"/>
              <w:rPr>
                <w:sz w:val="19"/>
                <w:szCs w:val="19"/>
                <w:color w:val="auto"/>
              </w:rPr>
            </w:pPr>
          </w:p>
        </w:tc>
      </w:tr>
      <w:tr>
        <w:trPr>
          <w:trHeight w:val="426"/>
        </w:trPr>
        <w:tc>
          <w:tcPr>
            <w:tcW w:w="5020" w:type="dxa"/>
            <w:vAlign w:val="bottom"/>
          </w:tcPr>
          <w:p>
            <w:pPr>
              <w:jc w:val="center"/>
              <w:spacing w:after="0"/>
              <w:rPr>
                <w:sz w:val="20"/>
                <w:szCs w:val="20"/>
                <w:color w:val="auto"/>
              </w:rPr>
            </w:pPr>
            <w:r>
              <w:rPr>
                <w:rFonts w:ascii="Arial" w:cs="Arial" w:eastAsia="Arial" w:hAnsi="Arial"/>
                <w:sz w:val="18"/>
                <w:szCs w:val="18"/>
                <w:color w:val="auto"/>
                <w:w w:val="89"/>
              </w:rPr>
              <w:t>Director, Vice President, Chief Technology</w:t>
            </w:r>
          </w:p>
        </w:tc>
        <w:tc>
          <w:tcPr>
            <w:tcW w:w="240" w:type="dxa"/>
            <w:vAlign w:val="bottom"/>
          </w:tcPr>
          <w:p>
            <w:pPr>
              <w:spacing w:after="0"/>
              <w:rPr>
                <w:sz w:val="24"/>
                <w:szCs w:val="24"/>
                <w:color w:val="auto"/>
              </w:rPr>
            </w:pPr>
          </w:p>
        </w:tc>
        <w:tc>
          <w:tcPr>
            <w:tcW w:w="1700" w:type="dxa"/>
            <w:vAlign w:val="bottom"/>
          </w:tcPr>
          <w:p>
            <w:pPr>
              <w:spacing w:after="0"/>
              <w:rPr>
                <w:sz w:val="24"/>
                <w:szCs w:val="24"/>
                <w:color w:val="auto"/>
              </w:rPr>
            </w:pPr>
          </w:p>
        </w:tc>
      </w:tr>
      <w:tr>
        <w:trPr>
          <w:trHeight w:val="222"/>
        </w:trPr>
        <w:tc>
          <w:tcPr>
            <w:tcW w:w="5020" w:type="dxa"/>
            <w:vAlign w:val="bottom"/>
          </w:tcPr>
          <w:p>
            <w:pPr>
              <w:jc w:val="center"/>
              <w:spacing w:after="0"/>
              <w:rPr>
                <w:sz w:val="20"/>
                <w:szCs w:val="20"/>
                <w:color w:val="auto"/>
              </w:rPr>
            </w:pPr>
            <w:r>
              <w:rPr>
                <w:rFonts w:ascii="Arial" w:cs="Arial" w:eastAsia="Arial" w:hAnsi="Arial"/>
                <w:sz w:val="18"/>
                <w:szCs w:val="18"/>
                <w:color w:val="auto"/>
                <w:w w:val="89"/>
              </w:rPr>
              <w:t>Officer and Chief Research and Development Officer</w:t>
            </w:r>
          </w:p>
        </w:tc>
        <w:tc>
          <w:tcPr>
            <w:tcW w:w="240" w:type="dxa"/>
            <w:vAlign w:val="bottom"/>
          </w:tcPr>
          <w:p>
            <w:pPr>
              <w:spacing w:after="0"/>
              <w:rPr>
                <w:sz w:val="19"/>
                <w:szCs w:val="19"/>
                <w:color w:val="auto"/>
              </w:rPr>
            </w:pPr>
          </w:p>
        </w:tc>
        <w:tc>
          <w:tcPr>
            <w:tcW w:w="1700" w:type="dxa"/>
            <w:vAlign w:val="bottom"/>
          </w:tcPr>
          <w:p>
            <w:pPr>
              <w:jc w:val="center"/>
              <w:spacing w:after="0"/>
              <w:rPr>
                <w:sz w:val="20"/>
                <w:szCs w:val="20"/>
                <w:color w:val="auto"/>
              </w:rPr>
            </w:pPr>
            <w:r>
              <w:rPr>
                <w:rFonts w:ascii="Arial" w:cs="Arial" w:eastAsia="Arial" w:hAnsi="Arial"/>
                <w:sz w:val="18"/>
                <w:szCs w:val="18"/>
                <w:color w:val="auto"/>
                <w:w w:val="87"/>
              </w:rPr>
              <w:t>December 10, 2009</w:t>
            </w:r>
          </w:p>
        </w:tc>
      </w:tr>
      <w:tr>
        <w:trPr>
          <w:trHeight w:val="608"/>
        </w:trPr>
        <w:tc>
          <w:tcPr>
            <w:tcW w:w="5020" w:type="dxa"/>
            <w:vAlign w:val="bottom"/>
          </w:tcPr>
          <w:p>
            <w:pPr>
              <w:jc w:val="center"/>
              <w:spacing w:after="0"/>
              <w:rPr>
                <w:sz w:val="20"/>
                <w:szCs w:val="20"/>
                <w:color w:val="auto"/>
              </w:rPr>
            </w:pPr>
            <w:r>
              <w:rPr>
                <w:rFonts w:ascii="Arial" w:cs="Arial" w:eastAsia="Arial" w:hAnsi="Arial"/>
                <w:sz w:val="18"/>
                <w:szCs w:val="18"/>
                <w:color w:val="auto"/>
                <w:w w:val="91"/>
              </w:rPr>
              <w:t>Director</w:t>
            </w:r>
          </w:p>
        </w:tc>
        <w:tc>
          <w:tcPr>
            <w:tcW w:w="240" w:type="dxa"/>
            <w:vAlign w:val="bottom"/>
          </w:tcPr>
          <w:p>
            <w:pPr>
              <w:spacing w:after="0"/>
              <w:rPr>
                <w:sz w:val="24"/>
                <w:szCs w:val="24"/>
                <w:color w:val="auto"/>
              </w:rPr>
            </w:pPr>
          </w:p>
        </w:tc>
        <w:tc>
          <w:tcPr>
            <w:tcW w:w="1700" w:type="dxa"/>
            <w:vAlign w:val="bottom"/>
          </w:tcPr>
          <w:p>
            <w:pPr>
              <w:jc w:val="center"/>
              <w:spacing w:after="0"/>
              <w:rPr>
                <w:sz w:val="20"/>
                <w:szCs w:val="20"/>
                <w:color w:val="auto"/>
              </w:rPr>
            </w:pPr>
            <w:r>
              <w:rPr>
                <w:rFonts w:ascii="Arial" w:cs="Arial" w:eastAsia="Arial" w:hAnsi="Arial"/>
                <w:sz w:val="18"/>
                <w:szCs w:val="18"/>
                <w:color w:val="auto"/>
                <w:w w:val="87"/>
              </w:rPr>
              <w:t>December 10, 2009</w:t>
            </w:r>
          </w:p>
        </w:tc>
      </w:tr>
      <w:tr>
        <w:trPr>
          <w:trHeight w:val="608"/>
        </w:trPr>
        <w:tc>
          <w:tcPr>
            <w:tcW w:w="5020" w:type="dxa"/>
            <w:vAlign w:val="bottom"/>
          </w:tcPr>
          <w:p>
            <w:pPr>
              <w:jc w:val="center"/>
              <w:spacing w:after="0"/>
              <w:rPr>
                <w:sz w:val="20"/>
                <w:szCs w:val="20"/>
                <w:color w:val="auto"/>
              </w:rPr>
            </w:pPr>
            <w:r>
              <w:rPr>
                <w:rFonts w:ascii="Arial" w:cs="Arial" w:eastAsia="Arial" w:hAnsi="Arial"/>
                <w:sz w:val="18"/>
                <w:szCs w:val="18"/>
                <w:color w:val="auto"/>
                <w:w w:val="91"/>
              </w:rPr>
              <w:t>Director</w:t>
            </w:r>
          </w:p>
        </w:tc>
        <w:tc>
          <w:tcPr>
            <w:tcW w:w="240" w:type="dxa"/>
            <w:vAlign w:val="bottom"/>
          </w:tcPr>
          <w:p>
            <w:pPr>
              <w:spacing w:after="0"/>
              <w:rPr>
                <w:sz w:val="24"/>
                <w:szCs w:val="24"/>
                <w:color w:val="auto"/>
              </w:rPr>
            </w:pPr>
          </w:p>
        </w:tc>
        <w:tc>
          <w:tcPr>
            <w:tcW w:w="1700" w:type="dxa"/>
            <w:vAlign w:val="bottom"/>
          </w:tcPr>
          <w:p>
            <w:pPr>
              <w:jc w:val="center"/>
              <w:spacing w:after="0"/>
              <w:rPr>
                <w:sz w:val="20"/>
                <w:szCs w:val="20"/>
                <w:color w:val="auto"/>
              </w:rPr>
            </w:pPr>
            <w:r>
              <w:rPr>
                <w:rFonts w:ascii="Arial" w:cs="Arial" w:eastAsia="Arial" w:hAnsi="Arial"/>
                <w:sz w:val="18"/>
                <w:szCs w:val="18"/>
                <w:color w:val="auto"/>
                <w:w w:val="87"/>
              </w:rPr>
              <w:t>December 10, 2009</w:t>
            </w:r>
          </w:p>
        </w:tc>
      </w:tr>
      <w:tr>
        <w:trPr>
          <w:trHeight w:val="608"/>
        </w:trPr>
        <w:tc>
          <w:tcPr>
            <w:tcW w:w="5020" w:type="dxa"/>
            <w:vAlign w:val="bottom"/>
          </w:tcPr>
          <w:p>
            <w:pPr>
              <w:jc w:val="center"/>
              <w:spacing w:after="0"/>
              <w:rPr>
                <w:sz w:val="20"/>
                <w:szCs w:val="20"/>
                <w:color w:val="auto"/>
              </w:rPr>
            </w:pPr>
            <w:r>
              <w:rPr>
                <w:rFonts w:ascii="Arial" w:cs="Arial" w:eastAsia="Arial" w:hAnsi="Arial"/>
                <w:sz w:val="18"/>
                <w:szCs w:val="18"/>
                <w:color w:val="auto"/>
                <w:w w:val="91"/>
              </w:rPr>
              <w:t>Director</w:t>
            </w:r>
          </w:p>
        </w:tc>
        <w:tc>
          <w:tcPr>
            <w:tcW w:w="240" w:type="dxa"/>
            <w:vAlign w:val="bottom"/>
          </w:tcPr>
          <w:p>
            <w:pPr>
              <w:spacing w:after="0"/>
              <w:rPr>
                <w:sz w:val="24"/>
                <w:szCs w:val="24"/>
                <w:color w:val="auto"/>
              </w:rPr>
            </w:pPr>
          </w:p>
        </w:tc>
        <w:tc>
          <w:tcPr>
            <w:tcW w:w="1700" w:type="dxa"/>
            <w:vAlign w:val="bottom"/>
          </w:tcPr>
          <w:p>
            <w:pPr>
              <w:jc w:val="center"/>
              <w:spacing w:after="0"/>
              <w:rPr>
                <w:sz w:val="20"/>
                <w:szCs w:val="20"/>
                <w:color w:val="auto"/>
              </w:rPr>
            </w:pPr>
            <w:r>
              <w:rPr>
                <w:rFonts w:ascii="Arial" w:cs="Arial" w:eastAsia="Arial" w:hAnsi="Arial"/>
                <w:sz w:val="18"/>
                <w:szCs w:val="18"/>
                <w:color w:val="auto"/>
                <w:w w:val="87"/>
              </w:rPr>
              <w:t>December 10, 2009</w:t>
            </w:r>
          </w:p>
        </w:tc>
      </w:tr>
      <w:tr>
        <w:trPr>
          <w:trHeight w:val="608"/>
        </w:trPr>
        <w:tc>
          <w:tcPr>
            <w:tcW w:w="5020" w:type="dxa"/>
            <w:vAlign w:val="bottom"/>
          </w:tcPr>
          <w:p>
            <w:pPr>
              <w:jc w:val="center"/>
              <w:spacing w:after="0"/>
              <w:rPr>
                <w:sz w:val="20"/>
                <w:szCs w:val="20"/>
                <w:color w:val="auto"/>
              </w:rPr>
            </w:pPr>
            <w:r>
              <w:rPr>
                <w:rFonts w:ascii="Arial" w:cs="Arial" w:eastAsia="Arial" w:hAnsi="Arial"/>
                <w:sz w:val="18"/>
                <w:szCs w:val="18"/>
                <w:color w:val="auto"/>
                <w:w w:val="91"/>
              </w:rPr>
              <w:t>Director</w:t>
            </w:r>
          </w:p>
        </w:tc>
        <w:tc>
          <w:tcPr>
            <w:tcW w:w="240" w:type="dxa"/>
            <w:vAlign w:val="bottom"/>
          </w:tcPr>
          <w:p>
            <w:pPr>
              <w:spacing w:after="0"/>
              <w:rPr>
                <w:sz w:val="24"/>
                <w:szCs w:val="24"/>
                <w:color w:val="auto"/>
              </w:rPr>
            </w:pPr>
          </w:p>
        </w:tc>
        <w:tc>
          <w:tcPr>
            <w:tcW w:w="1700" w:type="dxa"/>
            <w:vAlign w:val="bottom"/>
          </w:tcPr>
          <w:p>
            <w:pPr>
              <w:jc w:val="center"/>
              <w:spacing w:after="0"/>
              <w:rPr>
                <w:sz w:val="20"/>
                <w:szCs w:val="20"/>
                <w:color w:val="auto"/>
              </w:rPr>
            </w:pPr>
            <w:r>
              <w:rPr>
                <w:rFonts w:ascii="Arial" w:cs="Arial" w:eastAsia="Arial" w:hAnsi="Arial"/>
                <w:sz w:val="18"/>
                <w:szCs w:val="18"/>
                <w:color w:val="auto"/>
                <w:w w:val="87"/>
              </w:rPr>
              <w:t>December 10, 2009</w:t>
            </w:r>
          </w:p>
        </w:tc>
      </w:tr>
      <w:tr>
        <w:trPr>
          <w:trHeight w:val="608"/>
        </w:trPr>
        <w:tc>
          <w:tcPr>
            <w:tcW w:w="5020" w:type="dxa"/>
            <w:vAlign w:val="bottom"/>
          </w:tcPr>
          <w:p>
            <w:pPr>
              <w:jc w:val="center"/>
              <w:spacing w:after="0"/>
              <w:rPr>
                <w:sz w:val="20"/>
                <w:szCs w:val="20"/>
                <w:color w:val="auto"/>
              </w:rPr>
            </w:pPr>
            <w:r>
              <w:rPr>
                <w:rFonts w:ascii="Arial" w:cs="Arial" w:eastAsia="Arial" w:hAnsi="Arial"/>
                <w:sz w:val="18"/>
                <w:szCs w:val="18"/>
                <w:color w:val="auto"/>
                <w:w w:val="91"/>
              </w:rPr>
              <w:t>Director</w:t>
            </w:r>
          </w:p>
        </w:tc>
        <w:tc>
          <w:tcPr>
            <w:tcW w:w="240" w:type="dxa"/>
            <w:vAlign w:val="bottom"/>
          </w:tcPr>
          <w:p>
            <w:pPr>
              <w:spacing w:after="0"/>
              <w:rPr>
                <w:sz w:val="24"/>
                <w:szCs w:val="24"/>
                <w:color w:val="auto"/>
              </w:rPr>
            </w:pPr>
          </w:p>
        </w:tc>
        <w:tc>
          <w:tcPr>
            <w:tcW w:w="1700" w:type="dxa"/>
            <w:vAlign w:val="bottom"/>
          </w:tcPr>
          <w:p>
            <w:pPr>
              <w:jc w:val="center"/>
              <w:spacing w:after="0"/>
              <w:rPr>
                <w:sz w:val="20"/>
                <w:szCs w:val="20"/>
                <w:color w:val="auto"/>
              </w:rPr>
            </w:pPr>
            <w:r>
              <w:rPr>
                <w:rFonts w:ascii="Arial" w:cs="Arial" w:eastAsia="Arial" w:hAnsi="Arial"/>
                <w:sz w:val="18"/>
                <w:szCs w:val="18"/>
                <w:color w:val="auto"/>
                <w:w w:val="87"/>
              </w:rPr>
              <w:t>December 10, 2009</w:t>
            </w:r>
          </w:p>
        </w:tc>
      </w:tr>
    </w:tbl>
    <w:p>
      <w:pPr>
        <w:sectPr>
          <w:pgSz w:w="11900" w:h="16838" w:orient="portrait"/>
          <w:cols w:equalWidth="0" w:num="2">
            <w:col w:w="3740" w:space="720"/>
            <w:col w:w="6960"/>
          </w:cols>
          <w:pgMar w:left="240" w:top="274" w:right="239" w:bottom="1440" w:gutter="0" w:footer="0" w:header="0"/>
          <w:type w:val="continuous"/>
        </w:sectPr>
      </w:pPr>
    </w:p>
    <w:bookmarkStart w:id="7" w:name="page8"/>
    <w:bookmarkEnd w:id="7"/>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28"/>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700" w:type="dxa"/>
            <w:vAlign w:val="bottom"/>
            <w:gridSpan w:val="3"/>
          </w:tcPr>
          <w:p>
            <w:pPr>
              <w:ind w:left="4320"/>
              <w:spacing w:after="0"/>
              <w:rPr>
                <w:sz w:val="20"/>
                <w:szCs w:val="20"/>
                <w:color w:val="auto"/>
              </w:rPr>
            </w:pPr>
            <w:r>
              <w:rPr>
                <w:rFonts w:ascii="Arial" w:cs="Arial" w:eastAsia="Arial" w:hAnsi="Arial"/>
                <w:sz w:val="18"/>
                <w:szCs w:val="18"/>
                <w:b w:val="1"/>
                <w:bCs w:val="1"/>
                <w:color w:val="auto"/>
              </w:rPr>
              <w:t>EXHIBIT INDEX</w:t>
            </w:r>
          </w:p>
        </w:tc>
        <w:tc>
          <w:tcPr>
            <w:tcW w:w="0" w:type="dxa"/>
            <w:vAlign w:val="bottom"/>
          </w:tcPr>
          <w:p>
            <w:pPr>
              <w:spacing w:after="0"/>
              <w:rPr>
                <w:sz w:val="1"/>
                <w:szCs w:val="1"/>
                <w:color w:val="auto"/>
              </w:rPr>
            </w:pPr>
          </w:p>
        </w:tc>
      </w:tr>
      <w:tr>
        <w:trPr>
          <w:trHeight w:val="353"/>
        </w:trPr>
        <w:tc>
          <w:tcPr>
            <w:tcW w:w="720" w:type="dxa"/>
            <w:vAlign w:val="bottom"/>
            <w:gridSpan w:val="2"/>
          </w:tcPr>
          <w:p>
            <w:pPr>
              <w:jc w:val="right"/>
              <w:spacing w:after="0"/>
              <w:rPr>
                <w:sz w:val="20"/>
                <w:szCs w:val="20"/>
                <w:color w:val="auto"/>
              </w:rPr>
            </w:pPr>
            <w:r>
              <w:rPr>
                <w:rFonts w:ascii="Arial" w:cs="Arial" w:eastAsia="Arial" w:hAnsi="Arial"/>
                <w:sz w:val="14"/>
                <w:szCs w:val="14"/>
                <w:b w:val="1"/>
                <w:bCs w:val="1"/>
                <w:color w:val="auto"/>
                <w:w w:val="87"/>
              </w:rPr>
              <w:t>Exhibit No.</w:t>
            </w:r>
          </w:p>
        </w:tc>
        <w:tc>
          <w:tcPr>
            <w:tcW w:w="5200" w:type="dxa"/>
            <w:vAlign w:val="bottom"/>
            <w:vMerge w:val="restart"/>
          </w:tcPr>
          <w:p>
            <w:pPr>
              <w:ind w:left="400"/>
              <w:spacing w:after="0"/>
              <w:rPr>
                <w:sz w:val="20"/>
                <w:szCs w:val="20"/>
                <w:color w:val="auto"/>
              </w:rPr>
            </w:pPr>
            <w:r>
              <w:rPr>
                <w:rFonts w:ascii="Arial" w:cs="Arial" w:eastAsia="Arial" w:hAnsi="Arial"/>
                <w:sz w:val="18"/>
                <w:szCs w:val="18"/>
                <w:color w:val="auto"/>
              </w:rPr>
              <w:t>Opinion of Appleby</w:t>
            </w:r>
          </w:p>
        </w:tc>
        <w:tc>
          <w:tcPr>
            <w:tcW w:w="5500" w:type="dxa"/>
            <w:vAlign w:val="bottom"/>
            <w:gridSpan w:val="2"/>
          </w:tcPr>
          <w:p>
            <w:pPr>
              <w:ind w:left="20"/>
              <w:spacing w:after="0"/>
              <w:rPr>
                <w:sz w:val="20"/>
                <w:szCs w:val="20"/>
                <w:color w:val="auto"/>
              </w:rPr>
            </w:pPr>
            <w:r>
              <w:rPr>
                <w:rFonts w:ascii="Arial" w:cs="Arial" w:eastAsia="Arial" w:hAnsi="Arial"/>
                <w:sz w:val="14"/>
                <w:szCs w:val="14"/>
                <w:b w:val="1"/>
                <w:bCs w:val="1"/>
                <w:color w:val="auto"/>
              </w:rPr>
              <w:t>Description</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0" w:type="dxa"/>
            <w:vAlign w:val="bottom"/>
            <w:tcBorders>
              <w:top w:val="single" w:sz="8" w:color="auto"/>
            </w:tcBorders>
          </w:tcPr>
          <w:p>
            <w:pPr>
              <w:jc w:val="right"/>
              <w:ind w:right="112"/>
              <w:spacing w:after="0"/>
              <w:rPr>
                <w:sz w:val="20"/>
                <w:szCs w:val="20"/>
                <w:color w:val="auto"/>
              </w:rPr>
            </w:pPr>
            <w:r>
              <w:rPr>
                <w:rFonts w:ascii="Arial" w:cs="Arial" w:eastAsia="Arial" w:hAnsi="Arial"/>
                <w:sz w:val="18"/>
                <w:szCs w:val="18"/>
                <w:color w:val="auto"/>
              </w:rPr>
              <w:t>5.1</w:t>
            </w:r>
          </w:p>
        </w:tc>
        <w:tc>
          <w:tcPr>
            <w:tcW w:w="5200" w:type="dxa"/>
            <w:vAlign w:val="bottom"/>
            <w:vMerge w:val="continue"/>
          </w:tcPr>
          <w:p>
            <w:pPr>
              <w:spacing w:after="0"/>
              <w:rPr>
                <w:sz w:val="18"/>
                <w:szCs w:val="18"/>
                <w:color w:val="auto"/>
              </w:rPr>
            </w:pPr>
          </w:p>
        </w:tc>
        <w:tc>
          <w:tcPr>
            <w:tcW w:w="700" w:type="dxa"/>
            <w:vAlign w:val="bottom"/>
            <w:tcBorders>
              <w:top w:val="single" w:sz="8" w:color="auto"/>
            </w:tcBorders>
          </w:tcPr>
          <w:p>
            <w:pPr>
              <w:spacing w:after="0"/>
              <w:rPr>
                <w:sz w:val="18"/>
                <w:szCs w:val="18"/>
                <w:color w:val="auto"/>
              </w:rPr>
            </w:pPr>
          </w:p>
        </w:tc>
        <w:tc>
          <w:tcPr>
            <w:tcW w:w="48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09"/>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10.1</w:t>
            </w:r>
          </w:p>
        </w:tc>
        <w:tc>
          <w:tcPr>
            <w:tcW w:w="10700" w:type="dxa"/>
            <w:vAlign w:val="bottom"/>
            <w:gridSpan w:val="3"/>
          </w:tcPr>
          <w:p>
            <w:pPr>
              <w:ind w:left="400"/>
              <w:spacing w:after="0"/>
              <w:rPr>
                <w:sz w:val="20"/>
                <w:szCs w:val="20"/>
                <w:color w:val="auto"/>
              </w:rPr>
            </w:pPr>
            <w:r>
              <w:rPr>
                <w:rFonts w:ascii="Arial" w:cs="Arial" w:eastAsia="Arial" w:hAnsi="Arial"/>
                <w:sz w:val="18"/>
                <w:szCs w:val="18"/>
                <w:color w:val="auto"/>
                <w:w w:val="88"/>
              </w:rPr>
              <w:t>Amended and Restated 1995 Stock Option Plan, incorporated by reference to Exhibit 10.24 to the Registrant’s Quarterly Report on Form 10-Q for</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700" w:type="dxa"/>
            <w:vAlign w:val="bottom"/>
            <w:gridSpan w:val="3"/>
          </w:tcPr>
          <w:p>
            <w:pPr>
              <w:ind w:left="400"/>
              <w:spacing w:after="0"/>
              <w:rPr>
                <w:sz w:val="20"/>
                <w:szCs w:val="20"/>
                <w:color w:val="auto"/>
              </w:rPr>
            </w:pPr>
            <w:r>
              <w:rPr>
                <w:rFonts w:ascii="Arial" w:cs="Arial" w:eastAsia="Arial" w:hAnsi="Arial"/>
                <w:sz w:val="18"/>
                <w:szCs w:val="18"/>
                <w:color w:val="auto"/>
              </w:rPr>
              <w:t>the quarter ended July 30, 2005, as filed on September 8, 2005</w:t>
            </w:r>
          </w:p>
        </w:tc>
        <w:tc>
          <w:tcPr>
            <w:tcW w:w="0" w:type="dxa"/>
            <w:vAlign w:val="bottom"/>
          </w:tcPr>
          <w:p>
            <w:pPr>
              <w:spacing w:after="0"/>
              <w:rPr>
                <w:sz w:val="1"/>
                <w:szCs w:val="1"/>
                <w:color w:val="auto"/>
              </w:rPr>
            </w:pPr>
          </w:p>
        </w:tc>
      </w:tr>
      <w:tr>
        <w:trPr>
          <w:trHeight w:val="318"/>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10.2</w:t>
            </w:r>
          </w:p>
        </w:tc>
        <w:tc>
          <w:tcPr>
            <w:tcW w:w="10700" w:type="dxa"/>
            <w:vAlign w:val="bottom"/>
            <w:gridSpan w:val="3"/>
          </w:tcPr>
          <w:p>
            <w:pPr>
              <w:ind w:left="400"/>
              <w:spacing w:after="0"/>
              <w:rPr>
                <w:sz w:val="20"/>
                <w:szCs w:val="20"/>
                <w:color w:val="auto"/>
              </w:rPr>
            </w:pPr>
            <w:r>
              <w:rPr>
                <w:rFonts w:ascii="Arial" w:cs="Arial" w:eastAsia="Arial" w:hAnsi="Arial"/>
                <w:sz w:val="18"/>
                <w:szCs w:val="18"/>
                <w:color w:val="auto"/>
                <w:w w:val="88"/>
              </w:rPr>
              <w:t>Amendment to the Amended and Restated 1995 Stock Option Plan, incorporated by reference to Exhibit 10.1 to the Registrant’s Quarterly Report</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700" w:type="dxa"/>
            <w:vAlign w:val="bottom"/>
            <w:gridSpan w:val="3"/>
          </w:tcPr>
          <w:p>
            <w:pPr>
              <w:ind w:left="400"/>
              <w:spacing w:after="0"/>
              <w:rPr>
                <w:sz w:val="20"/>
                <w:szCs w:val="20"/>
                <w:color w:val="auto"/>
              </w:rPr>
            </w:pPr>
            <w:r>
              <w:rPr>
                <w:rFonts w:ascii="Arial" w:cs="Arial" w:eastAsia="Arial" w:hAnsi="Arial"/>
                <w:sz w:val="18"/>
                <w:szCs w:val="18"/>
                <w:color w:val="auto"/>
              </w:rPr>
              <w:t>on Form 10-Q for the quarter ended October 31, 2009, as filed on December 9, 2009</w:t>
            </w:r>
          </w:p>
        </w:tc>
        <w:tc>
          <w:tcPr>
            <w:tcW w:w="0" w:type="dxa"/>
            <w:vAlign w:val="bottom"/>
          </w:tcPr>
          <w:p>
            <w:pPr>
              <w:spacing w:after="0"/>
              <w:rPr>
                <w:sz w:val="1"/>
                <w:szCs w:val="1"/>
                <w:color w:val="auto"/>
              </w:rPr>
            </w:pPr>
          </w:p>
        </w:tc>
      </w:tr>
      <w:tr>
        <w:trPr>
          <w:trHeight w:val="318"/>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10.3</w:t>
            </w:r>
          </w:p>
        </w:tc>
        <w:tc>
          <w:tcPr>
            <w:tcW w:w="10700" w:type="dxa"/>
            <w:vAlign w:val="bottom"/>
            <w:gridSpan w:val="3"/>
          </w:tcPr>
          <w:p>
            <w:pPr>
              <w:ind w:left="400"/>
              <w:spacing w:after="0"/>
              <w:rPr>
                <w:sz w:val="20"/>
                <w:szCs w:val="20"/>
                <w:color w:val="auto"/>
              </w:rPr>
            </w:pPr>
            <w:r>
              <w:rPr>
                <w:rFonts w:ascii="Arial" w:cs="Arial" w:eastAsia="Arial" w:hAnsi="Arial"/>
                <w:sz w:val="18"/>
                <w:szCs w:val="18"/>
                <w:color w:val="auto"/>
                <w:w w:val="91"/>
              </w:rPr>
              <w:t>Form of Option Agreement for use with the Amended and Restated 1995 Stock Option Plan, incorporated by reference to Exhibit 10.21 to the</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700" w:type="dxa"/>
            <w:vAlign w:val="bottom"/>
            <w:gridSpan w:val="3"/>
          </w:tcPr>
          <w:p>
            <w:pPr>
              <w:ind w:left="400"/>
              <w:spacing w:after="0"/>
              <w:rPr>
                <w:sz w:val="20"/>
                <w:szCs w:val="20"/>
                <w:color w:val="auto"/>
              </w:rPr>
            </w:pPr>
            <w:r>
              <w:rPr>
                <w:rFonts w:ascii="Arial" w:cs="Arial" w:eastAsia="Arial" w:hAnsi="Arial"/>
                <w:sz w:val="18"/>
                <w:szCs w:val="18"/>
                <w:color w:val="auto"/>
              </w:rPr>
              <w:t>Registrant’s Annual Report on Form 10-K for the year ended January 28, 2006, as filed on April 13, 2006</w:t>
            </w:r>
          </w:p>
        </w:tc>
        <w:tc>
          <w:tcPr>
            <w:tcW w:w="0" w:type="dxa"/>
            <w:vAlign w:val="bottom"/>
          </w:tcPr>
          <w:p>
            <w:pPr>
              <w:spacing w:after="0"/>
              <w:rPr>
                <w:sz w:val="1"/>
                <w:szCs w:val="1"/>
                <w:color w:val="auto"/>
              </w:rPr>
            </w:pPr>
          </w:p>
        </w:tc>
      </w:tr>
      <w:tr>
        <w:trPr>
          <w:trHeight w:val="318"/>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10.4</w:t>
            </w:r>
          </w:p>
        </w:tc>
        <w:tc>
          <w:tcPr>
            <w:tcW w:w="10700" w:type="dxa"/>
            <w:vAlign w:val="bottom"/>
            <w:gridSpan w:val="3"/>
          </w:tcPr>
          <w:p>
            <w:pPr>
              <w:ind w:left="400"/>
              <w:spacing w:after="0"/>
              <w:rPr>
                <w:sz w:val="20"/>
                <w:szCs w:val="20"/>
                <w:color w:val="auto"/>
              </w:rPr>
            </w:pPr>
            <w:r>
              <w:rPr>
                <w:rFonts w:ascii="Arial" w:cs="Arial" w:eastAsia="Arial" w:hAnsi="Arial"/>
                <w:sz w:val="18"/>
                <w:szCs w:val="18"/>
                <w:color w:val="auto"/>
                <w:w w:val="92"/>
              </w:rPr>
              <w:t>Form of Stock Option Agreement and Notice of Grant of Stock Options and Option Agreement for use with the Amended and Restated 1995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700" w:type="dxa"/>
            <w:vAlign w:val="bottom"/>
            <w:gridSpan w:val="3"/>
          </w:tcPr>
          <w:p>
            <w:pPr>
              <w:ind w:left="400"/>
              <w:spacing w:after="0"/>
              <w:rPr>
                <w:sz w:val="20"/>
                <w:szCs w:val="20"/>
                <w:color w:val="auto"/>
              </w:rPr>
            </w:pPr>
            <w:r>
              <w:rPr>
                <w:rFonts w:ascii="Arial" w:cs="Arial" w:eastAsia="Arial" w:hAnsi="Arial"/>
                <w:sz w:val="18"/>
                <w:szCs w:val="18"/>
                <w:color w:val="auto"/>
                <w:w w:val="90"/>
              </w:rPr>
              <w:t>Stock Option Plan, incorporated by reference to Exhibit 10.1 of the registrant’s Current Report on Form 8-K as filed on December 17, 2008 (for</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700" w:type="dxa"/>
            <w:vAlign w:val="bottom"/>
            <w:gridSpan w:val="3"/>
          </w:tcPr>
          <w:p>
            <w:pPr>
              <w:ind w:left="400"/>
              <w:spacing w:after="0"/>
              <w:rPr>
                <w:sz w:val="20"/>
                <w:szCs w:val="20"/>
                <w:color w:val="auto"/>
              </w:rPr>
            </w:pPr>
            <w:r>
              <w:rPr>
                <w:rFonts w:ascii="Arial" w:cs="Arial" w:eastAsia="Arial" w:hAnsi="Arial"/>
                <w:sz w:val="18"/>
                <w:szCs w:val="18"/>
                <w:color w:val="auto"/>
              </w:rPr>
              <w:t>options granted on or after December 4, 2008)</w:t>
            </w:r>
          </w:p>
        </w:tc>
        <w:tc>
          <w:tcPr>
            <w:tcW w:w="0" w:type="dxa"/>
            <w:vAlign w:val="bottom"/>
          </w:tcPr>
          <w:p>
            <w:pPr>
              <w:spacing w:after="0"/>
              <w:rPr>
                <w:sz w:val="1"/>
                <w:szCs w:val="1"/>
                <w:color w:val="auto"/>
              </w:rPr>
            </w:pPr>
          </w:p>
        </w:tc>
      </w:tr>
      <w:tr>
        <w:trPr>
          <w:trHeight w:val="318"/>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10.5</w:t>
            </w:r>
          </w:p>
        </w:tc>
        <w:tc>
          <w:tcPr>
            <w:tcW w:w="10700" w:type="dxa"/>
            <w:vAlign w:val="bottom"/>
            <w:gridSpan w:val="3"/>
          </w:tcPr>
          <w:p>
            <w:pPr>
              <w:ind w:left="400"/>
              <w:spacing w:after="0"/>
              <w:rPr>
                <w:sz w:val="20"/>
                <w:szCs w:val="20"/>
                <w:color w:val="auto"/>
              </w:rPr>
            </w:pPr>
            <w:r>
              <w:rPr>
                <w:rFonts w:ascii="Arial" w:cs="Arial" w:eastAsia="Arial" w:hAnsi="Arial"/>
                <w:sz w:val="18"/>
                <w:szCs w:val="18"/>
                <w:color w:val="auto"/>
                <w:w w:val="89"/>
              </w:rPr>
              <w:t>Form of Restricted Stock Unit Agreement, incorporated by reference to Exhibit 10.34 of the registrant’s Annual Report on Form 10-K for the year</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700" w:type="dxa"/>
            <w:vAlign w:val="bottom"/>
            <w:gridSpan w:val="3"/>
          </w:tcPr>
          <w:p>
            <w:pPr>
              <w:ind w:left="400"/>
              <w:spacing w:after="0"/>
              <w:rPr>
                <w:sz w:val="20"/>
                <w:szCs w:val="20"/>
                <w:color w:val="auto"/>
              </w:rPr>
            </w:pPr>
            <w:r>
              <w:rPr>
                <w:rFonts w:ascii="Arial" w:cs="Arial" w:eastAsia="Arial" w:hAnsi="Arial"/>
                <w:sz w:val="18"/>
                <w:szCs w:val="18"/>
                <w:color w:val="auto"/>
              </w:rPr>
              <w:t>ended January 27, 2007 as filed on July 2, 2007</w:t>
            </w:r>
          </w:p>
        </w:tc>
        <w:tc>
          <w:tcPr>
            <w:tcW w:w="0" w:type="dxa"/>
            <w:vAlign w:val="bottom"/>
          </w:tcPr>
          <w:p>
            <w:pPr>
              <w:spacing w:after="0"/>
              <w:rPr>
                <w:sz w:val="1"/>
                <w:szCs w:val="1"/>
                <w:color w:val="auto"/>
              </w:rPr>
            </w:pPr>
          </w:p>
        </w:tc>
      </w:tr>
      <w:tr>
        <w:trPr>
          <w:trHeight w:val="318"/>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10.6</w:t>
            </w:r>
          </w:p>
        </w:tc>
        <w:tc>
          <w:tcPr>
            <w:tcW w:w="10700" w:type="dxa"/>
            <w:vAlign w:val="bottom"/>
            <w:gridSpan w:val="3"/>
          </w:tcPr>
          <w:p>
            <w:pPr>
              <w:ind w:left="400"/>
              <w:spacing w:after="0"/>
              <w:rPr>
                <w:sz w:val="20"/>
                <w:szCs w:val="20"/>
                <w:color w:val="auto"/>
              </w:rPr>
            </w:pPr>
            <w:r>
              <w:rPr>
                <w:rFonts w:ascii="Arial" w:cs="Arial" w:eastAsia="Arial" w:hAnsi="Arial"/>
                <w:sz w:val="18"/>
                <w:szCs w:val="18"/>
                <w:color w:val="auto"/>
                <w:w w:val="90"/>
              </w:rPr>
              <w:t>Form of Stock Unit Agreement and Notice of Grant of Award and Award Agreement for use with the Amended and Restated 1995 Stock Option</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700" w:type="dxa"/>
            <w:vAlign w:val="bottom"/>
            <w:gridSpan w:val="3"/>
          </w:tcPr>
          <w:p>
            <w:pPr>
              <w:ind w:left="400"/>
              <w:spacing w:after="0"/>
              <w:rPr>
                <w:sz w:val="20"/>
                <w:szCs w:val="20"/>
                <w:color w:val="auto"/>
              </w:rPr>
            </w:pPr>
            <w:r>
              <w:rPr>
                <w:rFonts w:ascii="Arial" w:cs="Arial" w:eastAsia="Arial" w:hAnsi="Arial"/>
                <w:sz w:val="18"/>
                <w:szCs w:val="18"/>
                <w:color w:val="auto"/>
                <w:w w:val="89"/>
              </w:rPr>
              <w:t>Plan, incorporated by reference to Exhibit 10.2 of the registrant’s Current Report on Form 8-K as filed on December 17, 2008 (for RSUs granted</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700" w:type="dxa"/>
            <w:vAlign w:val="bottom"/>
            <w:gridSpan w:val="3"/>
          </w:tcPr>
          <w:p>
            <w:pPr>
              <w:ind w:left="400"/>
              <w:spacing w:after="0"/>
              <w:rPr>
                <w:sz w:val="20"/>
                <w:szCs w:val="20"/>
                <w:color w:val="auto"/>
              </w:rPr>
            </w:pPr>
            <w:r>
              <w:rPr>
                <w:rFonts w:ascii="Arial" w:cs="Arial" w:eastAsia="Arial" w:hAnsi="Arial"/>
                <w:sz w:val="18"/>
                <w:szCs w:val="18"/>
                <w:color w:val="auto"/>
              </w:rPr>
              <w:t>on or after December 4, 2008)</w:t>
            </w:r>
          </w:p>
        </w:tc>
        <w:tc>
          <w:tcPr>
            <w:tcW w:w="0" w:type="dxa"/>
            <w:vAlign w:val="bottom"/>
          </w:tcPr>
          <w:p>
            <w:pPr>
              <w:spacing w:after="0"/>
              <w:rPr>
                <w:sz w:val="1"/>
                <w:szCs w:val="1"/>
                <w:color w:val="auto"/>
              </w:rPr>
            </w:pPr>
          </w:p>
        </w:tc>
      </w:tr>
      <w:tr>
        <w:trPr>
          <w:trHeight w:val="318"/>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10.7</w:t>
            </w:r>
          </w:p>
        </w:tc>
        <w:tc>
          <w:tcPr>
            <w:tcW w:w="10700" w:type="dxa"/>
            <w:vAlign w:val="bottom"/>
            <w:gridSpan w:val="3"/>
          </w:tcPr>
          <w:p>
            <w:pPr>
              <w:ind w:left="400"/>
              <w:spacing w:after="0"/>
              <w:rPr>
                <w:sz w:val="20"/>
                <w:szCs w:val="20"/>
                <w:color w:val="auto"/>
              </w:rPr>
            </w:pPr>
            <w:r>
              <w:rPr>
                <w:rFonts w:ascii="Arial" w:cs="Arial" w:eastAsia="Arial" w:hAnsi="Arial"/>
                <w:sz w:val="18"/>
                <w:szCs w:val="18"/>
                <w:color w:val="auto"/>
                <w:w w:val="88"/>
              </w:rPr>
              <w:t>Amended and Restated 1995 Stock Option Plan Restricted Stock Agreement, incorporated by reference to Exhibit 10.20 of the registrant’s Annual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700" w:type="dxa"/>
            <w:vAlign w:val="bottom"/>
            <w:gridSpan w:val="3"/>
          </w:tcPr>
          <w:p>
            <w:pPr>
              <w:ind w:left="400"/>
              <w:spacing w:after="0"/>
              <w:rPr>
                <w:sz w:val="20"/>
                <w:szCs w:val="20"/>
                <w:color w:val="auto"/>
              </w:rPr>
            </w:pPr>
            <w:r>
              <w:rPr>
                <w:rFonts w:ascii="Arial" w:cs="Arial" w:eastAsia="Arial" w:hAnsi="Arial"/>
                <w:sz w:val="18"/>
                <w:szCs w:val="18"/>
                <w:color w:val="auto"/>
              </w:rPr>
              <w:t>Report on Form 10-K for the year ended January 28, 2006 as filed on April 13, 2006</w:t>
            </w:r>
          </w:p>
        </w:tc>
        <w:tc>
          <w:tcPr>
            <w:tcW w:w="0" w:type="dxa"/>
            <w:vAlign w:val="bottom"/>
          </w:tcPr>
          <w:p>
            <w:pPr>
              <w:spacing w:after="0"/>
              <w:rPr>
                <w:sz w:val="1"/>
                <w:szCs w:val="1"/>
                <w:color w:val="auto"/>
              </w:rPr>
            </w:pPr>
          </w:p>
        </w:tc>
      </w:tr>
      <w:tr>
        <w:trPr>
          <w:trHeight w:val="318"/>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10.8</w:t>
            </w:r>
          </w:p>
        </w:tc>
        <w:tc>
          <w:tcPr>
            <w:tcW w:w="10700" w:type="dxa"/>
            <w:vAlign w:val="bottom"/>
            <w:gridSpan w:val="3"/>
          </w:tcPr>
          <w:p>
            <w:pPr>
              <w:ind w:left="400"/>
              <w:spacing w:after="0"/>
              <w:rPr>
                <w:sz w:val="20"/>
                <w:szCs w:val="20"/>
                <w:color w:val="auto"/>
              </w:rPr>
            </w:pPr>
            <w:r>
              <w:rPr>
                <w:rFonts w:ascii="Arial" w:cs="Arial" w:eastAsia="Arial" w:hAnsi="Arial"/>
                <w:sz w:val="18"/>
                <w:szCs w:val="18"/>
                <w:color w:val="auto"/>
                <w:w w:val="90"/>
              </w:rPr>
              <w:t>2000 Employee Stock Purchase Plan (as amended and restated as of October 22, 2009), incorporated by reference to Exhibit 10.1 of Marvell’s</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700" w:type="dxa"/>
            <w:vAlign w:val="bottom"/>
            <w:gridSpan w:val="3"/>
          </w:tcPr>
          <w:p>
            <w:pPr>
              <w:ind w:left="400"/>
              <w:spacing w:after="0"/>
              <w:rPr>
                <w:sz w:val="20"/>
                <w:szCs w:val="20"/>
                <w:color w:val="auto"/>
              </w:rPr>
            </w:pPr>
            <w:r>
              <w:rPr>
                <w:rFonts w:ascii="Arial" w:cs="Arial" w:eastAsia="Arial" w:hAnsi="Arial"/>
                <w:sz w:val="18"/>
                <w:szCs w:val="18"/>
                <w:color w:val="auto"/>
              </w:rPr>
              <w:t>Current Report on Form 8-K as filed on October 28, 2009</w:t>
            </w:r>
          </w:p>
        </w:tc>
        <w:tc>
          <w:tcPr>
            <w:tcW w:w="0" w:type="dxa"/>
            <w:vAlign w:val="bottom"/>
          </w:tcPr>
          <w:p>
            <w:pPr>
              <w:spacing w:after="0"/>
              <w:rPr>
                <w:sz w:val="1"/>
                <w:szCs w:val="1"/>
                <w:color w:val="auto"/>
              </w:rPr>
            </w:pPr>
          </w:p>
        </w:tc>
      </w:tr>
      <w:tr>
        <w:trPr>
          <w:trHeight w:val="318"/>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10.9</w:t>
            </w:r>
          </w:p>
        </w:tc>
        <w:tc>
          <w:tcPr>
            <w:tcW w:w="10700" w:type="dxa"/>
            <w:vAlign w:val="bottom"/>
            <w:gridSpan w:val="3"/>
          </w:tcPr>
          <w:p>
            <w:pPr>
              <w:ind w:left="400"/>
              <w:spacing w:after="0"/>
              <w:rPr>
                <w:sz w:val="20"/>
                <w:szCs w:val="20"/>
                <w:color w:val="auto"/>
              </w:rPr>
            </w:pPr>
            <w:r>
              <w:rPr>
                <w:rFonts w:ascii="Arial" w:cs="Arial" w:eastAsia="Arial" w:hAnsi="Arial"/>
                <w:sz w:val="18"/>
                <w:szCs w:val="18"/>
                <w:color w:val="auto"/>
                <w:w w:val="91"/>
              </w:rPr>
              <w:t>2000 Employee Stock Purchase Plan Form of Subscription Agreement, incorporated by reference to Exhibit 10.3 to Marvell’s Quarterly Report</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700" w:type="dxa"/>
            <w:vAlign w:val="bottom"/>
            <w:gridSpan w:val="3"/>
          </w:tcPr>
          <w:p>
            <w:pPr>
              <w:ind w:left="400"/>
              <w:spacing w:after="0"/>
              <w:rPr>
                <w:sz w:val="20"/>
                <w:szCs w:val="20"/>
                <w:color w:val="auto"/>
              </w:rPr>
            </w:pPr>
            <w:r>
              <w:rPr>
                <w:rFonts w:ascii="Arial" w:cs="Arial" w:eastAsia="Arial" w:hAnsi="Arial"/>
                <w:sz w:val="18"/>
                <w:szCs w:val="18"/>
                <w:color w:val="auto"/>
              </w:rPr>
              <w:t>on Form 10-Q for the quarter ended October 31, 2009, as filed on December 9, 2009</w:t>
            </w:r>
          </w:p>
        </w:tc>
        <w:tc>
          <w:tcPr>
            <w:tcW w:w="0" w:type="dxa"/>
            <w:vAlign w:val="bottom"/>
          </w:tcPr>
          <w:p>
            <w:pPr>
              <w:spacing w:after="0"/>
              <w:rPr>
                <w:sz w:val="1"/>
                <w:szCs w:val="1"/>
                <w:color w:val="auto"/>
              </w:rPr>
            </w:pPr>
          </w:p>
        </w:tc>
      </w:tr>
      <w:tr>
        <w:trPr>
          <w:trHeight w:val="324"/>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23.1</w:t>
            </w:r>
          </w:p>
        </w:tc>
        <w:tc>
          <w:tcPr>
            <w:tcW w:w="10700" w:type="dxa"/>
            <w:vAlign w:val="bottom"/>
            <w:gridSpan w:val="3"/>
          </w:tcPr>
          <w:p>
            <w:pPr>
              <w:ind w:left="400"/>
              <w:spacing w:after="0"/>
              <w:rPr>
                <w:sz w:val="20"/>
                <w:szCs w:val="20"/>
                <w:color w:val="auto"/>
              </w:rPr>
            </w:pPr>
            <w:r>
              <w:rPr>
                <w:rFonts w:ascii="Arial" w:cs="Arial" w:eastAsia="Arial" w:hAnsi="Arial"/>
                <w:sz w:val="18"/>
                <w:szCs w:val="18"/>
                <w:color w:val="auto"/>
              </w:rPr>
              <w:t>Consent of PricewaterhouseCoopers LLP, Independent Registered Public Accounting Firm</w:t>
            </w:r>
          </w:p>
        </w:tc>
        <w:tc>
          <w:tcPr>
            <w:tcW w:w="0" w:type="dxa"/>
            <w:vAlign w:val="bottom"/>
          </w:tcPr>
          <w:p>
            <w:pPr>
              <w:spacing w:after="0"/>
              <w:rPr>
                <w:sz w:val="1"/>
                <w:szCs w:val="1"/>
                <w:color w:val="auto"/>
              </w:rPr>
            </w:pPr>
          </w:p>
        </w:tc>
      </w:tr>
      <w:tr>
        <w:trPr>
          <w:trHeight w:val="324"/>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23.2</w:t>
            </w:r>
          </w:p>
        </w:tc>
        <w:tc>
          <w:tcPr>
            <w:tcW w:w="10700" w:type="dxa"/>
            <w:vAlign w:val="bottom"/>
            <w:gridSpan w:val="3"/>
          </w:tcPr>
          <w:p>
            <w:pPr>
              <w:ind w:left="400"/>
              <w:spacing w:after="0"/>
              <w:rPr>
                <w:sz w:val="20"/>
                <w:szCs w:val="20"/>
                <w:color w:val="auto"/>
              </w:rPr>
            </w:pPr>
            <w:r>
              <w:rPr>
                <w:rFonts w:ascii="Arial" w:cs="Arial" w:eastAsia="Arial" w:hAnsi="Arial"/>
                <w:sz w:val="18"/>
                <w:szCs w:val="18"/>
                <w:color w:val="auto"/>
              </w:rPr>
              <w:t>Consent of Appleby (included in Exhibit 5.1)</w:t>
            </w:r>
          </w:p>
        </w:tc>
        <w:tc>
          <w:tcPr>
            <w:tcW w:w="0" w:type="dxa"/>
            <w:vAlign w:val="bottom"/>
          </w:tcPr>
          <w:p>
            <w:pPr>
              <w:spacing w:after="0"/>
              <w:rPr>
                <w:sz w:val="1"/>
                <w:szCs w:val="1"/>
                <w:color w:val="auto"/>
              </w:rPr>
            </w:pPr>
          </w:p>
        </w:tc>
      </w:tr>
      <w:tr>
        <w:trPr>
          <w:trHeight w:val="324"/>
        </w:trPr>
        <w:tc>
          <w:tcPr>
            <w:tcW w:w="720" w:type="dxa"/>
            <w:vAlign w:val="bottom"/>
            <w:gridSpan w:val="2"/>
          </w:tcPr>
          <w:p>
            <w:pPr>
              <w:jc w:val="right"/>
              <w:ind w:right="112"/>
              <w:spacing w:after="0"/>
              <w:rPr>
                <w:sz w:val="20"/>
                <w:szCs w:val="20"/>
                <w:color w:val="auto"/>
              </w:rPr>
            </w:pPr>
            <w:r>
              <w:rPr>
                <w:rFonts w:ascii="Arial" w:cs="Arial" w:eastAsia="Arial" w:hAnsi="Arial"/>
                <w:sz w:val="18"/>
                <w:szCs w:val="18"/>
                <w:color w:val="auto"/>
              </w:rPr>
              <w:t>24.1</w:t>
            </w:r>
          </w:p>
        </w:tc>
        <w:tc>
          <w:tcPr>
            <w:tcW w:w="10700" w:type="dxa"/>
            <w:vAlign w:val="bottom"/>
            <w:gridSpan w:val="3"/>
          </w:tcPr>
          <w:p>
            <w:pPr>
              <w:ind w:left="400"/>
              <w:spacing w:after="0"/>
              <w:rPr>
                <w:sz w:val="20"/>
                <w:szCs w:val="20"/>
                <w:color w:val="auto"/>
              </w:rPr>
            </w:pPr>
            <w:r>
              <w:rPr>
                <w:rFonts w:ascii="Arial" w:cs="Arial" w:eastAsia="Arial" w:hAnsi="Arial"/>
                <w:sz w:val="18"/>
                <w:szCs w:val="18"/>
                <w:color w:val="auto"/>
              </w:rPr>
              <w:t>Power of Attorney (included in signature page to this Registration Statement)</w:t>
            </w: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8" w:name="page9"/>
    <w:bookmarkEnd w:id="8"/>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7680" w:type="dxa"/>
            <w:vAlign w:val="bottom"/>
          </w:tcPr>
          <w:p>
            <w:pPr>
              <w:spacing w:after="0"/>
              <w:rPr>
                <w:sz w:val="19"/>
                <w:szCs w:val="19"/>
                <w:color w:val="auto"/>
              </w:rPr>
            </w:pPr>
          </w:p>
        </w:tc>
        <w:tc>
          <w:tcPr>
            <w:tcW w:w="3740" w:type="dxa"/>
            <w:vAlign w:val="bottom"/>
          </w:tcPr>
          <w:p>
            <w:pPr>
              <w:jc w:val="right"/>
              <w:spacing w:after="0"/>
              <w:rPr>
                <w:sz w:val="20"/>
                <w:szCs w:val="20"/>
                <w:color w:val="auto"/>
              </w:rPr>
            </w:pPr>
            <w:r>
              <w:rPr>
                <w:rFonts w:ascii="Arial" w:cs="Arial" w:eastAsia="Arial" w:hAnsi="Arial"/>
                <w:sz w:val="18"/>
                <w:szCs w:val="18"/>
                <w:b w:val="1"/>
                <w:bCs w:val="1"/>
                <w:color w:val="auto"/>
              </w:rPr>
              <w:t>Exhibit 5.1</w:t>
            </w:r>
          </w:p>
        </w:tc>
        <w:tc>
          <w:tcPr>
            <w:tcW w:w="0" w:type="dxa"/>
            <w:vAlign w:val="bottom"/>
          </w:tcPr>
          <w:p>
            <w:pPr>
              <w:spacing w:after="0"/>
              <w:rPr>
                <w:sz w:val="1"/>
                <w:szCs w:val="1"/>
                <w:color w:val="auto"/>
              </w:rPr>
            </w:pPr>
          </w:p>
        </w:tc>
      </w:tr>
      <w:tr>
        <w:trPr>
          <w:trHeight w:val="412"/>
        </w:trPr>
        <w:tc>
          <w:tcPr>
            <w:tcW w:w="7680" w:type="dxa"/>
            <w:vAlign w:val="bottom"/>
          </w:tcPr>
          <w:p>
            <w:pPr>
              <w:spacing w:after="0"/>
              <w:rPr>
                <w:sz w:val="24"/>
                <w:szCs w:val="24"/>
                <w:color w:val="auto"/>
              </w:rPr>
            </w:pPr>
          </w:p>
        </w:tc>
        <w:tc>
          <w:tcPr>
            <w:tcW w:w="3740" w:type="dxa"/>
            <w:vAlign w:val="bottom"/>
          </w:tcPr>
          <w:p>
            <w:pPr>
              <w:jc w:val="right"/>
              <w:spacing w:after="0"/>
              <w:rPr>
                <w:sz w:val="20"/>
                <w:szCs w:val="20"/>
                <w:color w:val="auto"/>
              </w:rPr>
            </w:pPr>
            <w:r>
              <w:rPr>
                <w:rFonts w:ascii="Arial" w:cs="Arial" w:eastAsia="Arial" w:hAnsi="Arial"/>
                <w:sz w:val="18"/>
                <w:szCs w:val="18"/>
                <w:b w:val="1"/>
                <w:bCs w:val="1"/>
                <w:color w:val="auto"/>
              </w:rPr>
              <w:t>e-mail:</w:t>
            </w:r>
          </w:p>
        </w:tc>
        <w:tc>
          <w:tcPr>
            <w:tcW w:w="0" w:type="dxa"/>
            <w:vAlign w:val="bottom"/>
          </w:tcPr>
          <w:p>
            <w:pPr>
              <w:spacing w:after="0"/>
              <w:rPr>
                <w:sz w:val="1"/>
                <w:szCs w:val="1"/>
                <w:color w:val="auto"/>
              </w:rPr>
            </w:pPr>
          </w:p>
        </w:tc>
      </w:tr>
      <w:tr>
        <w:trPr>
          <w:trHeight w:val="222"/>
        </w:trPr>
        <w:tc>
          <w:tcPr>
            <w:tcW w:w="7680" w:type="dxa"/>
            <w:vAlign w:val="bottom"/>
          </w:tcPr>
          <w:p>
            <w:pPr>
              <w:spacing w:after="0"/>
              <w:rPr>
                <w:sz w:val="19"/>
                <w:szCs w:val="19"/>
                <w:color w:val="auto"/>
              </w:rPr>
            </w:pPr>
          </w:p>
        </w:tc>
        <w:tc>
          <w:tcPr>
            <w:tcW w:w="3740" w:type="dxa"/>
            <w:vAlign w:val="bottom"/>
          </w:tcPr>
          <w:p>
            <w:pPr>
              <w:jc w:val="right"/>
              <w:spacing w:after="0"/>
              <w:rPr>
                <w:sz w:val="20"/>
                <w:szCs w:val="20"/>
                <w:color w:val="auto"/>
              </w:rPr>
            </w:pPr>
            <w:r>
              <w:rPr>
                <w:rFonts w:ascii="Arial" w:cs="Arial" w:eastAsia="Arial" w:hAnsi="Arial"/>
                <w:sz w:val="18"/>
                <w:szCs w:val="18"/>
                <w:color w:val="auto"/>
              </w:rPr>
              <w:t>mjones@applebyglobal.com</w:t>
            </w:r>
          </w:p>
        </w:tc>
        <w:tc>
          <w:tcPr>
            <w:tcW w:w="0" w:type="dxa"/>
            <w:vAlign w:val="bottom"/>
          </w:tcPr>
          <w:p>
            <w:pPr>
              <w:spacing w:after="0"/>
              <w:rPr>
                <w:sz w:val="1"/>
                <w:szCs w:val="1"/>
                <w:color w:val="auto"/>
              </w:rPr>
            </w:pPr>
          </w:p>
        </w:tc>
      </w:tr>
      <w:tr>
        <w:trPr>
          <w:trHeight w:val="433"/>
        </w:trPr>
        <w:tc>
          <w:tcPr>
            <w:tcW w:w="768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3740" w:type="dxa"/>
            <w:vAlign w:val="bottom"/>
          </w:tcPr>
          <w:p>
            <w:pPr>
              <w:jc w:val="right"/>
              <w:spacing w:after="0"/>
              <w:rPr>
                <w:sz w:val="20"/>
                <w:szCs w:val="20"/>
                <w:color w:val="auto"/>
              </w:rPr>
            </w:pPr>
            <w:r>
              <w:rPr>
                <w:rFonts w:ascii="Arial" w:cs="Arial" w:eastAsia="Arial" w:hAnsi="Arial"/>
                <w:sz w:val="18"/>
                <w:szCs w:val="18"/>
                <w:b w:val="1"/>
                <w:bCs w:val="1"/>
                <w:color w:val="auto"/>
              </w:rPr>
              <w:t>direct dial:</w:t>
            </w:r>
          </w:p>
        </w:tc>
        <w:tc>
          <w:tcPr>
            <w:tcW w:w="0" w:type="dxa"/>
            <w:vAlign w:val="bottom"/>
          </w:tcPr>
          <w:p>
            <w:pPr>
              <w:spacing w:after="0"/>
              <w:rPr>
                <w:sz w:val="1"/>
                <w:szCs w:val="1"/>
                <w:color w:val="auto"/>
              </w:rPr>
            </w:pPr>
          </w:p>
        </w:tc>
      </w:tr>
      <w:tr>
        <w:trPr>
          <w:trHeight w:val="216"/>
        </w:trPr>
        <w:tc>
          <w:tcPr>
            <w:tcW w:w="7680" w:type="dxa"/>
            <w:vAlign w:val="bottom"/>
          </w:tcPr>
          <w:p>
            <w:pPr>
              <w:spacing w:after="0"/>
              <w:rPr>
                <w:sz w:val="20"/>
                <w:szCs w:val="20"/>
                <w:color w:val="auto"/>
              </w:rPr>
            </w:pPr>
            <w:r>
              <w:rPr>
                <w:rFonts w:ascii="Arial" w:cs="Arial" w:eastAsia="Arial" w:hAnsi="Arial"/>
                <w:sz w:val="18"/>
                <w:szCs w:val="18"/>
                <w:color w:val="auto"/>
              </w:rPr>
              <w:t>Argyle House</w:t>
            </w:r>
          </w:p>
        </w:tc>
        <w:tc>
          <w:tcPr>
            <w:tcW w:w="3740" w:type="dxa"/>
            <w:vAlign w:val="bottom"/>
          </w:tcPr>
          <w:p>
            <w:pPr>
              <w:jc w:val="right"/>
              <w:spacing w:after="0"/>
              <w:rPr>
                <w:sz w:val="20"/>
                <w:szCs w:val="20"/>
                <w:color w:val="auto"/>
              </w:rPr>
            </w:pPr>
            <w:r>
              <w:rPr>
                <w:rFonts w:ascii="Arial" w:cs="Arial" w:eastAsia="Arial" w:hAnsi="Arial"/>
                <w:sz w:val="18"/>
                <w:szCs w:val="18"/>
                <w:b w:val="1"/>
                <w:bCs w:val="1"/>
                <w:color w:val="auto"/>
              </w:rPr>
              <w:t xml:space="preserve">Tel </w:t>
            </w:r>
            <w:r>
              <w:rPr>
                <w:rFonts w:ascii="Arial" w:cs="Arial" w:eastAsia="Arial" w:hAnsi="Arial"/>
                <w:sz w:val="18"/>
                <w:szCs w:val="18"/>
                <w:color w:val="auto"/>
              </w:rPr>
              <w:t>(441) 298 3223</w:t>
            </w:r>
          </w:p>
        </w:tc>
        <w:tc>
          <w:tcPr>
            <w:tcW w:w="0" w:type="dxa"/>
            <w:vAlign w:val="bottom"/>
          </w:tcPr>
          <w:p>
            <w:pPr>
              <w:spacing w:after="0"/>
              <w:rPr>
                <w:sz w:val="1"/>
                <w:szCs w:val="1"/>
                <w:color w:val="auto"/>
              </w:rPr>
            </w:pPr>
          </w:p>
        </w:tc>
      </w:tr>
      <w:tr>
        <w:trPr>
          <w:trHeight w:val="222"/>
        </w:trPr>
        <w:tc>
          <w:tcPr>
            <w:tcW w:w="7680" w:type="dxa"/>
            <w:vAlign w:val="bottom"/>
          </w:tcPr>
          <w:p>
            <w:pPr>
              <w:spacing w:after="0"/>
              <w:rPr>
                <w:sz w:val="20"/>
                <w:szCs w:val="20"/>
                <w:color w:val="auto"/>
              </w:rPr>
            </w:pPr>
            <w:r>
              <w:rPr>
                <w:rFonts w:ascii="Arial" w:cs="Arial" w:eastAsia="Arial" w:hAnsi="Arial"/>
                <w:sz w:val="18"/>
                <w:szCs w:val="18"/>
                <w:color w:val="auto"/>
              </w:rPr>
              <w:t>41A Cedar Avenue</w:t>
            </w:r>
          </w:p>
        </w:tc>
        <w:tc>
          <w:tcPr>
            <w:tcW w:w="3740" w:type="dxa"/>
            <w:vAlign w:val="bottom"/>
          </w:tcPr>
          <w:p>
            <w:pPr>
              <w:jc w:val="right"/>
              <w:spacing w:after="0"/>
              <w:rPr>
                <w:sz w:val="20"/>
                <w:szCs w:val="20"/>
                <w:color w:val="auto"/>
              </w:rPr>
            </w:pPr>
            <w:r>
              <w:rPr>
                <w:rFonts w:ascii="Arial" w:cs="Arial" w:eastAsia="Arial" w:hAnsi="Arial"/>
                <w:sz w:val="18"/>
                <w:szCs w:val="18"/>
                <w:b w:val="1"/>
                <w:bCs w:val="1"/>
                <w:color w:val="auto"/>
              </w:rPr>
              <w:t xml:space="preserve">Fax </w:t>
            </w:r>
            <w:r>
              <w:rPr>
                <w:rFonts w:ascii="Arial" w:cs="Arial" w:eastAsia="Arial" w:hAnsi="Arial"/>
                <w:sz w:val="18"/>
                <w:szCs w:val="18"/>
                <w:color w:val="auto"/>
              </w:rPr>
              <w:t>(441) 298 3479</w:t>
            </w:r>
          </w:p>
        </w:tc>
        <w:tc>
          <w:tcPr>
            <w:tcW w:w="0" w:type="dxa"/>
            <w:vAlign w:val="bottom"/>
          </w:tcPr>
          <w:p>
            <w:pPr>
              <w:spacing w:after="0"/>
              <w:rPr>
                <w:sz w:val="1"/>
                <w:szCs w:val="1"/>
                <w:color w:val="auto"/>
              </w:rPr>
            </w:pPr>
          </w:p>
        </w:tc>
      </w:tr>
      <w:tr>
        <w:trPr>
          <w:trHeight w:val="216"/>
        </w:trPr>
        <w:tc>
          <w:tcPr>
            <w:tcW w:w="7680" w:type="dxa"/>
            <w:vAlign w:val="bottom"/>
          </w:tcPr>
          <w:p>
            <w:pPr>
              <w:spacing w:after="0"/>
              <w:rPr>
                <w:sz w:val="20"/>
                <w:szCs w:val="20"/>
                <w:color w:val="auto"/>
              </w:rPr>
            </w:pPr>
            <w:r>
              <w:rPr>
                <w:rFonts w:ascii="Arial" w:cs="Arial" w:eastAsia="Arial" w:hAnsi="Arial"/>
                <w:sz w:val="18"/>
                <w:szCs w:val="18"/>
                <w:color w:val="auto"/>
              </w:rPr>
              <w:t>Hamilton HM 12</w:t>
            </w:r>
          </w:p>
        </w:tc>
        <w:tc>
          <w:tcPr>
            <w:tcW w:w="374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your ref:</w:t>
            </w:r>
          </w:p>
        </w:tc>
        <w:tc>
          <w:tcPr>
            <w:tcW w:w="0" w:type="dxa"/>
            <w:vAlign w:val="bottom"/>
          </w:tcPr>
          <w:p>
            <w:pPr>
              <w:spacing w:after="0"/>
              <w:rPr>
                <w:sz w:val="1"/>
                <w:szCs w:val="1"/>
                <w:color w:val="auto"/>
              </w:rPr>
            </w:pPr>
          </w:p>
        </w:tc>
      </w:tr>
      <w:tr>
        <w:trPr>
          <w:trHeight w:val="222"/>
        </w:trPr>
        <w:tc>
          <w:tcPr>
            <w:tcW w:w="7680" w:type="dxa"/>
            <w:vAlign w:val="bottom"/>
          </w:tcPr>
          <w:p>
            <w:pPr>
              <w:spacing w:after="0"/>
              <w:rPr>
                <w:sz w:val="20"/>
                <w:szCs w:val="20"/>
                <w:color w:val="auto"/>
              </w:rPr>
            </w:pPr>
            <w:r>
              <w:rPr>
                <w:rFonts w:ascii="Arial" w:cs="Arial" w:eastAsia="Arial" w:hAnsi="Arial"/>
                <w:sz w:val="18"/>
                <w:szCs w:val="18"/>
                <w:color w:val="auto"/>
              </w:rPr>
              <w:t>Bermuda</w:t>
            </w:r>
          </w:p>
        </w:tc>
        <w:tc>
          <w:tcPr>
            <w:tcW w:w="374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601"/>
        </w:trPr>
        <w:tc>
          <w:tcPr>
            <w:tcW w:w="7680" w:type="dxa"/>
            <w:vAlign w:val="bottom"/>
          </w:tcPr>
          <w:p>
            <w:pPr>
              <w:spacing w:after="0"/>
              <w:rPr>
                <w:sz w:val="24"/>
                <w:szCs w:val="24"/>
                <w:color w:val="auto"/>
              </w:rPr>
            </w:pPr>
          </w:p>
        </w:tc>
        <w:tc>
          <w:tcPr>
            <w:tcW w:w="3740" w:type="dxa"/>
            <w:vAlign w:val="bottom"/>
          </w:tcPr>
          <w:p>
            <w:pPr>
              <w:jc w:val="right"/>
              <w:spacing w:after="0"/>
              <w:rPr>
                <w:sz w:val="20"/>
                <w:szCs w:val="20"/>
                <w:color w:val="auto"/>
              </w:rPr>
            </w:pPr>
            <w:r>
              <w:rPr>
                <w:rFonts w:ascii="Arial" w:cs="Arial" w:eastAsia="Arial" w:hAnsi="Arial"/>
                <w:sz w:val="18"/>
                <w:szCs w:val="18"/>
                <w:b w:val="1"/>
                <w:bCs w:val="1"/>
                <w:color w:val="auto"/>
              </w:rPr>
              <w:t>appleby ref:</w:t>
            </w:r>
          </w:p>
        </w:tc>
        <w:tc>
          <w:tcPr>
            <w:tcW w:w="0" w:type="dxa"/>
            <w:vAlign w:val="bottom"/>
          </w:tcPr>
          <w:p>
            <w:pPr>
              <w:spacing w:after="0"/>
              <w:rPr>
                <w:sz w:val="1"/>
                <w:szCs w:val="1"/>
                <w:color w:val="auto"/>
              </w:rPr>
            </w:pPr>
          </w:p>
        </w:tc>
      </w:tr>
      <w:tr>
        <w:trPr>
          <w:trHeight w:val="222"/>
        </w:trPr>
        <w:tc>
          <w:tcPr>
            <w:tcW w:w="7680" w:type="dxa"/>
            <w:vAlign w:val="bottom"/>
          </w:tcPr>
          <w:p>
            <w:pPr>
              <w:spacing w:after="0"/>
              <w:rPr>
                <w:sz w:val="19"/>
                <w:szCs w:val="19"/>
                <w:color w:val="auto"/>
              </w:rPr>
            </w:pPr>
          </w:p>
        </w:tc>
        <w:tc>
          <w:tcPr>
            <w:tcW w:w="3740" w:type="dxa"/>
            <w:vAlign w:val="bottom"/>
          </w:tcPr>
          <w:p>
            <w:pPr>
              <w:jc w:val="right"/>
              <w:spacing w:after="0"/>
              <w:rPr>
                <w:sz w:val="20"/>
                <w:szCs w:val="20"/>
                <w:color w:val="auto"/>
              </w:rPr>
            </w:pPr>
            <w:r>
              <w:rPr>
                <w:rFonts w:ascii="Arial" w:cs="Arial" w:eastAsia="Arial" w:hAnsi="Arial"/>
                <w:sz w:val="18"/>
                <w:szCs w:val="18"/>
                <w:color w:val="auto"/>
              </w:rPr>
              <w:t>MJ/jr/124194.34</w:t>
            </w:r>
          </w:p>
        </w:tc>
        <w:tc>
          <w:tcPr>
            <w:tcW w:w="0" w:type="dxa"/>
            <w:vAlign w:val="bottom"/>
          </w:tcPr>
          <w:p>
            <w:pPr>
              <w:spacing w:after="0"/>
              <w:rPr>
                <w:sz w:val="1"/>
                <w:szCs w:val="1"/>
                <w:color w:val="auto"/>
              </w:rPr>
            </w:pPr>
          </w:p>
        </w:tc>
      </w:tr>
      <w:tr>
        <w:trPr>
          <w:trHeight w:val="446"/>
        </w:trPr>
        <w:tc>
          <w:tcPr>
            <w:tcW w:w="7680" w:type="dxa"/>
            <w:vAlign w:val="bottom"/>
          </w:tcPr>
          <w:p>
            <w:pPr>
              <w:spacing w:after="0"/>
              <w:rPr>
                <w:sz w:val="20"/>
                <w:szCs w:val="20"/>
                <w:color w:val="auto"/>
              </w:rPr>
            </w:pPr>
            <w:r>
              <w:rPr>
                <w:rFonts w:ascii="Arial" w:cs="Arial" w:eastAsia="Arial" w:hAnsi="Arial"/>
                <w:sz w:val="18"/>
                <w:szCs w:val="18"/>
                <w:color w:val="auto"/>
              </w:rPr>
              <w:t>Dear Sirs</w:t>
            </w:r>
          </w:p>
        </w:tc>
        <w:tc>
          <w:tcPr>
            <w:tcW w:w="3740" w:type="dxa"/>
            <w:vAlign w:val="bottom"/>
          </w:tcPr>
          <w:p>
            <w:pPr>
              <w:jc w:val="right"/>
              <w:spacing w:after="0"/>
              <w:rPr>
                <w:sz w:val="20"/>
                <w:szCs w:val="20"/>
                <w:color w:val="auto"/>
              </w:rPr>
            </w:pPr>
            <w:r>
              <w:rPr>
                <w:rFonts w:ascii="Arial" w:cs="Arial" w:eastAsia="Arial" w:hAnsi="Arial"/>
                <w:sz w:val="18"/>
                <w:szCs w:val="18"/>
                <w:color w:val="auto"/>
              </w:rPr>
              <w:t>10 December 2009</w:t>
            </w:r>
          </w:p>
        </w:tc>
        <w:tc>
          <w:tcPr>
            <w:tcW w:w="0" w:type="dxa"/>
            <w:vAlign w:val="bottom"/>
          </w:tcPr>
          <w:p>
            <w:pPr>
              <w:spacing w:after="0"/>
              <w:rPr>
                <w:sz w:val="1"/>
                <w:szCs w:val="1"/>
                <w:color w:val="auto"/>
              </w:rPr>
            </w:pPr>
          </w:p>
        </w:tc>
      </w:tr>
      <w:tr>
        <w:trPr>
          <w:trHeight w:val="378"/>
        </w:trPr>
        <w:tc>
          <w:tcPr>
            <w:tcW w:w="7680" w:type="dxa"/>
            <w:vAlign w:val="bottom"/>
          </w:tcPr>
          <w:p>
            <w:pPr>
              <w:spacing w:after="0"/>
              <w:rPr>
                <w:sz w:val="20"/>
                <w:szCs w:val="20"/>
                <w:color w:val="auto"/>
              </w:rPr>
            </w:pPr>
            <w:r>
              <w:rPr>
                <w:rFonts w:ascii="Arial" w:cs="Arial" w:eastAsia="Arial" w:hAnsi="Arial"/>
                <w:sz w:val="18"/>
                <w:szCs w:val="18"/>
                <w:b w:val="1"/>
                <w:bCs w:val="1"/>
                <w:color w:val="auto"/>
              </w:rPr>
              <w:t>U. S. Securities and Exchange Commission Registration Statement on Form S-8</w:t>
            </w:r>
          </w:p>
        </w:tc>
        <w:tc>
          <w:tcPr>
            <w:tcW w:w="37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56" w:lineRule="exact"/>
        <w:rPr>
          <w:sz w:val="20"/>
          <w:szCs w:val="20"/>
          <w:color w:val="auto"/>
        </w:rPr>
      </w:pPr>
    </w:p>
    <w:p>
      <w:pPr>
        <w:ind w:right="20"/>
        <w:spacing w:after="0" w:line="254" w:lineRule="auto"/>
        <w:rPr>
          <w:sz w:val="20"/>
          <w:szCs w:val="20"/>
          <w:color w:val="auto"/>
        </w:rPr>
      </w:pPr>
      <w:r>
        <w:rPr>
          <w:rFonts w:ascii="Arial" w:cs="Arial" w:eastAsia="Arial" w:hAnsi="Arial"/>
          <w:sz w:val="18"/>
          <w:szCs w:val="18"/>
          <w:color w:val="auto"/>
        </w:rPr>
        <w:t>We have acted as attorneys in Bermuda for Marvell Technology Group Ltd., a Bermuda company (the “Company”), in connection with its filing with the United States Securities and Exchange Commission of a Registration Statement on Form S-8 (the “Registration Statement”) with respect to 30,880,318 of the Company’s common shares, par value US$0.002 per share, to be issued pursuant to the terms of the Marvell Technology Group Ltd. Amended and Restated 1995 Stock Option Plan (as amended through June 10, 2009); and 8,000,000 of the Company’s common shares, par value US$0.002 per share to be issued pursuant to the terms of the Marvell Technology Group Ltd. 2000 Employee Stock Purchase Plan (as amended and restated as of October 22, 2009) (together, the “Common Shares”).</w:t>
      </w:r>
    </w:p>
    <w:p>
      <w:pPr>
        <w:spacing w:after="0" w:line="144" w:lineRule="exact"/>
        <w:rPr>
          <w:sz w:val="20"/>
          <w:szCs w:val="20"/>
          <w:color w:val="auto"/>
        </w:rPr>
      </w:pPr>
    </w:p>
    <w:p>
      <w:pPr>
        <w:ind w:right="740"/>
        <w:spacing w:after="0" w:line="268" w:lineRule="auto"/>
        <w:rPr>
          <w:sz w:val="20"/>
          <w:szCs w:val="20"/>
          <w:color w:val="auto"/>
        </w:rPr>
      </w:pPr>
      <w:r>
        <w:rPr>
          <w:rFonts w:ascii="Arial" w:cs="Arial" w:eastAsia="Arial" w:hAnsi="Arial"/>
          <w:sz w:val="18"/>
          <w:szCs w:val="18"/>
          <w:color w:val="auto"/>
        </w:rPr>
        <w:t>For the purposes of this opinion we have examined and relied upon the documents listed, and in some cases defined, in the Schedule to this opinion (the “Documents”) together with such other documentation as we have considered requisite to this opinion.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Assumptions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In stating our opinion we have assumed:</w:t>
      </w:r>
    </w:p>
    <w:p>
      <w:pPr>
        <w:spacing w:after="0" w:line="90" w:lineRule="exact"/>
        <w:rPr>
          <w:sz w:val="20"/>
          <w:szCs w:val="20"/>
          <w:color w:val="auto"/>
        </w:rPr>
      </w:pPr>
    </w:p>
    <w:p>
      <w:pPr>
        <w:ind w:left="460" w:right="180" w:hanging="452"/>
        <w:spacing w:after="0" w:line="332" w:lineRule="auto"/>
        <w:tabs>
          <w:tab w:leader="none" w:pos="460" w:val="left"/>
        </w:tabs>
        <w:numPr>
          <w:ilvl w:val="0"/>
          <w:numId w:val="9"/>
        </w:numPr>
        <w:rPr>
          <w:rFonts w:ascii="Arial" w:cs="Arial" w:eastAsia="Arial" w:hAnsi="Arial"/>
          <w:sz w:val="16"/>
          <w:szCs w:val="16"/>
          <w:color w:val="auto"/>
        </w:rPr>
      </w:pPr>
      <w:r>
        <w:rPr>
          <w:rFonts w:ascii="Arial" w:cs="Arial" w:eastAsia="Arial" w:hAnsi="Arial"/>
          <w:sz w:val="16"/>
          <w:szCs w:val="16"/>
          <w:color w:val="auto"/>
        </w:rPr>
        <w:t>the authenticity, accuracy and completeness of all Documents and other documentation examined by us submitted to us as originals and the conformity to authentic original documents of all Documents and other documentation submitted to us as certified, conformed, notarised or photostatic copies;</w:t>
      </w:r>
    </w:p>
    <w:p>
      <w:pPr>
        <w:spacing w:after="0" w:line="4" w:lineRule="exact"/>
        <w:rPr>
          <w:rFonts w:ascii="Arial" w:cs="Arial" w:eastAsia="Arial" w:hAnsi="Arial"/>
          <w:sz w:val="16"/>
          <w:szCs w:val="16"/>
          <w:color w:val="auto"/>
        </w:rPr>
      </w:pPr>
    </w:p>
    <w:p>
      <w:pPr>
        <w:ind w:left="460" w:hanging="452"/>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genuineness of all signatures on the Documents;</w:t>
      </w:r>
    </w:p>
    <w:p>
      <w:pPr>
        <w:sectPr>
          <w:pgSz w:w="11900" w:h="16838" w:orient="portrait"/>
          <w:cols w:equalWidth="0" w:num="1">
            <w:col w:w="11420"/>
          </w:cols>
          <w:pgMar w:left="240" w:top="125" w:right="239" w:bottom="1440" w:gutter="0" w:footer="0" w:header="0"/>
        </w:sectPr>
      </w:pPr>
    </w:p>
    <w:bookmarkStart w:id="9" w:name="page10"/>
    <w:bookmarkEnd w:id="9"/>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10 December 2009</w:t>
      </w:r>
    </w:p>
    <w:p>
      <w:pPr>
        <w:spacing w:after="0" w:line="158" w:lineRule="exact"/>
        <w:rPr>
          <w:sz w:val="20"/>
          <w:szCs w:val="20"/>
          <w:color w:val="auto"/>
        </w:rPr>
      </w:pPr>
    </w:p>
    <w:p>
      <w:pPr>
        <w:ind w:left="460" w:right="780" w:hanging="452"/>
        <w:spacing w:after="0" w:line="268" w:lineRule="auto"/>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that each of the Documents and other such documentation which was received by electronic means is complete, intact and in conformity with the transmission as sent;</w:t>
      </w:r>
    </w:p>
    <w:p>
      <w:pPr>
        <w:spacing w:after="0" w:line="50" w:lineRule="exact"/>
        <w:rPr>
          <w:rFonts w:ascii="Arial" w:cs="Arial" w:eastAsia="Arial" w:hAnsi="Arial"/>
          <w:sz w:val="18"/>
          <w:szCs w:val="18"/>
          <w:color w:val="auto"/>
        </w:rPr>
      </w:pPr>
    </w:p>
    <w:p>
      <w:pPr>
        <w:ind w:left="460" w:right="340" w:hanging="452"/>
        <w:spacing w:after="0" w:line="268" w:lineRule="auto"/>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that there are no provisions of the laws or regulations of any jurisdiction other than Bermuda which would have a material effect on any of the opinions herein expressed;</w:t>
      </w:r>
    </w:p>
    <w:p>
      <w:pPr>
        <w:spacing w:after="0" w:line="50" w:lineRule="exact"/>
        <w:rPr>
          <w:rFonts w:ascii="Arial" w:cs="Arial" w:eastAsia="Arial" w:hAnsi="Arial"/>
          <w:sz w:val="18"/>
          <w:szCs w:val="18"/>
          <w:color w:val="auto"/>
        </w:rPr>
      </w:pPr>
    </w:p>
    <w:p>
      <w:pPr>
        <w:ind w:left="460" w:right="80" w:hanging="452"/>
        <w:spacing w:after="0" w:line="268" w:lineRule="auto"/>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that all representations and factual statements appearing in the Registration Statement, the Plans and the Resolutions, other than as to the laws of Bermuda, are true, accurate and complete in all material respects;</w:t>
      </w:r>
    </w:p>
    <w:p>
      <w:pPr>
        <w:spacing w:after="0" w:line="50" w:lineRule="exact"/>
        <w:rPr>
          <w:rFonts w:ascii="Arial" w:cs="Arial" w:eastAsia="Arial" w:hAnsi="Arial"/>
          <w:sz w:val="18"/>
          <w:szCs w:val="18"/>
          <w:color w:val="auto"/>
        </w:rPr>
      </w:pPr>
    </w:p>
    <w:p>
      <w:pPr>
        <w:ind w:left="460" w:right="180" w:hanging="452"/>
        <w:spacing w:after="0" w:line="284" w:lineRule="auto"/>
        <w:tabs>
          <w:tab w:leader="none" w:pos="460" w:val="left"/>
        </w:tabs>
        <w:numPr>
          <w:ilvl w:val="0"/>
          <w:numId w:val="10"/>
        </w:numPr>
        <w:rPr>
          <w:rFonts w:ascii="Arial" w:cs="Arial" w:eastAsia="Arial" w:hAnsi="Arial"/>
          <w:sz w:val="16"/>
          <w:szCs w:val="16"/>
          <w:color w:val="auto"/>
        </w:rPr>
      </w:pPr>
      <w:r>
        <w:rPr>
          <w:rFonts w:ascii="Arial" w:cs="Arial" w:eastAsia="Arial" w:hAnsi="Arial"/>
          <w:sz w:val="16"/>
          <w:szCs w:val="16"/>
          <w:color w:val="auto"/>
        </w:rPr>
        <w:t>that the Resolutions are in full force and effect and have not been rescinded, either in whole or in part, and accurately record: (i) the resolutions passed by the Board of Directors and Members of the Company in meetings which were duly convened and at which a duly constituted quorum was present and voting throughout (ii) resolutions adopted by all the Directors of the Company as unanimous written resolutions of the Board of Directors; and</w:t>
      </w:r>
    </w:p>
    <w:p>
      <w:pPr>
        <w:spacing w:after="0" w:line="1" w:lineRule="exact"/>
        <w:rPr>
          <w:rFonts w:ascii="Arial" w:cs="Arial" w:eastAsia="Arial" w:hAnsi="Arial"/>
          <w:sz w:val="16"/>
          <w:szCs w:val="16"/>
          <w:color w:val="auto"/>
        </w:rPr>
      </w:pPr>
    </w:p>
    <w:p>
      <w:pPr>
        <w:ind w:left="460" w:right="60"/>
        <w:spacing w:after="0" w:line="302" w:lineRule="auto"/>
        <w:rPr>
          <w:rFonts w:ascii="Arial" w:cs="Arial" w:eastAsia="Arial" w:hAnsi="Arial"/>
          <w:sz w:val="16"/>
          <w:szCs w:val="16"/>
          <w:color w:val="auto"/>
        </w:rPr>
      </w:pPr>
      <w:r>
        <w:rPr>
          <w:rFonts w:ascii="Arial" w:cs="Arial" w:eastAsia="Arial" w:hAnsi="Arial"/>
          <w:sz w:val="16"/>
          <w:szCs w:val="16"/>
          <w:color w:val="auto"/>
        </w:rPr>
        <w:t>(iii) resolutions adopted by all the Members of the Company as unanimous written resolutions of the Members of the Company; and further that there is no matter affecting the authority of the Directors to effect the issue of the Common Shares by the Company under the terms of the Plans, not disclosed by the Constitutional Documents or the Resolutions, which would have any adverse implication in relation to the opinions expressed herein;</w:t>
      </w:r>
    </w:p>
    <w:p>
      <w:pPr>
        <w:spacing w:after="0" w:line="28" w:lineRule="exact"/>
        <w:rPr>
          <w:rFonts w:ascii="Arial" w:cs="Arial" w:eastAsia="Arial" w:hAnsi="Arial"/>
          <w:sz w:val="16"/>
          <w:szCs w:val="16"/>
          <w:color w:val="auto"/>
        </w:rPr>
      </w:pPr>
    </w:p>
    <w:p>
      <w:pPr>
        <w:ind w:left="460" w:right="540" w:hanging="452"/>
        <w:spacing w:after="0" w:line="268" w:lineRule="auto"/>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that any awards granted under the Plans relevant to this opinion (each an “Award” and collectively, the “Awards”) will constitute the legal, valid and binding obligations of the parties thereto, other than the Company;</w:t>
      </w:r>
    </w:p>
    <w:p>
      <w:pPr>
        <w:spacing w:after="0" w:line="50" w:lineRule="exact"/>
        <w:rPr>
          <w:rFonts w:ascii="Arial" w:cs="Arial" w:eastAsia="Arial" w:hAnsi="Arial"/>
          <w:sz w:val="18"/>
          <w:szCs w:val="18"/>
          <w:color w:val="auto"/>
        </w:rPr>
      </w:pPr>
    </w:p>
    <w:p>
      <w:pPr>
        <w:ind w:left="460" w:right="180" w:hanging="452"/>
        <w:spacing w:after="0" w:line="268" w:lineRule="auto"/>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that each Director of the Company, when the Board of Directors of the Company passed the Board Resolutions, discharged his fiduciary duty owed to the Company and acted honestly and in good faith with a view to the best interests of the Company;</w:t>
      </w:r>
    </w:p>
    <w:p>
      <w:pPr>
        <w:spacing w:after="0" w:line="50" w:lineRule="exact"/>
        <w:rPr>
          <w:rFonts w:ascii="Arial" w:cs="Arial" w:eastAsia="Arial" w:hAnsi="Arial"/>
          <w:sz w:val="18"/>
          <w:szCs w:val="18"/>
          <w:color w:val="auto"/>
        </w:rPr>
      </w:pPr>
    </w:p>
    <w:p>
      <w:pPr>
        <w:ind w:left="460" w:right="380" w:hanging="452"/>
        <w:spacing w:after="0" w:line="332" w:lineRule="auto"/>
        <w:tabs>
          <w:tab w:leader="none" w:pos="460" w:val="left"/>
        </w:tabs>
        <w:numPr>
          <w:ilvl w:val="0"/>
          <w:numId w:val="10"/>
        </w:numPr>
        <w:rPr>
          <w:rFonts w:ascii="Arial" w:cs="Arial" w:eastAsia="Arial" w:hAnsi="Arial"/>
          <w:sz w:val="16"/>
          <w:szCs w:val="16"/>
          <w:color w:val="auto"/>
        </w:rPr>
      </w:pPr>
      <w:r>
        <w:rPr>
          <w:rFonts w:ascii="Arial" w:cs="Arial" w:eastAsia="Arial" w:hAnsi="Arial"/>
          <w:sz w:val="16"/>
          <w:szCs w:val="16"/>
          <w:color w:val="auto"/>
        </w:rPr>
        <w:t>that the Company has entered into its obligations under the Plans in good faith for the purpose of carrying on its business and that, at the time it did so, there were reasonable grounds for believing that the transactions contemplated in the respective Plan would benefit the Company;</w:t>
      </w:r>
    </w:p>
    <w:p>
      <w:pPr>
        <w:sectPr>
          <w:pgSz w:w="11900" w:h="16838" w:orient="portrait"/>
          <w:cols w:equalWidth="0" w:num="1">
            <w:col w:w="11420"/>
          </w:cols>
          <w:pgMar w:left="240" w:top="274" w:right="239" w:bottom="1440" w:gutter="0" w:footer="0" w:header="0"/>
        </w:sectPr>
      </w:pPr>
    </w:p>
    <w:bookmarkStart w:id="10" w:name="page11"/>
    <w:bookmarkEnd w:id="10"/>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10 December 2009</w:t>
      </w:r>
    </w:p>
    <w:p>
      <w:pPr>
        <w:spacing w:after="0" w:line="158" w:lineRule="exact"/>
        <w:rPr>
          <w:sz w:val="20"/>
          <w:szCs w:val="20"/>
          <w:color w:val="auto"/>
        </w:rPr>
      </w:pPr>
    </w:p>
    <w:p>
      <w:pPr>
        <w:ind w:left="460" w:right="60" w:hanging="452"/>
        <w:spacing w:after="0" w:line="306" w:lineRule="auto"/>
        <w:tabs>
          <w:tab w:leader="none" w:pos="460" w:val="left"/>
        </w:tabs>
        <w:numPr>
          <w:ilvl w:val="0"/>
          <w:numId w:val="11"/>
        </w:numPr>
        <w:rPr>
          <w:rFonts w:ascii="Arial" w:cs="Arial" w:eastAsia="Arial" w:hAnsi="Arial"/>
          <w:sz w:val="16"/>
          <w:szCs w:val="16"/>
          <w:color w:val="auto"/>
        </w:rPr>
      </w:pPr>
      <w:r>
        <w:rPr>
          <w:rFonts w:ascii="Arial" w:cs="Arial" w:eastAsia="Arial" w:hAnsi="Arial"/>
          <w:sz w:val="16"/>
          <w:szCs w:val="16"/>
          <w:color w:val="auto"/>
        </w:rPr>
        <w:t>that at the time of issue by the Executive Compensation Committee of the Board of Directors (the “Committee”) of any Award, or any Common Shares pursuant to any such Award, such Committee was duly constituted and at the date hereof remains a duly constituted committee of the Board of Directors of the Company having the necessary powers and authorities to issue Awards and Common Shares pursuant to the Plans;</w:t>
      </w:r>
    </w:p>
    <w:p>
      <w:pPr>
        <w:spacing w:after="0" w:line="25" w:lineRule="exact"/>
        <w:rPr>
          <w:rFonts w:ascii="Arial" w:cs="Arial" w:eastAsia="Arial" w:hAnsi="Arial"/>
          <w:sz w:val="16"/>
          <w:szCs w:val="16"/>
          <w:color w:val="auto"/>
        </w:rPr>
      </w:pPr>
    </w:p>
    <w:p>
      <w:pPr>
        <w:ind w:left="460" w:right="60" w:hanging="452"/>
        <w:spacing w:after="0" w:line="306" w:lineRule="auto"/>
        <w:tabs>
          <w:tab w:leader="none" w:pos="460" w:val="left"/>
        </w:tabs>
        <w:numPr>
          <w:ilvl w:val="0"/>
          <w:numId w:val="11"/>
        </w:numPr>
        <w:rPr>
          <w:rFonts w:ascii="Arial" w:cs="Arial" w:eastAsia="Arial" w:hAnsi="Arial"/>
          <w:sz w:val="16"/>
          <w:szCs w:val="16"/>
          <w:color w:val="auto"/>
        </w:rPr>
      </w:pPr>
      <w:r>
        <w:rPr>
          <w:rFonts w:ascii="Arial" w:cs="Arial" w:eastAsia="Arial" w:hAnsi="Arial"/>
          <w:sz w:val="16"/>
          <w:szCs w:val="16"/>
          <w:color w:val="auto"/>
        </w:rPr>
        <w:t>that the approval of the issue of any Award and of any Common Shares issued pursuant to any such Award will be duly made either at a duly convened and quorate meeting of the Board of Directors of the Company, or at a duly convened and quorate meeting of the Committee in a manner complying with the terms of the Bye-laws of the Company then in force and within the authority then given to the Committee by the Board of Directors of the Company;</w:t>
      </w:r>
    </w:p>
    <w:p>
      <w:pPr>
        <w:spacing w:after="0" w:line="25" w:lineRule="exact"/>
        <w:rPr>
          <w:rFonts w:ascii="Arial" w:cs="Arial" w:eastAsia="Arial" w:hAnsi="Arial"/>
          <w:sz w:val="16"/>
          <w:szCs w:val="16"/>
          <w:color w:val="auto"/>
        </w:rPr>
      </w:pPr>
    </w:p>
    <w:p>
      <w:pPr>
        <w:ind w:left="460" w:right="120" w:hanging="452"/>
        <w:spacing w:after="0" w:line="259" w:lineRule="auto"/>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that when the issue of any Common Shares under the Plans is authorised, the issue price will not be less than the par value of the Common Shares and that the Company will have sufficient authorised share capital to effect such issue and will continue to hold the necessary permission from the Bermuda Monetary Authority for such share issue;</w:t>
      </w:r>
    </w:p>
    <w:p>
      <w:pPr>
        <w:spacing w:after="0" w:line="59" w:lineRule="exact"/>
        <w:rPr>
          <w:rFonts w:ascii="Arial" w:cs="Arial" w:eastAsia="Arial" w:hAnsi="Arial"/>
          <w:sz w:val="18"/>
          <w:szCs w:val="18"/>
          <w:color w:val="auto"/>
        </w:rPr>
      </w:pPr>
    </w:p>
    <w:p>
      <w:pPr>
        <w:ind w:left="460" w:right="40" w:hanging="452"/>
        <w:spacing w:after="0" w:line="256" w:lineRule="auto"/>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that in any case where Common Shares are issued by the Company pursuant to the Plans on the terms of an Award that does not require the allottee to pay to the Company a cash subscription price for such Common Shares, the Company will receive prior to the allotment of shares either a transfer to it of assets or the provision of services by the allottee with a fair value at least equivalent to the aggregate par value of the Common Shares issued to him pursuant to that Award;</w:t>
      </w:r>
    </w:p>
    <w:p>
      <w:pPr>
        <w:spacing w:after="0" w:line="62" w:lineRule="exact"/>
        <w:rPr>
          <w:rFonts w:ascii="Arial" w:cs="Arial" w:eastAsia="Arial" w:hAnsi="Arial"/>
          <w:sz w:val="18"/>
          <w:szCs w:val="18"/>
          <w:color w:val="auto"/>
        </w:rPr>
      </w:pPr>
    </w:p>
    <w:p>
      <w:pPr>
        <w:ind w:left="460" w:right="360" w:hanging="452"/>
        <w:spacing w:after="0" w:line="268" w:lineRule="auto"/>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that when filed with the United States Securities and Exchange Commission, the Registration Statement will not differ in any material respect from the electronic copy referred to in paragraph 1 of the Schedule;</w:t>
      </w:r>
    </w:p>
    <w:p>
      <w:pPr>
        <w:spacing w:after="0" w:line="50" w:lineRule="exact"/>
        <w:rPr>
          <w:rFonts w:ascii="Arial" w:cs="Arial" w:eastAsia="Arial" w:hAnsi="Arial"/>
          <w:sz w:val="18"/>
          <w:szCs w:val="18"/>
          <w:color w:val="auto"/>
        </w:rPr>
      </w:pPr>
    </w:p>
    <w:p>
      <w:pPr>
        <w:ind w:left="460" w:right="140" w:hanging="452"/>
        <w:spacing w:after="0" w:line="332" w:lineRule="auto"/>
        <w:tabs>
          <w:tab w:leader="none" w:pos="460" w:val="left"/>
        </w:tabs>
        <w:numPr>
          <w:ilvl w:val="0"/>
          <w:numId w:val="11"/>
        </w:numPr>
        <w:rPr>
          <w:rFonts w:ascii="Arial" w:cs="Arial" w:eastAsia="Arial" w:hAnsi="Arial"/>
          <w:sz w:val="16"/>
          <w:szCs w:val="16"/>
          <w:color w:val="auto"/>
        </w:rPr>
      </w:pPr>
      <w:r>
        <w:rPr>
          <w:rFonts w:ascii="Arial" w:cs="Arial" w:eastAsia="Arial" w:hAnsi="Arial"/>
          <w:sz w:val="16"/>
          <w:szCs w:val="16"/>
          <w:color w:val="auto"/>
        </w:rPr>
        <w:t>that the records which were the subject of the Company Search were complete and accurate at the time of such search and disclosed all information which is material for the purposes of this opinion and such information has not since the date of the Company Search been materially altered; and</w:t>
      </w:r>
    </w:p>
    <w:p>
      <w:pPr>
        <w:sectPr>
          <w:pgSz w:w="11900" w:h="16838" w:orient="portrait"/>
          <w:cols w:equalWidth="0" w:num="1">
            <w:col w:w="11420"/>
          </w:cols>
          <w:pgMar w:left="240" w:top="274" w:right="239" w:bottom="1440" w:gutter="0" w:footer="0" w:header="0"/>
        </w:sectPr>
      </w:pPr>
    </w:p>
    <w:bookmarkStart w:id="11" w:name="page12"/>
    <w:bookmarkEnd w:id="11"/>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10 December 2009</w:t>
      </w:r>
    </w:p>
    <w:p>
      <w:pPr>
        <w:spacing w:after="0" w:line="158" w:lineRule="exact"/>
        <w:rPr>
          <w:sz w:val="20"/>
          <w:szCs w:val="20"/>
          <w:color w:val="auto"/>
        </w:rPr>
      </w:pPr>
    </w:p>
    <w:p>
      <w:pPr>
        <w:ind w:left="460" w:right="120" w:hanging="452"/>
        <w:spacing w:after="0" w:line="332" w:lineRule="auto"/>
        <w:tabs>
          <w:tab w:leader="none" w:pos="460" w:val="left"/>
        </w:tabs>
        <w:numPr>
          <w:ilvl w:val="0"/>
          <w:numId w:val="12"/>
        </w:numPr>
        <w:rPr>
          <w:rFonts w:ascii="Arial" w:cs="Arial" w:eastAsia="Arial" w:hAnsi="Arial"/>
          <w:sz w:val="16"/>
          <w:szCs w:val="16"/>
          <w:color w:val="auto"/>
        </w:rPr>
      </w:pPr>
      <w:r>
        <w:rPr>
          <w:rFonts w:ascii="Arial" w:cs="Arial" w:eastAsia="Arial" w:hAnsi="Arial"/>
          <w:sz w:val="16"/>
          <w:szCs w:val="16"/>
          <w:color w:val="auto"/>
        </w:rPr>
        <w:t>that the records which were the subject of the Litigation Search were complete and accurate at the time of such search and disclosed all information which is material for the purposes of this opinion and such information has not since the date of the Litigation Search been materially altered.</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Opinion</w:t>
      </w:r>
    </w:p>
    <w:p>
      <w:pPr>
        <w:spacing w:after="0" w:line="96" w:lineRule="exact"/>
        <w:rPr>
          <w:sz w:val="20"/>
          <w:szCs w:val="20"/>
          <w:color w:val="auto"/>
        </w:rPr>
      </w:pPr>
    </w:p>
    <w:p>
      <w:pPr>
        <w:spacing w:after="0"/>
        <w:rPr>
          <w:sz w:val="20"/>
          <w:szCs w:val="20"/>
          <w:color w:val="auto"/>
        </w:rPr>
      </w:pPr>
      <w:r>
        <w:rPr>
          <w:rFonts w:ascii="Arial" w:cs="Arial" w:eastAsia="Arial" w:hAnsi="Arial"/>
          <w:sz w:val="16"/>
          <w:szCs w:val="16"/>
          <w:color w:val="auto"/>
        </w:rPr>
        <w:t>Based upon and subject to the foregoing and subject to the reservations set out below and to any matters not disclosed to us, we are of the opinion that:</w:t>
      </w:r>
    </w:p>
    <w:p>
      <w:pPr>
        <w:spacing w:after="0" w:line="113" w:lineRule="exact"/>
        <w:rPr>
          <w:sz w:val="20"/>
          <w:szCs w:val="20"/>
          <w:color w:val="auto"/>
        </w:rPr>
      </w:pPr>
    </w:p>
    <w:p>
      <w:pPr>
        <w:ind w:left="460" w:right="140" w:hanging="452"/>
        <w:spacing w:after="0" w:line="268" w:lineRule="auto"/>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Company is an exempted company incorporated with limited liability and is validly existing and in good standing under the laws of Bermuda and has all requisite corporate power and authority to issue the Common Shares.</w:t>
      </w:r>
    </w:p>
    <w:p>
      <w:pPr>
        <w:spacing w:after="0" w:line="50" w:lineRule="exact"/>
        <w:rPr>
          <w:rFonts w:ascii="Arial" w:cs="Arial" w:eastAsia="Arial" w:hAnsi="Arial"/>
          <w:sz w:val="18"/>
          <w:szCs w:val="18"/>
          <w:color w:val="auto"/>
        </w:rPr>
      </w:pPr>
    </w:p>
    <w:p>
      <w:pPr>
        <w:ind w:left="460" w:right="180" w:hanging="452"/>
        <w:spacing w:after="0" w:line="306" w:lineRule="auto"/>
        <w:tabs>
          <w:tab w:leader="none" w:pos="460" w:val="left"/>
        </w:tabs>
        <w:numPr>
          <w:ilvl w:val="0"/>
          <w:numId w:val="13"/>
        </w:numPr>
        <w:rPr>
          <w:rFonts w:ascii="Arial" w:cs="Arial" w:eastAsia="Arial" w:hAnsi="Arial"/>
          <w:sz w:val="16"/>
          <w:szCs w:val="16"/>
          <w:color w:val="auto"/>
        </w:rPr>
      </w:pPr>
      <w:r>
        <w:rPr>
          <w:rFonts w:ascii="Arial" w:cs="Arial" w:eastAsia="Arial" w:hAnsi="Arial"/>
          <w:sz w:val="16"/>
          <w:szCs w:val="16"/>
          <w:color w:val="auto"/>
        </w:rPr>
        <w:t>When issued pursuant to the applicable Resolutions and the Plans, all necessary corporate action required to be taken by the Company in connection with the issue by the Company of the Common Shares pursuant to Bermuda law will have been taken by or on behalf of the Company, and all necessary approvals of Governmental authorities in Bermuda have been duly obtained for the issue by the Company of the Common Shares.</w:t>
      </w:r>
    </w:p>
    <w:p>
      <w:pPr>
        <w:spacing w:after="0" w:line="25" w:lineRule="exact"/>
        <w:rPr>
          <w:rFonts w:ascii="Arial" w:cs="Arial" w:eastAsia="Arial" w:hAnsi="Arial"/>
          <w:sz w:val="16"/>
          <w:szCs w:val="16"/>
          <w:color w:val="auto"/>
        </w:rPr>
      </w:pPr>
    </w:p>
    <w:p>
      <w:pPr>
        <w:ind w:left="460" w:right="380" w:hanging="452"/>
        <w:spacing w:after="0" w:line="357" w:lineRule="auto"/>
        <w:tabs>
          <w:tab w:leader="none" w:pos="460" w:val="left"/>
        </w:tabs>
        <w:numPr>
          <w:ilvl w:val="0"/>
          <w:numId w:val="13"/>
        </w:numPr>
        <w:rPr>
          <w:rFonts w:ascii="Arial" w:cs="Arial" w:eastAsia="Arial" w:hAnsi="Arial"/>
          <w:sz w:val="15"/>
          <w:szCs w:val="15"/>
          <w:color w:val="auto"/>
        </w:rPr>
      </w:pPr>
      <w:r>
        <w:rPr>
          <w:rFonts w:ascii="Arial" w:cs="Arial" w:eastAsia="Arial" w:hAnsi="Arial"/>
          <w:sz w:val="15"/>
          <w:szCs w:val="15"/>
          <w:color w:val="auto"/>
        </w:rPr>
        <w:t>When the Common Shares have been issued and paid for pursuant to and in accordance with the terms and conditions referred to or summarized in the applicable Resolutions and the Plans, the Common Shares will be validly issued, fully paid and non-assessable shares in the capital of the Company.</w:t>
      </w:r>
    </w:p>
    <w:p>
      <w:pPr>
        <w:ind w:left="460" w:right="260" w:hanging="452"/>
        <w:spacing w:after="0" w:line="268" w:lineRule="auto"/>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There are no taxes, duties or other charges payable to or chargeable by the Government of Bermuda, or any authority or agency thereof, in respect of the issue of the Common Shares.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Reservations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We have the following reservations:</w:t>
      </w:r>
    </w:p>
    <w:p>
      <w:pPr>
        <w:spacing w:after="0" w:line="90" w:lineRule="exact"/>
        <w:rPr>
          <w:sz w:val="20"/>
          <w:szCs w:val="20"/>
          <w:color w:val="auto"/>
        </w:rPr>
      </w:pPr>
    </w:p>
    <w:p>
      <w:pPr>
        <w:ind w:left="460" w:right="100" w:hanging="452"/>
        <w:spacing w:after="0" w:line="332" w:lineRule="auto"/>
        <w:tabs>
          <w:tab w:leader="none" w:pos="4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ectPr>
          <w:pgSz w:w="11900" w:h="16838" w:orient="portrait"/>
          <w:cols w:equalWidth="0" w:num="1">
            <w:col w:w="11420"/>
          </w:cols>
          <w:pgMar w:left="240" w:top="274" w:right="239" w:bottom="1440" w:gutter="0" w:footer="0" w:header="0"/>
        </w:sectPr>
      </w:pPr>
    </w:p>
    <w:bookmarkStart w:id="12" w:name="page13"/>
    <w:bookmarkEnd w:id="12"/>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10 December 2009</w:t>
      </w:r>
    </w:p>
    <w:p>
      <w:pPr>
        <w:spacing w:after="0" w:line="158" w:lineRule="exact"/>
        <w:rPr>
          <w:sz w:val="20"/>
          <w:szCs w:val="20"/>
          <w:color w:val="auto"/>
        </w:rPr>
      </w:pPr>
    </w:p>
    <w:p>
      <w:pPr>
        <w:ind w:left="460" w:right="220" w:hanging="452"/>
        <w:spacing w:after="0" w:line="255"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Any reference in this opinion to Common Shares being “non-assessable” shall mean, in relation to fully paid shares of the Company and subject to any contrary provision in any agreement in writing between the Company and the holder of such Common Shares, that no shareholder shall be bound by an alteration to the Memorandum of Association or Bye-laws of the Company after the date on which he or she became a shareholder, if and so far as the alteration requires him or her to take, or subscribe for additional shares, or in any way increases his or her liability to contribute to the share capital of, or otherwise to pay money to, the Company.</w:t>
      </w:r>
    </w:p>
    <w:p>
      <w:pPr>
        <w:spacing w:after="0" w:line="61" w:lineRule="exact"/>
        <w:rPr>
          <w:rFonts w:ascii="Arial" w:cs="Arial" w:eastAsia="Arial" w:hAnsi="Arial"/>
          <w:sz w:val="18"/>
          <w:szCs w:val="18"/>
          <w:color w:val="auto"/>
        </w:rPr>
      </w:pPr>
    </w:p>
    <w:p>
      <w:pPr>
        <w:ind w:left="460" w:right="60" w:hanging="452"/>
        <w:spacing w:after="0" w:line="268"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Searches of the Register of Companies at the office of the Registrar of Companies are not conclusive and it should be noted that the Register of Companies does not reveal:</w:t>
      </w:r>
    </w:p>
    <w:p>
      <w:pPr>
        <w:spacing w:after="0" w:line="50" w:lineRule="exact"/>
        <w:rPr>
          <w:rFonts w:ascii="Arial" w:cs="Arial" w:eastAsia="Arial" w:hAnsi="Arial"/>
          <w:sz w:val="18"/>
          <w:szCs w:val="18"/>
          <w:color w:val="auto"/>
        </w:rPr>
      </w:pPr>
    </w:p>
    <w:p>
      <w:pPr>
        <w:ind w:left="900" w:right="20" w:hanging="446"/>
        <w:spacing w:after="0" w:line="306" w:lineRule="auto"/>
        <w:tabs>
          <w:tab w:leader="none" w:pos="900" w:val="left"/>
        </w:tabs>
        <w:numPr>
          <w:ilvl w:val="1"/>
          <w:numId w:val="15"/>
        </w:numPr>
        <w:rPr>
          <w:rFonts w:ascii="Arial" w:cs="Arial" w:eastAsia="Arial" w:hAnsi="Arial"/>
          <w:sz w:val="16"/>
          <w:szCs w:val="16"/>
          <w:color w:val="auto"/>
        </w:rPr>
      </w:pPr>
      <w:r>
        <w:rPr>
          <w:rFonts w:ascii="Arial" w:cs="Arial" w:eastAsia="Arial" w:hAnsi="Arial"/>
          <w:sz w:val="16"/>
          <w:szCs w:val="16"/>
          <w:color w:val="auto"/>
        </w:rPr>
        <w:t>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25" w:lineRule="exact"/>
        <w:rPr>
          <w:rFonts w:ascii="Arial" w:cs="Arial" w:eastAsia="Arial" w:hAnsi="Arial"/>
          <w:sz w:val="16"/>
          <w:szCs w:val="16"/>
          <w:color w:val="auto"/>
        </w:rPr>
      </w:pPr>
    </w:p>
    <w:p>
      <w:pPr>
        <w:ind w:left="900" w:hanging="446"/>
        <w:spacing w:after="0"/>
        <w:tabs>
          <w:tab w:leader="none" w:pos="900" w:val="left"/>
        </w:tabs>
        <w:numPr>
          <w:ilvl w:val="1"/>
          <w:numId w:val="15"/>
        </w:numPr>
        <w:rPr>
          <w:rFonts w:ascii="Arial" w:cs="Arial" w:eastAsia="Arial" w:hAnsi="Arial"/>
          <w:sz w:val="16"/>
          <w:szCs w:val="16"/>
          <w:color w:val="auto"/>
        </w:rPr>
      </w:pPr>
      <w:r>
        <w:rPr>
          <w:rFonts w:ascii="Arial" w:cs="Arial" w:eastAsia="Arial" w:hAnsi="Arial"/>
          <w:sz w:val="16"/>
          <w:szCs w:val="16"/>
          <w:color w:val="auto"/>
        </w:rPr>
        <w:t>details of matters which should have been lodged for registration but have not been lodged for registration at the date the search is concluded.</w:t>
      </w:r>
    </w:p>
    <w:p>
      <w:pPr>
        <w:spacing w:after="0" w:line="113" w:lineRule="exact"/>
        <w:rPr>
          <w:rFonts w:ascii="Arial" w:cs="Arial" w:eastAsia="Arial" w:hAnsi="Arial"/>
          <w:sz w:val="16"/>
          <w:szCs w:val="16"/>
          <w:color w:val="auto"/>
        </w:rPr>
      </w:pPr>
    </w:p>
    <w:p>
      <w:pPr>
        <w:ind w:left="460" w:right="360" w:hanging="452"/>
        <w:spacing w:after="0" w:line="268"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In order to issue this opinion we have carried out the Searches as referred to in paragraphs 5 and 6 of the Schedule and have not enquired as to whether there has been any change since the date of the Searches.</w:t>
      </w:r>
    </w:p>
    <w:p>
      <w:pPr>
        <w:spacing w:after="0" w:line="50" w:lineRule="exact"/>
        <w:rPr>
          <w:rFonts w:ascii="Arial" w:cs="Arial" w:eastAsia="Arial" w:hAnsi="Arial"/>
          <w:sz w:val="18"/>
          <w:szCs w:val="18"/>
          <w:color w:val="auto"/>
        </w:rPr>
      </w:pPr>
    </w:p>
    <w:p>
      <w:pPr>
        <w:ind w:left="460" w:right="440" w:hanging="452"/>
        <w:spacing w:after="0" w:line="268"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In opinion paragraph (1) above the term “good standing” means that the Company has received a Certificate of Compliance issued by the Registrar of Companies.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Disclosure</w:t>
      </w:r>
    </w:p>
    <w:p>
      <w:pPr>
        <w:spacing w:after="0" w:line="96" w:lineRule="exact"/>
        <w:rPr>
          <w:sz w:val="20"/>
          <w:szCs w:val="20"/>
          <w:color w:val="auto"/>
        </w:rPr>
      </w:pPr>
    </w:p>
    <w:p>
      <w:pPr>
        <w:ind w:right="80"/>
        <w:spacing w:after="0" w:line="254" w:lineRule="auto"/>
        <w:rPr>
          <w:sz w:val="20"/>
          <w:szCs w:val="20"/>
          <w:color w:val="auto"/>
        </w:rPr>
      </w:pPr>
      <w:r>
        <w:rPr>
          <w:rFonts w:ascii="Arial" w:cs="Arial" w:eastAsia="Arial" w:hAnsi="Arial"/>
          <w:sz w:val="18"/>
          <w:szCs w:val="18"/>
          <w:color w:val="auto"/>
        </w:rPr>
        <w:t>This opinion is addressed to you in connection with the registration of the Common Shares with the United States Securities and Exchange Commission. Further, this opinion speaks as of its date and is strictly limited to the matters stated herein and we assume no</w:t>
      </w:r>
    </w:p>
    <w:p>
      <w:pPr>
        <w:ind w:right="500"/>
        <w:spacing w:after="0" w:line="261" w:lineRule="auto"/>
        <w:rPr>
          <w:sz w:val="20"/>
          <w:szCs w:val="20"/>
          <w:color w:val="auto"/>
        </w:rPr>
      </w:pPr>
      <w:r>
        <w:rPr>
          <w:rFonts w:ascii="Arial" w:cs="Arial" w:eastAsia="Arial" w:hAnsi="Arial"/>
          <w:sz w:val="18"/>
          <w:szCs w:val="18"/>
          <w:color w:val="auto"/>
        </w:rPr>
        <w:t>obligation to review or update this opinion if applicable law or the existing facts or circumstances should change. We hereby consent to the inclusion of the opinion as an exhibit to the Registration Statement.</w:t>
      </w:r>
    </w:p>
    <w:p>
      <w:pPr>
        <w:sectPr>
          <w:pgSz w:w="11900" w:h="16838" w:orient="portrait"/>
          <w:cols w:equalWidth="0" w:num="1">
            <w:col w:w="11420"/>
          </w:cols>
          <w:pgMar w:left="240" w:top="274" w:right="239" w:bottom="1440" w:gutter="0" w:footer="0" w:header="0"/>
        </w:sectPr>
      </w:pPr>
    </w:p>
    <w:bookmarkStart w:id="13" w:name="page14"/>
    <w:bookmarkEnd w:id="13"/>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10 December 2009</w:t>
      </w:r>
    </w:p>
    <w:p>
      <w:pPr>
        <w:spacing w:after="0" w:line="158"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32" w:lineRule="exact"/>
        <w:rPr>
          <w:sz w:val="20"/>
          <w:szCs w:val="20"/>
          <w:color w:val="auto"/>
        </w:rPr>
      </w:pPr>
    </w:p>
    <w:p>
      <w:pPr>
        <w:spacing w:after="0"/>
        <w:rPr>
          <w:sz w:val="20"/>
          <w:szCs w:val="20"/>
          <w:color w:val="auto"/>
        </w:rPr>
      </w:pPr>
      <w:r>
        <w:rPr>
          <w:rFonts w:ascii="Arial" w:cs="Arial" w:eastAsia="Arial" w:hAnsi="Arial"/>
          <w:sz w:val="18"/>
          <w:szCs w:val="18"/>
          <w:color w:val="auto"/>
        </w:rPr>
        <w:t>Yours faithfully</w:t>
      </w:r>
    </w:p>
    <w:p>
      <w:pPr>
        <w:spacing w:after="0" w:line="171" w:lineRule="exact"/>
        <w:rPr>
          <w:sz w:val="20"/>
          <w:szCs w:val="20"/>
          <w:color w:val="auto"/>
        </w:rPr>
      </w:pPr>
    </w:p>
    <w:p>
      <w:pPr>
        <w:spacing w:after="0"/>
        <w:tabs>
          <w:tab w:leader="none" w:pos="32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Appleby</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APPLEBY</w:t>
      </w:r>
    </w:p>
    <w:p>
      <w:pPr>
        <w:sectPr>
          <w:pgSz w:w="11900" w:h="16838" w:orient="portrait"/>
          <w:cols w:equalWidth="0" w:num="1">
            <w:col w:w="11420"/>
          </w:cols>
          <w:pgMar w:left="240" w:top="274" w:right="239" w:bottom="1440" w:gutter="0" w:footer="0" w:header="0"/>
        </w:sectPr>
      </w:pPr>
    </w:p>
    <w:bookmarkStart w:id="14" w:name="page15"/>
    <w:bookmarkEnd w:id="14"/>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10 December 2009</w:t>
      </w:r>
    </w:p>
    <w:p>
      <w:pPr>
        <w:spacing w:after="0" w:line="152"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SCHEDULE</w:t>
      </w:r>
    </w:p>
    <w:p>
      <w:pPr>
        <w:spacing w:after="0" w:line="218" w:lineRule="exact"/>
        <w:rPr>
          <w:sz w:val="20"/>
          <w:szCs w:val="20"/>
          <w:color w:val="auto"/>
        </w:rPr>
      </w:pPr>
    </w:p>
    <w:p>
      <w:pPr>
        <w:ind w:left="460" w:right="840" w:hanging="452"/>
        <w:spacing w:after="0" w:line="268"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An electronic copy of the Form S-8 Registration Statement received on 10 December 2009 (excluding the exhibits and excluding the documents incorporated by reference).</w:t>
      </w:r>
    </w:p>
    <w:p>
      <w:pPr>
        <w:spacing w:after="0" w:line="50" w:lineRule="exact"/>
        <w:rPr>
          <w:rFonts w:ascii="Arial" w:cs="Arial" w:eastAsia="Arial" w:hAnsi="Arial"/>
          <w:sz w:val="18"/>
          <w:szCs w:val="18"/>
          <w:color w:val="auto"/>
        </w:rPr>
      </w:pPr>
    </w:p>
    <w:p>
      <w:pPr>
        <w:ind w:left="460" w:hanging="452"/>
        <w:spacing w:after="0"/>
        <w:tabs>
          <w:tab w:leader="none" w:pos="460" w:val="left"/>
        </w:tabs>
        <w:numPr>
          <w:ilvl w:val="0"/>
          <w:numId w:val="16"/>
        </w:numPr>
        <w:rPr>
          <w:rFonts w:ascii="Arial" w:cs="Arial" w:eastAsia="Arial" w:hAnsi="Arial"/>
          <w:sz w:val="16"/>
          <w:szCs w:val="16"/>
          <w:color w:val="auto"/>
        </w:rPr>
      </w:pPr>
      <w:r>
        <w:rPr>
          <w:rFonts w:ascii="Arial" w:cs="Arial" w:eastAsia="Arial" w:hAnsi="Arial"/>
          <w:sz w:val="16"/>
          <w:szCs w:val="16"/>
          <w:color w:val="auto"/>
        </w:rPr>
        <w:t>An electronic copy of the Marvell Technology Group Ltd. Amended and Restated 1995 Stock Option Plan (as amended through June 10, 2009).</w:t>
      </w:r>
    </w:p>
    <w:p>
      <w:pPr>
        <w:spacing w:after="0" w:line="113" w:lineRule="exact"/>
        <w:rPr>
          <w:rFonts w:ascii="Arial" w:cs="Arial" w:eastAsia="Arial" w:hAnsi="Arial"/>
          <w:sz w:val="16"/>
          <w:szCs w:val="16"/>
          <w:color w:val="auto"/>
        </w:rPr>
      </w:pPr>
    </w:p>
    <w:p>
      <w:pPr>
        <w:ind w:left="460" w:right="460" w:hanging="452"/>
        <w:spacing w:after="0" w:line="268"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An electronic copy of the Marvell Technology Group Ltd. Amended 2000 Employee Stock Purchase Plan (as amended and restated as of October 22, 2009).</w:t>
      </w:r>
    </w:p>
    <w:p>
      <w:pPr>
        <w:spacing w:after="0" w:line="50" w:lineRule="exact"/>
        <w:rPr>
          <w:rFonts w:ascii="Arial" w:cs="Arial" w:eastAsia="Arial" w:hAnsi="Arial"/>
          <w:sz w:val="18"/>
          <w:szCs w:val="18"/>
          <w:color w:val="auto"/>
        </w:rPr>
      </w:pPr>
    </w:p>
    <w:p>
      <w:pPr>
        <w:ind w:left="460"/>
        <w:spacing w:after="0"/>
        <w:rPr>
          <w:rFonts w:ascii="Arial" w:cs="Arial" w:eastAsia="Arial" w:hAnsi="Arial"/>
          <w:sz w:val="18"/>
          <w:szCs w:val="18"/>
          <w:color w:val="auto"/>
        </w:rPr>
      </w:pPr>
      <w:r>
        <w:rPr>
          <w:rFonts w:ascii="Arial" w:cs="Arial" w:eastAsia="Arial" w:hAnsi="Arial"/>
          <w:sz w:val="18"/>
          <w:szCs w:val="18"/>
          <w:color w:val="auto"/>
        </w:rPr>
        <w:t>(The documents listed in 2 and 3 above are each referred to herein as a “Plan” and collectively as the “Plans”).</w:t>
      </w:r>
    </w:p>
    <w:p>
      <w:pPr>
        <w:spacing w:after="0" w:line="90" w:lineRule="exact"/>
        <w:rPr>
          <w:rFonts w:ascii="Arial" w:cs="Arial" w:eastAsia="Arial" w:hAnsi="Arial"/>
          <w:sz w:val="18"/>
          <w:szCs w:val="18"/>
          <w:color w:val="auto"/>
        </w:rPr>
      </w:pPr>
    </w:p>
    <w:p>
      <w:pPr>
        <w:ind w:left="460" w:right="60" w:hanging="452"/>
        <w:spacing w:after="0" w:line="286" w:lineRule="auto"/>
        <w:tabs>
          <w:tab w:leader="none" w:pos="460" w:val="left"/>
        </w:tabs>
        <w:numPr>
          <w:ilvl w:val="0"/>
          <w:numId w:val="16"/>
        </w:numPr>
        <w:rPr>
          <w:rFonts w:ascii="Arial" w:cs="Arial" w:eastAsia="Arial" w:hAnsi="Arial"/>
          <w:sz w:val="16"/>
          <w:szCs w:val="16"/>
          <w:color w:val="auto"/>
        </w:rPr>
      </w:pPr>
      <w:r>
        <w:rPr>
          <w:rFonts w:ascii="Arial" w:cs="Arial" w:eastAsia="Arial" w:hAnsi="Arial"/>
          <w:sz w:val="16"/>
          <w:szCs w:val="16"/>
          <w:color w:val="auto"/>
        </w:rPr>
        <w:t>Copies of the Written Resolution of the Board of Directors of the Company effective on 18 April 1995, the Minutes of the Meeting of the Board of Directors of the Company held on 28 January 1997, the Minutes of the Meeting of the Board of Directors of the Company held on 8 May 2000, the Written Resolution of the Board of Directors of the Company effective on 8 February 2001, the Minutes of the Meeting of the Board of Directors of the Company held on 6 May 2001, the Written Resolution of the Board of Directors of the Company effective on 1 May 2003, Minutes of the Meeting of the Board of Directors of the Company held on 7 May 2003, the Written Resolutions of the Board of Directors of the Company effective on 1 June 2007, the Minutes of the Meeting of the Board of Directors of the Company held on 21 March 2008, the Minutes of the Meeting of the Board of Directors of the Company held on June 10, 2009 and the Minutes of the Meeting of the Board of Directors of the Company held on October 22, 2009 (collectively, the “Board Resolutions”), the Written Resolution of the Members of the Company effective 11 April 1995, the Minutes of the Meeting of the Members of the Company held on 5 August 1997, the Minutes of the Meeting of the Members of the Company held on 17 June 2000, the Minutes of the Meeting of the Members of the Company held on 21 June 2001 and the Minutes of the Meeting of the Members of the Company held on 27 June 2003 (the “Members’ Resolutions” and together with the Board Resolutions, the “Resolutions”).</w:t>
      </w:r>
    </w:p>
    <w:p>
      <w:pPr>
        <w:sectPr>
          <w:pgSz w:w="11900" w:h="16838" w:orient="portrait"/>
          <w:cols w:equalWidth="0" w:num="1">
            <w:col w:w="11420"/>
          </w:cols>
          <w:pgMar w:left="240" w:top="274" w:right="239" w:bottom="1440" w:gutter="0" w:footer="0" w:header="0"/>
        </w:sectPr>
      </w:pPr>
    </w:p>
    <w:bookmarkStart w:id="15" w:name="page16"/>
    <w:bookmarkEnd w:id="15"/>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10 December 2009</w:t>
      </w:r>
    </w:p>
    <w:p>
      <w:pPr>
        <w:spacing w:after="0" w:line="158" w:lineRule="exact"/>
        <w:rPr>
          <w:sz w:val="20"/>
          <w:szCs w:val="20"/>
          <w:color w:val="auto"/>
        </w:rPr>
      </w:pPr>
    </w:p>
    <w:p>
      <w:pPr>
        <w:ind w:left="460" w:right="140" w:hanging="452"/>
        <w:spacing w:after="0" w:line="332" w:lineRule="auto"/>
        <w:tabs>
          <w:tab w:leader="none" w:pos="460" w:val="left"/>
        </w:tabs>
        <w:numPr>
          <w:ilvl w:val="0"/>
          <w:numId w:val="17"/>
        </w:numPr>
        <w:rPr>
          <w:rFonts w:ascii="Arial" w:cs="Arial" w:eastAsia="Arial" w:hAnsi="Arial"/>
          <w:sz w:val="16"/>
          <w:szCs w:val="16"/>
          <w:color w:val="auto"/>
        </w:rPr>
      </w:pPr>
      <w:r>
        <w:rPr>
          <w:rFonts w:ascii="Arial" w:cs="Arial" w:eastAsia="Arial" w:hAnsi="Arial"/>
          <w:sz w:val="16"/>
          <w:szCs w:val="16"/>
          <w:color w:val="auto"/>
        </w:rPr>
        <w:t>The entries and filings shown in respect of the Company on the file of the Company maintained in the Register of Companies at the office of the Registrar of Companies in Hamilton, Bermuda, as revealed by a search done on 10 December 2009 (the “Company Search”).</w:t>
      </w:r>
    </w:p>
    <w:p>
      <w:pPr>
        <w:spacing w:after="0" w:line="4" w:lineRule="exact"/>
        <w:rPr>
          <w:rFonts w:ascii="Arial" w:cs="Arial" w:eastAsia="Arial" w:hAnsi="Arial"/>
          <w:sz w:val="16"/>
          <w:szCs w:val="16"/>
          <w:color w:val="auto"/>
        </w:rPr>
      </w:pPr>
    </w:p>
    <w:p>
      <w:pPr>
        <w:ind w:left="460" w:right="100" w:hanging="452"/>
        <w:spacing w:after="0" w:line="268" w:lineRule="auto"/>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entries and filings shown in respect of the Company in the Supreme Court Causes Book maintained at the Registry of the Supreme Court in Hamilton, Bermuda, as revealed by a search done on 10 December 2009 (the “Litigation Search”).</w:t>
      </w:r>
    </w:p>
    <w:p>
      <w:pPr>
        <w:spacing w:after="0" w:line="50" w:lineRule="exact"/>
        <w:rPr>
          <w:rFonts w:ascii="Arial" w:cs="Arial" w:eastAsia="Arial" w:hAnsi="Arial"/>
          <w:sz w:val="18"/>
          <w:szCs w:val="18"/>
          <w:color w:val="auto"/>
        </w:rPr>
      </w:pPr>
    </w:p>
    <w:p>
      <w:pPr>
        <w:ind w:left="460"/>
        <w:spacing w:after="0"/>
        <w:rPr>
          <w:rFonts w:ascii="Arial" w:cs="Arial" w:eastAsia="Arial" w:hAnsi="Arial"/>
          <w:sz w:val="18"/>
          <w:szCs w:val="18"/>
          <w:color w:val="auto"/>
        </w:rPr>
      </w:pPr>
      <w:r>
        <w:rPr>
          <w:rFonts w:ascii="Arial" w:cs="Arial" w:eastAsia="Arial" w:hAnsi="Arial"/>
          <w:sz w:val="18"/>
          <w:szCs w:val="18"/>
          <w:color w:val="auto"/>
        </w:rPr>
        <w:t>(The Company Search and the Litigation Search are collectively referred to as the “Searches”).</w:t>
      </w:r>
    </w:p>
    <w:p>
      <w:pPr>
        <w:spacing w:after="0" w:line="90" w:lineRule="exact"/>
        <w:rPr>
          <w:rFonts w:ascii="Arial" w:cs="Arial" w:eastAsia="Arial" w:hAnsi="Arial"/>
          <w:sz w:val="18"/>
          <w:szCs w:val="18"/>
          <w:color w:val="auto"/>
        </w:rPr>
      </w:pPr>
    </w:p>
    <w:p>
      <w:pPr>
        <w:ind w:left="460" w:right="20" w:hanging="452"/>
        <w:spacing w:after="0" w:line="306" w:lineRule="auto"/>
        <w:tabs>
          <w:tab w:leader="none" w:pos="460" w:val="left"/>
        </w:tabs>
        <w:numPr>
          <w:ilvl w:val="0"/>
          <w:numId w:val="17"/>
        </w:numPr>
        <w:rPr>
          <w:rFonts w:ascii="Arial" w:cs="Arial" w:eastAsia="Arial" w:hAnsi="Arial"/>
          <w:sz w:val="16"/>
          <w:szCs w:val="16"/>
          <w:color w:val="auto"/>
        </w:rPr>
      </w:pPr>
      <w:r>
        <w:rPr>
          <w:rFonts w:ascii="Arial" w:cs="Arial" w:eastAsia="Arial" w:hAnsi="Arial"/>
          <w:sz w:val="16"/>
          <w:szCs w:val="16"/>
          <w:color w:val="auto"/>
        </w:rPr>
        <w:t>An electronic copy of an Officer’s Certificate dated 10 December 2009 signed by Cyde Hosein, Secretary of Marvell Technology Group Ltd., attaching true and correct copies of the Certificate of Incorporation, Memorandum of Association and the Second Amended and Restated Bye-laws of the Company incorporating all amendments to 21 June 2001 (collectively referred to as the “Constitutional Documents”).</w:t>
      </w:r>
    </w:p>
    <w:p>
      <w:pPr>
        <w:spacing w:after="0" w:line="25" w:lineRule="exact"/>
        <w:rPr>
          <w:rFonts w:ascii="Arial" w:cs="Arial" w:eastAsia="Arial" w:hAnsi="Arial"/>
          <w:sz w:val="16"/>
          <w:szCs w:val="16"/>
          <w:color w:val="auto"/>
        </w:rPr>
      </w:pPr>
    </w:p>
    <w:p>
      <w:pPr>
        <w:ind w:left="460" w:right="20" w:hanging="452"/>
        <w:spacing w:after="0" w:line="268" w:lineRule="auto"/>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A copy of the permission dated 31 May 2000 given by the Bermuda Monetary Authority under the Exchange Control Act (1972) and related regulations for the issue of shares in the capital of the Company.</w:t>
      </w:r>
    </w:p>
    <w:p>
      <w:pPr>
        <w:spacing w:after="0" w:line="50" w:lineRule="exact"/>
        <w:rPr>
          <w:rFonts w:ascii="Arial" w:cs="Arial" w:eastAsia="Arial" w:hAnsi="Arial"/>
          <w:sz w:val="18"/>
          <w:szCs w:val="18"/>
          <w:color w:val="auto"/>
        </w:rPr>
      </w:pPr>
    </w:p>
    <w:p>
      <w:pPr>
        <w:ind w:left="460" w:right="140" w:hanging="452"/>
        <w:spacing w:after="0" w:line="306" w:lineRule="auto"/>
        <w:tabs>
          <w:tab w:leader="none" w:pos="460" w:val="left"/>
        </w:tabs>
        <w:numPr>
          <w:ilvl w:val="0"/>
          <w:numId w:val="17"/>
        </w:numPr>
        <w:rPr>
          <w:rFonts w:ascii="Arial" w:cs="Arial" w:eastAsia="Arial" w:hAnsi="Arial"/>
          <w:sz w:val="16"/>
          <w:szCs w:val="16"/>
          <w:color w:val="auto"/>
        </w:rPr>
      </w:pPr>
      <w:r>
        <w:rPr>
          <w:rFonts w:ascii="Arial" w:cs="Arial" w:eastAsia="Arial" w:hAnsi="Arial"/>
          <w:sz w:val="16"/>
          <w:szCs w:val="16"/>
          <w:color w:val="auto"/>
        </w:rPr>
        <w:t>A copy of the Notice to the Public dated 1 June 2005 issued by the Bermuda Monetary Authority under the Exchange Control Act 1972 and related regulations which grants general permission for the issue and transferability of Equity Securities of a Bermuda company which are listed on an Appointed Stock exchange, from and/or to a person who is non-resident in Bermuda, for as long as the Equity Securities of the company remain so listed.</w:t>
      </w:r>
    </w:p>
    <w:p>
      <w:pPr>
        <w:spacing w:after="0" w:line="25" w:lineRule="exact"/>
        <w:rPr>
          <w:rFonts w:ascii="Arial" w:cs="Arial" w:eastAsia="Arial" w:hAnsi="Arial"/>
          <w:sz w:val="16"/>
          <w:szCs w:val="16"/>
          <w:color w:val="auto"/>
        </w:rPr>
      </w:pPr>
    </w:p>
    <w:p>
      <w:pPr>
        <w:ind w:left="460" w:hanging="452"/>
        <w:spacing w:after="0"/>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A Certificate of Compliance issued by the Registrar of Companies and dated 10 December 2009.</w:t>
      </w:r>
    </w:p>
    <w:p>
      <w:pPr>
        <w:sectPr>
          <w:pgSz w:w="11900" w:h="16838" w:orient="portrait"/>
          <w:cols w:equalWidth="0" w:num="1">
            <w:col w:w="11420"/>
          </w:cols>
          <w:pgMar w:left="240" w:top="274" w:right="239" w:bottom="1440" w:gutter="0" w:footer="0" w:header="0"/>
        </w:sectPr>
      </w:pPr>
    </w:p>
    <w:bookmarkStart w:id="16" w:name="page17"/>
    <w:bookmarkEnd w:id="16"/>
    <w:p>
      <w:pPr>
        <w:jc w:val="right"/>
        <w:spacing w:after="0"/>
        <w:rPr>
          <w:sz w:val="20"/>
          <w:szCs w:val="20"/>
          <w:color w:val="auto"/>
        </w:rPr>
      </w:pPr>
      <w:r>
        <w:rPr>
          <w:rFonts w:ascii="Arial" w:cs="Arial" w:eastAsia="Arial" w:hAnsi="Arial"/>
          <w:sz w:val="18"/>
          <w:szCs w:val="18"/>
          <w:b w:val="1"/>
          <w:bCs w:val="1"/>
          <w:color w:val="auto"/>
        </w:rPr>
        <w:t>Exhibit 23.1</w:t>
      </w:r>
    </w:p>
    <w:p>
      <w:pPr>
        <w:spacing w:after="0" w:line="33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177"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We hereby consent to the incorporation by reference in this Registration Statement on Form S-8 of our report dated March 31, 2009 relating to the financial statements and the effectiveness of internal control over financial reporting, which appears in Marvell Technology Group Ltd.’s Annual Report on Form 10-K for the year ended January 31, 2009.</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PricewaterhouseCoopers LLP</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December 9, 2009</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BD062C2"/>
    <w:multiLevelType w:val="hybridMultilevel"/>
    <w:lvl w:ilvl="0">
      <w:lvlJc w:val="left"/>
      <w:lvlText w:val="(%1)"/>
      <w:numFmt w:val="decimal"/>
      <w:start w:val="1"/>
    </w:lvl>
  </w:abstractNum>
  <w:abstractNum w:abstractNumId="1">
    <w:nsid w:val="12200854"/>
    <w:multiLevelType w:val="hybridMultilevel"/>
    <w:lvl w:ilvl="0">
      <w:lvlJc w:val="left"/>
      <w:lvlText w:val="•"/>
      <w:numFmt w:val="bullet"/>
      <w:start w:val="1"/>
    </w:lvl>
  </w:abstractNum>
  <w:abstractNum w:abstractNumId="2">
    <w:nsid w:val="4DB127F8"/>
    <w:multiLevelType w:val="hybridMultilevel"/>
    <w:lvl w:ilvl="0">
      <w:lvlJc w:val="left"/>
      <w:lvlText w:val="•"/>
      <w:numFmt w:val="bullet"/>
      <w:start w:val="1"/>
    </w:lvl>
  </w:abstractNum>
  <w:abstractNum w:abstractNumId="3">
    <w:nsid w:val="216231B"/>
    <w:multiLevelType w:val="hybridMultilevel"/>
    <w:lvl w:ilvl="0">
      <w:lvlJc w:val="left"/>
      <w:lvlText w:val="(%1)"/>
      <w:numFmt w:val="lowerLetter"/>
      <w:start w:val="1"/>
    </w:lvl>
    <w:lvl w:ilvl="1">
      <w:lvlJc w:val="left"/>
      <w:lvlText w:val="(%2)"/>
      <w:numFmt w:val="decimal"/>
      <w:start w:val="1"/>
    </w:lvl>
  </w:abstractNum>
  <w:abstractNum w:abstractNumId="4">
    <w:nsid w:val="1F16E9E8"/>
    <w:multiLevelType w:val="hybridMultilevel"/>
    <w:lvl w:ilvl="0">
      <w:lvlJc w:val="left"/>
      <w:lvlText w:val="(%1)"/>
      <w:numFmt w:val="lowerRoman"/>
      <w:start w:val="2"/>
    </w:lvl>
  </w:abstractNum>
  <w:abstractNum w:abstractNumId="5">
    <w:nsid w:val="1190CDE7"/>
    <w:multiLevelType w:val="hybridMultilevel"/>
    <w:lvl w:ilvl="0">
      <w:lvlJc w:val="left"/>
      <w:lvlText w:val="(%1)"/>
      <w:numFmt w:val="lowerRoman"/>
      <w:start w:val="3"/>
    </w:lvl>
  </w:abstractNum>
  <w:abstractNum w:abstractNumId="6">
    <w:nsid w:val="66EF438D"/>
    <w:multiLevelType w:val="hybridMultilevel"/>
    <w:lvl w:ilvl="0">
      <w:lvlJc w:val="left"/>
      <w:lvlText w:val="%1"/>
      <w:numFmt w:val="lowerLetter"/>
      <w:start w:val="1"/>
    </w:lvl>
    <w:lvl w:ilvl="1">
      <w:lvlJc w:val="left"/>
      <w:lvlText w:val="(%2)"/>
      <w:numFmt w:val="decimal"/>
      <w:start w:val="2"/>
    </w:lvl>
  </w:abstractNum>
  <w:abstractNum w:abstractNumId="7">
    <w:nsid w:val="140E0F76"/>
    <w:multiLevelType w:val="hybridMultilevel"/>
    <w:lvl w:ilvl="0">
      <w:lvlJc w:val="left"/>
      <w:lvlText w:val="(%1)"/>
      <w:numFmt w:val="lowerLetter"/>
      <w:start w:val="2"/>
    </w:lvl>
    <w:lvl w:ilvl="1">
      <w:lvlJc w:val="left"/>
      <w:lvlText w:val="%2"/>
      <w:numFmt w:val="decimal"/>
      <w:start w:val="1"/>
    </w:lvl>
  </w:abstractNum>
  <w:abstractNum w:abstractNumId="8">
    <w:nsid w:val="3352255A"/>
    <w:multiLevelType w:val="hybridMultilevel"/>
    <w:lvl w:ilvl="0">
      <w:lvlJc w:val="left"/>
      <w:lvlText w:val="(%1)"/>
      <w:numFmt w:val="lowerLetter"/>
      <w:start w:val="1"/>
    </w:lvl>
  </w:abstractNum>
  <w:abstractNum w:abstractNumId="9">
    <w:nsid w:val="109CF92E"/>
    <w:multiLevelType w:val="hybridMultilevel"/>
    <w:lvl w:ilvl="0">
      <w:lvlJc w:val="left"/>
      <w:lvlText w:val="(%1)"/>
      <w:numFmt w:val="lowerLetter"/>
      <w:start w:val="3"/>
    </w:lvl>
  </w:abstractNum>
  <w:abstractNum w:abstractNumId="10">
    <w:nsid w:val="DED7263"/>
    <w:multiLevelType w:val="hybridMultilevel"/>
    <w:lvl w:ilvl="0">
      <w:lvlJc w:val="left"/>
      <w:lvlText w:val="(%1)"/>
      <w:numFmt w:val="lowerLetter"/>
      <w:start w:val="10"/>
    </w:lvl>
  </w:abstractNum>
  <w:abstractNum w:abstractNumId="11">
    <w:nsid w:val="7FDCC233"/>
    <w:multiLevelType w:val="hybridMultilevel"/>
    <w:lvl w:ilvl="0">
      <w:lvlJc w:val="left"/>
      <w:lvlText w:val="(%1)"/>
      <w:numFmt w:val="lowerLetter"/>
      <w:start w:val="16"/>
    </w:lvl>
  </w:abstractNum>
  <w:abstractNum w:abstractNumId="12">
    <w:nsid w:val="1BEFD79F"/>
    <w:multiLevelType w:val="hybridMultilevel"/>
    <w:lvl w:ilvl="0">
      <w:lvlJc w:val="left"/>
      <w:lvlText w:val="(%1)"/>
      <w:numFmt w:val="decimal"/>
      <w:start w:val="1"/>
    </w:lvl>
  </w:abstractNum>
  <w:abstractNum w:abstractNumId="13">
    <w:nsid w:val="41A7C4C9"/>
    <w:multiLevelType w:val="hybridMultilevel"/>
    <w:lvl w:ilvl="0">
      <w:lvlJc w:val="left"/>
      <w:lvlText w:val="(%1)"/>
      <w:numFmt w:val="lowerLetter"/>
      <w:start w:val="1"/>
    </w:lvl>
  </w:abstractNum>
  <w:abstractNum w:abstractNumId="14">
    <w:nsid w:val="6B68079A"/>
    <w:multiLevelType w:val="hybridMultilevel"/>
    <w:lvl w:ilvl="0">
      <w:lvlJc w:val="left"/>
      <w:lvlText w:val="(%1)"/>
      <w:numFmt w:val="lowerLetter"/>
      <w:start w:val="2"/>
    </w:lvl>
    <w:lvl w:ilvl="1">
      <w:lvlJc w:val="left"/>
      <w:lvlText w:val="(%2)"/>
      <w:numFmt w:val="lowerRoman"/>
      <w:start w:val="1"/>
    </w:lvl>
  </w:abstractNum>
  <w:abstractNum w:abstractNumId="15">
    <w:nsid w:val="4E6AFB66"/>
    <w:multiLevelType w:val="hybridMultilevel"/>
    <w:lvl w:ilvl="0">
      <w:lvlJc w:val="left"/>
      <w:lvlText w:val="%1."/>
      <w:numFmt w:val="decimal"/>
      <w:start w:val="1"/>
    </w:lvl>
  </w:abstractNum>
  <w:abstractNum w:abstractNumId="16">
    <w:nsid w:val="25E45D32"/>
    <w:multiLevelType w:val="hybridMultilevel"/>
    <w:lvl w:ilvl="0">
      <w:lvlJc w:val="left"/>
      <w:lvlText w:val="%1."/>
      <w:numFmt w:val="decimal"/>
      <w:start w:val="5"/>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2019-12-10T16:47:08Z</dcterms:created>
  <dcterms:modified xsi:type="dcterms:W3CDTF">2019-12-10T16:47:08Z</dcterms:modified>
</cp:coreProperties>
</file>