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7" w:lineRule="exact"/>
        <w:rPr>
          <w:sz w:val="24"/>
          <w:szCs w:val="24"/>
          <w:color w:val="auto"/>
        </w:rPr>
      </w:pPr>
    </w:p>
    <w:p>
      <w:pPr>
        <w:jc w:val="center"/>
        <w:ind w:right="-33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33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28" w:lineRule="exact"/>
        <w:rPr>
          <w:sz w:val="24"/>
          <w:szCs w:val="24"/>
          <w:color w:val="auto"/>
        </w:rPr>
      </w:pPr>
    </w:p>
    <w:p>
      <w:pPr>
        <w:jc w:val="center"/>
        <w:ind w:right="-339"/>
        <w:spacing w:after="0"/>
        <w:rPr>
          <w:sz w:val="20"/>
          <w:szCs w:val="20"/>
          <w:color w:val="auto"/>
        </w:rPr>
      </w:pPr>
      <w:r>
        <w:rPr>
          <w:rFonts w:ascii="Arial" w:cs="Arial" w:eastAsia="Arial" w:hAnsi="Arial"/>
          <w:sz w:val="22"/>
          <w:szCs w:val="22"/>
          <w:b w:val="1"/>
          <w:bCs w:val="1"/>
          <w:color w:val="auto"/>
        </w:rPr>
        <w:t>Date of Report (Date of earliest event reported): March 4, 2010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2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920"/>
          </w:cols>
          <w:pgMar w:left="240" w:top="314" w:right="559" w:bottom="1440" w:gutter="0" w:footer="0" w:header="0"/>
          <w:type w:val="continuous"/>
        </w:sectPr>
      </w:pPr>
    </w:p>
    <w:p>
      <w:pPr>
        <w:jc w:val="center"/>
        <w:ind w:right="4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4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jc w:val="center"/>
        <w:ind w:right="1720"/>
        <w:spacing w:after="0"/>
        <w:rPr>
          <w:sz w:val="20"/>
          <w:szCs w:val="20"/>
          <w:color w:val="auto"/>
        </w:rPr>
      </w:pPr>
      <w:r>
        <w:rPr>
          <w:rFonts w:ascii="Arial" w:cs="Arial" w:eastAsia="Arial" w:hAnsi="Arial"/>
          <w:sz w:val="12"/>
          <w:szCs w:val="12"/>
          <w:b w:val="1"/>
          <w:bCs w:val="1"/>
          <w:color w:val="auto"/>
        </w:rPr>
        <w:t>(Commission 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340" w:space="720"/>
            <w:col w:w="3280" w:space="720"/>
            <w:col w:w="2040"/>
          </w:cols>
          <w:pgMar w:left="240" w:top="314"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ectPr>
          <w:pgSz w:w="11900" w:h="16838" w:orient="portrait"/>
          <w:cols w:equalWidth="0" w:num="1">
            <w:col w:w="11100"/>
          </w:cols>
          <w:pgMar w:left="240" w:top="314" w:right="559" w:bottom="1440" w:gutter="0" w:footer="0" w:header="0"/>
          <w:type w:val="continuous"/>
        </w:sectPr>
      </w:pPr>
    </w:p>
    <w:p>
      <w:pPr>
        <w:spacing w:after="0" w:line="166"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105410</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139700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bookmarkStart w:id="1" w:name="page2"/>
    <w:bookmarkEnd w:id="1"/>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Arial" w:cs="Arial" w:eastAsia="Arial" w:hAnsi="Arial"/>
          <w:sz w:val="15"/>
          <w:szCs w:val="15"/>
          <w:b w:val="1"/>
          <w:bCs w:val="1"/>
          <w:color w:val="auto"/>
        </w:rPr>
        <w:t>Results of Operations and Financial Condition.</w:t>
      </w:r>
    </w:p>
    <w:p>
      <w:pPr>
        <w:spacing w:after="0" w:line="96"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The information in this Current Report, including the accompanying exhibit, is being furnished and shall not be deemed “filed” for the purposes of Section 18 of the Securities Exchange Act of 1934, as amended (the “Exchange Act”), or otherwise subject to the liabilities of Section 18. The information in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180" w:firstLine="456"/>
        <w:spacing w:after="0" w:line="332" w:lineRule="auto"/>
        <w:rPr>
          <w:sz w:val="20"/>
          <w:szCs w:val="20"/>
          <w:color w:val="auto"/>
        </w:rPr>
      </w:pPr>
      <w:r>
        <w:rPr>
          <w:rFonts w:ascii="Arial" w:cs="Arial" w:eastAsia="Arial" w:hAnsi="Arial"/>
          <w:sz w:val="16"/>
          <w:szCs w:val="16"/>
          <w:color w:val="auto"/>
        </w:rPr>
        <w:t>On March 4, 2010, Marvell Technology Group Ltd. (“Marvell”) issued a press release regarding its financial results for its fourth fiscal quarter and fiscal year ended January 30, 2010. A copy of the press release is furnished herewith as Exhibit 99.1 and is incorporated by reference herein.</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stock-based compensation, amortization and write-offs of acquired intangible assets, restructuring costs and certain one-time expenses and benefits.</w:t>
      </w:r>
    </w:p>
    <w:p>
      <w:pPr>
        <w:spacing w:after="0" w:line="11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its financial condition and results of operations.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18" w:lineRule="exact"/>
        <w:rPr>
          <w:sz w:val="20"/>
          <w:szCs w:val="20"/>
          <w:color w:val="auto"/>
        </w:rPr>
      </w:pPr>
    </w:p>
    <w:p>
      <w:pPr>
        <w:ind w:right="560" w:firstLine="456"/>
        <w:spacing w:after="0" w:line="332"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by management in the following areas:</w:t>
      </w:r>
    </w:p>
    <w:p>
      <w:pPr>
        <w:spacing w:after="0" w:line="4" w:lineRule="exact"/>
        <w:rPr>
          <w:sz w:val="20"/>
          <w:szCs w:val="20"/>
          <w:color w:val="auto"/>
        </w:rPr>
      </w:pPr>
    </w:p>
    <w:p>
      <w:pPr>
        <w:ind w:left="1460" w:hanging="547"/>
        <w:spacing w:after="0" w:line="268" w:lineRule="auto"/>
        <w:tabs>
          <w:tab w:leader="none" w:pos="1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pro forma EPS target utilized to measure the achievement of stock-based bonus compensation for certain Marvell executive officers;</w:t>
      </w:r>
    </w:p>
    <w:p>
      <w:pPr>
        <w:spacing w:after="0" w:line="50" w:lineRule="exact"/>
        <w:rPr>
          <w:rFonts w:ascii="Arial" w:cs="Arial" w:eastAsia="Arial" w:hAnsi="Arial"/>
          <w:sz w:val="18"/>
          <w:szCs w:val="18"/>
          <w:color w:val="auto"/>
        </w:rPr>
      </w:pPr>
    </w:p>
    <w:p>
      <w:pPr>
        <w:ind w:left="1460" w:hanging="547"/>
        <w:spacing w:after="0"/>
        <w:tabs>
          <w:tab w:leader="none" w:pos="1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90" w:lineRule="exact"/>
        <w:rPr>
          <w:rFonts w:ascii="Arial" w:cs="Arial" w:eastAsia="Arial" w:hAnsi="Arial"/>
          <w:sz w:val="18"/>
          <w:szCs w:val="18"/>
          <w:color w:val="auto"/>
        </w:rPr>
      </w:pPr>
    </w:p>
    <w:p>
      <w:pPr>
        <w:ind w:left="1460" w:hanging="547"/>
        <w:spacing w:after="0"/>
        <w:tabs>
          <w:tab w:leader="none" w:pos="1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90" w:lineRule="exact"/>
        <w:rPr>
          <w:rFonts w:ascii="Arial" w:cs="Arial" w:eastAsia="Arial" w:hAnsi="Arial"/>
          <w:sz w:val="18"/>
          <w:szCs w:val="18"/>
          <w:color w:val="auto"/>
        </w:rPr>
      </w:pPr>
    </w:p>
    <w:p>
      <w:pPr>
        <w:ind w:left="1460" w:hanging="547"/>
        <w:spacing w:after="0"/>
        <w:tabs>
          <w:tab w:leader="none" w:pos="1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90" w:lineRule="exact"/>
        <w:rPr>
          <w:sz w:val="20"/>
          <w:szCs w:val="20"/>
          <w:color w:val="auto"/>
        </w:rPr>
      </w:pPr>
    </w:p>
    <w:p>
      <w:pPr>
        <w:ind w:left="1460" w:right="40" w:hanging="547"/>
        <w:spacing w:after="0" w:line="256" w:lineRule="auto"/>
        <w:tabs>
          <w:tab w:leader="none" w:pos="14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Stock-based compensation</w:t>
      </w:r>
      <w:r>
        <w:rPr>
          <w:rFonts w:ascii="Arial" w:cs="Arial" w:eastAsia="Arial" w:hAnsi="Arial"/>
          <w:sz w:val="18"/>
          <w:szCs w:val="18"/>
          <w:color w:val="auto"/>
        </w:rPr>
        <w:t>. Stock-based compensation relates primarily to employee stock options and restricted stock units issued. Stock-based compensation expense is a non-cash expense that is difficult to predict as its valuation is affected by changes in market forces, such as the price of Marvell’s common shares, which is not within the control of management. Accordingly, management excludes this item from its internal operating forecasts and models.</w:t>
      </w:r>
    </w:p>
    <w:p>
      <w:pPr>
        <w:spacing w:after="0" w:line="62" w:lineRule="exact"/>
        <w:rPr>
          <w:rFonts w:ascii="Arial" w:cs="Arial" w:eastAsia="Arial" w:hAnsi="Arial"/>
          <w:sz w:val="18"/>
          <w:szCs w:val="18"/>
          <w:color w:val="auto"/>
        </w:rPr>
      </w:pPr>
    </w:p>
    <w:p>
      <w:pPr>
        <w:ind w:left="1460" w:right="260" w:hanging="547"/>
        <w:spacing w:after="0" w:line="259" w:lineRule="auto"/>
        <w:tabs>
          <w:tab w:leader="none" w:pos="14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Amortization and write-off of acquired intangible assets</w:t>
      </w:r>
      <w:r>
        <w:rPr>
          <w:rFonts w:ascii="Arial" w:cs="Arial" w:eastAsia="Arial" w:hAnsi="Arial"/>
          <w:sz w:val="18"/>
          <w:szCs w:val="18"/>
          <w:color w:val="auto"/>
        </w:rPr>
        <w:t>. Purchased intangible assets relate primarily to existing and core technology, and</w:t>
      </w:r>
      <w:r>
        <w:rPr>
          <w:rFonts w:ascii="Arial" w:cs="Arial" w:eastAsia="Arial" w:hAnsi="Arial"/>
          <w:sz w:val="18"/>
          <w:szCs w:val="18"/>
          <w:i w:val="1"/>
          <w:iCs w:val="1"/>
          <w:color w:val="auto"/>
        </w:rPr>
        <w:t xml:space="preserve"> </w:t>
      </w:r>
      <w:r>
        <w:rPr>
          <w:rFonts w:ascii="Arial" w:cs="Arial" w:eastAsia="Arial" w:hAnsi="Arial"/>
          <w:sz w:val="18"/>
          <w:szCs w:val="18"/>
          <w:color w:val="auto"/>
        </w:rPr>
        <w:t>customer relationships of acquired businesses. Management considers these charges non-cash in nature and unrelated to Marvell’s core operating performance.</w:t>
      </w:r>
    </w:p>
    <w:p>
      <w:pPr>
        <w:sectPr>
          <w:pgSz w:w="11900" w:h="16838" w:orient="portrait"/>
          <w:cols w:equalWidth="0" w:num="1">
            <w:col w:w="11380"/>
          </w:cols>
          <w:pgMar w:left="240" w:top="274" w:right="279" w:bottom="1440" w:gutter="0" w:footer="0" w:header="0"/>
        </w:sectPr>
      </w:pPr>
    </w:p>
    <w:bookmarkStart w:id="2" w:name="page3"/>
    <w:bookmarkEnd w:id="2"/>
    <w:p>
      <w:pPr>
        <w:ind w:left="1460" w:right="160" w:hanging="547"/>
        <w:spacing w:after="0" w:line="298" w:lineRule="auto"/>
        <w:tabs>
          <w:tab w:leader="none" w:pos="146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Restructuring</w:t>
      </w:r>
      <w:r>
        <w:rPr>
          <w:rFonts w:ascii="Arial" w:cs="Arial" w:eastAsia="Arial" w:hAnsi="Arial"/>
          <w:sz w:val="16"/>
          <w:szCs w:val="16"/>
          <w:color w:val="auto"/>
        </w:rPr>
        <w:t>. Restructuring represents charges that are not directly related to Marvell’s ongoing or core business results. Management</w:t>
      </w:r>
      <w:r>
        <w:rPr>
          <w:rFonts w:ascii="Arial" w:cs="Arial" w:eastAsia="Arial" w:hAnsi="Arial"/>
          <w:sz w:val="16"/>
          <w:szCs w:val="16"/>
          <w:i w:val="1"/>
          <w:iCs w:val="1"/>
          <w:color w:val="auto"/>
        </w:rPr>
        <w:t xml:space="preserve"> </w:t>
      </w:r>
      <w:r>
        <w:rPr>
          <w:rFonts w:ascii="Arial" w:cs="Arial" w:eastAsia="Arial" w:hAnsi="Arial"/>
          <w:sz w:val="16"/>
          <w:szCs w:val="16"/>
          <w:color w:val="auto"/>
        </w:rPr>
        <w:t>regularly 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31" w:lineRule="exact"/>
        <w:rPr>
          <w:rFonts w:ascii="Arial" w:cs="Arial" w:eastAsia="Arial" w:hAnsi="Arial"/>
          <w:sz w:val="16"/>
          <w:szCs w:val="16"/>
          <w:color w:val="auto"/>
        </w:rPr>
      </w:pPr>
    </w:p>
    <w:p>
      <w:pPr>
        <w:ind w:left="1460" w:right="260" w:hanging="547"/>
        <w:spacing w:after="0" w:line="298" w:lineRule="auto"/>
        <w:tabs>
          <w:tab w:leader="none" w:pos="146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Other</w:t>
      </w:r>
      <w:r>
        <w:rPr>
          <w:rFonts w:ascii="Arial" w:cs="Arial" w:eastAsia="Arial" w:hAnsi="Arial"/>
          <w:sz w:val="16"/>
          <w:szCs w:val="16"/>
          <w:color w:val="auto"/>
        </w:rPr>
        <w:t>. From time to time, Marvell has other costs/benefits that are not directly related to Marvell’s ongoing or core business results. For</w:t>
      </w:r>
      <w:r>
        <w:rPr>
          <w:rFonts w:ascii="Arial" w:cs="Arial" w:eastAsia="Arial" w:hAnsi="Arial"/>
          <w:sz w:val="16"/>
          <w:szCs w:val="16"/>
          <w:i w:val="1"/>
          <w:iCs w:val="1"/>
          <w:color w:val="auto"/>
        </w:rPr>
        <w:t xml:space="preserve"> </w:t>
      </w:r>
      <w:r>
        <w:rPr>
          <w:rFonts w:ascii="Arial" w:cs="Arial" w:eastAsia="Arial" w:hAnsi="Arial"/>
          <w:sz w:val="16"/>
          <w:szCs w:val="16"/>
          <w:color w:val="auto"/>
        </w:rPr>
        <w:t>example, in the first quarter ended May 2, 2009, Marvell recorded a $72 million charge in connection with the settlement of a class action lawsuit related to its historical stock option granting practices. As the litigation directly related to stock compensation costs, which are consistently excluded from Marvell’s non-GAAP results, Marvell excluded the settlement costs as well.</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90" w:lineRule="exact"/>
        <w:rPr>
          <w:sz w:val="20"/>
          <w:szCs w:val="20"/>
          <w:color w:val="auto"/>
        </w:rPr>
      </w:pPr>
    </w:p>
    <w:p>
      <w:pPr>
        <w:ind w:left="1460" w:hanging="547"/>
        <w:spacing w:after="0" w:line="291" w:lineRule="auto"/>
        <w:tabs>
          <w:tab w:leader="none" w:pos="1460" w:val="left"/>
        </w:tabs>
        <w:numPr>
          <w:ilvl w:val="0"/>
          <w:numId w:val="5"/>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stock-based compensation costs expected to be incurred in future periods but not yet recognized in the financial statements. The expected compensation costs are treated as proceeds assumed to be used to repurchase shares under the GAAP treasury stock method. Since Marvell’s non-GAAP net income does not reflect the effects of these compensation costs, management believes these amounts should not be applied to the repurchase of shares in calculating non-GAAP net income per share.</w:t>
      </w:r>
    </w:p>
    <w:p>
      <w:pPr>
        <w:spacing w:after="0" w:line="120" w:lineRule="exact"/>
        <w:rPr>
          <w:sz w:val="20"/>
          <w:szCs w:val="20"/>
          <w:color w:val="auto"/>
        </w:rPr>
      </w:pPr>
    </w:p>
    <w:p>
      <w:pPr>
        <w:ind w:right="340" w:firstLine="456"/>
        <w:spacing w:after="0" w:line="318" w:lineRule="auto"/>
        <w:rPr>
          <w:sz w:val="20"/>
          <w:szCs w:val="20"/>
          <w:color w:val="auto"/>
        </w:rPr>
      </w:pPr>
      <w:r>
        <w:rPr>
          <w:rFonts w:ascii="Arial" w:cs="Arial" w:eastAsia="Arial" w:hAnsi="Arial"/>
          <w:sz w:val="15"/>
          <w:szCs w:val="15"/>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215"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171" w:lineRule="exact"/>
        <w:rPr>
          <w:sz w:val="20"/>
          <w:szCs w:val="20"/>
          <w:color w:val="auto"/>
        </w:rPr>
      </w:pPr>
    </w:p>
    <w:p>
      <w:pPr>
        <w:ind w:left="920"/>
        <w:spacing w:after="0"/>
        <w:tabs>
          <w:tab w:leader="none" w:pos="13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March 4, 2010.</w:t>
      </w:r>
    </w:p>
    <w:p>
      <w:pPr>
        <w:sectPr>
          <w:pgSz w:w="11900" w:h="16838" w:orient="portrait"/>
          <w:cols w:equalWidth="0" w:num="1">
            <w:col w:w="11400"/>
          </w:cols>
          <w:pgMar w:left="240" w:top="280" w:right="25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March 4, 2010</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6"/>
          <w:szCs w:val="16"/>
          <w:i w:val="1"/>
          <w:iCs w:val="1"/>
          <w:color w:val="auto"/>
        </w:rPr>
        <w:t>Chief Financial Officer, Interim Chief Operating Officer</w:t>
      </w:r>
    </w:p>
    <w:p>
      <w:pPr>
        <w:spacing w:after="0" w:line="32"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and Secretary</w:t>
      </w:r>
    </w:p>
    <w:p>
      <w:pPr>
        <w:sectPr>
          <w:pgSz w:w="11900" w:h="16838" w:orient="portrait"/>
          <w:cols w:equalWidth="0" w:num="1">
            <w:col w:w="11400"/>
          </w:cols>
          <w:pgMar w:left="240" w:top="274" w:right="259" w:bottom="1440" w:gutter="0" w:footer="0" w:header="0"/>
        </w:sectPr>
      </w:pPr>
    </w:p>
    <w:bookmarkStart w:id="4" w:name="page5"/>
    <w:bookmarkEnd w:id="4"/>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13" w:lineRule="exact"/>
        <w:rPr>
          <w:sz w:val="20"/>
          <w:szCs w:val="20"/>
          <w:color w:val="auto"/>
        </w:rPr>
      </w:pPr>
    </w:p>
    <w:p>
      <w:pPr>
        <w:spacing w:after="0"/>
        <w:tabs>
          <w:tab w:leader="none" w:pos="1000" w:val="left"/>
        </w:tabs>
        <w:rPr>
          <w:sz w:val="20"/>
          <w:szCs w:val="20"/>
          <w:color w:val="auto"/>
        </w:rPr>
      </w:pPr>
      <w:r>
        <w:rPr>
          <w:rFonts w:ascii="Arial" w:cs="Arial" w:eastAsia="Arial" w:hAnsi="Arial"/>
          <w:sz w:val="14"/>
          <w:szCs w:val="14"/>
          <w:b w:val="1"/>
          <w:bCs w:val="1"/>
          <w:u w:val="single" w:color="auto"/>
          <w:color w:val="auto"/>
        </w:rPr>
        <w:t>Exhibit No.</w:t>
      </w:r>
      <w:r>
        <w:rPr>
          <w:sz w:val="20"/>
          <w:szCs w:val="20"/>
          <w:color w:val="auto"/>
        </w:rPr>
        <w:tab/>
      </w:r>
      <w:r>
        <w:rPr>
          <w:rFonts w:ascii="Arial" w:cs="Arial" w:eastAsia="Arial" w:hAnsi="Arial"/>
          <w:sz w:val="11"/>
          <w:szCs w:val="11"/>
          <w:b w:val="1"/>
          <w:bCs w:val="1"/>
          <w:u w:val="single" w:color="auto"/>
          <w:color w:val="auto"/>
        </w:rPr>
        <w:t>Description</w:t>
      </w:r>
    </w:p>
    <w:p>
      <w:pPr>
        <w:spacing w:after="0" w:line="13" w:lineRule="exact"/>
        <w:rPr>
          <w:sz w:val="20"/>
          <w:szCs w:val="20"/>
          <w:color w:val="auto"/>
        </w:rPr>
      </w:pPr>
    </w:p>
    <w:p>
      <w:pPr>
        <w:ind w:left="180"/>
        <w:spacing w:after="0"/>
        <w:tabs>
          <w:tab w:leader="none" w:pos="10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March 4, 2010.</w:t>
      </w:r>
    </w:p>
    <w:p>
      <w:pPr>
        <w:sectPr>
          <w:pgSz w:w="11900" w:h="16838" w:orient="portrait"/>
          <w:cols w:equalWidth="0" w:num="1">
            <w:col w:w="9719"/>
          </w:cols>
          <w:pgMar w:left="740" w:top="274" w:right="1440" w:bottom="1440" w:gutter="0" w:footer="0" w:header="0"/>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99.1</w:t>
      </w:r>
    </w:p>
    <w:p>
      <w:pPr>
        <w:spacing w:after="0" w:line="212"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820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320" w:type="dxa"/>
            <w:vAlign w:val="bottom"/>
          </w:tcPr>
          <w:p>
            <w:pPr>
              <w:spacing w:after="0"/>
              <w:rPr>
                <w:sz w:val="19"/>
                <w:szCs w:val="19"/>
                <w:color w:val="auto"/>
              </w:rPr>
            </w:pPr>
          </w:p>
        </w:tc>
        <w:tc>
          <w:tcPr>
            <w:tcW w:w="640" w:type="dxa"/>
            <w:vAlign w:val="bottom"/>
          </w:tcPr>
          <w:p>
            <w:pPr>
              <w:spacing w:after="0"/>
              <w:rPr>
                <w:sz w:val="19"/>
                <w:szCs w:val="19"/>
                <w:color w:val="auto"/>
              </w:rPr>
            </w:pPr>
          </w:p>
        </w:tc>
      </w:tr>
      <w:tr>
        <w:trPr>
          <w:trHeight w:val="318"/>
        </w:trPr>
        <w:tc>
          <w:tcPr>
            <w:tcW w:w="8200" w:type="dxa"/>
            <w:vAlign w:val="bottom"/>
            <w:gridSpan w:val="2"/>
          </w:tcPr>
          <w:p>
            <w:pPr>
              <w:spacing w:after="0"/>
              <w:rPr>
                <w:sz w:val="20"/>
                <w:szCs w:val="20"/>
                <w:color w:val="auto"/>
              </w:rPr>
            </w:pPr>
            <w:r>
              <w:rPr>
                <w:rFonts w:ascii="Arial" w:cs="Arial" w:eastAsia="Arial" w:hAnsi="Arial"/>
                <w:sz w:val="18"/>
                <w:szCs w:val="18"/>
                <w:color w:val="auto"/>
              </w:rPr>
              <w:t>Jeff Palmer</w:t>
            </w:r>
          </w:p>
        </w:tc>
        <w:tc>
          <w:tcPr>
            <w:tcW w:w="1960" w:type="dxa"/>
            <w:vAlign w:val="bottom"/>
            <w:gridSpan w:val="2"/>
          </w:tcPr>
          <w:p>
            <w:pPr>
              <w:spacing w:after="0"/>
              <w:rPr>
                <w:sz w:val="20"/>
                <w:szCs w:val="20"/>
                <w:color w:val="auto"/>
              </w:rPr>
            </w:pPr>
            <w:r>
              <w:rPr>
                <w:rFonts w:ascii="Arial" w:cs="Arial" w:eastAsia="Arial" w:hAnsi="Arial"/>
                <w:sz w:val="18"/>
                <w:szCs w:val="18"/>
                <w:color w:val="auto"/>
              </w:rPr>
              <w:t>Tom Hayes</w:t>
            </w:r>
          </w:p>
        </w:tc>
      </w:tr>
      <w:tr>
        <w:trPr>
          <w:trHeight w:val="216"/>
        </w:trPr>
        <w:tc>
          <w:tcPr>
            <w:tcW w:w="820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1960" w:type="dxa"/>
            <w:vAlign w:val="bottom"/>
            <w:gridSpan w:val="2"/>
          </w:tcPr>
          <w:p>
            <w:pPr>
              <w:spacing w:after="0"/>
              <w:rPr>
                <w:sz w:val="20"/>
                <w:szCs w:val="20"/>
                <w:color w:val="auto"/>
              </w:rPr>
            </w:pPr>
            <w:r>
              <w:rPr>
                <w:rFonts w:ascii="Arial" w:cs="Arial" w:eastAsia="Arial" w:hAnsi="Arial"/>
                <w:sz w:val="18"/>
                <w:szCs w:val="18"/>
                <w:color w:val="auto"/>
                <w:w w:val="88"/>
              </w:rPr>
              <w:t>Corporate Communications</w:t>
            </w:r>
          </w:p>
        </w:tc>
      </w:tr>
      <w:tr>
        <w:trPr>
          <w:trHeight w:val="216"/>
        </w:trPr>
        <w:tc>
          <w:tcPr>
            <w:tcW w:w="1580" w:type="dxa"/>
            <w:vAlign w:val="bottom"/>
          </w:tcPr>
          <w:p>
            <w:pPr>
              <w:spacing w:after="0"/>
              <w:rPr>
                <w:sz w:val="20"/>
                <w:szCs w:val="20"/>
                <w:color w:val="auto"/>
              </w:rPr>
            </w:pPr>
            <w:r>
              <w:rPr>
                <w:rFonts w:ascii="Arial" w:cs="Arial" w:eastAsia="Arial" w:hAnsi="Arial"/>
                <w:sz w:val="18"/>
                <w:szCs w:val="18"/>
                <w:color w:val="auto"/>
              </w:rPr>
              <w:t>408-222-8373</w:t>
            </w:r>
          </w:p>
        </w:tc>
        <w:tc>
          <w:tcPr>
            <w:tcW w:w="6620" w:type="dxa"/>
            <w:vAlign w:val="bottom"/>
          </w:tcPr>
          <w:p>
            <w:pPr>
              <w:spacing w:after="0"/>
              <w:rPr>
                <w:sz w:val="18"/>
                <w:szCs w:val="18"/>
                <w:color w:val="auto"/>
              </w:rPr>
            </w:pPr>
          </w:p>
        </w:tc>
        <w:tc>
          <w:tcPr>
            <w:tcW w:w="1320" w:type="dxa"/>
            <w:vAlign w:val="bottom"/>
          </w:tcPr>
          <w:p>
            <w:pPr>
              <w:spacing w:after="0"/>
              <w:rPr>
                <w:sz w:val="20"/>
                <w:szCs w:val="20"/>
                <w:color w:val="auto"/>
              </w:rPr>
            </w:pPr>
            <w:r>
              <w:rPr>
                <w:rFonts w:ascii="Arial" w:cs="Arial" w:eastAsia="Arial" w:hAnsi="Arial"/>
                <w:sz w:val="18"/>
                <w:szCs w:val="18"/>
                <w:color w:val="auto"/>
              </w:rPr>
              <w:t>408-222-2815</w:t>
            </w:r>
          </w:p>
        </w:tc>
        <w:tc>
          <w:tcPr>
            <w:tcW w:w="640" w:type="dxa"/>
            <w:vAlign w:val="bottom"/>
          </w:tcPr>
          <w:p>
            <w:pPr>
              <w:spacing w:after="0"/>
              <w:rPr>
                <w:sz w:val="18"/>
                <w:szCs w:val="18"/>
                <w:color w:val="auto"/>
              </w:rPr>
            </w:pPr>
          </w:p>
        </w:tc>
      </w:tr>
      <w:tr>
        <w:trPr>
          <w:trHeight w:val="184"/>
        </w:trPr>
        <w:tc>
          <w:tcPr>
            <w:tcW w:w="8200" w:type="dxa"/>
            <w:vAlign w:val="bottom"/>
            <w:gridSpan w:val="2"/>
          </w:tcPr>
          <w:p>
            <w:pPr>
              <w:spacing w:after="0" w:line="184" w:lineRule="exact"/>
              <w:rPr>
                <w:sz w:val="20"/>
                <w:szCs w:val="20"/>
                <w:color w:val="auto"/>
              </w:rPr>
            </w:pPr>
            <w:r>
              <w:rPr>
                <w:rFonts w:ascii="Arial" w:cs="Arial" w:eastAsia="Arial" w:hAnsi="Arial"/>
                <w:sz w:val="18"/>
                <w:szCs w:val="18"/>
                <w:color w:val="auto"/>
              </w:rPr>
              <w:t>jpalmer@marvell.com</w:t>
            </w:r>
          </w:p>
        </w:tc>
        <w:tc>
          <w:tcPr>
            <w:tcW w:w="1960" w:type="dxa"/>
            <w:vAlign w:val="bottom"/>
            <w:gridSpan w:val="2"/>
          </w:tcPr>
          <w:p>
            <w:pPr>
              <w:spacing w:after="0" w:line="184" w:lineRule="exact"/>
              <w:rPr>
                <w:sz w:val="20"/>
                <w:szCs w:val="20"/>
                <w:color w:val="auto"/>
              </w:rPr>
            </w:pPr>
            <w:r>
              <w:rPr>
                <w:rFonts w:ascii="Arial" w:cs="Arial" w:eastAsia="Arial" w:hAnsi="Arial"/>
                <w:sz w:val="18"/>
                <w:szCs w:val="18"/>
                <w:color w:val="auto"/>
              </w:rPr>
              <w:t>tom@marvell.com</w:t>
            </w:r>
          </w:p>
        </w:tc>
      </w:tr>
      <w:tr>
        <w:trPr>
          <w:trHeight w:val="20"/>
        </w:trPr>
        <w:tc>
          <w:tcPr>
            <w:tcW w:w="1580" w:type="dxa"/>
            <w:vAlign w:val="bottom"/>
            <w:shd w:val="clear" w:color="auto" w:fill="000000"/>
          </w:tcPr>
          <w:p>
            <w:pPr>
              <w:spacing w:after="0" w:line="20" w:lineRule="exact"/>
              <w:rPr>
                <w:sz w:val="1"/>
                <w:szCs w:val="1"/>
                <w:color w:val="auto"/>
              </w:rPr>
            </w:pPr>
          </w:p>
        </w:tc>
        <w:tc>
          <w:tcPr>
            <w:tcW w:w="6620" w:type="dxa"/>
            <w:vAlign w:val="bottom"/>
          </w:tcPr>
          <w:p>
            <w:pPr>
              <w:spacing w:after="0" w:line="20" w:lineRule="exact"/>
              <w:rPr>
                <w:sz w:val="1"/>
                <w:szCs w:val="1"/>
                <w:color w:val="auto"/>
              </w:rPr>
            </w:pPr>
          </w:p>
        </w:tc>
        <w:tc>
          <w:tcPr>
            <w:tcW w:w="132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r>
    </w:tbl>
    <w:p>
      <w:pPr>
        <w:spacing w:after="0" w:line="337" w:lineRule="exact"/>
        <w:rPr>
          <w:sz w:val="20"/>
          <w:szCs w:val="20"/>
          <w:color w:val="auto"/>
        </w:rPr>
      </w:pPr>
    </w:p>
    <w:p>
      <w:pPr>
        <w:ind w:left="2900"/>
        <w:spacing w:after="0"/>
        <w:rPr>
          <w:sz w:val="20"/>
          <w:szCs w:val="20"/>
          <w:color w:val="auto"/>
        </w:rPr>
      </w:pPr>
      <w:r>
        <w:rPr>
          <w:rFonts w:ascii="Arial" w:cs="Arial" w:eastAsia="Arial" w:hAnsi="Arial"/>
          <w:sz w:val="18"/>
          <w:szCs w:val="18"/>
          <w:b w:val="1"/>
          <w:bCs w:val="1"/>
          <w:color w:val="auto"/>
        </w:rPr>
        <w:t>Marvell Technology Reports Fiscal Fourth Quarter and Fiscal 2010 Results</w:t>
      </w:r>
    </w:p>
    <w:p>
      <w:pPr>
        <w:spacing w:after="0" w:line="177" w:lineRule="exact"/>
        <w:rPr>
          <w:sz w:val="20"/>
          <w:szCs w:val="20"/>
          <w:color w:val="auto"/>
        </w:rPr>
      </w:pPr>
    </w:p>
    <w:p>
      <w:pPr>
        <w:ind w:left="3740"/>
        <w:spacing w:after="0"/>
        <w:rPr>
          <w:sz w:val="20"/>
          <w:szCs w:val="20"/>
          <w:color w:val="auto"/>
        </w:rPr>
      </w:pPr>
      <w:r>
        <w:rPr>
          <w:rFonts w:ascii="Arial" w:cs="Arial" w:eastAsia="Arial" w:hAnsi="Arial"/>
          <w:sz w:val="18"/>
          <w:szCs w:val="18"/>
          <w:b w:val="1"/>
          <w:bCs w:val="1"/>
          <w:i w:val="1"/>
          <w:iCs w:val="1"/>
          <w:color w:val="auto"/>
        </w:rPr>
        <w:t>Revenue: $843 Million, FQ410; $2.81 Billion, FY2010</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GAAP Net Income: $205 Million, FQ410; $353 Million, FY2010</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Free Cash Flow: $253 Million, FQ410; $756 Million, FY2010</w:t>
      </w:r>
    </w:p>
    <w:p>
      <w:pPr>
        <w:spacing w:after="0" w:line="159" w:lineRule="exact"/>
        <w:rPr>
          <w:sz w:val="20"/>
          <w:szCs w:val="20"/>
          <w:color w:val="auto"/>
        </w:rPr>
      </w:pPr>
    </w:p>
    <w:p>
      <w:pPr>
        <w:ind w:right="320"/>
        <w:spacing w:after="0" w:line="275" w:lineRule="auto"/>
        <w:rPr>
          <w:sz w:val="20"/>
          <w:szCs w:val="20"/>
          <w:color w:val="auto"/>
        </w:rPr>
      </w:pPr>
      <w:r>
        <w:rPr>
          <w:rFonts w:ascii="Arial" w:cs="Arial" w:eastAsia="Arial" w:hAnsi="Arial"/>
          <w:sz w:val="18"/>
          <w:szCs w:val="18"/>
          <w:b w:val="1"/>
          <w:bCs w:val="1"/>
          <w:color w:val="auto"/>
        </w:rPr>
        <w:t xml:space="preserve">Santa Clara, California (March 4, 2010) </w:t>
      </w:r>
      <w:r>
        <w:rPr>
          <w:rFonts w:ascii="Arial" w:cs="Arial" w:eastAsia="Arial" w:hAnsi="Arial"/>
          <w:sz w:val="18"/>
          <w:szCs w:val="18"/>
          <w:color w:val="auto"/>
        </w:rPr>
        <w:t>— Marvell Technology Group Ltd. (NASDAQ: MRVL), a world leader in storage, communications and consumer</w:t>
      </w:r>
      <w:r>
        <w:rPr>
          <w:rFonts w:ascii="Arial" w:cs="Arial" w:eastAsia="Arial" w:hAnsi="Arial"/>
          <w:sz w:val="18"/>
          <w:szCs w:val="18"/>
          <w:b w:val="1"/>
          <w:bCs w:val="1"/>
          <w:color w:val="auto"/>
        </w:rPr>
        <w:t xml:space="preserve"> </w:t>
      </w:r>
      <w:r>
        <w:rPr>
          <w:rFonts w:ascii="Arial" w:cs="Arial" w:eastAsia="Arial" w:hAnsi="Arial"/>
          <w:sz w:val="18"/>
          <w:szCs w:val="18"/>
          <w:color w:val="auto"/>
        </w:rPr>
        <w:t>silicon solutions, today reported financial results for the fourth quarter and fiscal year 2010, ended January 30, 2010.</w:t>
      </w:r>
    </w:p>
    <w:p>
      <w:pPr>
        <w:spacing w:after="0" w:line="126"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color w:val="auto"/>
        </w:rPr>
        <w:t>Net revenue for the fourth quarter of fiscal 2010 was $843 million, a 64 percent increase from $513 million in the fourth quarter of fiscal 2009, ended January 31, 2009, and a 5 percent sequential increase from $803 million in the third quarter of fiscal 2010, ended October 31, 2009.</w:t>
      </w:r>
    </w:p>
    <w:p>
      <w:pPr>
        <w:spacing w:after="0" w:line="132"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color w:val="auto"/>
        </w:rPr>
        <w:t>Net revenue for the fiscal year ended January 30, 2010 was $2.81 billion, a decrease of 5 percent over reported net revenue of $2.95 billion for the fiscal year ended January 31, 2009.</w:t>
      </w:r>
    </w:p>
    <w:p>
      <w:pPr>
        <w:spacing w:after="0" w:line="132" w:lineRule="exact"/>
        <w:rPr>
          <w:sz w:val="20"/>
          <w:szCs w:val="20"/>
          <w:color w:val="auto"/>
        </w:rPr>
      </w:pPr>
    </w:p>
    <w:p>
      <w:pPr>
        <w:ind w:right="200"/>
        <w:spacing w:after="0" w:line="332" w:lineRule="auto"/>
        <w:rPr>
          <w:sz w:val="20"/>
          <w:szCs w:val="20"/>
          <w:color w:val="auto"/>
        </w:rPr>
      </w:pPr>
      <w:r>
        <w:rPr>
          <w:rFonts w:ascii="Arial" w:cs="Arial" w:eastAsia="Arial" w:hAnsi="Arial"/>
          <w:sz w:val="16"/>
          <w:szCs w:val="16"/>
          <w:color w:val="auto"/>
        </w:rPr>
        <w:t>GAAP net income was $205 million, or $0.31 per share (diluted), for the fourth quarter of fiscal 2010, compared with a GAAP net loss of $65 million, or $0.11 per share (diluted), for the fourth quarter of fiscal 2009. GAAP net income in the third quarter of fiscal 2010 was $202 million, or $0.31 per share (diluted).</w:t>
      </w:r>
    </w:p>
    <w:p>
      <w:pPr>
        <w:spacing w:after="0" w:line="85"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color w:val="auto"/>
        </w:rPr>
        <w:t>GAAP net income was $353 million, or $0.54 per share (diluted), for the year ended January 30, 2010, compared with a GAAP net income of $147 million, or $0.23 per share (diluted), for the year ended January 31, 2009.</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125" w:right="239" w:bottom="1440" w:gutter="0" w:footer="0" w:header="0"/>
        </w:sectPr>
      </w:pPr>
    </w:p>
    <w:bookmarkStart w:id="6" w:name="page7"/>
    <w:bookmarkEnd w:id="6"/>
    <w:p>
      <w:pPr>
        <w:ind w:right="16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Non-GAAP net income increased to $266 million, or $0.40 per share (diluted), for the fourth quarter of fiscal 2010, as compared with non-GAAP net income of $32 million, or $0.05 per share (diluted), for the fourth quarter of fiscal 2009. Non-GAAP net income for the third quarter of fiscal 2010 was $232 million, or $0.35 per share (diluted).</w:t>
      </w:r>
    </w:p>
    <w:p>
      <w:pPr>
        <w:spacing w:after="0" w:line="140" w:lineRule="exact"/>
        <w:rPr>
          <w:sz w:val="20"/>
          <w:szCs w:val="20"/>
          <w:color w:val="auto"/>
        </w:rPr>
      </w:pPr>
    </w:p>
    <w:p>
      <w:pPr>
        <w:ind w:right="280"/>
        <w:spacing w:after="0" w:line="268" w:lineRule="auto"/>
        <w:rPr>
          <w:sz w:val="20"/>
          <w:szCs w:val="20"/>
          <w:color w:val="auto"/>
        </w:rPr>
      </w:pPr>
      <w:r>
        <w:rPr>
          <w:rFonts w:ascii="Arial" w:cs="Arial" w:eastAsia="Arial" w:hAnsi="Arial"/>
          <w:sz w:val="18"/>
          <w:szCs w:val="18"/>
          <w:color w:val="auto"/>
        </w:rPr>
        <w:t>For the fiscal year ended January 30, 2010, non-GAAP net income was $648 million, or $0.99 per share (diluted), as compared with non-GAAP net income of $482 million, or $0.76 per share (diluted), for the fiscal year ended January 31, 2009.</w:t>
      </w:r>
    </w:p>
    <w:p>
      <w:pPr>
        <w:spacing w:after="0" w:line="132"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“The results for our fourth quarter and fiscal year bring to a close one of the most challenging but successful years for Marvell,” said Dr. Sehat Sutardja, Marvell’s Chairman and Chief Executive Officer. “I am very pleased with the progress we have made over the previous 12 months, in the face of a turbulent global economy. During the past year, we have transformed our organization to improve the efficiency of product development, we have refined our business model to deliver world-class financial performance and we have laid the groundwork to accelerate our growth in the coming years. While I am proud of the progress we have made, we continue to be mindful of the challenging economic environment we operate within and the effect macro-economic events could potentially have on our business. Consequently, we will continue to focus on the aspects of our business we can control and influence. We believe it is important to aggressively invest in our employees and product development to allow Marvell to continue to deliver solutions that enable our customer’s success.”</w:t>
      </w:r>
    </w:p>
    <w:p>
      <w:pPr>
        <w:spacing w:after="0" w:line="118" w:lineRule="exact"/>
        <w:rPr>
          <w:sz w:val="20"/>
          <w:szCs w:val="20"/>
          <w:color w:val="auto"/>
        </w:rPr>
      </w:pPr>
    </w:p>
    <w:p>
      <w:pPr>
        <w:ind w:right="80"/>
        <w:spacing w:after="0" w:line="286" w:lineRule="auto"/>
        <w:rPr>
          <w:sz w:val="20"/>
          <w:szCs w:val="20"/>
          <w:color w:val="auto"/>
        </w:rPr>
      </w:pPr>
      <w:r>
        <w:rPr>
          <w:rFonts w:ascii="Arial" w:cs="Arial" w:eastAsia="Arial" w:hAnsi="Arial"/>
          <w:sz w:val="16"/>
          <w:szCs w:val="16"/>
          <w:color w:val="auto"/>
        </w:rPr>
        <w:t>Marvell reports net income (loss), basic and diluted net income (loss) per share in accordance with U.S. generally accepted accounting principles (GAAP) and on a non-GAAP basis as outlined below. Reconciliations of GAAP net income (loss) to non-GAAP net income for the three months ended January 30,</w:t>
      </w:r>
    </w:p>
    <w:p>
      <w:pPr>
        <w:jc w:val="both"/>
        <w:ind w:right="400"/>
        <w:spacing w:after="0" w:line="255" w:lineRule="auto"/>
        <w:rPr>
          <w:sz w:val="20"/>
          <w:szCs w:val="20"/>
          <w:color w:val="auto"/>
        </w:rPr>
      </w:pPr>
      <w:r>
        <w:rPr>
          <w:rFonts w:ascii="Arial" w:cs="Arial" w:eastAsia="Arial" w:hAnsi="Arial"/>
          <w:sz w:val="18"/>
          <w:szCs w:val="18"/>
          <w:color w:val="auto"/>
        </w:rPr>
        <w:t>2010, October 31, 2009 and January 31, 2009 and fiscal years ended January 30, 2010 and January 31, 2009, respectively, appear in the financial statements below. Non-GAAP net income, where applicable, excludes the effect of stock-based compensation, amortization and write-offs of acquired intangible assets, restructuring costs, and certain one-time expenses or benefits.</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80" w:right="239" w:bottom="1440" w:gutter="0" w:footer="0" w:header="0"/>
        </w:sectPr>
      </w:pPr>
    </w:p>
    <w:bookmarkStart w:id="7" w:name="page8"/>
    <w:bookmarkEnd w:id="7"/>
    <w:p>
      <w:pPr>
        <w:ind w:right="60"/>
        <w:spacing w:after="0" w:line="268"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GAAP gross margin for the fourth quarter of fiscal 2010 was 59.7 percent, compared to 50.7 percent for the fourth quarter of fiscal 2009, and 57.5 percent for the third quarter of fiscal 2010. GAAP gross margin for fiscal 2010 was 56.3 percent compared to 51.6 percent for fiscal 2009.</w:t>
      </w:r>
    </w:p>
    <w:p>
      <w:pPr>
        <w:spacing w:after="0" w:line="132" w:lineRule="exact"/>
        <w:rPr>
          <w:sz w:val="20"/>
          <w:szCs w:val="20"/>
          <w:color w:val="auto"/>
        </w:rPr>
      </w:pPr>
    </w:p>
    <w:p>
      <w:pPr>
        <w:spacing w:after="0" w:line="332" w:lineRule="auto"/>
        <w:rPr>
          <w:sz w:val="20"/>
          <w:szCs w:val="20"/>
          <w:color w:val="auto"/>
        </w:rPr>
      </w:pPr>
      <w:r>
        <w:rPr>
          <w:rFonts w:ascii="Arial" w:cs="Arial" w:eastAsia="Arial" w:hAnsi="Arial"/>
          <w:sz w:val="16"/>
          <w:szCs w:val="16"/>
          <w:color w:val="auto"/>
        </w:rPr>
        <w:t>Non-GAAP gross margin for the fourth quarter of fiscal 2010 was 60.0 percent, compared to 51.3 percent for the fourth quarter of fiscal 2009 and 57.8 percent for the third quarter of fiscal 2010. Non-GAAP gross margin for fiscal 2010 was 56.7 percent compared to 52.0 percent for fiscal 2009.</w:t>
      </w:r>
    </w:p>
    <w:p>
      <w:pPr>
        <w:spacing w:after="0" w:line="85" w:lineRule="exact"/>
        <w:rPr>
          <w:sz w:val="20"/>
          <w:szCs w:val="20"/>
          <w:color w:val="auto"/>
        </w:rPr>
      </w:pPr>
    </w:p>
    <w:p>
      <w:pPr>
        <w:ind w:right="20"/>
        <w:spacing w:after="0" w:line="256" w:lineRule="auto"/>
        <w:rPr>
          <w:sz w:val="20"/>
          <w:szCs w:val="20"/>
          <w:color w:val="auto"/>
        </w:rPr>
      </w:pPr>
      <w:r>
        <w:rPr>
          <w:rFonts w:ascii="Arial" w:cs="Arial" w:eastAsia="Arial" w:hAnsi="Arial"/>
          <w:sz w:val="18"/>
          <w:szCs w:val="18"/>
          <w:color w:val="auto"/>
        </w:rPr>
        <w:t>Shares used to compute GAAP net income per diluted share for the fourth quarter of fiscal 2010 were 669 million shares, compared with 615 million shares in the fourth quarter of fiscal 2009 and 660 million shares in the third quarter of fiscal 2010. Shares used to compute non-GAAP net income per diluted share for the fourth quarter of fiscal 2010 were 672 million shares compared with 629 million shares for the fourth quarter of fiscal 2009 and 664 million shares for the third quarter of fiscal 2010.</w:t>
      </w:r>
    </w:p>
    <w:p>
      <w:pPr>
        <w:spacing w:after="0" w:line="143" w:lineRule="exact"/>
        <w:rPr>
          <w:sz w:val="20"/>
          <w:szCs w:val="20"/>
          <w:color w:val="auto"/>
        </w:rPr>
      </w:pPr>
    </w:p>
    <w:p>
      <w:pPr>
        <w:jc w:val="both"/>
        <w:spacing w:after="0" w:line="306" w:lineRule="auto"/>
        <w:rPr>
          <w:sz w:val="20"/>
          <w:szCs w:val="20"/>
          <w:color w:val="auto"/>
        </w:rPr>
      </w:pPr>
      <w:r>
        <w:rPr>
          <w:rFonts w:ascii="Arial" w:cs="Arial" w:eastAsia="Arial" w:hAnsi="Arial"/>
          <w:sz w:val="16"/>
          <w:szCs w:val="16"/>
          <w:color w:val="auto"/>
        </w:rPr>
        <w:t>Shares used to compute GAAP net income per diluted share for the fiscal year ended January 30, 2010 were 654 million shares, compared with 630 million shares used to compute GAAP net income per diluted share for the fiscal year ended January 31, 2009. Shares used to compute non-GAAP net income per diluted share for the fiscal year ended January 30, 2010 were 657 million shares compared with 630 million shares for the fiscal year ended January 31, 2009.</w:t>
      </w:r>
    </w:p>
    <w:p>
      <w:pPr>
        <w:spacing w:after="0" w:line="107" w:lineRule="exact"/>
        <w:rPr>
          <w:sz w:val="20"/>
          <w:szCs w:val="20"/>
          <w:color w:val="auto"/>
        </w:rPr>
      </w:pPr>
    </w:p>
    <w:p>
      <w:pPr>
        <w:ind w:right="80"/>
        <w:spacing w:after="0" w:line="294" w:lineRule="auto"/>
        <w:rPr>
          <w:sz w:val="20"/>
          <w:szCs w:val="20"/>
          <w:color w:val="auto"/>
        </w:rPr>
      </w:pPr>
      <w:r>
        <w:rPr>
          <w:rFonts w:ascii="Arial" w:cs="Arial" w:eastAsia="Arial" w:hAnsi="Arial"/>
          <w:sz w:val="16"/>
          <w:szCs w:val="16"/>
          <w:color w:val="auto"/>
        </w:rPr>
        <w:t>Cash flow from operations for the fourth quarter of fiscal 2010 was $281 million, up from the $109 million in the fourth quarter of fiscal 2009 and up from the $204 million reported in the third quarter of fiscal 2010. Cash flow from operations for fiscal 2010 was $812 million, compared to $681 million for fiscal 2009. Free cash flow for the fourth quarter of fiscal 2010, was $253 million, up from the $93 million in the fourth quarter of fiscal 2009 and up from the $196 million reported in the third quarter of fiscal 2010. Free cash flow for fiscal 2010 was $756 million, compared to $602 million in fiscal 2009. Free cash flow as presented above is defined as cash flow from operations, less capital expenditures and purchases of IP licenses.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80" w:right="239" w:bottom="1440" w:gutter="0" w:footer="0" w:header="0"/>
        </w:sectPr>
      </w:pPr>
    </w:p>
    <w:bookmarkStart w:id="8" w:name="page9"/>
    <w:bookmarkEnd w:id="8"/>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Conference Call</w:t>
      </w:r>
    </w:p>
    <w:p>
      <w:pPr>
        <w:spacing w:after="0" w:line="96" w:lineRule="exact"/>
        <w:rPr>
          <w:sz w:val="20"/>
          <w:szCs w:val="20"/>
          <w:color w:val="auto"/>
        </w:rPr>
      </w:pPr>
    </w:p>
    <w:p>
      <w:pPr>
        <w:ind w:right="400"/>
        <w:spacing w:after="0" w:line="306" w:lineRule="auto"/>
        <w:rPr>
          <w:sz w:val="20"/>
          <w:szCs w:val="20"/>
          <w:color w:val="auto"/>
        </w:rPr>
      </w:pPr>
      <w:r>
        <w:rPr>
          <w:rFonts w:ascii="Arial" w:cs="Arial" w:eastAsia="Arial" w:hAnsi="Arial"/>
          <w:sz w:val="16"/>
          <w:szCs w:val="16"/>
          <w:color w:val="auto"/>
        </w:rPr>
        <w:t xml:space="preserve">Marvell will be conducting a conference call on March 4, 2010 at 1:45 p.m. Pacific Time to discuss results for the fourth fiscal quarter and fiscal year 2010. Interested parties may join the conference call by dialing </w:t>
      </w:r>
      <w:r>
        <w:rPr>
          <w:rFonts w:ascii="Arial" w:cs="Arial" w:eastAsia="Arial" w:hAnsi="Arial"/>
          <w:sz w:val="16"/>
          <w:szCs w:val="16"/>
          <w:b w:val="1"/>
          <w:bCs w:val="1"/>
          <w:color w:val="auto"/>
        </w:rPr>
        <w:t>1-866-770-7120, pass-code 57220826</w:t>
      </w:r>
      <w:r>
        <w:rPr>
          <w:rFonts w:ascii="Arial" w:cs="Arial" w:eastAsia="Arial" w:hAnsi="Arial"/>
          <w:sz w:val="16"/>
          <w:szCs w:val="16"/>
          <w:color w:val="auto"/>
        </w:rPr>
        <w:t xml:space="preserve">. The call will be webcast by Thomson Reuters and can be accessed at the Marvell Investor Relations website at </w:t>
      </w:r>
      <w:r>
        <w:rPr>
          <w:rFonts w:ascii="Arial" w:cs="Arial" w:eastAsia="Arial" w:hAnsi="Arial"/>
          <w:sz w:val="16"/>
          <w:szCs w:val="16"/>
          <w:u w:val="single" w:color="auto"/>
          <w:color w:val="auto"/>
        </w:rPr>
        <w:t>http://investor.marvell.com/</w:t>
      </w:r>
      <w:r>
        <w:rPr>
          <w:rFonts w:ascii="Arial" w:cs="Arial" w:eastAsia="Arial" w:hAnsi="Arial"/>
          <w:sz w:val="16"/>
          <w:szCs w:val="16"/>
          <w:color w:val="auto"/>
        </w:rPr>
        <w:t xml:space="preserve"> with a replay available following the call until April 4, 2010.</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right="80"/>
        <w:spacing w:after="0" w:line="314" w:lineRule="auto"/>
        <w:rPr>
          <w:sz w:val="20"/>
          <w:szCs w:val="20"/>
          <w:color w:val="auto"/>
        </w:rPr>
      </w:pPr>
      <w:r>
        <w:rPr>
          <w:rFonts w:ascii="Arial" w:cs="Arial" w:eastAsia="Arial" w:hAnsi="Arial"/>
          <w:sz w:val="15"/>
          <w:szCs w:val="15"/>
          <w:color w:val="auto"/>
        </w:rPr>
        <w:t>Non-GAAP financial measures exclude stock-based compensation expense as well as charges related to acquisitions, restructuring, gains and other charges that are driven primarily by discrete events that management does not consider to be directly related to Marvell’s core operating performance. Non-GAAP earnings per share is calculated by dividing non-GAAP net income by non-GAAP weighted average shares outstanding (diluted). For purposes of calculating non-GAAP earnings per share, the GAAP weighted average shares outstanding (diluted) is adjusted to exclude the potential benefits of compensation costs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w:t>
      </w:r>
    </w:p>
    <w:p>
      <w:pPr>
        <w:spacing w:after="0" w:line="105"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 xml:space="preserve">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t>
      </w:r>
      <w:r>
        <w:rPr>
          <w:rFonts w:ascii="Arial" w:cs="Arial" w:eastAsia="Arial" w:hAnsi="Arial"/>
          <w:sz w:val="16"/>
          <w:szCs w:val="16"/>
          <w:b w:val="1"/>
          <w:bCs w:val="1"/>
          <w:u w:val="single" w:color="auto"/>
          <w:color w:val="auto"/>
        </w:rPr>
        <w:t>www.sec.gov</w:t>
      </w:r>
      <w:r>
        <w:rPr>
          <w:rFonts w:ascii="Arial" w:cs="Arial" w:eastAsia="Arial" w:hAnsi="Arial"/>
          <w:sz w:val="16"/>
          <w:szCs w:val="16"/>
          <w:color w:val="auto"/>
        </w:rPr>
        <w:t xml:space="preserve"> as well as on the Marvell website in the Investor Relations section at </w:t>
      </w:r>
      <w:r>
        <w:rPr>
          <w:rFonts w:ascii="Arial" w:cs="Arial" w:eastAsia="Arial" w:hAnsi="Arial"/>
          <w:sz w:val="16"/>
          <w:szCs w:val="16"/>
          <w:u w:val="single" w:color="auto"/>
          <w:color w:val="auto"/>
        </w:rPr>
        <w:t>www.marvell.com</w:t>
      </w:r>
      <w:r>
        <w:rPr>
          <w:rFonts w:ascii="Arial" w:cs="Arial" w:eastAsia="Arial" w:hAnsi="Arial"/>
          <w:sz w:val="16"/>
          <w:szCs w:val="16"/>
          <w:color w:val="auto"/>
        </w:rPr>
        <w:t>.</w:t>
      </w:r>
    </w:p>
    <w:p>
      <w:pPr>
        <w:spacing w:after="0" w:line="106"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40"/>
          </w:cols>
          <w:pgMar w:left="240" w:top="274" w:right="319" w:bottom="1440" w:gutter="0" w:footer="0" w:header="0"/>
        </w:sectPr>
      </w:pPr>
    </w:p>
    <w:bookmarkStart w:id="9" w:name="page10"/>
    <w:bookmarkEnd w:id="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9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 xml:space="preserve">Marvell Technology Group Ltd. (NASDAQ: MRVL)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the “Company” and “Marvell” refer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96"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statements regarding our ability to operate in a challenging economic environment; our ability to aggressively invest in our people and product development; and statements concerning the Company’s use of non-GAAP net income and net income per share as important supplemental information. These statements are not guarantees of results and should not be considered as an indication of future performance. Actual events or results may differ materially from those described in this document due to a number of risks and uncertainties, including, among others, the Company’s reliance on major customers and suppliers; market acceptance of new products; uncertainty in the worldwide economic environment; successful execution of the Company’s restructuring plan and other risks detailed in Marvell’s SEC filings. When Marvell files its Form 10-K for fiscal year 2010, the financial statements may differ from the results disclosed in this press release because judgments and estimates that management used in preparing the financial results reported in this press release may need to be updated to the date of the filing. The Company’s results also remain subject to review by the Company’s independent registered public accounting firm. For other factors that could cause Marvell’s results to vary from expectations, please see the risk factors identified in the Marvell’s latest Quarterly Report on Form 10-Q for the quarter ended October 31, 2009 and Current Reports on Form 8-K, as filed with the SEC and other factors detailed from time to time in Marvell’s filings with the SEC. Marvell undertakes no obligation to revise or update publicly any forward-looking statements.</w:t>
      </w:r>
    </w:p>
    <w:p>
      <w:pPr>
        <w:spacing w:after="0" w:line="111"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320"/>
          </w:cols>
          <w:pgMar w:left="240" w:top="274" w:right="33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20" w:type="dxa"/>
            <w:vAlign w:val="bottom"/>
            <w:gridSpan w:val="6"/>
          </w:tcPr>
          <w:p>
            <w:pPr>
              <w:ind w:left="580"/>
              <w:spacing w:after="0"/>
              <w:rPr>
                <w:sz w:val="20"/>
                <w:szCs w:val="20"/>
                <w:color w:val="auto"/>
              </w:rPr>
            </w:pPr>
            <w:r>
              <w:rPr>
                <w:rFonts w:ascii="Arial" w:cs="Arial" w:eastAsia="Arial" w:hAnsi="Arial"/>
                <w:sz w:val="14"/>
                <w:szCs w:val="14"/>
                <w:b w:val="1"/>
                <w:bCs w:val="1"/>
                <w:color w:val="auto"/>
                <w:w w:val="95"/>
              </w:rPr>
              <w:t>Three Months Ended</w:t>
            </w:r>
          </w:p>
        </w:tc>
        <w:tc>
          <w:tcPr>
            <w:tcW w:w="5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40" w:type="dxa"/>
            <w:vAlign w:val="bottom"/>
            <w:gridSpan w:val="5"/>
          </w:tcPr>
          <w:p>
            <w:pPr>
              <w:jc w:val="right"/>
              <w:ind w:right="64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000" w:type="dxa"/>
            <w:vAlign w:val="bottom"/>
          </w:tcPr>
          <w:p>
            <w:pPr>
              <w:spacing w:after="0"/>
              <w:rPr>
                <w:sz w:val="11"/>
                <w:szCs w:val="11"/>
                <w:color w:val="auto"/>
              </w:rPr>
            </w:pPr>
          </w:p>
        </w:tc>
        <w:tc>
          <w:tcPr>
            <w:tcW w:w="1560" w:type="dxa"/>
            <w:vAlign w:val="bottom"/>
          </w:tcPr>
          <w:p>
            <w:pPr>
              <w:spacing w:after="0"/>
              <w:rPr>
                <w:sz w:val="11"/>
                <w:szCs w:val="11"/>
                <w:color w:val="auto"/>
              </w:rPr>
            </w:pPr>
          </w:p>
        </w:tc>
        <w:tc>
          <w:tcPr>
            <w:tcW w:w="70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8"/>
              </w:rPr>
              <w:t>January 30,</w:t>
            </w:r>
          </w:p>
        </w:tc>
        <w:tc>
          <w:tcPr>
            <w:tcW w:w="200" w:type="dxa"/>
            <w:vAlign w:val="bottom"/>
            <w:tcBorders>
              <w:top w:val="single" w:sz="8" w:color="auto"/>
            </w:tcBorders>
          </w:tcPr>
          <w:p>
            <w:pPr>
              <w:spacing w:after="0"/>
              <w:rPr>
                <w:sz w:val="11"/>
                <w:szCs w:val="11"/>
                <w:color w:val="auto"/>
              </w:rPr>
            </w:pPr>
          </w:p>
        </w:tc>
        <w:tc>
          <w:tcPr>
            <w:tcW w:w="100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rPr>
              <w:t>October 31,</w:t>
            </w:r>
          </w:p>
        </w:tc>
        <w:tc>
          <w:tcPr>
            <w:tcW w:w="70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January 31,</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20" w:type="dxa"/>
            <w:vAlign w:val="bottom"/>
            <w:tcBorders>
              <w:top w:val="single" w:sz="8" w:color="auto"/>
            </w:tcBorders>
            <w:gridSpan w:val="3"/>
          </w:tcPr>
          <w:p>
            <w:pPr>
              <w:jc w:val="right"/>
              <w:ind w:right="380"/>
              <w:spacing w:after="0" w:line="129" w:lineRule="exact"/>
              <w:rPr>
                <w:sz w:val="20"/>
                <w:szCs w:val="20"/>
                <w:color w:val="auto"/>
              </w:rPr>
            </w:pPr>
            <w:r>
              <w:rPr>
                <w:rFonts w:ascii="Arial" w:cs="Arial" w:eastAsia="Arial" w:hAnsi="Arial"/>
                <w:sz w:val="14"/>
                <w:szCs w:val="14"/>
                <w:b w:val="1"/>
                <w:bCs w:val="1"/>
                <w:color w:val="auto"/>
                <w:w w:val="93"/>
              </w:rPr>
              <w:t>January 30,</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January 31,</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2010</w:t>
            </w:r>
          </w:p>
        </w:tc>
        <w:tc>
          <w:tcPr>
            <w:tcW w:w="2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2009</w:t>
            </w: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2009</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660" w:type="dxa"/>
            <w:vAlign w:val="bottom"/>
            <w:gridSpan w:val="2"/>
            <w:shd w:val="clear" w:color="auto" w:fill="CCEEFF"/>
          </w:tcPr>
          <w:p>
            <w:pPr>
              <w:ind w:left="1560"/>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842,535</w:t>
            </w:r>
          </w:p>
        </w:tc>
        <w:tc>
          <w:tcPr>
            <w:tcW w:w="300" w:type="dxa"/>
            <w:vAlign w:val="bottom"/>
            <w:gridSpan w:val="2"/>
            <w:shd w:val="clear" w:color="auto" w:fill="CCEEFF"/>
          </w:tcPr>
          <w:p>
            <w:pPr>
              <w:ind w:left="220"/>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803,098</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512,867</w:t>
            </w:r>
          </w:p>
        </w:tc>
        <w:tc>
          <w:tcPr>
            <w:tcW w:w="18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2,807,687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2,950,563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Cost of goods sold</w:t>
            </w:r>
          </w:p>
        </w:tc>
        <w:tc>
          <w:tcPr>
            <w:tcW w:w="1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339,790</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341,617</w:t>
            </w:r>
          </w:p>
        </w:tc>
        <w:tc>
          <w:tcPr>
            <w:tcW w:w="1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252,732</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1,227,096</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1,426,624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0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502,745</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461,481</w:t>
            </w: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260,135</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1,580,591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1,523,939</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Operating expenses:</w:t>
            </w:r>
          </w:p>
        </w:tc>
        <w:tc>
          <w:tcPr>
            <w:tcW w:w="1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Research and development</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213,024</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212,873</w:t>
            </w: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212,861</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828,176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935,272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1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37,144</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35,442</w:t>
            </w:r>
          </w:p>
        </w:tc>
        <w:tc>
          <w:tcPr>
            <w:tcW w:w="1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32,623</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139,404</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161,703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General and administrative</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22,506</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16,660</w:t>
            </w: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35,656</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171,362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108,465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1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24,282</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26,450</w:t>
            </w:r>
          </w:p>
        </w:tc>
        <w:tc>
          <w:tcPr>
            <w:tcW w:w="1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48,274</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107,534</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153,323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500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 w:type="dxa"/>
            <w:vAlign w:val="bottom"/>
            <w:vMerge w:val="restart"/>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operating expenses</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296,956</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291,425</w:t>
            </w: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329,414</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1,246,476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1,358,763</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Operating income (loss)</w:t>
            </w:r>
          </w:p>
        </w:tc>
        <w:tc>
          <w:tcPr>
            <w:tcW w:w="15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5020" w:type="dxa"/>
            <w:vAlign w:val="bottom"/>
            <w:gridSpan w:val="2"/>
            <w:vMerge w:val="continue"/>
          </w:tcPr>
          <w:p>
            <w:pPr>
              <w:spacing w:after="0"/>
              <w:rPr>
                <w:sz w:val="19"/>
                <w:szCs w:val="19"/>
                <w:color w:val="auto"/>
              </w:rPr>
            </w:pPr>
          </w:p>
        </w:tc>
        <w:tc>
          <w:tcPr>
            <w:tcW w:w="15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205,789</w:t>
            </w: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170,056</w:t>
            </w:r>
          </w:p>
        </w:tc>
        <w:tc>
          <w:tcPr>
            <w:tcW w:w="120" w:type="dxa"/>
            <w:vAlign w:val="bottom"/>
          </w:tcPr>
          <w:p>
            <w:pPr>
              <w:spacing w:after="0"/>
              <w:rPr>
                <w:sz w:val="19"/>
                <w:szCs w:val="19"/>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w w:val="92"/>
              </w:rPr>
              <w:t>(69,279)</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334,115</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165,176</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(expense), net</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10,249</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(1,373)</w:t>
            </w: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(440)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8,995</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5,657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Income (loss) before income taxes</w:t>
            </w:r>
          </w:p>
        </w:tc>
        <w:tc>
          <w:tcPr>
            <w:tcW w:w="15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5020" w:type="dxa"/>
            <w:vAlign w:val="bottom"/>
            <w:gridSpan w:val="2"/>
            <w:vMerge w:val="continue"/>
          </w:tcPr>
          <w:p>
            <w:pPr>
              <w:spacing w:after="0"/>
              <w:rPr>
                <w:sz w:val="19"/>
                <w:szCs w:val="19"/>
                <w:color w:val="auto"/>
              </w:rPr>
            </w:pPr>
          </w:p>
        </w:tc>
        <w:tc>
          <w:tcPr>
            <w:tcW w:w="15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216,038</w:t>
            </w: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168,683</w:t>
            </w:r>
          </w:p>
        </w:tc>
        <w:tc>
          <w:tcPr>
            <w:tcW w:w="120" w:type="dxa"/>
            <w:vAlign w:val="bottom"/>
          </w:tcPr>
          <w:p>
            <w:pPr>
              <w:spacing w:after="0"/>
              <w:rPr>
                <w:sz w:val="19"/>
                <w:szCs w:val="19"/>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w w:val="92"/>
              </w:rPr>
              <w:t>(69,719)</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343,110</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170,833</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11,217</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2"/>
              </w:rPr>
              <w:t>(32,916)</w:t>
            </w: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(4,709)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(10,346)</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23,591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Net income (loss)</w:t>
            </w:r>
          </w:p>
        </w:tc>
        <w:tc>
          <w:tcPr>
            <w:tcW w:w="15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020" w:type="dxa"/>
            <w:vAlign w:val="bottom"/>
            <w:gridSpan w:val="2"/>
            <w:vMerge w:val="continue"/>
          </w:tcPr>
          <w:p>
            <w:pPr>
              <w:spacing w:after="0"/>
              <w:rPr>
                <w:sz w:val="19"/>
                <w:szCs w:val="19"/>
                <w:color w:val="auto"/>
              </w:rPr>
            </w:pPr>
          </w:p>
        </w:tc>
        <w:tc>
          <w:tcPr>
            <w:tcW w:w="156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204,821</w:t>
            </w:r>
          </w:p>
        </w:tc>
        <w:tc>
          <w:tcPr>
            <w:tcW w:w="200" w:type="dxa"/>
            <w:vAlign w:val="bottom"/>
          </w:tcPr>
          <w:p>
            <w:pPr>
              <w:spacing w:after="0"/>
              <w:rPr>
                <w:sz w:val="19"/>
                <w:szCs w:val="19"/>
                <w:color w:val="auto"/>
              </w:rPr>
            </w:pPr>
          </w:p>
        </w:tc>
        <w:tc>
          <w:tcPr>
            <w:tcW w:w="100" w:type="dxa"/>
            <w:vAlign w:val="bottom"/>
          </w:tcPr>
          <w:p>
            <w:pPr>
              <w:ind w:left="20"/>
              <w:spacing w:after="0"/>
              <w:rPr>
                <w:sz w:val="20"/>
                <w:szCs w:val="20"/>
                <w:color w:val="auto"/>
              </w:rPr>
            </w:pPr>
            <w:r>
              <w:rPr>
                <w:rFonts w:ascii="Arial" w:cs="Arial" w:eastAsia="Arial" w:hAnsi="Arial"/>
                <w:sz w:val="15"/>
                <w:szCs w:val="15"/>
                <w:u w:val="single" w:color="auto"/>
                <w:color w:val="auto"/>
                <w:w w:val="71"/>
              </w:rPr>
              <w: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201,599</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w w:val="92"/>
              </w:rPr>
              <w:t>(65,010)</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353,456</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147,242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5000" w:type="dxa"/>
            <w:vAlign w:val="bottom"/>
          </w:tcPr>
          <w:p>
            <w:pPr>
              <w:spacing w:after="0"/>
              <w:rPr>
                <w:sz w:val="8"/>
                <w:szCs w:val="8"/>
                <w:color w:val="auto"/>
              </w:rPr>
            </w:pPr>
          </w:p>
        </w:tc>
        <w:tc>
          <w:tcPr>
            <w:tcW w:w="15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32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vMerge w:val="restart"/>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ind w:left="20"/>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0.32</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(0.11)</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(loss) per share</w:t>
            </w:r>
          </w:p>
        </w:tc>
        <w:tc>
          <w:tcPr>
            <w:tcW w:w="15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20" w:type="dxa"/>
            <w:vAlign w:val="bottom"/>
            <w:gridSpan w:val="2"/>
            <w:vMerge w:val="continue"/>
          </w:tcPr>
          <w:p>
            <w:pPr>
              <w:spacing w:after="0"/>
              <w:rPr>
                <w:sz w:val="18"/>
                <w:szCs w:val="18"/>
                <w:color w:val="auto"/>
              </w:rPr>
            </w:pPr>
          </w:p>
        </w:tc>
        <w:tc>
          <w:tcPr>
            <w:tcW w:w="1660" w:type="dxa"/>
            <w:vAlign w:val="bottom"/>
            <w:gridSpan w:val="2"/>
          </w:tcPr>
          <w:p>
            <w:pPr>
              <w:ind w:left="1560"/>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0.31</w:t>
            </w:r>
          </w:p>
        </w:tc>
        <w:tc>
          <w:tcPr>
            <w:tcW w:w="300" w:type="dxa"/>
            <w:vAlign w:val="bottom"/>
            <w:gridSpan w:val="2"/>
          </w:tcPr>
          <w:p>
            <w:pPr>
              <w:ind w:left="220"/>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0.31</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(0.11)</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0.54</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0.23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5000" w:type="dxa"/>
            <w:vAlign w:val="bottom"/>
          </w:tcPr>
          <w:p>
            <w:pPr>
              <w:spacing w:after="0"/>
              <w:rPr>
                <w:sz w:val="8"/>
                <w:szCs w:val="8"/>
                <w:color w:val="auto"/>
              </w:rPr>
            </w:pPr>
          </w:p>
        </w:tc>
        <w:tc>
          <w:tcPr>
            <w:tcW w:w="15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2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12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32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vMerge w:val="restart"/>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(loss) per share</w:t>
            </w:r>
          </w:p>
        </w:tc>
        <w:tc>
          <w:tcPr>
            <w:tcW w:w="1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631,118</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623,613</w:t>
            </w: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614,960</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623,934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608,747</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Shares used in computing diluted earnings (loss) per share</w:t>
            </w:r>
          </w:p>
        </w:tc>
        <w:tc>
          <w:tcPr>
            <w:tcW w:w="15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668,623</w:t>
            </w: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659,739</w:t>
            </w:r>
          </w:p>
        </w:tc>
        <w:tc>
          <w:tcPr>
            <w:tcW w:w="1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614,960</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653,741</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630,328</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20" w:type="dxa"/>
            <w:vAlign w:val="bottom"/>
          </w:tcPr>
          <w:p>
            <w:pPr>
              <w:spacing w:after="0"/>
              <w:rPr>
                <w:sz w:val="24"/>
                <w:szCs w:val="24"/>
                <w:color w:val="auto"/>
              </w:rPr>
            </w:pPr>
          </w:p>
        </w:tc>
        <w:tc>
          <w:tcPr>
            <w:tcW w:w="5000" w:type="dxa"/>
            <w:vAlign w:val="bottom"/>
          </w:tcPr>
          <w:p>
            <w:pPr>
              <w:spacing w:after="0"/>
              <w:rPr>
                <w:sz w:val="24"/>
                <w:szCs w:val="24"/>
                <w:color w:val="auto"/>
              </w:rPr>
            </w:pPr>
          </w:p>
        </w:tc>
        <w:tc>
          <w:tcPr>
            <w:tcW w:w="1560" w:type="dxa"/>
            <w:vAlign w:val="bottom"/>
          </w:tcPr>
          <w:p>
            <w:pPr>
              <w:jc w:val="right"/>
              <w:ind w:right="732"/>
              <w:spacing w:after="0"/>
              <w:rPr>
                <w:sz w:val="20"/>
                <w:szCs w:val="20"/>
                <w:color w:val="auto"/>
              </w:rPr>
            </w:pPr>
            <w:r>
              <w:rPr>
                <w:rFonts w:ascii="Arial" w:cs="Arial" w:eastAsia="Arial" w:hAnsi="Arial"/>
                <w:sz w:val="18"/>
                <w:szCs w:val="18"/>
                <w:color w:val="auto"/>
              </w:rPr>
              <w:t>6</w:t>
            </w: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 of GAAP Net Income to Non-GAAP Net Income: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360" w:type="dxa"/>
            <w:vAlign w:val="bottom"/>
            <w:gridSpan w:val="4"/>
          </w:tcPr>
          <w:p>
            <w:pPr>
              <w:jc w:val="right"/>
              <w:ind w:right="100"/>
              <w:spacing w:after="0"/>
              <w:rPr>
                <w:sz w:val="20"/>
                <w:szCs w:val="20"/>
                <w:color w:val="auto"/>
              </w:rPr>
            </w:pPr>
            <w:r>
              <w:rPr>
                <w:rFonts w:ascii="Arial" w:cs="Arial" w:eastAsia="Arial" w:hAnsi="Arial"/>
                <w:sz w:val="14"/>
                <w:szCs w:val="14"/>
                <w:b w:val="1"/>
                <w:bCs w:val="1"/>
                <w:color w:val="auto"/>
                <w:w w:val="89"/>
              </w:rPr>
              <w:t>Three Months Ended</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180" w:type="dxa"/>
            <w:vAlign w:val="bottom"/>
            <w:gridSpan w:val="5"/>
          </w:tcPr>
          <w:p>
            <w:pPr>
              <w:jc w:val="right"/>
              <w:ind w:right="90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8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8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January 30,</w:t>
            </w:r>
          </w:p>
        </w:tc>
        <w:tc>
          <w:tcPr>
            <w:tcW w:w="300" w:type="dxa"/>
            <w:vAlign w:val="bottom"/>
            <w:tcBorders>
              <w:top w:val="single" w:sz="8" w:color="auto"/>
            </w:tcBorders>
          </w:tcPr>
          <w:p>
            <w:pPr>
              <w:spacing w:after="0"/>
              <w:rPr>
                <w:sz w:val="11"/>
                <w:szCs w:val="11"/>
                <w:color w:val="auto"/>
              </w:rPr>
            </w:pPr>
          </w:p>
        </w:tc>
        <w:tc>
          <w:tcPr>
            <w:tcW w:w="10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31,</w:t>
            </w:r>
          </w:p>
        </w:tc>
        <w:tc>
          <w:tcPr>
            <w:tcW w:w="8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January 31,</w:t>
            </w:r>
          </w:p>
        </w:tc>
        <w:tc>
          <w:tcPr>
            <w:tcW w:w="3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60" w:type="dxa"/>
            <w:vAlign w:val="bottom"/>
            <w:tcBorders>
              <w:top w:val="single" w:sz="8" w:color="auto"/>
            </w:tcBorders>
            <w:gridSpan w:val="3"/>
          </w:tcPr>
          <w:p>
            <w:pPr>
              <w:jc w:val="right"/>
              <w:ind w:right="520"/>
              <w:spacing w:after="0" w:line="129" w:lineRule="exact"/>
              <w:rPr>
                <w:sz w:val="20"/>
                <w:szCs w:val="20"/>
                <w:color w:val="auto"/>
              </w:rPr>
            </w:pPr>
            <w:r>
              <w:rPr>
                <w:rFonts w:ascii="Arial" w:cs="Arial" w:eastAsia="Arial" w:hAnsi="Arial"/>
                <w:sz w:val="14"/>
                <w:szCs w:val="14"/>
                <w:b w:val="1"/>
                <w:bCs w:val="1"/>
                <w:color w:val="auto"/>
                <w:w w:val="93"/>
              </w:rPr>
              <w:t>January 30,</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January 31,</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8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2010</w:t>
            </w:r>
          </w:p>
        </w:tc>
        <w:tc>
          <w:tcPr>
            <w:tcW w:w="1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2009</w:t>
            </w:r>
          </w:p>
        </w:tc>
        <w:tc>
          <w:tcPr>
            <w:tcW w:w="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2009</w:t>
            </w:r>
          </w:p>
        </w:tc>
        <w:tc>
          <w:tcPr>
            <w:tcW w:w="3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2010</w:t>
            </w:r>
          </w:p>
        </w:tc>
        <w:tc>
          <w:tcPr>
            <w:tcW w:w="4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2009</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GAAP net income (loss)</w:t>
            </w:r>
          </w:p>
        </w:tc>
        <w:tc>
          <w:tcPr>
            <w:tcW w:w="96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204,821</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6"/>
              </w:rPr>
              <w:t>201,599</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2"/>
              </w:rPr>
              <w:t>(65,010)</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353,456</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147,242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8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30,559</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34,377</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44,701</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126,599</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177,132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8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24,282</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26,450</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48,274</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107,534</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153,323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tcPr>
          <w:p>
            <w:pPr>
              <w:spacing w:after="0"/>
              <w:rPr>
                <w:sz w:val="20"/>
                <w:szCs w:val="20"/>
                <w:color w:val="auto"/>
              </w:rPr>
            </w:pPr>
            <w:r>
              <w:rPr>
                <w:rFonts w:ascii="Arial" w:cs="Arial" w:eastAsia="Arial" w:hAnsi="Arial"/>
                <w:sz w:val="18"/>
                <w:szCs w:val="18"/>
                <w:color w:val="auto"/>
              </w:rPr>
              <w:t xml:space="preserve">Restructuring </w:t>
            </w:r>
            <w:r>
              <w:rPr>
                <w:rFonts w:ascii="Arial" w:cs="Arial" w:eastAsia="Arial" w:hAnsi="Arial"/>
                <w:sz w:val="18"/>
                <w:szCs w:val="18"/>
                <w:i w:val="1"/>
                <w:iCs w:val="1"/>
                <w:color w:val="auto"/>
              </w:rPr>
              <w:t>(b)</w:t>
            </w:r>
          </w:p>
        </w:tc>
        <w:tc>
          <w:tcPr>
            <w:tcW w:w="8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6,452</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1,919</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9,689</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21,663</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9,689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(a)</w:t>
            </w:r>
          </w:p>
        </w:tc>
        <w:tc>
          <w:tcPr>
            <w:tcW w:w="8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2"/>
              </w:rPr>
              <w:t>(32,569)</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(5,292)</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38,229</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(5,292)</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00" w:type="dxa"/>
            <w:vAlign w:val="bottom"/>
          </w:tcPr>
          <w:p>
            <w:pPr>
              <w:spacing w:after="0"/>
              <w:rPr>
                <w:sz w:val="20"/>
                <w:szCs w:val="20"/>
                <w:color w:val="auto"/>
              </w:rPr>
            </w:pPr>
            <w:r>
              <w:rPr>
                <w:rFonts w:ascii="Arial" w:cs="Arial" w:eastAsia="Arial" w:hAnsi="Arial"/>
                <w:sz w:val="18"/>
                <w:szCs w:val="18"/>
                <w:color w:val="auto"/>
              </w:rPr>
              <w:t>Other (b)</w:t>
            </w:r>
          </w:p>
        </w:tc>
        <w:tc>
          <w:tcPr>
            <w:tcW w:w="8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990</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Non-GAAP net income</w:t>
            </w:r>
          </w:p>
        </w:tc>
        <w:tc>
          <w:tcPr>
            <w:tcW w:w="8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266,114</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231,776</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32,362</w:t>
            </w:r>
          </w:p>
        </w:tc>
        <w:tc>
          <w:tcPr>
            <w:tcW w:w="3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648,471</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482,094</w:t>
            </w:r>
          </w:p>
        </w:tc>
        <w:tc>
          <w:tcPr>
            <w:tcW w:w="0" w:type="dxa"/>
            <w:vAlign w:val="bottom"/>
          </w:tcPr>
          <w:p>
            <w:pPr>
              <w:spacing w:after="0"/>
              <w:rPr>
                <w:sz w:val="1"/>
                <w:szCs w:val="1"/>
                <w:color w:val="auto"/>
              </w:rPr>
            </w:pPr>
          </w:p>
        </w:tc>
      </w:tr>
      <w:tr>
        <w:trPr>
          <w:trHeight w:val="20"/>
        </w:trPr>
        <w:tc>
          <w:tcPr>
            <w:tcW w:w="4820" w:type="dxa"/>
            <w:vAlign w:val="bottom"/>
            <w:gridSpan w:val="2"/>
            <w:vMerge w:val="restart"/>
          </w:tcPr>
          <w:p>
            <w:pPr>
              <w:spacing w:after="0"/>
              <w:rPr>
                <w:sz w:val="20"/>
                <w:szCs w:val="20"/>
                <w:color w:val="auto"/>
              </w:rPr>
            </w:pPr>
            <w:r>
              <w:rPr>
                <w:rFonts w:ascii="Arial" w:cs="Arial" w:eastAsia="Arial" w:hAnsi="Arial"/>
                <w:sz w:val="18"/>
                <w:szCs w:val="18"/>
                <w:color w:val="auto"/>
              </w:rPr>
              <w:t>GAAP weighted average shares - diluted</w:t>
            </w:r>
          </w:p>
        </w:tc>
        <w:tc>
          <w:tcPr>
            <w:tcW w:w="8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820" w:type="dxa"/>
            <w:vAlign w:val="bottom"/>
            <w:gridSpan w:val="2"/>
            <w:vMerge w:val="continue"/>
          </w:tcPr>
          <w:p>
            <w:pPr>
              <w:spacing w:after="0"/>
              <w:rPr>
                <w:sz w:val="18"/>
                <w:szCs w:val="18"/>
                <w:color w:val="auto"/>
              </w:rPr>
            </w:pPr>
          </w:p>
        </w:tc>
        <w:tc>
          <w:tcPr>
            <w:tcW w:w="8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668,623</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w w:val="86"/>
              </w:rPr>
              <w:t>659,739</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614,960</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653,741</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630,328</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Non-GAAP adjustment</w:t>
            </w:r>
          </w:p>
        </w:tc>
        <w:tc>
          <w:tcPr>
            <w:tcW w:w="8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3,598</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4,297</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14,032</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3,126</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128</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820" w:type="dxa"/>
            <w:vAlign w:val="bottom"/>
            <w:gridSpan w:val="2"/>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(c)</w:t>
            </w:r>
          </w:p>
        </w:tc>
        <w:tc>
          <w:tcPr>
            <w:tcW w:w="8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672,221</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w w:val="86"/>
              </w:rPr>
              <w:t>664,036</w:t>
            </w: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628,992</w:t>
            </w: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656,867</w:t>
            </w:r>
          </w:p>
        </w:tc>
        <w:tc>
          <w:tcPr>
            <w:tcW w:w="4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630,456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0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GAAP diluted net income (loss) per share</w:t>
            </w:r>
          </w:p>
        </w:tc>
        <w:tc>
          <w:tcPr>
            <w:tcW w:w="8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0.31</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0.31</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(0.11)</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0.54</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0.23</w:t>
            </w:r>
          </w:p>
        </w:tc>
        <w:tc>
          <w:tcPr>
            <w:tcW w:w="0" w:type="dxa"/>
            <w:vAlign w:val="bottom"/>
          </w:tcPr>
          <w:p>
            <w:pPr>
              <w:spacing w:after="0"/>
              <w:rPr>
                <w:sz w:val="1"/>
                <w:szCs w:val="1"/>
                <w:color w:val="auto"/>
              </w:rPr>
            </w:pPr>
          </w:p>
        </w:tc>
      </w:tr>
      <w:tr>
        <w:trPr>
          <w:trHeight w:val="20"/>
        </w:trPr>
        <w:tc>
          <w:tcPr>
            <w:tcW w:w="4820" w:type="dxa"/>
            <w:vAlign w:val="bottom"/>
            <w:gridSpan w:val="2"/>
            <w:vMerge w:val="restart"/>
          </w:tcPr>
          <w:p>
            <w:pPr>
              <w:spacing w:after="0"/>
              <w:rPr>
                <w:sz w:val="20"/>
                <w:szCs w:val="20"/>
                <w:color w:val="auto"/>
              </w:rPr>
            </w:pPr>
            <w:r>
              <w:rPr>
                <w:rFonts w:ascii="Arial" w:cs="Arial" w:eastAsia="Arial" w:hAnsi="Arial"/>
                <w:sz w:val="18"/>
                <w:szCs w:val="18"/>
                <w:color w:val="auto"/>
              </w:rPr>
              <w:t>Non-GAAP diluted net income per share</w:t>
            </w:r>
          </w:p>
        </w:tc>
        <w:tc>
          <w:tcPr>
            <w:tcW w:w="8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820" w:type="dxa"/>
            <w:vAlign w:val="bottom"/>
            <w:gridSpan w:val="2"/>
            <w:vMerge w:val="continue"/>
          </w:tcPr>
          <w:p>
            <w:pPr>
              <w:spacing w:after="0"/>
              <w:rPr>
                <w:sz w:val="18"/>
                <w:szCs w:val="18"/>
                <w:color w:val="auto"/>
              </w:rPr>
            </w:pPr>
          </w:p>
        </w:tc>
        <w:tc>
          <w:tcPr>
            <w:tcW w:w="960" w:type="dxa"/>
            <w:vAlign w:val="bottom"/>
            <w:gridSpan w:val="2"/>
          </w:tcPr>
          <w:p>
            <w:pPr>
              <w:ind w:left="86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0.40</w:t>
            </w:r>
          </w:p>
        </w:tc>
        <w:tc>
          <w:tcPr>
            <w:tcW w:w="180" w:type="dxa"/>
            <w:vAlign w:val="bottom"/>
          </w:tcPr>
          <w:p>
            <w:pPr>
              <w:spacing w:after="0"/>
              <w:rPr>
                <w:sz w:val="18"/>
                <w:szCs w:val="18"/>
                <w:color w:val="auto"/>
              </w:rPr>
            </w:pP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0.35</w:t>
            </w: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0.05</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0.99</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0.76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0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GAAP gross profit:</w:t>
            </w:r>
          </w:p>
        </w:tc>
        <w:tc>
          <w:tcPr>
            <w:tcW w:w="96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502,745</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6"/>
              </w:rPr>
              <w:t>461,481</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260,135</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1,580,591</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1,523,939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8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2,375</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2,389</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3,021</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10,690</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11,644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Other</w:t>
            </w:r>
          </w:p>
        </w:tc>
        <w:tc>
          <w:tcPr>
            <w:tcW w:w="8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990</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820" w:type="dxa"/>
            <w:vAlign w:val="bottom"/>
            <w:gridSpan w:val="2"/>
          </w:tcPr>
          <w:p>
            <w:pPr>
              <w:spacing w:after="0"/>
              <w:rPr>
                <w:sz w:val="20"/>
                <w:szCs w:val="20"/>
                <w:color w:val="auto"/>
              </w:rPr>
            </w:pPr>
            <w:r>
              <w:rPr>
                <w:rFonts w:ascii="Arial" w:cs="Arial" w:eastAsia="Arial" w:hAnsi="Arial"/>
                <w:sz w:val="18"/>
                <w:szCs w:val="18"/>
                <w:color w:val="auto"/>
              </w:rPr>
              <w:t>Non-GAAP gross profit</w:t>
            </w:r>
          </w:p>
        </w:tc>
        <w:tc>
          <w:tcPr>
            <w:tcW w:w="960" w:type="dxa"/>
            <w:vAlign w:val="bottom"/>
            <w:gridSpan w:val="2"/>
          </w:tcPr>
          <w:p>
            <w:pPr>
              <w:ind w:left="86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505,120</w:t>
            </w:r>
          </w:p>
        </w:tc>
        <w:tc>
          <w:tcPr>
            <w:tcW w:w="180" w:type="dxa"/>
            <w:vAlign w:val="bottom"/>
          </w:tcPr>
          <w:p>
            <w:pPr>
              <w:spacing w:after="0"/>
              <w:rPr>
                <w:sz w:val="19"/>
                <w:szCs w:val="19"/>
                <w:color w:val="auto"/>
              </w:rPr>
            </w:pPr>
          </w:p>
        </w:tc>
        <w:tc>
          <w:tcPr>
            <w:tcW w:w="400" w:type="dxa"/>
            <w:vAlign w:val="bottom"/>
            <w:gridSpan w:val="2"/>
          </w:tcPr>
          <w:p>
            <w:pPr>
              <w:ind w:left="300"/>
              <w:spacing w:after="0"/>
              <w:rPr>
                <w:sz w:val="20"/>
                <w:szCs w:val="20"/>
                <w:color w:val="auto"/>
              </w:rPr>
            </w:pPr>
            <w:r>
              <w:rPr>
                <w:rFonts w:ascii="Arial" w:cs="Arial" w:eastAsia="Arial" w:hAnsi="Arial"/>
                <w:sz w:val="18"/>
                <w:szCs w:val="18"/>
                <w:u w:val="single" w:color="auto"/>
                <w:color w:val="auto"/>
                <w:w w:val="79"/>
              </w:rPr>
              <w:t>$</w:t>
            </w: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w w:val="86"/>
              </w:rPr>
              <w:t>463,870</w:t>
            </w: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263,156</w:t>
            </w:r>
          </w:p>
        </w:tc>
        <w:tc>
          <w:tcPr>
            <w:tcW w:w="2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1,592,271</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1,535,583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0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GAAP gross profit as a % of revenue</w:t>
            </w:r>
          </w:p>
        </w:tc>
        <w:tc>
          <w:tcPr>
            <w:tcW w:w="8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59.7%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57.5%</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50.7%</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56.3%</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8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0.3%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0.3%</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0.6%</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320"/>
              <w:spacing w:after="0"/>
              <w:rPr>
                <w:sz w:val="20"/>
                <w:szCs w:val="20"/>
                <w:color w:val="auto"/>
              </w:rPr>
            </w:pPr>
            <w:r>
              <w:rPr>
                <w:rFonts w:ascii="Arial" w:cs="Arial" w:eastAsia="Arial" w:hAnsi="Arial"/>
                <w:sz w:val="18"/>
                <w:szCs w:val="18"/>
                <w:color w:val="auto"/>
              </w:rPr>
              <w:t>0.4%</w:t>
            </w:r>
          </w:p>
        </w:tc>
        <w:tc>
          <w:tcPr>
            <w:tcW w:w="100" w:type="dxa"/>
            <w:vAlign w:val="bottom"/>
          </w:tcPr>
          <w:p>
            <w:pPr>
              <w:spacing w:after="0"/>
              <w:rPr>
                <w:sz w:val="18"/>
                <w:szCs w:val="18"/>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Other</w:t>
            </w:r>
          </w:p>
        </w:tc>
        <w:tc>
          <w:tcPr>
            <w:tcW w:w="8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820" w:type="dxa"/>
            <w:vAlign w:val="bottom"/>
            <w:gridSpan w:val="2"/>
          </w:tcPr>
          <w:p>
            <w:pPr>
              <w:spacing w:after="0"/>
              <w:rPr>
                <w:sz w:val="20"/>
                <w:szCs w:val="20"/>
                <w:color w:val="auto"/>
              </w:rPr>
            </w:pPr>
            <w:r>
              <w:rPr>
                <w:rFonts w:ascii="Arial" w:cs="Arial" w:eastAsia="Arial" w:hAnsi="Arial"/>
                <w:sz w:val="18"/>
                <w:szCs w:val="18"/>
                <w:color w:val="auto"/>
              </w:rPr>
              <w:t>Non-GAAP gross profit</w:t>
            </w:r>
          </w:p>
        </w:tc>
        <w:tc>
          <w:tcPr>
            <w:tcW w:w="8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60.0%</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57.8%</w:t>
            </w: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51.3%</w:t>
            </w: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180" w:type="dxa"/>
            <w:vAlign w:val="bottom"/>
            <w:gridSpan w:val="2"/>
          </w:tcPr>
          <w:p>
            <w:pPr>
              <w:jc w:val="right"/>
              <w:ind w:right="320"/>
              <w:spacing w:after="0"/>
              <w:rPr>
                <w:sz w:val="20"/>
                <w:szCs w:val="20"/>
                <w:color w:val="auto"/>
              </w:rPr>
            </w:pPr>
            <w:r>
              <w:rPr>
                <w:rFonts w:ascii="Arial" w:cs="Arial" w:eastAsia="Arial" w:hAnsi="Arial"/>
                <w:sz w:val="18"/>
                <w:szCs w:val="18"/>
                <w:color w:val="auto"/>
              </w:rPr>
              <w:t>56.7%</w:t>
            </w:r>
          </w:p>
        </w:tc>
        <w:tc>
          <w:tcPr>
            <w:tcW w:w="100" w:type="dxa"/>
            <w:vAlign w:val="bottom"/>
          </w:tcPr>
          <w:p>
            <w:pPr>
              <w:spacing w:after="0"/>
              <w:rPr>
                <w:sz w:val="19"/>
                <w:szCs w:val="19"/>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52.0%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0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GAAP research and development:</w:t>
            </w:r>
          </w:p>
        </w:tc>
        <w:tc>
          <w:tcPr>
            <w:tcW w:w="96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213,024</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6"/>
              </w:rPr>
              <w:t>212,873</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212,861</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828,176</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935,272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8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w w:val="92"/>
              </w:rPr>
              <w:t>(21,702)</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w w:val="92"/>
              </w:rPr>
              <w:t>(24,134)</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w w:val="92"/>
              </w:rPr>
              <w:t>(33,358)</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(89,766)</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w w:val="95"/>
              </w:rPr>
              <w:t>(126,895)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8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(4,342)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(1,338)</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(5,282)</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(15,046)</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(5,282)</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00" w:type="dxa"/>
            <w:vAlign w:val="bottom"/>
          </w:tcPr>
          <w:p>
            <w:pPr>
              <w:ind w:left="420"/>
              <w:spacing w:after="0"/>
              <w:rPr>
                <w:sz w:val="20"/>
                <w:szCs w:val="20"/>
                <w:color w:val="auto"/>
              </w:rPr>
            </w:pPr>
            <w:r>
              <w:rPr>
                <w:rFonts w:ascii="Arial" w:cs="Arial" w:eastAsia="Arial" w:hAnsi="Arial"/>
                <w:sz w:val="18"/>
                <w:szCs w:val="18"/>
                <w:color w:val="auto"/>
              </w:rPr>
              <w:t>Legal/Tax settlement</w:t>
            </w:r>
          </w:p>
        </w:tc>
        <w:tc>
          <w:tcPr>
            <w:tcW w:w="8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3,652</w:t>
            </w: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1,820</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3,652</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Non-GAAP research and development</w:t>
            </w:r>
          </w:p>
        </w:tc>
        <w:tc>
          <w:tcPr>
            <w:tcW w:w="8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186,980</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187,401</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177,873</w:t>
            </w:r>
          </w:p>
        </w:tc>
        <w:tc>
          <w:tcPr>
            <w:tcW w:w="3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725,184</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806,747</w:t>
            </w:r>
          </w:p>
        </w:tc>
        <w:tc>
          <w:tcPr>
            <w:tcW w:w="0" w:type="dxa"/>
            <w:vAlign w:val="bottom"/>
          </w:tcPr>
          <w:p>
            <w:pPr>
              <w:spacing w:after="0"/>
              <w:rPr>
                <w:sz w:val="1"/>
                <w:szCs w:val="1"/>
                <w:color w:val="auto"/>
              </w:rPr>
            </w:pPr>
          </w:p>
        </w:tc>
      </w:tr>
      <w:tr>
        <w:trPr>
          <w:trHeight w:val="20"/>
        </w:trPr>
        <w:tc>
          <w:tcPr>
            <w:tcW w:w="4820" w:type="dxa"/>
            <w:vAlign w:val="bottom"/>
            <w:gridSpan w:val="2"/>
            <w:vMerge w:val="restart"/>
          </w:tcPr>
          <w:p>
            <w:pPr>
              <w:spacing w:after="0"/>
              <w:rPr>
                <w:sz w:val="20"/>
                <w:szCs w:val="20"/>
                <w:color w:val="auto"/>
              </w:rPr>
            </w:pPr>
            <w:r>
              <w:rPr>
                <w:rFonts w:ascii="Arial" w:cs="Arial" w:eastAsia="Arial" w:hAnsi="Arial"/>
                <w:sz w:val="18"/>
                <w:szCs w:val="18"/>
                <w:color w:val="auto"/>
              </w:rPr>
              <w:t>GAAP selling and marketing:</w:t>
            </w:r>
          </w:p>
        </w:tc>
        <w:tc>
          <w:tcPr>
            <w:tcW w:w="8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820" w:type="dxa"/>
            <w:vAlign w:val="bottom"/>
            <w:gridSpan w:val="2"/>
            <w:vMerge w:val="continue"/>
          </w:tcPr>
          <w:p>
            <w:pPr>
              <w:spacing w:after="0"/>
              <w:rPr>
                <w:sz w:val="18"/>
                <w:szCs w:val="18"/>
                <w:color w:val="auto"/>
              </w:rPr>
            </w:pPr>
          </w:p>
        </w:tc>
        <w:tc>
          <w:tcPr>
            <w:tcW w:w="960" w:type="dxa"/>
            <w:vAlign w:val="bottom"/>
            <w:gridSpan w:val="2"/>
          </w:tcPr>
          <w:p>
            <w:pPr>
              <w:ind w:left="86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37,144</w:t>
            </w:r>
          </w:p>
        </w:tc>
        <w:tc>
          <w:tcPr>
            <w:tcW w:w="180" w:type="dxa"/>
            <w:vAlign w:val="bottom"/>
          </w:tcPr>
          <w:p>
            <w:pPr>
              <w:spacing w:after="0"/>
              <w:rPr>
                <w:sz w:val="18"/>
                <w:szCs w:val="18"/>
                <w:color w:val="auto"/>
              </w:rPr>
            </w:pP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35,442</w:t>
            </w: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32,623</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139,404</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161,703</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8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(3,841)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(4,087)</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(4,677)</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(15,298)</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(25,080)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8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(51)</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(730)</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(1,838)</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(730)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Legal/Tax settlement</w:t>
            </w:r>
          </w:p>
        </w:tc>
        <w:tc>
          <w:tcPr>
            <w:tcW w:w="8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1,323</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659</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1,323</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820" w:type="dxa"/>
            <w:vAlign w:val="bottom"/>
            <w:gridSpan w:val="2"/>
          </w:tcPr>
          <w:p>
            <w:pPr>
              <w:spacing w:after="0"/>
              <w:rPr>
                <w:sz w:val="20"/>
                <w:szCs w:val="20"/>
                <w:color w:val="auto"/>
              </w:rPr>
            </w:pPr>
            <w:r>
              <w:rPr>
                <w:rFonts w:ascii="Arial" w:cs="Arial" w:eastAsia="Arial" w:hAnsi="Arial"/>
                <w:sz w:val="18"/>
                <w:szCs w:val="18"/>
                <w:color w:val="auto"/>
              </w:rPr>
              <w:t>Non-GAAP selling and marketing</w:t>
            </w:r>
          </w:p>
        </w:tc>
        <w:tc>
          <w:tcPr>
            <w:tcW w:w="960" w:type="dxa"/>
            <w:vAlign w:val="bottom"/>
            <w:gridSpan w:val="2"/>
          </w:tcPr>
          <w:p>
            <w:pPr>
              <w:ind w:left="86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33,304</w:t>
            </w:r>
          </w:p>
        </w:tc>
        <w:tc>
          <w:tcPr>
            <w:tcW w:w="180" w:type="dxa"/>
            <w:vAlign w:val="bottom"/>
          </w:tcPr>
          <w:p>
            <w:pPr>
              <w:spacing w:after="0"/>
              <w:rPr>
                <w:sz w:val="19"/>
                <w:szCs w:val="19"/>
                <w:color w:val="auto"/>
              </w:rPr>
            </w:pP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31,304</w:t>
            </w: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28,539</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122,927</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137,216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0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GAAP general and administrative:</w:t>
            </w:r>
          </w:p>
        </w:tc>
        <w:tc>
          <w:tcPr>
            <w:tcW w:w="96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22,506</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16,660</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35,656</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171,362</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108,465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8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(2,641)</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(3,767)</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(3,645)</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(10,845)</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(13,513)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8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(2,111)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(530)</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(3,677)</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(4,779)</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(3,677)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tcPr>
          <w:p>
            <w:pPr>
              <w:ind w:left="420"/>
              <w:spacing w:after="0"/>
              <w:rPr>
                <w:sz w:val="20"/>
                <w:szCs w:val="20"/>
                <w:color w:val="auto"/>
              </w:rPr>
            </w:pPr>
            <w:r>
              <w:rPr>
                <w:rFonts w:ascii="Arial" w:cs="Arial" w:eastAsia="Arial" w:hAnsi="Arial"/>
                <w:sz w:val="18"/>
                <w:szCs w:val="18"/>
                <w:color w:val="auto"/>
              </w:rPr>
              <w:t>Legal/Tax settlement</w:t>
            </w:r>
          </w:p>
        </w:tc>
        <w:tc>
          <w:tcPr>
            <w:tcW w:w="8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317</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(71,842)</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317</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8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Non-GAAP general and administrative</w:t>
            </w:r>
          </w:p>
        </w:tc>
        <w:tc>
          <w:tcPr>
            <w:tcW w:w="8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17,754</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12,363</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28,651</w:t>
            </w:r>
          </w:p>
        </w:tc>
        <w:tc>
          <w:tcPr>
            <w:tcW w:w="3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83,896</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91,592</w:t>
            </w:r>
          </w:p>
        </w:tc>
        <w:tc>
          <w:tcPr>
            <w:tcW w:w="0" w:type="dxa"/>
            <w:vAlign w:val="bottom"/>
          </w:tcPr>
          <w:p>
            <w:pPr>
              <w:spacing w:after="0"/>
              <w:rPr>
                <w:sz w:val="1"/>
                <w:szCs w:val="1"/>
                <w:color w:val="auto"/>
              </w:rPr>
            </w:pPr>
          </w:p>
        </w:tc>
      </w:tr>
      <w:tr>
        <w:trPr>
          <w:trHeight w:val="20"/>
        </w:trPr>
        <w:tc>
          <w:tcPr>
            <w:tcW w:w="4820" w:type="dxa"/>
            <w:vAlign w:val="bottom"/>
            <w:gridSpan w:val="2"/>
            <w:vMerge w:val="restart"/>
          </w:tcPr>
          <w:p>
            <w:pPr>
              <w:spacing w:after="0"/>
              <w:rPr>
                <w:sz w:val="20"/>
                <w:szCs w:val="20"/>
                <w:color w:val="auto"/>
              </w:rPr>
            </w:pPr>
            <w:r>
              <w:rPr>
                <w:rFonts w:ascii="Arial" w:cs="Arial" w:eastAsia="Arial" w:hAnsi="Arial"/>
                <w:sz w:val="18"/>
                <w:szCs w:val="18"/>
                <w:color w:val="auto"/>
              </w:rPr>
              <w:t>GAAP provision (benefit) for income taxes:</w:t>
            </w:r>
          </w:p>
        </w:tc>
        <w:tc>
          <w:tcPr>
            <w:tcW w:w="8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820" w:type="dxa"/>
            <w:vAlign w:val="bottom"/>
            <w:gridSpan w:val="2"/>
            <w:vMerge w:val="continue"/>
          </w:tcPr>
          <w:p>
            <w:pPr>
              <w:spacing w:after="0"/>
              <w:rPr>
                <w:sz w:val="18"/>
                <w:szCs w:val="18"/>
                <w:color w:val="auto"/>
              </w:rPr>
            </w:pPr>
          </w:p>
        </w:tc>
        <w:tc>
          <w:tcPr>
            <w:tcW w:w="960" w:type="dxa"/>
            <w:vAlign w:val="bottom"/>
            <w:gridSpan w:val="2"/>
          </w:tcPr>
          <w:p>
            <w:pPr>
              <w:ind w:left="86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11,217</w:t>
            </w:r>
          </w:p>
        </w:tc>
        <w:tc>
          <w:tcPr>
            <w:tcW w:w="180" w:type="dxa"/>
            <w:vAlign w:val="bottom"/>
          </w:tcPr>
          <w:p>
            <w:pPr>
              <w:spacing w:after="0"/>
              <w:rPr>
                <w:sz w:val="18"/>
                <w:szCs w:val="18"/>
                <w:color w:val="auto"/>
              </w:rPr>
            </w:pP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w w:val="92"/>
              </w:rPr>
              <w:t>(32,916)</w:t>
            </w: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(4,709)</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(10,346)</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23,591</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Tax reserve reversal</w:t>
            </w:r>
          </w:p>
        </w:tc>
        <w:tc>
          <w:tcPr>
            <w:tcW w:w="8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27,317</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27,317</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00" w:type="dxa"/>
            <w:vAlign w:val="bottom"/>
          </w:tcPr>
          <w:p>
            <w:pPr>
              <w:ind w:left="420"/>
              <w:spacing w:after="0"/>
              <w:rPr>
                <w:sz w:val="20"/>
                <w:szCs w:val="20"/>
                <w:color w:val="auto"/>
              </w:rPr>
            </w:pPr>
            <w:r>
              <w:rPr>
                <w:rFonts w:ascii="Arial" w:cs="Arial" w:eastAsia="Arial" w:hAnsi="Arial"/>
                <w:sz w:val="18"/>
                <w:szCs w:val="18"/>
                <w:color w:val="auto"/>
              </w:rPr>
              <w:t>Income tax payable adjustment</w:t>
            </w:r>
          </w:p>
        </w:tc>
        <w:tc>
          <w:tcPr>
            <w:tcW w:w="8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5,252</w:t>
            </w:r>
          </w:p>
        </w:tc>
        <w:tc>
          <w:tcPr>
            <w:tcW w:w="3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5,252</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00" w:type="dxa"/>
            <w:vAlign w:val="bottom"/>
            <w:shd w:val="clear" w:color="auto" w:fill="CCEEFF"/>
          </w:tcPr>
          <w:p>
            <w:pPr>
              <w:spacing w:after="0"/>
              <w:rPr>
                <w:sz w:val="20"/>
                <w:szCs w:val="20"/>
                <w:color w:val="auto"/>
              </w:rPr>
            </w:pPr>
            <w:r>
              <w:rPr>
                <w:rFonts w:ascii="Arial" w:cs="Arial" w:eastAsia="Arial" w:hAnsi="Arial"/>
                <w:sz w:val="18"/>
                <w:szCs w:val="18"/>
                <w:color w:val="auto"/>
              </w:rPr>
              <w:t>Non-GAAP provision (benefit) for income taxes</w:t>
            </w:r>
          </w:p>
        </w:tc>
        <w:tc>
          <w:tcPr>
            <w:tcW w:w="96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11,217</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(347)</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(4,709)</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22,223</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23,591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0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128905</wp:posOffset>
            </wp:positionV>
            <wp:extent cx="72898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15" w:lineRule="exact"/>
        <w:rPr>
          <w:sz w:val="20"/>
          <w:szCs w:val="20"/>
          <w:color w:val="auto"/>
        </w:rPr>
      </w:pPr>
    </w:p>
    <w:p>
      <w:pPr>
        <w:ind w:left="460" w:right="40" w:hanging="452"/>
        <w:spacing w:after="0" w:line="283" w:lineRule="auto"/>
        <w:tabs>
          <w:tab w:leader="none" w:pos="460"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Fiscal quarter ended October 31, 2009 includes a $27.3 million benefit as a result of the expiration of the statute of limitations related to a tax contingency reserve. In addition, a $5.3 million income tax benefit was recorded relating to the true-up of a prior year deferred tax asset. Fiscal quarter ended January 31, 2009 includes the reversal of remaining payroll related tax liabilities initially recorded in prior years in connection with the Company’s historic stock option granting practices. The year ended January 30, 2010 includes the $72 million charge taken in fiscal Q1’10 in connection with the settlement of the class action litigation and the net impact from Q2’10 of our payroll related settlement with IRS related to our historical stock option granting practices.</w:t>
      </w:r>
    </w:p>
    <w:p>
      <w:pPr>
        <w:spacing w:after="0" w:line="2" w:lineRule="exact"/>
        <w:rPr>
          <w:rFonts w:ascii="Arial" w:cs="Arial" w:eastAsia="Arial" w:hAnsi="Arial"/>
          <w:sz w:val="16"/>
          <w:szCs w:val="16"/>
          <w:i w:val="1"/>
          <w:iCs w:val="1"/>
          <w:color w:val="auto"/>
        </w:rPr>
      </w:pPr>
    </w:p>
    <w:p>
      <w:pPr>
        <w:ind w:left="460" w:right="400" w:hanging="452"/>
        <w:spacing w:after="0" w:line="250"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Amount represents restructuring related costs including severance costs from reductions in force, asset impairment charges and facilities consolidation charges.</w:t>
      </w:r>
    </w:p>
    <w:p>
      <w:pPr>
        <w:jc w:val="both"/>
        <w:ind w:left="460" w:right="360" w:hanging="452"/>
        <w:spacing w:after="0" w:line="255"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For purposes of calculating non-GAAP diluted net income per share, the GAAP diluted weighted average shares outstanding is adjusted to exclude the benefits of SFAS 123R compensation costs attributable to future services and not yet recognized in the financial statements that are treated as proceeds assumed to be used to repurchase shares under the GAAP treasury method.</w:t>
      </w:r>
    </w:p>
    <w:p>
      <w:pPr>
        <w:sectPr>
          <w:pgSz w:w="11900" w:h="16838" w:orient="portrait"/>
          <w:cols w:equalWidth="0" w:num="1">
            <w:col w:w="11420"/>
          </w:cols>
          <w:pgMar w:left="240" w:top="274" w:right="239" w:bottom="1440" w:gutter="0" w:footer="0" w:header="0"/>
        </w:sectPr>
      </w:pP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4"/>
          <w:szCs w:val="14"/>
          <w:color w:val="auto"/>
        </w:rPr>
        <w:t>7</w:t>
      </w:r>
    </w:p>
    <w:p>
      <w:pPr>
        <w:sectPr>
          <w:pgSz w:w="11900" w:h="16838" w:orient="portrait"/>
          <w:cols w:equalWidth="0" w:num="1">
            <w:col w:w="11420"/>
          </w:cols>
          <w:pgMar w:left="240" w:top="274" w:right="239" w:bottom="1440" w:gutter="0" w:footer="0" w:header="0"/>
          <w:type w:val="continuous"/>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12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w w:val="93"/>
              </w:rPr>
              <w:t>January 30,</w:t>
            </w:r>
          </w:p>
        </w:tc>
        <w:tc>
          <w:tcPr>
            <w:tcW w:w="90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w w:val="93"/>
              </w:rPr>
              <w:t>January 31,</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4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assets:</w:t>
            </w:r>
          </w:p>
        </w:tc>
        <w:tc>
          <w:tcPr>
            <w:tcW w:w="4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cash equivalents, and short-term investments</w:t>
            </w:r>
          </w:p>
        </w:tc>
        <w:tc>
          <w:tcPr>
            <w:tcW w:w="4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1,796,717</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951,909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Accounts receivable, net</w:t>
            </w:r>
          </w:p>
        </w:tc>
        <w:tc>
          <w:tcPr>
            <w:tcW w:w="4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356,796</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222,101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Inventories</w:t>
            </w:r>
          </w:p>
        </w:tc>
        <w:tc>
          <w:tcPr>
            <w:tcW w:w="4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241,541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310,654</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Prepaid expenses and other current assets</w:t>
            </w:r>
          </w:p>
        </w:tc>
        <w:tc>
          <w:tcPr>
            <w:tcW w:w="45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70,491</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75,651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current assets</w:t>
            </w:r>
          </w:p>
        </w:tc>
        <w:tc>
          <w:tcPr>
            <w:tcW w:w="4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2,465,545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1,560,315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342,497</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390,853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34,281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40,541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2,176,763</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2,284,164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5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151,854</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138,327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assets</w:t>
            </w:r>
          </w:p>
        </w:tc>
        <w:tc>
          <w:tcPr>
            <w:tcW w:w="46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5,170,940</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4,414,200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840" w:type="dxa"/>
            <w:vAlign w:val="bottom"/>
          </w:tcPr>
          <w:p>
            <w:pPr>
              <w:spacing w:after="0"/>
              <w:rPr>
                <w:sz w:val="8"/>
                <w:szCs w:val="8"/>
                <w:color w:val="auto"/>
              </w:rPr>
            </w:pPr>
          </w:p>
        </w:tc>
        <w:tc>
          <w:tcPr>
            <w:tcW w:w="454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liabilities:</w:t>
            </w:r>
          </w:p>
        </w:tc>
        <w:tc>
          <w:tcPr>
            <w:tcW w:w="4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Accounts payable</w:t>
            </w:r>
          </w:p>
        </w:tc>
        <w:tc>
          <w:tcPr>
            <w:tcW w:w="4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277,405</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139,028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Accrued liabilities</w:t>
            </w:r>
          </w:p>
        </w:tc>
        <w:tc>
          <w:tcPr>
            <w:tcW w:w="4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207,877</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175,135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Income taxes payable</w:t>
            </w:r>
          </w:p>
        </w:tc>
        <w:tc>
          <w:tcPr>
            <w:tcW w:w="4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19,992</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35,803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Deferred income</w:t>
            </w:r>
          </w:p>
        </w:tc>
        <w:tc>
          <w:tcPr>
            <w:tcW w:w="4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59,396</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57,895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Current portion of capital lease obligations</w:t>
            </w:r>
          </w:p>
        </w:tc>
        <w:tc>
          <w:tcPr>
            <w:tcW w:w="45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1,940</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current liabilities</w:t>
            </w:r>
          </w:p>
        </w:tc>
        <w:tc>
          <w:tcPr>
            <w:tcW w:w="4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566,610</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409,648</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Capital lease obligations, net of current portion</w:t>
            </w:r>
          </w:p>
        </w:tc>
        <w:tc>
          <w:tcPr>
            <w:tcW w:w="4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511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2,451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45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185,840</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173,034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liabilities</w:t>
            </w:r>
          </w:p>
        </w:tc>
        <w:tc>
          <w:tcPr>
            <w:tcW w:w="4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752,961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585,133</w:t>
            </w:r>
          </w:p>
        </w:tc>
        <w:tc>
          <w:tcPr>
            <w:tcW w:w="0" w:type="dxa"/>
            <w:vAlign w:val="bottom"/>
          </w:tcPr>
          <w:p>
            <w:pPr>
              <w:spacing w:after="0"/>
              <w:rPr>
                <w:sz w:val="1"/>
                <w:szCs w:val="1"/>
                <w:color w:val="auto"/>
              </w:rPr>
            </w:pPr>
          </w:p>
        </w:tc>
      </w:tr>
      <w:tr>
        <w:trPr>
          <w:trHeight w:val="330"/>
        </w:trPr>
        <w:tc>
          <w:tcPr>
            <w:tcW w:w="4860" w:type="dxa"/>
            <w:vAlign w:val="bottom"/>
            <w:gridSpan w:val="2"/>
          </w:tcPr>
          <w:p>
            <w:pPr>
              <w:spacing w:after="0"/>
              <w:rPr>
                <w:sz w:val="20"/>
                <w:szCs w:val="20"/>
                <w:color w:val="auto"/>
              </w:rPr>
            </w:pPr>
            <w:r>
              <w:rPr>
                <w:rFonts w:ascii="Arial" w:cs="Arial" w:eastAsia="Arial" w:hAnsi="Arial"/>
                <w:sz w:val="18"/>
                <w:szCs w:val="18"/>
                <w:color w:val="auto"/>
              </w:rPr>
              <w:t>Shareholders’ equity:</w:t>
            </w:r>
          </w:p>
        </w:tc>
        <w:tc>
          <w:tcPr>
            <w:tcW w:w="4540" w:type="dxa"/>
            <w:vAlign w:val="bottom"/>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720" w:type="dxa"/>
            <w:vAlign w:val="bottom"/>
            <w:tcBorders>
              <w:top w:val="single" w:sz="8" w:color="auto"/>
            </w:tcBorders>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72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Common stock</w:t>
            </w:r>
          </w:p>
        </w:tc>
        <w:tc>
          <w:tcPr>
            <w:tcW w:w="4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1,277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Additional paid-in capital</w:t>
            </w:r>
          </w:p>
        </w:tc>
        <w:tc>
          <w:tcPr>
            <w:tcW w:w="4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4,607,844</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4,372,265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Accumulated other comprehensive loss</w:t>
            </w:r>
          </w:p>
        </w:tc>
        <w:tc>
          <w:tcPr>
            <w:tcW w:w="4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(885)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(718)</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Accumulated deficit</w:t>
            </w:r>
          </w:p>
        </w:tc>
        <w:tc>
          <w:tcPr>
            <w:tcW w:w="4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(190,257)</w:t>
            </w:r>
          </w:p>
        </w:tc>
        <w:tc>
          <w:tcPr>
            <w:tcW w:w="80" w:type="dxa"/>
            <w:vAlign w:val="bottom"/>
          </w:tcPr>
          <w:p>
            <w:pPr>
              <w:spacing w:after="0"/>
              <w:rPr>
                <w:sz w:val="19"/>
                <w:szCs w:val="19"/>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(543,713)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shareholders’ equity</w:t>
            </w:r>
          </w:p>
        </w:tc>
        <w:tc>
          <w:tcPr>
            <w:tcW w:w="454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4,417,979</w:t>
            </w: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3,829,067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liabilities and shareholders’ equity</w:t>
            </w:r>
          </w:p>
        </w:tc>
        <w:tc>
          <w:tcPr>
            <w:tcW w:w="46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5,170,940</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4,414,200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540" w:type="dxa"/>
            <w:vAlign w:val="bottom"/>
            <w:vMerge w:val="restart"/>
          </w:tcPr>
          <w:p>
            <w:pPr>
              <w:jc w:val="right"/>
              <w:ind w:right="3552"/>
              <w:spacing w:after="0"/>
              <w:rPr>
                <w:sz w:val="20"/>
                <w:szCs w:val="20"/>
                <w:color w:val="auto"/>
              </w:rPr>
            </w:pPr>
            <w:r>
              <w:rPr>
                <w:rFonts w:ascii="Arial" w:cs="Arial" w:eastAsia="Arial" w:hAnsi="Arial"/>
                <w:sz w:val="18"/>
                <w:szCs w:val="18"/>
                <w:color w:val="auto"/>
              </w:rPr>
              <w:t>8</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4840" w:type="dxa"/>
            <w:vAlign w:val="bottom"/>
          </w:tcPr>
          <w:p>
            <w:pPr>
              <w:spacing w:after="0"/>
              <w:rPr>
                <w:sz w:val="24"/>
                <w:szCs w:val="24"/>
                <w:color w:val="auto"/>
              </w:rPr>
            </w:pPr>
          </w:p>
        </w:tc>
        <w:tc>
          <w:tcPr>
            <w:tcW w:w="454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8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860" w:type="dxa"/>
            <w:vAlign w:val="bottom"/>
            <w:gridSpan w:val="5"/>
          </w:tcPr>
          <w:p>
            <w:pPr>
              <w:jc w:val="right"/>
              <w:ind w:right="68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240" w:type="dxa"/>
            <w:vAlign w:val="bottom"/>
          </w:tcPr>
          <w:p>
            <w:pPr>
              <w:spacing w:after="0"/>
              <w:rPr>
                <w:sz w:val="11"/>
                <w:szCs w:val="11"/>
                <w:color w:val="auto"/>
              </w:rPr>
            </w:pPr>
          </w:p>
        </w:tc>
        <w:tc>
          <w:tcPr>
            <w:tcW w:w="1100" w:type="dxa"/>
            <w:vAlign w:val="bottom"/>
            <w:tcBorders>
              <w:top w:val="single" w:sz="8" w:color="auto"/>
            </w:tcBorders>
            <w:gridSpan w:val="3"/>
          </w:tcPr>
          <w:p>
            <w:pPr>
              <w:jc w:val="right"/>
              <w:ind w:right="360"/>
              <w:spacing w:after="0" w:line="129" w:lineRule="exact"/>
              <w:rPr>
                <w:sz w:val="20"/>
                <w:szCs w:val="20"/>
                <w:color w:val="auto"/>
              </w:rPr>
            </w:pPr>
            <w:r>
              <w:rPr>
                <w:rFonts w:ascii="Arial" w:cs="Arial" w:eastAsia="Arial" w:hAnsi="Arial"/>
                <w:sz w:val="14"/>
                <w:szCs w:val="14"/>
                <w:b w:val="1"/>
                <w:bCs w:val="1"/>
                <w:color w:val="auto"/>
                <w:w w:val="93"/>
              </w:rPr>
              <w:t>January 30,</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January 31,</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gridSpan w:val="3"/>
          </w:tcPr>
          <w:p>
            <w:pPr>
              <w:jc w:val="right"/>
              <w:ind w:right="240"/>
              <w:spacing w:after="0" w:line="129" w:lineRule="exact"/>
              <w:rPr>
                <w:sz w:val="20"/>
                <w:szCs w:val="20"/>
                <w:color w:val="auto"/>
              </w:rPr>
            </w:pPr>
            <w:r>
              <w:rPr>
                <w:rFonts w:ascii="Arial" w:cs="Arial" w:eastAsia="Arial" w:hAnsi="Arial"/>
                <w:sz w:val="14"/>
                <w:szCs w:val="14"/>
                <w:b w:val="1"/>
                <w:bCs w:val="1"/>
                <w:color w:val="auto"/>
                <w:w w:val="93"/>
              </w:rPr>
              <w:t>January 30,</w:t>
            </w:r>
          </w:p>
        </w:tc>
        <w:tc>
          <w:tcPr>
            <w:tcW w:w="12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8"/>
              </w:rPr>
              <w:t>January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173"/>
              <w:spacing w:after="0"/>
              <w:rPr>
                <w:sz w:val="20"/>
                <w:szCs w:val="20"/>
                <w:color w:val="auto"/>
              </w:rPr>
            </w:pPr>
            <w:r>
              <w:rPr>
                <w:rFonts w:ascii="Arial" w:cs="Arial" w:eastAsia="Arial" w:hAnsi="Arial"/>
                <w:sz w:val="14"/>
                <w:szCs w:val="14"/>
                <w:b w:val="1"/>
                <w:bCs w:val="1"/>
                <w:color w:val="auto"/>
              </w:rPr>
              <w:t>2010</w:t>
            </w: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173"/>
              <w:spacing w:after="0"/>
              <w:rPr>
                <w:sz w:val="20"/>
                <w:szCs w:val="20"/>
                <w:color w:val="auto"/>
              </w:rPr>
            </w:pPr>
            <w:r>
              <w:rPr>
                <w:rFonts w:ascii="Arial" w:cs="Arial" w:eastAsia="Arial" w:hAnsi="Arial"/>
                <w:sz w:val="14"/>
                <w:szCs w:val="14"/>
                <w:b w:val="1"/>
                <w:bCs w:val="1"/>
                <w:color w:val="auto"/>
              </w:rPr>
              <w:t>2009</w:t>
            </w: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jc w:val="right"/>
              <w:ind w:right="193"/>
              <w:spacing w:after="0"/>
              <w:rPr>
                <w:sz w:val="20"/>
                <w:szCs w:val="20"/>
                <w:color w:val="auto"/>
              </w:rPr>
            </w:pPr>
            <w:r>
              <w:rPr>
                <w:rFonts w:ascii="Arial" w:cs="Arial" w:eastAsia="Arial" w:hAnsi="Arial"/>
                <w:sz w:val="14"/>
                <w:szCs w:val="14"/>
                <w:b w:val="1"/>
                <w:bCs w:val="1"/>
                <w:color w:val="auto"/>
              </w:rPr>
              <w:t>2010</w:t>
            </w:r>
          </w:p>
        </w:tc>
        <w:tc>
          <w:tcPr>
            <w:tcW w:w="180" w:type="dxa"/>
            <w:vAlign w:val="bottom"/>
          </w:tcPr>
          <w:p>
            <w:pPr>
              <w:spacing w:after="0"/>
              <w:rPr>
                <w:sz w:val="14"/>
                <w:szCs w:val="14"/>
                <w:color w:val="auto"/>
              </w:rPr>
            </w:pPr>
          </w:p>
        </w:tc>
        <w:tc>
          <w:tcPr>
            <w:tcW w:w="860" w:type="dxa"/>
            <w:vAlign w:val="bottom"/>
            <w:gridSpan w:val="2"/>
          </w:tcPr>
          <w:p>
            <w:pPr>
              <w:jc w:val="right"/>
              <w:ind w:right="157"/>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operating activities:</w:t>
            </w: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spacing w:after="0"/>
              <w:rPr>
                <w:sz w:val="20"/>
                <w:szCs w:val="20"/>
                <w:color w:val="auto"/>
              </w:rPr>
            </w:pPr>
            <w:r>
              <w:rPr>
                <w:rFonts w:ascii="Arial" w:cs="Arial" w:eastAsia="Arial" w:hAnsi="Arial"/>
                <w:sz w:val="18"/>
                <w:szCs w:val="18"/>
                <w:color w:val="auto"/>
              </w:rPr>
              <w:t>Net income (loss)</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gridSpan w:val="2"/>
          </w:tcPr>
          <w:p>
            <w:pPr>
              <w:jc w:val="right"/>
              <w:ind w:right="300"/>
              <w:spacing w:after="0"/>
              <w:rPr>
                <w:sz w:val="20"/>
                <w:szCs w:val="20"/>
                <w:color w:val="auto"/>
              </w:rPr>
            </w:pPr>
            <w:r>
              <w:rPr>
                <w:rFonts w:ascii="Arial" w:cs="Arial" w:eastAsia="Arial" w:hAnsi="Arial"/>
                <w:sz w:val="18"/>
                <w:szCs w:val="18"/>
                <w:color w:val="auto"/>
              </w:rPr>
              <w:t>204,821</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(65,010)</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353,456</w:t>
            </w:r>
          </w:p>
        </w:tc>
        <w:tc>
          <w:tcPr>
            <w:tcW w:w="180" w:type="dxa"/>
            <w:vAlign w:val="bottom"/>
          </w:tcPr>
          <w:p>
            <w:pPr>
              <w:spacing w:after="0"/>
              <w:rPr>
                <w:sz w:val="18"/>
                <w:szCs w:val="18"/>
                <w:color w:val="auto"/>
              </w:rPr>
            </w:pP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$ 147,242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100" w:type="dxa"/>
            <w:vAlign w:val="bottom"/>
          </w:tcPr>
          <w:p>
            <w:pPr>
              <w:spacing w:after="0"/>
              <w:rPr>
                <w:sz w:val="18"/>
                <w:szCs w:val="18"/>
                <w:color w:val="auto"/>
              </w:rPr>
            </w:pPr>
          </w:p>
        </w:tc>
        <w:tc>
          <w:tcPr>
            <w:tcW w:w="1000" w:type="dxa"/>
            <w:vAlign w:val="bottom"/>
            <w:gridSpan w:val="2"/>
          </w:tcPr>
          <w:p>
            <w:pPr>
              <w:jc w:val="right"/>
              <w:ind w:right="300"/>
              <w:spacing w:after="0"/>
              <w:rPr>
                <w:sz w:val="20"/>
                <w:szCs w:val="20"/>
                <w:color w:val="auto"/>
              </w:rPr>
            </w:pPr>
            <w:r>
              <w:rPr>
                <w:rFonts w:ascii="Arial" w:cs="Arial" w:eastAsia="Arial" w:hAnsi="Arial"/>
                <w:sz w:val="18"/>
                <w:szCs w:val="18"/>
                <w:color w:val="auto"/>
              </w:rPr>
              <w:t>24,238</w:t>
            </w: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27,038</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99,214</w:t>
            </w:r>
          </w:p>
        </w:tc>
        <w:tc>
          <w:tcPr>
            <w:tcW w:w="180" w:type="dxa"/>
            <w:vAlign w:val="bottom"/>
          </w:tcPr>
          <w:p>
            <w:pPr>
              <w:spacing w:after="0"/>
              <w:rPr>
                <w:sz w:val="18"/>
                <w:szCs w:val="18"/>
                <w:color w:val="auto"/>
              </w:rPr>
            </w:pP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112,824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30,559</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44,701</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126,599</w:t>
            </w:r>
          </w:p>
        </w:tc>
        <w:tc>
          <w:tcPr>
            <w:tcW w:w="1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177,132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tcPr>
          <w:p>
            <w:pPr>
              <w:spacing w:after="0"/>
              <w:rPr>
                <w:sz w:val="18"/>
                <w:szCs w:val="18"/>
                <w:color w:val="auto"/>
              </w:rPr>
            </w:pPr>
          </w:p>
        </w:tc>
        <w:tc>
          <w:tcPr>
            <w:tcW w:w="1000" w:type="dxa"/>
            <w:vAlign w:val="bottom"/>
            <w:gridSpan w:val="2"/>
          </w:tcPr>
          <w:p>
            <w:pPr>
              <w:jc w:val="right"/>
              <w:ind w:right="300"/>
              <w:spacing w:after="0"/>
              <w:rPr>
                <w:sz w:val="20"/>
                <w:szCs w:val="20"/>
                <w:color w:val="auto"/>
              </w:rPr>
            </w:pPr>
            <w:r>
              <w:rPr>
                <w:rFonts w:ascii="Arial" w:cs="Arial" w:eastAsia="Arial" w:hAnsi="Arial"/>
                <w:sz w:val="18"/>
                <w:szCs w:val="18"/>
                <w:color w:val="auto"/>
              </w:rPr>
              <w:t>24,282</w:t>
            </w: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48,274</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107,534</w:t>
            </w:r>
          </w:p>
        </w:tc>
        <w:tc>
          <w:tcPr>
            <w:tcW w:w="180" w:type="dxa"/>
            <w:vAlign w:val="bottom"/>
          </w:tcPr>
          <w:p>
            <w:pPr>
              <w:spacing w:after="0"/>
              <w:rPr>
                <w:sz w:val="18"/>
                <w:szCs w:val="18"/>
                <w:color w:val="auto"/>
              </w:rPr>
            </w:pP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153,323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Gain from sale of equity investment</w:t>
            </w: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(4,938)</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(4,938)</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20"/>
              <w:spacing w:after="0"/>
              <w:rPr>
                <w:sz w:val="20"/>
                <w:szCs w:val="20"/>
                <w:color w:val="auto"/>
              </w:rPr>
            </w:pPr>
            <w:r>
              <w:rPr>
                <w:rFonts w:ascii="Arial" w:cs="Arial" w:eastAsia="Arial" w:hAnsi="Arial"/>
                <w:sz w:val="18"/>
                <w:szCs w:val="18"/>
                <w:color w:val="auto"/>
              </w:rPr>
              <w:t>Loss from write-off and disposition of assets</w:t>
            </w:r>
          </w:p>
        </w:tc>
        <w:tc>
          <w:tcPr>
            <w:tcW w:w="100" w:type="dxa"/>
            <w:vAlign w:val="bottom"/>
          </w:tcPr>
          <w:p>
            <w:pPr>
              <w:spacing w:after="0"/>
              <w:rPr>
                <w:sz w:val="18"/>
                <w:szCs w:val="18"/>
                <w:color w:val="auto"/>
              </w:rPr>
            </w:pPr>
          </w:p>
        </w:tc>
        <w:tc>
          <w:tcPr>
            <w:tcW w:w="1000" w:type="dxa"/>
            <w:vAlign w:val="bottom"/>
            <w:gridSpan w:val="2"/>
          </w:tcPr>
          <w:p>
            <w:pPr>
              <w:jc w:val="right"/>
              <w:ind w:right="300"/>
              <w:spacing w:after="0"/>
              <w:rPr>
                <w:sz w:val="20"/>
                <w:szCs w:val="20"/>
                <w:color w:val="auto"/>
              </w:rPr>
            </w:pPr>
            <w:r>
              <w:rPr>
                <w:rFonts w:ascii="Arial" w:cs="Arial" w:eastAsia="Arial" w:hAnsi="Arial"/>
                <w:sz w:val="18"/>
                <w:szCs w:val="18"/>
                <w:color w:val="auto"/>
              </w:rPr>
              <w:t>3,986</w:t>
            </w:r>
          </w:p>
        </w:tc>
        <w:tc>
          <w:tcPr>
            <w:tcW w:w="100" w:type="dxa"/>
            <w:vAlign w:val="bottom"/>
          </w:tcPr>
          <w:p>
            <w:pPr>
              <w:spacing w:after="0"/>
              <w:rPr>
                <w:sz w:val="18"/>
                <w:szCs w:val="18"/>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3,986</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Fair market value adjustment to Intel inventory sold</w:t>
            </w: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(1,626)</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(1,196)</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(15,509)</w:t>
            </w:r>
          </w:p>
        </w:tc>
        <w:tc>
          <w:tcPr>
            <w:tcW w:w="9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(15,359)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00" w:type="dxa"/>
            <w:vAlign w:val="bottom"/>
          </w:tcPr>
          <w:p>
            <w:pPr>
              <w:spacing w:after="0"/>
              <w:rPr>
                <w:sz w:val="18"/>
                <w:szCs w:val="18"/>
                <w:color w:val="auto"/>
              </w:rPr>
            </w:pP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rPr>
              <w:t>(472)</w:t>
            </w: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(9)</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(677)</w:t>
            </w:r>
          </w:p>
        </w:tc>
        <w:tc>
          <w:tcPr>
            <w:tcW w:w="960" w:type="dxa"/>
            <w:vAlign w:val="bottom"/>
            <w:gridSpan w:val="3"/>
          </w:tcPr>
          <w:p>
            <w:pPr>
              <w:jc w:val="right"/>
              <w:ind w:right="40"/>
              <w:spacing w:after="0"/>
              <w:rPr>
                <w:sz w:val="20"/>
                <w:szCs w:val="20"/>
                <w:color w:val="auto"/>
              </w:rPr>
            </w:pPr>
            <w:r>
              <w:rPr>
                <w:rFonts w:ascii="Arial" w:cs="Arial" w:eastAsia="Arial" w:hAnsi="Arial"/>
                <w:sz w:val="18"/>
                <w:szCs w:val="18"/>
                <w:color w:val="auto"/>
              </w:rPr>
              <w:t>(365)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income taxes</w:t>
            </w: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7,225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(17,468)</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13,356</w:t>
            </w:r>
          </w:p>
        </w:tc>
        <w:tc>
          <w:tcPr>
            <w:tcW w:w="1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(17,468)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20"/>
              <w:spacing w:after="0"/>
              <w:rPr>
                <w:sz w:val="20"/>
                <w:szCs w:val="20"/>
                <w:color w:val="auto"/>
              </w:rPr>
            </w:pPr>
            <w:r>
              <w:rPr>
                <w:rFonts w:ascii="Arial" w:cs="Arial" w:eastAsia="Arial" w:hAnsi="Arial"/>
                <w:sz w:val="18"/>
                <w:szCs w:val="18"/>
                <w:color w:val="auto"/>
              </w:rPr>
              <w:t>Other non-cash expense</w:t>
            </w:r>
          </w:p>
        </w:tc>
        <w:tc>
          <w:tcPr>
            <w:tcW w:w="100" w:type="dxa"/>
            <w:vAlign w:val="bottom"/>
          </w:tcPr>
          <w:p>
            <w:pPr>
              <w:spacing w:after="0"/>
              <w:rPr>
                <w:sz w:val="18"/>
                <w:szCs w:val="18"/>
                <w:color w:val="auto"/>
              </w:rPr>
            </w:pPr>
          </w:p>
        </w:tc>
        <w:tc>
          <w:tcPr>
            <w:tcW w:w="1000" w:type="dxa"/>
            <w:vAlign w:val="bottom"/>
            <w:gridSpan w:val="2"/>
          </w:tcPr>
          <w:p>
            <w:pPr>
              <w:jc w:val="right"/>
              <w:ind w:right="300"/>
              <w:spacing w:after="0"/>
              <w:rPr>
                <w:sz w:val="20"/>
                <w:szCs w:val="20"/>
                <w:color w:val="auto"/>
              </w:rPr>
            </w:pPr>
            <w:r>
              <w:rPr>
                <w:rFonts w:ascii="Arial" w:cs="Arial" w:eastAsia="Arial" w:hAnsi="Arial"/>
                <w:sz w:val="18"/>
                <w:szCs w:val="18"/>
                <w:color w:val="auto"/>
              </w:rPr>
              <w:t>1,667</w:t>
            </w:r>
          </w:p>
        </w:tc>
        <w:tc>
          <w:tcPr>
            <w:tcW w:w="100" w:type="dxa"/>
            <w:vAlign w:val="bottom"/>
          </w:tcPr>
          <w:p>
            <w:pPr>
              <w:spacing w:after="0"/>
              <w:rPr>
                <w:sz w:val="18"/>
                <w:szCs w:val="18"/>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1,667</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ind w:left="420"/>
              <w:spacing w:after="0"/>
              <w:rPr>
                <w:sz w:val="20"/>
                <w:szCs w:val="20"/>
                <w:color w:val="auto"/>
              </w:rPr>
            </w:pPr>
            <w:r>
              <w:rPr>
                <w:rFonts w:ascii="Arial" w:cs="Arial" w:eastAsia="Arial" w:hAnsi="Arial"/>
                <w:sz w:val="18"/>
                <w:szCs w:val="18"/>
                <w:color w:val="auto"/>
                <w:w w:val="90"/>
              </w:rPr>
              <w:t>Changes in assets and liabilities, net of assets acquired and liabilities assumed in acquisitions: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860"/>
              <w:spacing w:after="0"/>
              <w:rPr>
                <w:sz w:val="20"/>
                <w:szCs w:val="20"/>
                <w:color w:val="auto"/>
              </w:rPr>
            </w:pPr>
            <w:r>
              <w:rPr>
                <w:rFonts w:ascii="Arial" w:cs="Arial" w:eastAsia="Arial" w:hAnsi="Arial"/>
                <w:sz w:val="18"/>
                <w:szCs w:val="18"/>
                <w:color w:val="auto"/>
              </w:rPr>
              <w:t>Restricted cash</w:t>
            </w:r>
          </w:p>
        </w:tc>
        <w:tc>
          <w:tcPr>
            <w:tcW w:w="100" w:type="dxa"/>
            <w:vAlign w:val="bottom"/>
          </w:tcPr>
          <w:p>
            <w:pPr>
              <w:spacing w:after="0"/>
              <w:rPr>
                <w:sz w:val="18"/>
                <w:szCs w:val="18"/>
                <w:color w:val="auto"/>
              </w:rPr>
            </w:pPr>
          </w:p>
        </w:tc>
        <w:tc>
          <w:tcPr>
            <w:tcW w:w="100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24,500</w:t>
            </w:r>
          </w:p>
        </w:tc>
        <w:tc>
          <w:tcPr>
            <w:tcW w:w="180" w:type="dxa"/>
            <w:vAlign w:val="bottom"/>
          </w:tcPr>
          <w:p>
            <w:pPr>
              <w:spacing w:after="0"/>
              <w:rPr>
                <w:sz w:val="18"/>
                <w:szCs w:val="18"/>
                <w:color w:val="auto"/>
              </w:rPr>
            </w:pPr>
          </w:p>
        </w:tc>
        <w:tc>
          <w:tcPr>
            <w:tcW w:w="960" w:type="dxa"/>
            <w:vAlign w:val="bottom"/>
            <w:gridSpan w:val="3"/>
          </w:tcPr>
          <w:p>
            <w:pPr>
              <w:jc w:val="right"/>
              <w:ind w:right="40"/>
              <w:spacing w:after="0"/>
              <w:rPr>
                <w:sz w:val="20"/>
                <w:szCs w:val="20"/>
                <w:color w:val="auto"/>
              </w:rPr>
            </w:pPr>
            <w:r>
              <w:rPr>
                <w:rFonts w:ascii="Arial" w:cs="Arial" w:eastAsia="Arial" w:hAnsi="Arial"/>
                <w:sz w:val="18"/>
                <w:szCs w:val="18"/>
                <w:color w:val="auto"/>
              </w:rPr>
              <w:t>(24,500)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receivable</w:t>
            </w: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37,523</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175,735</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(134,695)</w:t>
            </w:r>
          </w:p>
        </w:tc>
        <w:tc>
          <w:tcPr>
            <w:tcW w:w="9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109,919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860"/>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rPr>
              <w:t>(889)</w:t>
            </w: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31,088</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82,659</w:t>
            </w:r>
          </w:p>
        </w:tc>
        <w:tc>
          <w:tcPr>
            <w:tcW w:w="180" w:type="dxa"/>
            <w:vAlign w:val="bottom"/>
          </w:tcPr>
          <w:p>
            <w:pPr>
              <w:spacing w:after="0"/>
              <w:rPr>
                <w:sz w:val="18"/>
                <w:szCs w:val="18"/>
                <w:color w:val="auto"/>
              </w:rPr>
            </w:pP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126,938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Prepaid expenses and other assets</w:t>
            </w: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(11,885)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1,629</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(4,326)</w:t>
            </w:r>
          </w:p>
        </w:tc>
        <w:tc>
          <w:tcPr>
            <w:tcW w:w="9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63,476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860"/>
              <w:spacing w:after="0"/>
              <w:rPr>
                <w:sz w:val="20"/>
                <w:szCs w:val="20"/>
                <w:color w:val="auto"/>
              </w:rPr>
            </w:pPr>
            <w:r>
              <w:rPr>
                <w:rFonts w:ascii="Arial" w:cs="Arial" w:eastAsia="Arial" w:hAnsi="Arial"/>
                <w:sz w:val="18"/>
                <w:szCs w:val="18"/>
                <w:color w:val="auto"/>
              </w:rPr>
              <w:t>Accounts payable</w:t>
            </w:r>
          </w:p>
        </w:tc>
        <w:tc>
          <w:tcPr>
            <w:tcW w:w="100" w:type="dxa"/>
            <w:vAlign w:val="bottom"/>
          </w:tcPr>
          <w:p>
            <w:pPr>
              <w:spacing w:after="0"/>
              <w:rPr>
                <w:sz w:val="18"/>
                <w:szCs w:val="18"/>
                <w:color w:val="auto"/>
              </w:rPr>
            </w:pP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rPr>
              <w:t>(36,017)</w:t>
            </w: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(82,791)</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136,045</w:t>
            </w:r>
          </w:p>
        </w:tc>
        <w:tc>
          <w:tcPr>
            <w:tcW w:w="180" w:type="dxa"/>
            <w:vAlign w:val="bottom"/>
          </w:tcPr>
          <w:p>
            <w:pPr>
              <w:spacing w:after="0"/>
              <w:rPr>
                <w:sz w:val="18"/>
                <w:szCs w:val="18"/>
                <w:color w:val="auto"/>
              </w:rPr>
            </w:pPr>
          </w:p>
        </w:tc>
        <w:tc>
          <w:tcPr>
            <w:tcW w:w="960" w:type="dxa"/>
            <w:vAlign w:val="bottom"/>
            <w:gridSpan w:val="3"/>
          </w:tcPr>
          <w:p>
            <w:pPr>
              <w:jc w:val="right"/>
              <w:ind w:right="40"/>
              <w:spacing w:after="0"/>
              <w:rPr>
                <w:sz w:val="20"/>
                <w:szCs w:val="20"/>
                <w:color w:val="auto"/>
              </w:rPr>
            </w:pPr>
            <w:r>
              <w:rPr>
                <w:rFonts w:ascii="Arial" w:cs="Arial" w:eastAsia="Arial" w:hAnsi="Arial"/>
                <w:sz w:val="18"/>
                <w:szCs w:val="18"/>
                <w:color w:val="auto"/>
              </w:rPr>
              <w:t>(88,795)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liabilities and other</w:t>
            </w: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9,429</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(13,015)</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(4,199)</w:t>
            </w:r>
          </w:p>
        </w:tc>
        <w:tc>
          <w:tcPr>
            <w:tcW w:w="9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(36,708)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860"/>
              <w:spacing w:after="0"/>
              <w:rPr>
                <w:sz w:val="20"/>
                <w:szCs w:val="20"/>
                <w:color w:val="auto"/>
              </w:rPr>
            </w:pPr>
            <w:r>
              <w:rPr>
                <w:rFonts w:ascii="Arial" w:cs="Arial" w:eastAsia="Arial" w:hAnsi="Arial"/>
                <w:sz w:val="18"/>
                <w:szCs w:val="18"/>
                <w:color w:val="auto"/>
              </w:rPr>
              <w:t>Accrued employee compensation</w:t>
            </w:r>
          </w:p>
        </w:tc>
        <w:tc>
          <w:tcPr>
            <w:tcW w:w="100" w:type="dxa"/>
            <w:vAlign w:val="bottom"/>
          </w:tcPr>
          <w:p>
            <w:pPr>
              <w:spacing w:after="0"/>
              <w:rPr>
                <w:sz w:val="18"/>
                <w:szCs w:val="18"/>
                <w:color w:val="auto"/>
              </w:rPr>
            </w:pP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rPr>
              <w:t>(1,857)</w:t>
            </w: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(44,615)</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33,292</w:t>
            </w:r>
          </w:p>
        </w:tc>
        <w:tc>
          <w:tcPr>
            <w:tcW w:w="180" w:type="dxa"/>
            <w:vAlign w:val="bottom"/>
          </w:tcPr>
          <w:p>
            <w:pPr>
              <w:spacing w:after="0"/>
              <w:rPr>
                <w:sz w:val="18"/>
                <w:szCs w:val="18"/>
                <w:color w:val="auto"/>
              </w:rPr>
            </w:pPr>
          </w:p>
        </w:tc>
        <w:tc>
          <w:tcPr>
            <w:tcW w:w="960" w:type="dxa"/>
            <w:vAlign w:val="bottom"/>
            <w:gridSpan w:val="3"/>
          </w:tcPr>
          <w:p>
            <w:pPr>
              <w:jc w:val="right"/>
              <w:ind w:right="40"/>
              <w:spacing w:after="0"/>
              <w:rPr>
                <w:sz w:val="20"/>
                <w:szCs w:val="20"/>
                <w:color w:val="auto"/>
              </w:rPr>
            </w:pPr>
            <w:r>
              <w:rPr>
                <w:rFonts w:ascii="Arial" w:cs="Arial" w:eastAsia="Arial" w:hAnsi="Arial"/>
                <w:sz w:val="18"/>
                <w:szCs w:val="18"/>
                <w:color w:val="auto"/>
              </w:rPr>
              <w:t>(26,956)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Income taxes payable</w:t>
            </w: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6,948</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11,607</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(22,112)</w:t>
            </w:r>
          </w:p>
        </w:tc>
        <w:tc>
          <w:tcPr>
            <w:tcW w:w="9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11,507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860"/>
              <w:spacing w:after="0"/>
              <w:rPr>
                <w:sz w:val="20"/>
                <w:szCs w:val="20"/>
                <w:color w:val="auto"/>
              </w:rPr>
            </w:pPr>
            <w:r>
              <w:rPr>
                <w:rFonts w:ascii="Arial" w:cs="Arial" w:eastAsia="Arial" w:hAnsi="Arial"/>
                <w:sz w:val="18"/>
                <w:szCs w:val="18"/>
                <w:color w:val="auto"/>
              </w:rPr>
              <w:t>Deferred income</w:t>
            </w:r>
          </w:p>
        </w:tc>
        <w:tc>
          <w:tcPr>
            <w:tcW w:w="100" w:type="dxa"/>
            <w:vAlign w:val="bottom"/>
          </w:tcPr>
          <w:p>
            <w:pPr>
              <w:spacing w:after="0"/>
              <w:rPr>
                <w:sz w:val="18"/>
                <w:szCs w:val="18"/>
                <w:color w:val="auto"/>
              </w:rPr>
            </w:pP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rPr>
              <w:t>(11,877)</w:t>
            </w: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(6,825)</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15,661</w:t>
            </w:r>
          </w:p>
        </w:tc>
        <w:tc>
          <w:tcPr>
            <w:tcW w:w="180" w:type="dxa"/>
            <w:vAlign w:val="bottom"/>
          </w:tcPr>
          <w:p>
            <w:pPr>
              <w:spacing w:after="0"/>
              <w:rPr>
                <w:sz w:val="18"/>
                <w:szCs w:val="18"/>
                <w:color w:val="auto"/>
              </w:rPr>
            </w:pPr>
          </w:p>
        </w:tc>
        <w:tc>
          <w:tcPr>
            <w:tcW w:w="960" w:type="dxa"/>
            <w:vAlign w:val="bottom"/>
            <w:gridSpan w:val="3"/>
          </w:tcPr>
          <w:p>
            <w:pPr>
              <w:jc w:val="right"/>
              <w:ind w:right="40"/>
              <w:spacing w:after="0"/>
              <w:rPr>
                <w:sz w:val="20"/>
                <w:szCs w:val="20"/>
                <w:color w:val="auto"/>
              </w:rPr>
            </w:pPr>
            <w:r>
              <w:rPr>
                <w:rFonts w:ascii="Arial" w:cs="Arial" w:eastAsia="Arial" w:hAnsi="Arial"/>
                <w:sz w:val="18"/>
                <w:szCs w:val="18"/>
                <w:color w:val="auto"/>
              </w:rPr>
              <w:t>(11,525)</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7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281,117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109,143</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811,513</w:t>
            </w:r>
          </w:p>
        </w:tc>
        <w:tc>
          <w:tcPr>
            <w:tcW w:w="1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680,685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paid for acquisitions, net of cash acquired</w:t>
            </w: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(5,287)</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9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(5,287)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20"/>
              <w:spacing w:after="0"/>
              <w:rPr>
                <w:sz w:val="20"/>
                <w:szCs w:val="20"/>
                <w:color w:val="auto"/>
              </w:rPr>
            </w:pPr>
            <w:r>
              <w:rPr>
                <w:rFonts w:ascii="Arial" w:cs="Arial" w:eastAsia="Arial" w:hAnsi="Arial"/>
                <w:sz w:val="18"/>
                <w:szCs w:val="18"/>
                <w:color w:val="auto"/>
              </w:rPr>
              <w:t>Purchases of investments</w:t>
            </w:r>
          </w:p>
        </w:tc>
        <w:tc>
          <w:tcPr>
            <w:tcW w:w="100" w:type="dxa"/>
            <w:vAlign w:val="bottom"/>
          </w:tcPr>
          <w:p>
            <w:pPr>
              <w:spacing w:after="0"/>
              <w:rPr>
                <w:sz w:val="18"/>
                <w:szCs w:val="18"/>
                <w:color w:val="auto"/>
              </w:rPr>
            </w:pP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w w:val="95"/>
              </w:rPr>
              <w:t>(379,981)</w:t>
            </w:r>
          </w:p>
        </w:tc>
        <w:tc>
          <w:tcPr>
            <w:tcW w:w="100" w:type="dxa"/>
            <w:vAlign w:val="bottom"/>
          </w:tcPr>
          <w:p>
            <w:pPr>
              <w:spacing w:after="0"/>
              <w:rPr>
                <w:sz w:val="18"/>
                <w:szCs w:val="18"/>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(806,979)</w:t>
            </w:r>
          </w:p>
        </w:tc>
        <w:tc>
          <w:tcPr>
            <w:tcW w:w="960" w:type="dxa"/>
            <w:vAlign w:val="bottom"/>
            <w:gridSpan w:val="3"/>
          </w:tcPr>
          <w:p>
            <w:pPr>
              <w:jc w:val="right"/>
              <w:ind w:right="40"/>
              <w:spacing w:after="0"/>
              <w:rPr>
                <w:sz w:val="20"/>
                <w:szCs w:val="20"/>
                <w:color w:val="auto"/>
              </w:rPr>
            </w:pPr>
            <w:r>
              <w:rPr>
                <w:rFonts w:ascii="Arial" w:cs="Arial" w:eastAsia="Arial" w:hAnsi="Arial"/>
                <w:sz w:val="18"/>
                <w:szCs w:val="18"/>
                <w:color w:val="auto"/>
              </w:rPr>
              <w:t>(10,172)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Sales and maturities of short-term, long-term and equity investments</w:t>
            </w: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108,044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118,362</w:t>
            </w:r>
          </w:p>
        </w:tc>
        <w:tc>
          <w:tcPr>
            <w:tcW w:w="1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29,181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20"/>
              <w:spacing w:after="0"/>
              <w:rPr>
                <w:sz w:val="20"/>
                <w:szCs w:val="20"/>
                <w:color w:val="auto"/>
              </w:rPr>
            </w:pPr>
            <w:r>
              <w:rPr>
                <w:rFonts w:ascii="Arial" w:cs="Arial" w:eastAsia="Arial" w:hAnsi="Arial"/>
                <w:sz w:val="18"/>
                <w:szCs w:val="18"/>
                <w:color w:val="auto"/>
              </w:rPr>
              <w:t>Purchases of technology licenses</w:t>
            </w:r>
          </w:p>
        </w:tc>
        <w:tc>
          <w:tcPr>
            <w:tcW w:w="100" w:type="dxa"/>
            <w:vAlign w:val="bottom"/>
          </w:tcPr>
          <w:p>
            <w:pPr>
              <w:spacing w:after="0"/>
              <w:rPr>
                <w:sz w:val="18"/>
                <w:szCs w:val="18"/>
                <w:color w:val="auto"/>
              </w:rPr>
            </w:pP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rPr>
              <w:t>(3,048)</w:t>
            </w: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(2,550)</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(15,598)</w:t>
            </w:r>
          </w:p>
        </w:tc>
        <w:tc>
          <w:tcPr>
            <w:tcW w:w="960" w:type="dxa"/>
            <w:vAlign w:val="bottom"/>
            <w:gridSpan w:val="3"/>
          </w:tcPr>
          <w:p>
            <w:pPr>
              <w:jc w:val="right"/>
              <w:ind w:right="40"/>
              <w:spacing w:after="0"/>
              <w:rPr>
                <w:sz w:val="20"/>
                <w:szCs w:val="20"/>
                <w:color w:val="auto"/>
              </w:rPr>
            </w:pPr>
            <w:r>
              <w:rPr>
                <w:rFonts w:ascii="Arial" w:cs="Arial" w:eastAsia="Arial" w:hAnsi="Arial"/>
                <w:sz w:val="18"/>
                <w:szCs w:val="18"/>
                <w:color w:val="auto"/>
              </w:rPr>
              <w:t>(5,200)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(25,006)</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(13,931)</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(39,814)</w:t>
            </w:r>
          </w:p>
        </w:tc>
        <w:tc>
          <w:tcPr>
            <w:tcW w:w="9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(73,243)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240" w:type="dxa"/>
            <w:vAlign w:val="bottom"/>
            <w:vMerge w:val="restart"/>
          </w:tcPr>
          <w:p>
            <w:pPr>
              <w:ind w:left="1280"/>
              <w:spacing w:after="0"/>
              <w:rPr>
                <w:sz w:val="20"/>
                <w:szCs w:val="20"/>
                <w:color w:val="auto"/>
              </w:rPr>
            </w:pPr>
            <w:r>
              <w:rPr>
                <w:rFonts w:ascii="Arial" w:cs="Arial" w:eastAsia="Arial" w:hAnsi="Arial"/>
                <w:sz w:val="18"/>
                <w:szCs w:val="18"/>
                <w:color w:val="auto"/>
              </w:rPr>
              <w:t>Net cash used in investing activities</w:t>
            </w: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724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w w:val="95"/>
              </w:rPr>
              <w:t>(299,991)</w:t>
            </w:r>
          </w:p>
        </w:tc>
        <w:tc>
          <w:tcPr>
            <w:tcW w:w="100" w:type="dxa"/>
            <w:vAlign w:val="bottom"/>
          </w:tcPr>
          <w:p>
            <w:pPr>
              <w:spacing w:after="0"/>
              <w:rPr>
                <w:sz w:val="19"/>
                <w:szCs w:val="19"/>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(21,768)</w:t>
            </w: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(744,029)</w:t>
            </w:r>
          </w:p>
        </w:tc>
        <w:tc>
          <w:tcPr>
            <w:tcW w:w="960" w:type="dxa"/>
            <w:vAlign w:val="bottom"/>
            <w:gridSpan w:val="3"/>
          </w:tcPr>
          <w:p>
            <w:pPr>
              <w:jc w:val="right"/>
              <w:ind w:right="40"/>
              <w:spacing w:after="0"/>
              <w:rPr>
                <w:sz w:val="20"/>
                <w:szCs w:val="20"/>
                <w:color w:val="auto"/>
              </w:rPr>
            </w:pPr>
            <w:r>
              <w:rPr>
                <w:rFonts w:ascii="Arial" w:cs="Arial" w:eastAsia="Arial" w:hAnsi="Arial"/>
                <w:sz w:val="18"/>
                <w:szCs w:val="18"/>
                <w:color w:val="auto"/>
              </w:rPr>
              <w:t>(64,721)</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financing activities: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20"/>
              <w:spacing w:after="0"/>
              <w:rPr>
                <w:sz w:val="20"/>
                <w:szCs w:val="20"/>
                <w:color w:val="auto"/>
              </w:rPr>
            </w:pPr>
            <w:r>
              <w:rPr>
                <w:rFonts w:ascii="Arial" w:cs="Arial" w:eastAsia="Arial" w:hAnsi="Arial"/>
                <w:sz w:val="18"/>
                <w:szCs w:val="18"/>
                <w:color w:val="auto"/>
              </w:rPr>
              <w:t>Proceeds from the issuance of common shares</w:t>
            </w:r>
          </w:p>
        </w:tc>
        <w:tc>
          <w:tcPr>
            <w:tcW w:w="100" w:type="dxa"/>
            <w:vAlign w:val="bottom"/>
          </w:tcPr>
          <w:p>
            <w:pPr>
              <w:spacing w:after="0"/>
              <w:rPr>
                <w:sz w:val="18"/>
                <w:szCs w:val="18"/>
                <w:color w:val="auto"/>
              </w:rPr>
            </w:pPr>
          </w:p>
        </w:tc>
        <w:tc>
          <w:tcPr>
            <w:tcW w:w="1000" w:type="dxa"/>
            <w:vAlign w:val="bottom"/>
            <w:gridSpan w:val="2"/>
          </w:tcPr>
          <w:p>
            <w:pPr>
              <w:jc w:val="right"/>
              <w:ind w:right="300"/>
              <w:spacing w:after="0"/>
              <w:rPr>
                <w:sz w:val="20"/>
                <w:szCs w:val="20"/>
                <w:color w:val="auto"/>
              </w:rPr>
            </w:pPr>
            <w:r>
              <w:rPr>
                <w:rFonts w:ascii="Arial" w:cs="Arial" w:eastAsia="Arial" w:hAnsi="Arial"/>
                <w:sz w:val="18"/>
                <w:szCs w:val="18"/>
                <w:color w:val="auto"/>
              </w:rPr>
              <w:t>76,896</w:t>
            </w: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12,192</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111,645</w:t>
            </w:r>
          </w:p>
        </w:tc>
        <w:tc>
          <w:tcPr>
            <w:tcW w:w="180" w:type="dxa"/>
            <w:vAlign w:val="bottom"/>
          </w:tcPr>
          <w:p>
            <w:pPr>
              <w:spacing w:after="0"/>
              <w:rPr>
                <w:sz w:val="18"/>
                <w:szCs w:val="18"/>
                <w:color w:val="auto"/>
              </w:rPr>
            </w:pP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92,645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Principal payments on capital lease and term loan obligations</w:t>
            </w: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(461)</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5"/>
              </w:rPr>
              <w:t>(192,174)</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(1,787)</w:t>
            </w:r>
          </w:p>
        </w:tc>
        <w:tc>
          <w:tcPr>
            <w:tcW w:w="9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(397,213)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472</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9</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677</w:t>
            </w:r>
          </w:p>
        </w:tc>
        <w:tc>
          <w:tcPr>
            <w:tcW w:w="180" w:type="dxa"/>
            <w:vAlign w:val="bottom"/>
          </w:tcPr>
          <w:p>
            <w:pPr>
              <w:spacing w:after="0"/>
              <w:rPr>
                <w:sz w:val="18"/>
                <w:szCs w:val="18"/>
                <w:color w:val="auto"/>
              </w:rPr>
            </w:pP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365</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7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724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(used in) financing activities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76,907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5"/>
              </w:rPr>
              <w:t>(179,973)</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110,535</w:t>
            </w:r>
          </w:p>
        </w:tc>
        <w:tc>
          <w:tcPr>
            <w:tcW w:w="1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(304,203)</w:t>
            </w:r>
          </w:p>
        </w:tc>
        <w:tc>
          <w:tcPr>
            <w:tcW w:w="0" w:type="dxa"/>
            <w:vAlign w:val="bottom"/>
          </w:tcPr>
          <w:p>
            <w:pPr>
              <w:spacing w:after="0"/>
              <w:rPr>
                <w:sz w:val="1"/>
                <w:szCs w:val="1"/>
                <w:color w:val="auto"/>
              </w:rPr>
            </w:pPr>
          </w:p>
        </w:tc>
      </w:tr>
      <w:tr>
        <w:trPr>
          <w:trHeight w:val="20"/>
        </w:trPr>
        <w:tc>
          <w:tcPr>
            <w:tcW w:w="7260" w:type="dxa"/>
            <w:vAlign w:val="bottom"/>
            <w:gridSpan w:val="2"/>
            <w:vMerge w:val="restart"/>
          </w:tcPr>
          <w:p>
            <w:pPr>
              <w:spacing w:after="0"/>
              <w:rPr>
                <w:sz w:val="20"/>
                <w:szCs w:val="20"/>
                <w:color w:val="auto"/>
              </w:rPr>
            </w:pPr>
            <w:r>
              <w:rPr>
                <w:rFonts w:ascii="Arial" w:cs="Arial" w:eastAsia="Arial" w:hAnsi="Arial"/>
                <w:sz w:val="18"/>
                <w:szCs w:val="18"/>
                <w:color w:val="auto"/>
              </w:rPr>
              <w:t>Net increase in cash and cash equivalents</w:t>
            </w: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260" w:type="dxa"/>
            <w:vAlign w:val="bottom"/>
            <w:gridSpan w:val="2"/>
            <w:vMerge w:val="continue"/>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58,033</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(92,598)</w:t>
            </w: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178,019</w:t>
            </w:r>
          </w:p>
        </w:tc>
        <w:tc>
          <w:tcPr>
            <w:tcW w:w="180" w:type="dxa"/>
            <w:vAlign w:val="bottom"/>
          </w:tcPr>
          <w:p>
            <w:pPr>
              <w:spacing w:after="0"/>
              <w:rPr>
                <w:sz w:val="19"/>
                <w:szCs w:val="19"/>
                <w:color w:val="auto"/>
              </w:rPr>
            </w:pP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311,761</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24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1,047,395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4"/>
              </w:rPr>
              <w:t>1,020,007</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927,409</w:t>
            </w:r>
          </w:p>
        </w:tc>
        <w:tc>
          <w:tcPr>
            <w:tcW w:w="1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615,648</w:t>
            </w:r>
          </w:p>
        </w:tc>
        <w:tc>
          <w:tcPr>
            <w:tcW w:w="0" w:type="dxa"/>
            <w:vAlign w:val="bottom"/>
          </w:tcPr>
          <w:p>
            <w:pPr>
              <w:spacing w:after="0"/>
              <w:rPr>
                <w:sz w:val="1"/>
                <w:szCs w:val="1"/>
                <w:color w:val="auto"/>
              </w:rPr>
            </w:pPr>
          </w:p>
        </w:tc>
      </w:tr>
      <w:tr>
        <w:trPr>
          <w:trHeight w:val="20"/>
        </w:trPr>
        <w:tc>
          <w:tcPr>
            <w:tcW w:w="7260" w:type="dxa"/>
            <w:vAlign w:val="bottom"/>
            <w:gridSpan w:val="2"/>
            <w:vMerge w:val="restart"/>
          </w:tcPr>
          <w:p>
            <w:pPr>
              <w:spacing w:after="0"/>
              <w:rPr>
                <w:sz w:val="20"/>
                <w:szCs w:val="20"/>
                <w:color w:val="auto"/>
              </w:rPr>
            </w:pPr>
            <w:r>
              <w:rPr>
                <w:rFonts w:ascii="Arial" w:cs="Arial" w:eastAsia="Arial" w:hAnsi="Arial"/>
                <w:sz w:val="18"/>
                <w:szCs w:val="18"/>
                <w:color w:val="auto"/>
              </w:rPr>
              <w:t>Cash and cash equivalents at end of period</w:t>
            </w: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7260" w:type="dxa"/>
            <w:vAlign w:val="bottom"/>
            <w:gridSpan w:val="2"/>
            <w:vMerge w:val="continue"/>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1,105,428</w:t>
            </w:r>
          </w:p>
        </w:tc>
        <w:tc>
          <w:tcPr>
            <w:tcW w:w="30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927,409</w:t>
            </w:r>
          </w:p>
        </w:tc>
        <w:tc>
          <w:tcPr>
            <w:tcW w:w="2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1,105,428</w:t>
            </w:r>
          </w:p>
        </w:tc>
        <w:tc>
          <w:tcPr>
            <w:tcW w:w="180" w:type="dxa"/>
            <w:vAlign w:val="bottom"/>
          </w:tcPr>
          <w:p>
            <w:pPr>
              <w:spacing w:after="0"/>
              <w:rPr>
                <w:sz w:val="19"/>
                <w:szCs w:val="19"/>
                <w:color w:val="auto"/>
              </w:rPr>
            </w:pP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$ 927,409</w:t>
            </w:r>
          </w:p>
        </w:tc>
        <w:tc>
          <w:tcPr>
            <w:tcW w:w="0" w:type="dxa"/>
            <w:vAlign w:val="bottom"/>
          </w:tcPr>
          <w:p>
            <w:pPr>
              <w:spacing w:after="0"/>
              <w:rPr>
                <w:sz w:val="1"/>
                <w:szCs w:val="1"/>
                <w:color w:val="auto"/>
              </w:rPr>
            </w:pPr>
          </w:p>
        </w:tc>
      </w:tr>
      <w:tr>
        <w:trPr>
          <w:trHeight w:val="20"/>
        </w:trPr>
        <w:tc>
          <w:tcPr>
            <w:tcW w:w="7260" w:type="dxa"/>
            <w:vAlign w:val="bottom"/>
            <w:gridSpan w:val="2"/>
            <w:vMerge w:val="restart"/>
          </w:tcPr>
          <w:p>
            <w:pPr>
              <w:jc w:val="right"/>
              <w:ind w:right="1412"/>
              <w:spacing w:after="0"/>
              <w:rPr>
                <w:sz w:val="20"/>
                <w:szCs w:val="20"/>
                <w:color w:val="auto"/>
              </w:rPr>
            </w:pPr>
            <w:r>
              <w:rPr>
                <w:rFonts w:ascii="Arial" w:cs="Arial" w:eastAsia="Arial" w:hAnsi="Arial"/>
                <w:sz w:val="18"/>
                <w:szCs w:val="18"/>
                <w:color w:val="auto"/>
              </w:rPr>
              <w:t>9</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7260" w:type="dxa"/>
            <w:vAlign w:val="bottom"/>
            <w:gridSpan w:val="2"/>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lowerLetter"/>
      <w:start w:val="4"/>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2019-12-10T17:05:53Z</dcterms:created>
  <dcterms:modified xsi:type="dcterms:W3CDTF">2019-12-10T17:05:53Z</dcterms:modified>
</cp:coreProperties>
</file>