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599567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995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Sutardja, Pantas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VP, Chief Technology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04/12/2010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center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6"/>
              </w:rPr>
              <w:t>21.14</w:t>
            </w:r>
          </w:p>
        </w:tc>
        <w:tc>
          <w:tcPr>
            <w:tcW w:w="114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04/12/2010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80" w:type="dxa"/>
            <w:vAlign w:val="bottom"/>
          </w:tcPr>
          <w:p>
            <w:pPr>
              <w:jc w:val="center"/>
              <w:ind w:right="5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50,000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04/12/2020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50,000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center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04/12/2010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80" w:type="dxa"/>
            <w:vAlign w:val="bottom"/>
          </w:tcPr>
          <w:p>
            <w:pPr>
              <w:jc w:val="center"/>
              <w:ind w:right="5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20,000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04/01/2014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center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1,135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04/12/2010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vMerge w:val="restart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80" w:type="dxa"/>
            <w:vAlign w:val="bottom"/>
            <w:vMerge w:val="restart"/>
          </w:tcPr>
          <w:p>
            <w:pPr>
              <w:jc w:val="center"/>
              <w:ind w:right="3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1,135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04/01/2014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0</w:t>
            </w:r>
          </w:p>
        </w:tc>
        <w:tc>
          <w:tcPr>
            <w:tcW w:w="920" w:type="dxa"/>
            <w:vAlign w:val="bottom"/>
            <w:gridSpan w:val="2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1,135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72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</w:rPr>
              <w:t>1. Options vest in four equal annual installments beginning on the first anniversary of April 1, 2010, the vesting commencement date.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18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3"/>
              </w:rPr>
              <w:t>2. Each restricted stock unit represents a contingent right to receive one Marvell common share.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80" w:type="dxa"/>
            <w:vAlign w:val="bottom"/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8"/>
              </w:rPr>
              <w:t>3. Restricted stock units vest in four equal annual installments beginning on the first anniversary of April 1, 2010, the vesting commencement date.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9"/>
              </w:rPr>
              <w:t>4. Restricted stock units vest 100% on the first anniversary of April 1, 2010, the vesting commencement date.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/s/ Pantas Sutardja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04/14/2010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2019-12-17T14:42:25Z</dcterms:created>
  <dcterms:modified xsi:type="dcterms:W3CDTF">2019-12-17T14:42:25Z</dcterms:modified>
</cp:coreProperties>
</file>