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7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10-Q</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60"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0" w:lineRule="exact"/>
        <w:rPr>
          <w:sz w:val="24"/>
          <w:szCs w:val="24"/>
          <w:color w:val="auto"/>
        </w:rPr>
      </w:pPr>
    </w:p>
    <w:p>
      <w:pPr>
        <w:ind w:left="460" w:right="460" w:hanging="452"/>
        <w:spacing w:after="0" w:line="237" w:lineRule="auto"/>
        <w:tabs>
          <w:tab w:leader="none" w:pos="460" w:val="left"/>
        </w:tabs>
        <w:numPr>
          <w:ilvl w:val="0"/>
          <w:numId w:val="1"/>
        </w:numPr>
        <w:rPr>
          <w:rFonts w:ascii="MS PGothic" w:cs="MS PGothic" w:eastAsia="MS PGothic" w:hAnsi="MS PGothic"/>
          <w:sz w:val="22"/>
          <w:szCs w:val="22"/>
          <w:color w:val="auto"/>
          <w:highlight w:val="black"/>
        </w:rPr>
      </w:pPr>
      <w:r>
        <w:rPr>
          <w:rFonts w:ascii="Arial" w:cs="Arial" w:eastAsia="Arial" w:hAnsi="Arial"/>
          <w:sz w:val="22"/>
          <w:szCs w:val="22"/>
          <w:b w:val="1"/>
          <w:bCs w:val="1"/>
          <w:color w:val="auto"/>
        </w:rPr>
        <w:t>QUARTERLY REPORT PURSUANT TO SECTION 13 OR 15(d) OF THE SECURITIES EXCHANGE ACT OF 1934</w:t>
      </w:r>
    </w:p>
    <w:p>
      <w:pPr>
        <w:spacing w:after="0" w:line="138" w:lineRule="exact"/>
        <w:rPr>
          <w:sz w:val="24"/>
          <w:szCs w:val="24"/>
          <w:color w:val="auto"/>
        </w:rPr>
      </w:pPr>
    </w:p>
    <w:p>
      <w:pPr>
        <w:ind w:left="460"/>
        <w:spacing w:after="0"/>
        <w:rPr>
          <w:sz w:val="20"/>
          <w:szCs w:val="20"/>
          <w:color w:val="auto"/>
        </w:rPr>
      </w:pPr>
      <w:r>
        <w:rPr>
          <w:rFonts w:ascii="Arial" w:cs="Arial" w:eastAsia="Arial" w:hAnsi="Arial"/>
          <w:sz w:val="18"/>
          <w:szCs w:val="18"/>
          <w:b w:val="1"/>
          <w:bCs w:val="1"/>
          <w:color w:val="auto"/>
        </w:rPr>
        <w:t>For the quarterly period ended May 1, 2010</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or</w:t>
      </w:r>
    </w:p>
    <w:p>
      <w:pPr>
        <w:spacing w:after="0" w:line="199"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21"/>
          <w:szCs w:val="21"/>
          <w:color w:val="auto"/>
          <w:highlight w:val="black"/>
        </w:rPr>
      </w:pPr>
      <w:r>
        <w:rPr>
          <w:rFonts w:ascii="Arial" w:cs="Arial" w:eastAsia="Arial" w:hAnsi="Arial"/>
          <w:sz w:val="21"/>
          <w:szCs w:val="21"/>
          <w:b w:val="1"/>
          <w:bCs w:val="1"/>
          <w:color w:val="auto"/>
        </w:rPr>
        <w:t>TRANSITION REPORT PURSUANT TO SECTION 13 or 15(d) OF THE SECURITIES EXCHANGE ACT OF 1934</w:t>
      </w:r>
    </w:p>
    <w:p>
      <w:pPr>
        <w:spacing w:after="0" w:line="190" w:lineRule="exact"/>
        <w:rPr>
          <w:sz w:val="24"/>
          <w:szCs w:val="24"/>
          <w:color w:val="auto"/>
        </w:rPr>
      </w:pPr>
    </w:p>
    <w:p>
      <w:pPr>
        <w:ind w:left="460"/>
        <w:spacing w:after="0"/>
        <w:tabs>
          <w:tab w:leader="none" w:pos="332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6"/>
          <w:szCs w:val="16"/>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1763395</wp:posOffset>
            </wp:positionH>
            <wp:positionV relativeFrom="paragraph">
              <wp:posOffset>-10160</wp:posOffset>
            </wp:positionV>
            <wp:extent cx="81724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817245" cy="8890"/>
                    </a:xfrm>
                    <a:prstGeom prst="rect">
                      <a:avLst/>
                    </a:prstGeom>
                    <a:noFill/>
                  </pic:spPr>
                </pic:pic>
              </a:graphicData>
            </a:graphic>
          </wp:anchor>
        </w:drawing>
      </w:r>
    </w:p>
    <w:p>
      <w:pPr>
        <w:spacing w:after="0" w:line="15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Commission file number: 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118110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7" w:lineRule="exact"/>
        <w:rPr>
          <w:sz w:val="24"/>
          <w:szCs w:val="24"/>
          <w:color w:val="auto"/>
        </w:rPr>
      </w:pPr>
    </w:p>
    <w:p>
      <w:pPr>
        <w:jc w:val="center"/>
        <w:ind w:right="-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sectPr>
      </w:pPr>
    </w:p>
    <w:p>
      <w:pPr>
        <w:spacing w:after="0" w:line="286" w:lineRule="exact"/>
        <w:rPr>
          <w:sz w:val="24"/>
          <w:szCs w:val="24"/>
          <w:color w:val="auto"/>
        </w:rPr>
      </w:pPr>
    </w:p>
    <w:p>
      <w:pPr>
        <w:ind w:left="25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2">
            <w:col w:w="7540" w:space="720"/>
            <w:col w:w="3160"/>
          </w:cols>
          <w:pgMar w:left="240" w:top="230" w:right="239" w:bottom="1440" w:gutter="0" w:footer="0" w:header="0"/>
          <w:type w:val="continuous"/>
        </w:sectPr>
      </w:pPr>
    </w:p>
    <w:p>
      <w:pPr>
        <w:ind w:left="2020"/>
        <w:spacing w:after="0"/>
        <w:rPr>
          <w:sz w:val="20"/>
          <w:szCs w:val="20"/>
          <w:color w:val="auto"/>
        </w:rPr>
      </w:pPr>
      <w:r>
        <w:rPr>
          <w:rFonts w:ascii="Arial" w:cs="Arial" w:eastAsia="Arial" w:hAnsi="Arial"/>
          <w:sz w:val="12"/>
          <w:szCs w:val="12"/>
          <w:b w:val="1"/>
          <w:bCs w:val="1"/>
          <w:color w:val="auto"/>
        </w:rPr>
        <w:t>(State or other jurisdiction of</w:t>
      </w:r>
    </w:p>
    <w:p>
      <w:pPr>
        <w:spacing w:after="0" w:line="14" w:lineRule="exact"/>
        <w:rPr>
          <w:sz w:val="24"/>
          <w:szCs w:val="24"/>
          <w:color w:val="auto"/>
        </w:rPr>
      </w:pPr>
    </w:p>
    <w:p>
      <w:pPr>
        <w:ind w:left="1980"/>
        <w:spacing w:after="0"/>
        <w:rPr>
          <w:sz w:val="20"/>
          <w:szCs w:val="20"/>
          <w:color w:val="auto"/>
        </w:rPr>
      </w:pPr>
      <w:r>
        <w:rPr>
          <w:rFonts w:ascii="Arial" w:cs="Arial" w:eastAsia="Arial" w:hAnsi="Arial"/>
          <w:sz w:val="12"/>
          <w:szCs w:val="12"/>
          <w:b w:val="1"/>
          <w:bCs w:val="1"/>
          <w:color w:val="auto"/>
        </w:rPr>
        <w:t>incorporation or organization)</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1" w:lineRule="exact"/>
        <w:rPr>
          <w:sz w:val="24"/>
          <w:szCs w:val="24"/>
          <w:color w:val="auto"/>
        </w:rPr>
      </w:pPr>
    </w:p>
    <w:p>
      <w:pPr>
        <w:sectPr>
          <w:pgSz w:w="11900" w:h="16838" w:orient="portrait"/>
          <w:cols w:equalWidth="0" w:num="2">
            <w:col w:w="7440" w:space="720"/>
            <w:col w:w="3260"/>
          </w:cols>
          <w:pgMar w:left="240" w:top="230" w:right="239" w:bottom="1440" w:gutter="0" w:footer="0" w:header="0"/>
          <w:type w:val="continuous"/>
        </w:sectPr>
      </w:pPr>
    </w:p>
    <w:p>
      <w:pPr>
        <w:jc w:val="center"/>
        <w:spacing w:after="0"/>
        <w:rPr>
          <w:sz w:val="20"/>
          <w:szCs w:val="20"/>
          <w:color w:val="auto"/>
        </w:rPr>
      </w:pPr>
      <w:r>
        <w:rPr>
          <w:rFonts w:ascii="Arial" w:cs="Arial" w:eastAsia="Arial" w:hAnsi="Arial"/>
          <w:sz w:val="16"/>
          <w:szCs w:val="16"/>
          <w:b w:val="1"/>
          <w:bCs w:val="1"/>
          <w:color w:val="auto"/>
        </w:rPr>
        <w:t>Canon’s Court, 22 Victoria Street, Hamilton HM 12, Bermuda</w:t>
      </w:r>
    </w:p>
    <w:p>
      <w:pPr>
        <w:spacing w:after="0" w:line="4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jc w:val="center"/>
        <w:spacing w:after="0"/>
        <w:rPr>
          <w:sz w:val="20"/>
          <w:szCs w:val="20"/>
          <w:color w:val="auto"/>
        </w:rPr>
      </w:pPr>
      <w:r>
        <w:rPr>
          <w:rFonts w:ascii="Arial" w:cs="Arial" w:eastAsia="Arial" w:hAnsi="Arial"/>
          <w:sz w:val="14"/>
          <w:szCs w:val="14"/>
          <w:b w:val="1"/>
          <w:bCs w:val="1"/>
          <w:color w:val="auto"/>
        </w:rPr>
        <w:t>(Address, including Zip Code, of principal executive offices and</w:t>
      </w:r>
    </w:p>
    <w:p>
      <w:pPr>
        <w:jc w:val="center"/>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93980</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type w:val="continuous"/>
        </w:sectPr>
      </w:pPr>
    </w:p>
    <w:p>
      <w:pPr>
        <w:spacing w:after="0" w:line="235" w:lineRule="exact"/>
        <w:rPr>
          <w:sz w:val="24"/>
          <w:szCs w:val="24"/>
          <w:color w:val="auto"/>
        </w:rPr>
      </w:pPr>
    </w:p>
    <w:p>
      <w:pPr>
        <w:ind w:right="28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right="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22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pacing w:after="0" w:line="93" w:lineRule="exact"/>
        <w:rPr>
          <w:sz w:val="24"/>
          <w:szCs w:val="24"/>
          <w:color w:val="auto"/>
        </w:rPr>
      </w:pPr>
    </w:p>
    <w:tbl>
      <w:tblPr>
        <w:tblLayout w:type="fixed"/>
        <w:tblInd w:w="0" w:type="dxa"/>
        <w:tblCellMar>
          <w:top w:w="0" w:type="dxa"/>
          <w:left w:w="0" w:type="dxa"/>
          <w:bottom w:w="0" w:type="dxa"/>
          <w:right w:w="0" w:type="dxa"/>
        </w:tblCellMar>
      </w:tblPr>
      <w:tr>
        <w:trPr>
          <w:trHeight w:val="275"/>
        </w:trPr>
        <w:tc>
          <w:tcPr>
            <w:tcW w:w="1760" w:type="dxa"/>
            <w:vAlign w:val="bottom"/>
          </w:tcPr>
          <w:p>
            <w:pPr>
              <w:spacing w:after="0"/>
              <w:rPr>
                <w:sz w:val="20"/>
                <w:szCs w:val="20"/>
                <w:color w:val="auto"/>
              </w:rPr>
            </w:pPr>
            <w:r>
              <w:rPr>
                <w:rFonts w:ascii="Arial" w:cs="Arial" w:eastAsia="Arial" w:hAnsi="Arial"/>
                <w:sz w:val="18"/>
                <w:szCs w:val="18"/>
                <w:color w:val="auto"/>
                <w:w w:val="97"/>
              </w:rPr>
              <w:t>Large accelerated filer</w:t>
            </w:r>
          </w:p>
        </w:tc>
        <w:tc>
          <w:tcPr>
            <w:tcW w:w="6760" w:type="dxa"/>
            <w:vAlign w:val="bottom"/>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2500" w:type="dxa"/>
            <w:vAlign w:val="bottom"/>
          </w:tcPr>
          <w:p>
            <w:pPr>
              <w:ind w:left="34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Non-accelerated filer</w:t>
            </w:r>
          </w:p>
        </w:tc>
        <w:tc>
          <w:tcPr>
            <w:tcW w:w="6760" w:type="dxa"/>
            <w:vAlign w:val="bottom"/>
          </w:tcPr>
          <w:p>
            <w:pPr>
              <w:ind w:left="16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2500" w:type="dxa"/>
            <w:vAlign w:val="bottom"/>
          </w:tcPr>
          <w:p>
            <w:pPr>
              <w:ind w:left="340"/>
              <w:spacing w:after="0"/>
              <w:rPr>
                <w:sz w:val="20"/>
                <w:szCs w:val="20"/>
                <w:color w:val="auto"/>
              </w:rPr>
            </w:pPr>
            <w:r>
              <w:rPr>
                <w:rFonts w:ascii="Arial" w:cs="Arial" w:eastAsia="Arial" w:hAnsi="Arial"/>
                <w:sz w:val="18"/>
                <w:szCs w:val="18"/>
                <w:color w:val="auto"/>
                <w:w w:val="99"/>
              </w:rPr>
              <w:t>Smaller reporting company</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7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89"/>
              </w:rPr>
              <w:t>Indicate by check mark whether the registrant is a shell company (as defined in Rule 12b-2 of the Exchange Act).</w:t>
            </w:r>
          </w:p>
        </w:tc>
        <w:tc>
          <w:tcPr>
            <w:tcW w:w="2500" w:type="dxa"/>
            <w:vAlign w:val="bottom"/>
          </w:tcPr>
          <w:p>
            <w:pPr>
              <w:ind w:left="8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tc>
        <w:tc>
          <w:tcPr>
            <w:tcW w:w="400" w:type="dxa"/>
            <w:vAlign w:val="bottom"/>
          </w:tcPr>
          <w:p>
            <w:pPr>
              <w:spacing w:after="0"/>
              <w:rPr>
                <w:sz w:val="24"/>
                <w:szCs w:val="24"/>
                <w:color w:val="auto"/>
              </w:rPr>
            </w:pPr>
          </w:p>
        </w:tc>
      </w:tr>
      <w:tr>
        <w:trPr>
          <w:trHeight w:val="35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95"/>
              </w:rPr>
              <w:t>The number of common shares of the registrant outstanding as of May 31, 2010 was 644,536,712 shares.</w:t>
            </w:r>
          </w:p>
        </w:tc>
        <w:tc>
          <w:tcPr>
            <w:tcW w:w="250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64"/>
        </w:trPr>
        <w:tc>
          <w:tcPr>
            <w:tcW w:w="1760" w:type="dxa"/>
            <w:vAlign w:val="bottom"/>
            <w:tcBorders>
              <w:bottom w:val="single" w:sz="8" w:color="auto"/>
            </w:tcBorders>
          </w:tcPr>
          <w:p>
            <w:pPr>
              <w:spacing w:after="0"/>
              <w:rPr>
                <w:sz w:val="14"/>
                <w:szCs w:val="14"/>
                <w:color w:val="auto"/>
              </w:rPr>
            </w:pPr>
          </w:p>
        </w:tc>
        <w:tc>
          <w:tcPr>
            <w:tcW w:w="6760" w:type="dxa"/>
            <w:vAlign w:val="bottom"/>
            <w:tcBorders>
              <w:bottom w:val="single" w:sz="8" w:color="auto"/>
            </w:tcBorders>
          </w:tcPr>
          <w:p>
            <w:pPr>
              <w:spacing w:after="0"/>
              <w:rPr>
                <w:sz w:val="14"/>
                <w:szCs w:val="14"/>
                <w:color w:val="auto"/>
              </w:rPr>
            </w:pPr>
          </w:p>
        </w:tc>
        <w:tc>
          <w:tcPr>
            <w:tcW w:w="250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r>
      <w:tr>
        <w:trPr>
          <w:trHeight w:val="21"/>
        </w:trPr>
        <w:tc>
          <w:tcPr>
            <w:tcW w:w="1760" w:type="dxa"/>
            <w:vAlign w:val="bottom"/>
            <w:tcBorders>
              <w:bottom w:val="single" w:sz="8" w:color="auto"/>
            </w:tcBorders>
          </w:tcPr>
          <w:p>
            <w:pPr>
              <w:spacing w:after="0" w:line="20" w:lineRule="exact"/>
              <w:rPr>
                <w:sz w:val="1"/>
                <w:szCs w:val="1"/>
                <w:color w:val="auto"/>
              </w:rPr>
            </w:pPr>
          </w:p>
        </w:tc>
        <w:tc>
          <w:tcPr>
            <w:tcW w:w="6760" w:type="dxa"/>
            <w:vAlign w:val="bottom"/>
            <w:tcBorders>
              <w:bottom w:val="single" w:sz="8" w:color="auto"/>
            </w:tcBorders>
          </w:tcPr>
          <w:p>
            <w:pPr>
              <w:spacing w:after="0" w:line="20" w:lineRule="exact"/>
              <w:rPr>
                <w:sz w:val="1"/>
                <w:szCs w:val="1"/>
                <w:color w:val="auto"/>
              </w:rPr>
            </w:pPr>
          </w:p>
        </w:tc>
        <w:tc>
          <w:tcPr>
            <w:tcW w:w="250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230" w:right="23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020" w:type="dxa"/>
            <w:vAlign w:val="bottom"/>
            <w:gridSpan w:val="11"/>
            <w:vMerge w:val="restart"/>
          </w:tcPr>
          <w:p>
            <w:pPr>
              <w:jc w:val="center"/>
              <w:ind w:right="3840"/>
              <w:spacing w:after="0"/>
              <w:rPr>
                <w:rFonts w:ascii="Arial" w:cs="Arial" w:eastAsia="Arial" w:hAnsi="Arial"/>
                <w:sz w:val="18"/>
                <w:szCs w:val="18"/>
                <w:b w:val="1"/>
                <w:bCs w:val="1"/>
                <w:color w:val="0000EE"/>
                <w:w w:val="99"/>
              </w:rPr>
            </w:pPr>
            <w:hyperlink w:anchor="page3">
              <w:r>
                <w:rPr>
                  <w:rFonts w:ascii="Arial" w:cs="Arial" w:eastAsia="Arial" w:hAnsi="Arial"/>
                  <w:sz w:val="18"/>
                  <w:szCs w:val="18"/>
                  <w:b w:val="1"/>
                  <w:bCs w:val="1"/>
                  <w:color w:val="0000EE"/>
                  <w:w w:val="99"/>
                </w:rPr>
                <w:t>PART I. FINANCIAL INFORMATION</w:t>
              </w:r>
            </w:hyperlink>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69"/>
        </w:trPr>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020" w:type="dxa"/>
            <w:vAlign w:val="bottom"/>
            <w:gridSpan w:val="11"/>
            <w:vMerge w:val="continue"/>
          </w:tcPr>
          <w:p>
            <w:pPr>
              <w:spacing w:after="0"/>
              <w:rPr>
                <w:sz w:val="14"/>
                <w:szCs w:val="14"/>
                <w:color w:val="auto"/>
              </w:rPr>
            </w:pP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1.</w:t>
            </w:r>
          </w:p>
        </w:tc>
        <w:tc>
          <w:tcPr>
            <w:tcW w:w="3340" w:type="dxa"/>
            <w:vAlign w:val="bottom"/>
            <w:gridSpan w:val="13"/>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2980" w:type="dxa"/>
            <w:vAlign w:val="bottom"/>
            <w:tcBorders>
              <w:top w:val="single" w:sz="8" w:color="0000EE"/>
            </w:tcBorders>
            <w:gridSpan w:val="6"/>
          </w:tcPr>
          <w:p>
            <w:pPr>
              <w:spacing w:after="0"/>
              <w:rPr>
                <w:sz w:val="24"/>
                <w:szCs w:val="24"/>
                <w:color w:val="auto"/>
              </w:rPr>
            </w:pPr>
          </w:p>
        </w:tc>
        <w:tc>
          <w:tcPr>
            <w:tcW w:w="3940" w:type="dxa"/>
            <w:vAlign w:val="bottom"/>
            <w:gridSpan w:val="4"/>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10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260" w:type="dxa"/>
            <w:vAlign w:val="bottom"/>
            <w:gridSpan w:val="23"/>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Unaudited Condensed Consolidated Balance Sheets as of May 1, 2010 and January 30, 2010</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1000" w:type="dxa"/>
            <w:vAlign w:val="bottom"/>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26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00" w:type="dxa"/>
            <w:vAlign w:val="bottom"/>
            <w:gridSpan w:val="2"/>
            <w:shd w:val="clear" w:color="auto" w:fill="0000EE"/>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260" w:type="dxa"/>
            <w:vAlign w:val="bottom"/>
            <w:gridSpan w:val="23"/>
          </w:tcPr>
          <w:p>
            <w:pPr>
              <w:spacing w:after="0"/>
              <w:rPr>
                <w:rFonts w:ascii="Arial" w:cs="Arial" w:eastAsia="Arial" w:hAnsi="Arial"/>
                <w:sz w:val="18"/>
                <w:szCs w:val="18"/>
                <w:color w:val="0000EE"/>
              </w:rPr>
            </w:pPr>
            <w:hyperlink w:anchor="page4">
              <w:r>
                <w:rPr>
                  <w:rFonts w:ascii="Arial" w:cs="Arial" w:eastAsia="Arial" w:hAnsi="Arial"/>
                  <w:sz w:val="18"/>
                  <w:szCs w:val="18"/>
                  <w:color w:val="0000EE"/>
                </w:rPr>
                <w:t>Unaudited Condensed Consolidated Statements of Operations for the three months ended May 1, 2010 and</w:t>
              </w:r>
            </w:hyperlink>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900" w:type="dxa"/>
            <w:vAlign w:val="bottom"/>
            <w:tcBorders>
              <w:top w:val="single" w:sz="8" w:color="0000EE"/>
              <w:bottom w:val="single" w:sz="8" w:color="0000EE"/>
            </w:tcBorders>
            <w:gridSpan w:val="3"/>
          </w:tcPr>
          <w:p>
            <w:pPr>
              <w:spacing w:after="0" w:line="196" w:lineRule="exact"/>
              <w:rPr>
                <w:rFonts w:ascii="Arial" w:cs="Arial" w:eastAsia="Arial" w:hAnsi="Arial"/>
                <w:sz w:val="18"/>
                <w:szCs w:val="18"/>
                <w:color w:val="0000EE"/>
                <w:w w:val="88"/>
              </w:rPr>
            </w:pPr>
            <w:hyperlink w:anchor="page4">
              <w:r>
                <w:rPr>
                  <w:rFonts w:ascii="Arial" w:cs="Arial" w:eastAsia="Arial" w:hAnsi="Arial"/>
                  <w:sz w:val="18"/>
                  <w:szCs w:val="18"/>
                  <w:color w:val="0000EE"/>
                  <w:w w:val="88"/>
                </w:rPr>
                <w:t>May 2, 2009</w:t>
              </w:r>
            </w:hyperlink>
          </w:p>
        </w:tc>
        <w:tc>
          <w:tcPr>
            <w:tcW w:w="6380" w:type="dxa"/>
            <w:vAlign w:val="bottom"/>
            <w:tcBorders>
              <w:top w:val="single" w:sz="8" w:color="0000EE"/>
            </w:tcBorders>
            <w:gridSpan w:val="16"/>
          </w:tcPr>
          <w:p>
            <w:pPr>
              <w:spacing w:after="0"/>
              <w:rPr>
                <w:sz w:val="17"/>
                <w:szCs w:val="17"/>
                <w:color w:val="auto"/>
              </w:rPr>
            </w:pPr>
          </w:p>
        </w:tc>
        <w:tc>
          <w:tcPr>
            <w:tcW w:w="2760" w:type="dxa"/>
            <w:vAlign w:val="bottom"/>
            <w:gridSpan w:val="2"/>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260" w:type="dxa"/>
            <w:vAlign w:val="bottom"/>
            <w:gridSpan w:val="23"/>
          </w:tcPr>
          <w:p>
            <w:pPr>
              <w:spacing w:after="0"/>
              <w:rPr>
                <w:rFonts w:ascii="Arial" w:cs="Arial" w:eastAsia="Arial" w:hAnsi="Arial"/>
                <w:sz w:val="18"/>
                <w:szCs w:val="18"/>
                <w:color w:val="0000EE"/>
              </w:rPr>
            </w:pPr>
            <w:hyperlink w:anchor="page5">
              <w:r>
                <w:rPr>
                  <w:rFonts w:ascii="Arial" w:cs="Arial" w:eastAsia="Arial" w:hAnsi="Arial"/>
                  <w:sz w:val="18"/>
                  <w:szCs w:val="18"/>
                  <w:color w:val="0000EE"/>
                </w:rPr>
                <w:t>Unaudited Condensed Consolidated Statements of Cash Flows for the three months ended May 1, 2010 and</w:t>
              </w:r>
            </w:hyperlink>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900" w:type="dxa"/>
            <w:vAlign w:val="bottom"/>
            <w:tcBorders>
              <w:top w:val="single" w:sz="8" w:color="0000EE"/>
              <w:bottom w:val="single" w:sz="8" w:color="0000EE"/>
            </w:tcBorders>
            <w:gridSpan w:val="3"/>
          </w:tcPr>
          <w:p>
            <w:pPr>
              <w:spacing w:after="0" w:line="196" w:lineRule="exact"/>
              <w:rPr>
                <w:rFonts w:ascii="Arial" w:cs="Arial" w:eastAsia="Arial" w:hAnsi="Arial"/>
                <w:sz w:val="18"/>
                <w:szCs w:val="18"/>
                <w:color w:val="0000EE"/>
                <w:w w:val="88"/>
              </w:rPr>
            </w:pPr>
            <w:hyperlink w:anchor="page5">
              <w:r>
                <w:rPr>
                  <w:rFonts w:ascii="Arial" w:cs="Arial" w:eastAsia="Arial" w:hAnsi="Arial"/>
                  <w:sz w:val="18"/>
                  <w:szCs w:val="18"/>
                  <w:color w:val="0000EE"/>
                  <w:w w:val="88"/>
                </w:rPr>
                <w:t>May 2, 2009</w:t>
              </w:r>
            </w:hyperlink>
          </w:p>
        </w:tc>
        <w:tc>
          <w:tcPr>
            <w:tcW w:w="6440" w:type="dxa"/>
            <w:vAlign w:val="bottom"/>
            <w:tcBorders>
              <w:top w:val="single" w:sz="8" w:color="0000EE"/>
            </w:tcBorders>
            <w:gridSpan w:val="17"/>
          </w:tcPr>
          <w:p>
            <w:pPr>
              <w:spacing w:after="0"/>
              <w:rPr>
                <w:sz w:val="17"/>
                <w:szCs w:val="17"/>
                <w:color w:val="auto"/>
              </w:rPr>
            </w:pPr>
          </w:p>
        </w:tc>
        <w:tc>
          <w:tcPr>
            <w:tcW w:w="270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680" w:type="dxa"/>
            <w:vAlign w:val="bottom"/>
            <w:tcBorders>
              <w:bottom w:val="single" w:sz="8" w:color="0000EE"/>
            </w:tcBorders>
            <w:gridSpan w:val="16"/>
          </w:tcPr>
          <w:p>
            <w:pPr>
              <w:spacing w:after="0"/>
              <w:rPr>
                <w:rFonts w:ascii="Arial" w:cs="Arial" w:eastAsia="Arial" w:hAnsi="Arial"/>
                <w:sz w:val="18"/>
                <w:szCs w:val="18"/>
                <w:color w:val="0000EE"/>
                <w:w w:val="87"/>
              </w:rPr>
            </w:pPr>
            <w:hyperlink w:anchor="page6">
              <w:r>
                <w:rPr>
                  <w:rFonts w:ascii="Arial" w:cs="Arial" w:eastAsia="Arial" w:hAnsi="Arial"/>
                  <w:sz w:val="18"/>
                  <w:szCs w:val="18"/>
                  <w:color w:val="0000EE"/>
                  <w:w w:val="87"/>
                </w:rPr>
                <w:t>Notes to Unaudited Condensed Consolidated Financial Statements</w:t>
              </w:r>
            </w:hyperlink>
          </w:p>
        </w:tc>
        <w:tc>
          <w:tcPr>
            <w:tcW w:w="5580" w:type="dxa"/>
            <w:vAlign w:val="bottom"/>
            <w:gridSpan w:val="7"/>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2.</w:t>
            </w:r>
          </w:p>
        </w:tc>
        <w:tc>
          <w:tcPr>
            <w:tcW w:w="10260" w:type="dxa"/>
            <w:vAlign w:val="bottom"/>
            <w:gridSpan w:val="23"/>
          </w:tcPr>
          <w:p>
            <w:pPr>
              <w:spacing w:after="0"/>
              <w:rPr>
                <w:rFonts w:ascii="Arial" w:cs="Arial" w:eastAsia="Arial" w:hAnsi="Arial"/>
                <w:sz w:val="18"/>
                <w:szCs w:val="18"/>
                <w:color w:val="0000EE"/>
              </w:rPr>
            </w:pPr>
            <w:hyperlink w:anchor="page25">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15"/>
          </w:tcPr>
          <w:p>
            <w:pPr>
              <w:spacing w:after="0"/>
              <w:rPr>
                <w:rFonts w:ascii="Arial" w:cs="Arial" w:eastAsia="Arial" w:hAnsi="Arial"/>
                <w:sz w:val="18"/>
                <w:szCs w:val="18"/>
                <w:color w:val="0000EE"/>
                <w:w w:val="89"/>
              </w:rPr>
            </w:pPr>
            <w:hyperlink w:anchor="page33">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3"/>
          </w:tcPr>
          <w:p>
            <w:pPr>
              <w:spacing w:after="0"/>
              <w:rPr>
                <w:sz w:val="24"/>
                <w:szCs w:val="24"/>
                <w:color w:val="auto"/>
              </w:rPr>
            </w:pPr>
          </w:p>
        </w:tc>
        <w:tc>
          <w:tcPr>
            <w:tcW w:w="3960" w:type="dxa"/>
            <w:vAlign w:val="bottom"/>
            <w:gridSpan w:val="5"/>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32</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4.</w:t>
            </w:r>
          </w:p>
        </w:tc>
        <w:tc>
          <w:tcPr>
            <w:tcW w:w="10260" w:type="dxa"/>
            <w:vAlign w:val="bottom"/>
            <w:gridSpan w:val="23"/>
          </w:tcPr>
          <w:p>
            <w:pPr>
              <w:spacing w:after="0"/>
              <w:rPr>
                <w:rFonts w:ascii="Arial" w:cs="Arial" w:eastAsia="Arial" w:hAnsi="Arial"/>
                <w:sz w:val="18"/>
                <w:szCs w:val="18"/>
                <w:color w:val="0000EE"/>
              </w:rPr>
            </w:pPr>
            <w:hyperlink w:anchor="page35">
              <w:r>
                <w:rPr>
                  <w:rFonts w:ascii="Arial" w:cs="Arial" w:eastAsia="Arial" w:hAnsi="Arial"/>
                  <w:sz w:val="18"/>
                  <w:szCs w:val="18"/>
                  <w:color w:val="0000EE"/>
                </w:rPr>
                <w:t>Controls and Procedures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380" w:type="dxa"/>
            <w:vAlign w:val="bottom"/>
            <w:tcBorders>
              <w:top w:val="single" w:sz="8" w:color="0000EE"/>
            </w:tcBorders>
          </w:tcPr>
          <w:p>
            <w:pPr>
              <w:spacing w:after="0"/>
              <w:rPr>
                <w:sz w:val="24"/>
                <w:szCs w:val="24"/>
                <w:color w:val="auto"/>
              </w:rPr>
            </w:pPr>
          </w:p>
        </w:tc>
        <w:tc>
          <w:tcPr>
            <w:tcW w:w="28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7980" w:type="dxa"/>
            <w:vAlign w:val="bottom"/>
            <w:gridSpan w:val="12"/>
          </w:tcPr>
          <w:p>
            <w:pPr>
              <w:ind w:left="960"/>
              <w:spacing w:after="0"/>
              <w:rPr>
                <w:rFonts w:ascii="Arial" w:cs="Arial" w:eastAsia="Arial" w:hAnsi="Arial"/>
                <w:sz w:val="18"/>
                <w:szCs w:val="18"/>
                <w:b w:val="1"/>
                <w:bCs w:val="1"/>
                <w:color w:val="0000EE"/>
              </w:rPr>
            </w:pPr>
            <w:hyperlink w:anchor="page35">
              <w:r>
                <w:rPr>
                  <w:rFonts w:ascii="Arial" w:cs="Arial" w:eastAsia="Arial" w:hAnsi="Arial"/>
                  <w:sz w:val="18"/>
                  <w:szCs w:val="18"/>
                  <w:b w:val="1"/>
                  <w:bCs w:val="1"/>
                  <w:color w:val="0000EE"/>
                </w:rPr>
                <w:t>PART II. OTHER INFORMATION</w:t>
              </w:r>
            </w:hyperlink>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1.</w:t>
            </w:r>
          </w:p>
        </w:tc>
        <w:tc>
          <w:tcPr>
            <w:tcW w:w="3240" w:type="dxa"/>
            <w:vAlign w:val="bottom"/>
            <w:gridSpan w:val="12"/>
          </w:tcPr>
          <w:p>
            <w:pPr>
              <w:spacing w:after="0"/>
              <w:rPr>
                <w:rFonts w:ascii="Arial" w:cs="Arial" w:eastAsia="Arial" w:hAnsi="Arial"/>
                <w:sz w:val="18"/>
                <w:szCs w:val="18"/>
                <w:color w:val="0000EE"/>
              </w:rPr>
            </w:pPr>
            <w:hyperlink w:anchor="page35">
              <w:r>
                <w:rPr>
                  <w:rFonts w:ascii="Arial" w:cs="Arial" w:eastAsia="Arial" w:hAnsi="Arial"/>
                  <w:sz w:val="18"/>
                  <w:szCs w:val="18"/>
                  <w:color w:val="0000EE"/>
                </w:rPr>
                <w:t>Legal Proceedings</w:t>
              </w:r>
            </w:hyperlink>
          </w:p>
        </w:tc>
        <w:tc>
          <w:tcPr>
            <w:tcW w:w="2700" w:type="dxa"/>
            <w:vAlign w:val="bottom"/>
            <w:tcBorders>
              <w:top w:val="single" w:sz="8" w:color="0000EE"/>
            </w:tcBorders>
            <w:gridSpan w:val="5"/>
          </w:tcPr>
          <w:p>
            <w:pPr>
              <w:spacing w:after="0"/>
              <w:rPr>
                <w:sz w:val="24"/>
                <w:szCs w:val="24"/>
                <w:color w:val="auto"/>
              </w:rPr>
            </w:pPr>
          </w:p>
        </w:tc>
        <w:tc>
          <w:tcPr>
            <w:tcW w:w="4320" w:type="dxa"/>
            <w:vAlign w:val="bottom"/>
            <w:gridSpan w:val="6"/>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1A.</w:t>
            </w:r>
          </w:p>
        </w:tc>
        <w:tc>
          <w:tcPr>
            <w:tcW w:w="1300" w:type="dxa"/>
            <w:vAlign w:val="bottom"/>
            <w:tcBorders>
              <w:top w:val="single" w:sz="8" w:color="0000EE"/>
            </w:tcBorders>
            <w:gridSpan w:val="7"/>
          </w:tcPr>
          <w:p>
            <w:pPr>
              <w:spacing w:after="0"/>
              <w:rPr>
                <w:rFonts w:ascii="Arial" w:cs="Arial" w:eastAsia="Arial" w:hAnsi="Arial"/>
                <w:sz w:val="18"/>
                <w:szCs w:val="18"/>
                <w:color w:val="0000EE"/>
              </w:rPr>
            </w:pPr>
            <w:hyperlink w:anchor="page35">
              <w:r>
                <w:rPr>
                  <w:rFonts w:ascii="Arial" w:cs="Arial" w:eastAsia="Arial" w:hAnsi="Arial"/>
                  <w:sz w:val="18"/>
                  <w:szCs w:val="18"/>
                  <w:color w:val="0000EE"/>
                </w:rPr>
                <w:t>Risk Factors</w:t>
              </w:r>
            </w:hyperlink>
          </w:p>
        </w:tc>
        <w:tc>
          <w:tcPr>
            <w:tcW w:w="8960" w:type="dxa"/>
            <w:vAlign w:val="bottom"/>
            <w:gridSpan w:val="16"/>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gridSpan w:val="2"/>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00" w:type="dxa"/>
            <w:vAlign w:val="bottom"/>
            <w:gridSpan w:val="2"/>
          </w:tcPr>
          <w:p>
            <w:pPr>
              <w:spacing w:after="0" w:line="20" w:lineRule="exact"/>
              <w:rPr>
                <w:sz w:val="1"/>
                <w:szCs w:val="1"/>
                <w:color w:val="auto"/>
              </w:rPr>
            </w:pPr>
          </w:p>
        </w:tc>
        <w:tc>
          <w:tcPr>
            <w:tcW w:w="520" w:type="dxa"/>
            <w:vAlign w:val="bottom"/>
            <w:gridSpan w:val="4"/>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960" w:type="dxa"/>
            <w:vAlign w:val="bottom"/>
            <w:gridSpan w:val="3"/>
          </w:tcPr>
          <w:p>
            <w:pPr>
              <w:spacing w:after="0" w:line="20" w:lineRule="exact"/>
              <w:rPr>
                <w:sz w:val="1"/>
                <w:szCs w:val="1"/>
                <w:color w:val="auto"/>
              </w:rPr>
            </w:pPr>
          </w:p>
        </w:tc>
        <w:tc>
          <w:tcPr>
            <w:tcW w:w="6020" w:type="dxa"/>
            <w:vAlign w:val="bottom"/>
            <w:gridSpan w:val="9"/>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2.</w:t>
            </w:r>
          </w:p>
        </w:tc>
        <w:tc>
          <w:tcPr>
            <w:tcW w:w="10260" w:type="dxa"/>
            <w:vAlign w:val="bottom"/>
            <w:gridSpan w:val="23"/>
          </w:tcPr>
          <w:p>
            <w:pPr>
              <w:spacing w:after="0"/>
              <w:rPr>
                <w:rFonts w:ascii="Arial" w:cs="Arial" w:eastAsia="Arial" w:hAnsi="Arial"/>
                <w:sz w:val="18"/>
                <w:szCs w:val="18"/>
                <w:color w:val="0000EE"/>
              </w:rPr>
            </w:pPr>
            <w:hyperlink w:anchor="page47">
              <w:r>
                <w:rPr>
                  <w:rFonts w:ascii="Arial" w:cs="Arial" w:eastAsia="Arial" w:hAnsi="Arial"/>
                  <w:sz w:val="18"/>
                  <w:szCs w:val="18"/>
                  <w:color w:val="0000EE"/>
                </w:rPr>
                <w:t>Unregistered Sales of Equity Securities and Use of Proceeds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3.</w:t>
            </w:r>
          </w:p>
        </w:tc>
        <w:tc>
          <w:tcPr>
            <w:tcW w:w="2280" w:type="dxa"/>
            <w:vAlign w:val="bottom"/>
            <w:tcBorders>
              <w:top w:val="single" w:sz="8" w:color="0000EE"/>
              <w:bottom w:val="single" w:sz="8" w:color="0000EE"/>
            </w:tcBorders>
            <w:gridSpan w:val="11"/>
          </w:tcPr>
          <w:p>
            <w:pPr>
              <w:spacing w:after="0"/>
              <w:rPr>
                <w:rFonts w:ascii="Arial" w:cs="Arial" w:eastAsia="Arial" w:hAnsi="Arial"/>
                <w:sz w:val="18"/>
                <w:szCs w:val="18"/>
                <w:color w:val="0000EE"/>
                <w:w w:val="88"/>
              </w:rPr>
            </w:pPr>
            <w:hyperlink w:anchor="page47">
              <w:r>
                <w:rPr>
                  <w:rFonts w:ascii="Arial" w:cs="Arial" w:eastAsia="Arial" w:hAnsi="Arial"/>
                  <w:sz w:val="18"/>
                  <w:szCs w:val="18"/>
                  <w:color w:val="0000EE"/>
                  <w:w w:val="88"/>
                </w:rPr>
                <w:t>Defaults Upon Senior Securities</w:t>
              </w:r>
            </w:hyperlink>
          </w:p>
        </w:tc>
        <w:tc>
          <w:tcPr>
            <w:tcW w:w="1960" w:type="dxa"/>
            <w:vAlign w:val="bottom"/>
            <w:tcBorders>
              <w:top w:val="single" w:sz="8" w:color="0000EE"/>
            </w:tcBorders>
            <w:gridSpan w:val="3"/>
          </w:tcPr>
          <w:p>
            <w:pPr>
              <w:spacing w:after="0"/>
              <w:rPr>
                <w:sz w:val="24"/>
                <w:szCs w:val="24"/>
                <w:color w:val="auto"/>
              </w:rPr>
            </w:pPr>
          </w:p>
        </w:tc>
        <w:tc>
          <w:tcPr>
            <w:tcW w:w="6020" w:type="dxa"/>
            <w:vAlign w:val="bottom"/>
            <w:gridSpan w:val="9"/>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4.</w:t>
            </w:r>
          </w:p>
        </w:tc>
        <w:tc>
          <w:tcPr>
            <w:tcW w:w="1800" w:type="dxa"/>
            <w:vAlign w:val="bottom"/>
            <w:tcBorders>
              <w:bottom w:val="single" w:sz="8" w:color="0000EE"/>
            </w:tcBorders>
            <w:gridSpan w:val="10"/>
          </w:tcPr>
          <w:p>
            <w:pPr>
              <w:spacing w:after="0"/>
              <w:rPr>
                <w:rFonts w:ascii="Arial" w:cs="Arial" w:eastAsia="Arial" w:hAnsi="Arial"/>
                <w:sz w:val="18"/>
                <w:szCs w:val="18"/>
                <w:color w:val="0000EE"/>
                <w:w w:val="86"/>
              </w:rPr>
            </w:pPr>
            <w:hyperlink w:anchor="page47">
              <w:r>
                <w:rPr>
                  <w:rFonts w:ascii="Arial" w:cs="Arial" w:eastAsia="Arial" w:hAnsi="Arial"/>
                  <w:sz w:val="18"/>
                  <w:szCs w:val="18"/>
                  <w:color w:val="0000EE"/>
                  <w:w w:val="86"/>
                </w:rPr>
                <w:t>(Removed and Reserved)</w:t>
              </w:r>
            </w:hyperlink>
          </w:p>
        </w:tc>
        <w:tc>
          <w:tcPr>
            <w:tcW w:w="8460" w:type="dxa"/>
            <w:vAlign w:val="bottom"/>
            <w:gridSpan w:val="13"/>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5.</w:t>
            </w:r>
          </w:p>
        </w:tc>
        <w:tc>
          <w:tcPr>
            <w:tcW w:w="10260" w:type="dxa"/>
            <w:vAlign w:val="bottom"/>
            <w:gridSpan w:val="23"/>
          </w:tcPr>
          <w:p>
            <w:pPr>
              <w:spacing w:after="0"/>
              <w:rPr>
                <w:rFonts w:ascii="Arial" w:cs="Arial" w:eastAsia="Arial" w:hAnsi="Arial"/>
                <w:sz w:val="18"/>
                <w:szCs w:val="18"/>
                <w:color w:val="0000EE"/>
              </w:rPr>
            </w:pPr>
            <w:hyperlink w:anchor="page47">
              <w:r>
                <w:rPr>
                  <w:rFonts w:ascii="Arial" w:cs="Arial" w:eastAsia="Arial" w:hAnsi="Arial"/>
                  <w:sz w:val="18"/>
                  <w:szCs w:val="18"/>
                  <w:color w:val="0000EE"/>
                </w:rPr>
                <w:t>Other Information</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6.</w:t>
            </w:r>
          </w:p>
        </w:tc>
        <w:tc>
          <w:tcPr>
            <w:tcW w:w="1280" w:type="dxa"/>
            <w:vAlign w:val="bottom"/>
            <w:tcBorders>
              <w:top w:val="single" w:sz="8" w:color="0000EE"/>
            </w:tcBorders>
            <w:gridSpan w:val="6"/>
          </w:tcPr>
          <w:p>
            <w:pPr>
              <w:spacing w:after="0"/>
              <w:rPr>
                <w:rFonts w:ascii="Arial" w:cs="Arial" w:eastAsia="Arial" w:hAnsi="Arial"/>
                <w:sz w:val="18"/>
                <w:szCs w:val="18"/>
                <w:color w:val="0000EE"/>
              </w:rPr>
            </w:pPr>
            <w:hyperlink w:anchor="page47">
              <w:r>
                <w:rPr>
                  <w:rFonts w:ascii="Arial" w:cs="Arial" w:eastAsia="Arial" w:hAnsi="Arial"/>
                  <w:sz w:val="18"/>
                  <w:szCs w:val="18"/>
                  <w:color w:val="0000EE"/>
                </w:rPr>
                <w:t>Exhibits</w:t>
              </w:r>
            </w:hyperlink>
          </w:p>
        </w:tc>
        <w:tc>
          <w:tcPr>
            <w:tcW w:w="8980" w:type="dxa"/>
            <w:vAlign w:val="bottom"/>
            <w:gridSpan w:val="17"/>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rFonts w:ascii="Arial" w:cs="Arial" w:eastAsia="Arial" w:hAnsi="Arial"/>
                <w:sz w:val="18"/>
                <w:szCs w:val="18"/>
                <w:color w:val="0000EE"/>
                <w:w w:val="99"/>
              </w:rPr>
            </w:pPr>
            <w:hyperlink w:anchor="page49">
              <w:r>
                <w:rPr>
                  <w:rFonts w:ascii="Arial" w:cs="Arial" w:eastAsia="Arial" w:hAnsi="Arial"/>
                  <w:sz w:val="18"/>
                  <w:szCs w:val="18"/>
                  <w:color w:val="0000EE"/>
                  <w:w w:val="99"/>
                </w:rPr>
                <w:t>Signatures</w:t>
              </w:r>
            </w:hyperlink>
          </w:p>
        </w:tc>
        <w:tc>
          <w:tcPr>
            <w:tcW w:w="8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380" w:type="dxa"/>
            <w:vAlign w:val="bottom"/>
            <w:tcBorders>
              <w:top w:val="single" w:sz="8" w:color="0000EE"/>
            </w:tcBorders>
          </w:tcPr>
          <w:p>
            <w:pPr>
              <w:spacing w:after="0"/>
              <w:rPr>
                <w:sz w:val="24"/>
                <w:szCs w:val="24"/>
                <w:color w:val="auto"/>
              </w:rPr>
            </w:pPr>
          </w:p>
        </w:tc>
        <w:tc>
          <w:tcPr>
            <w:tcW w:w="2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700" w:type="dxa"/>
            <w:vAlign w:val="bottom"/>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48</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10180" w:type="dxa"/>
            <w:vAlign w:val="bottom"/>
            <w:gridSpan w:val="2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1140" w:type="dxa"/>
            <w:vAlign w:val="bottom"/>
            <w:gridSpan w:val="25"/>
          </w:tcPr>
          <w:p>
            <w:pPr>
              <w:spacing w:after="0"/>
              <w:rPr>
                <w:rFonts w:ascii="Arial" w:cs="Arial" w:eastAsia="Arial" w:hAnsi="Arial"/>
                <w:sz w:val="18"/>
                <w:szCs w:val="18"/>
                <w:color w:val="0000EE"/>
              </w:rPr>
            </w:pPr>
            <w:hyperlink w:anchor="page50">
              <w:r>
                <w:rPr>
                  <w:rFonts w:ascii="Arial" w:cs="Arial" w:eastAsia="Arial" w:hAnsi="Arial"/>
                  <w:sz w:val="18"/>
                  <w:szCs w:val="18"/>
                  <w:color w:val="0000EE"/>
                </w:rPr>
                <w:t>Exhibit Index</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383"/>
        </w:trPr>
        <w:tc>
          <w:tcPr>
            <w:tcW w:w="7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5860" w:type="dxa"/>
            <w:vAlign w:val="bottom"/>
            <w:gridSpan w:val="16"/>
          </w:tcPr>
          <w:p>
            <w:pPr>
              <w:jc w:val="right"/>
              <w:ind w:right="1060"/>
              <w:spacing w:after="0"/>
              <w:rPr>
                <w:sz w:val="20"/>
                <w:szCs w:val="20"/>
                <w:color w:val="auto"/>
              </w:rPr>
            </w:pPr>
            <w:r>
              <w:rPr>
                <w:rFonts w:ascii="Arial" w:cs="Arial" w:eastAsia="Arial" w:hAnsi="Arial"/>
                <w:sz w:val="18"/>
                <w:szCs w:val="18"/>
                <w:color w:val="auto"/>
              </w:rPr>
              <w:t>2</w:t>
            </w:r>
          </w:p>
        </w:tc>
        <w:tc>
          <w:tcPr>
            <w:tcW w:w="3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7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620" w:type="dxa"/>
            <w:vAlign w:val="bottom"/>
          </w:tcPr>
          <w:p>
            <w:pPr>
              <w:jc w:val="center"/>
              <w:ind w:left="1172"/>
              <w:spacing w:after="0"/>
              <w:rPr>
                <w:sz w:val="20"/>
                <w:szCs w:val="20"/>
                <w:color w:val="auto"/>
              </w:rPr>
            </w:pPr>
            <w:r>
              <w:rPr>
                <w:rFonts w:ascii="Arial" w:cs="Arial" w:eastAsia="Arial" w:hAnsi="Arial"/>
                <w:sz w:val="18"/>
                <w:szCs w:val="18"/>
                <w:b w:val="1"/>
                <w:bCs w:val="1"/>
                <w:color w:val="auto"/>
              </w:rPr>
              <w:t>PART I: FINANCIAL INFORMATION</w:t>
            </w: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97"/>
        </w:trPr>
        <w:tc>
          <w:tcPr>
            <w:tcW w:w="780" w:type="dxa"/>
            <w:vAlign w:val="bottom"/>
            <w:gridSpan w:val="2"/>
          </w:tcPr>
          <w:p>
            <w:pPr>
              <w:spacing w:after="0"/>
              <w:rPr>
                <w:sz w:val="20"/>
                <w:szCs w:val="20"/>
                <w:color w:val="auto"/>
              </w:rPr>
            </w:pPr>
            <w:r>
              <w:rPr>
                <w:rFonts w:ascii="Arial" w:cs="Arial" w:eastAsia="Arial" w:hAnsi="Arial"/>
                <w:sz w:val="18"/>
                <w:szCs w:val="18"/>
                <w:b w:val="1"/>
                <w:bCs w:val="1"/>
                <w:color w:val="auto"/>
              </w:rPr>
              <w:t>Item 1.</w:t>
            </w:r>
          </w:p>
        </w:tc>
        <w:tc>
          <w:tcPr>
            <w:tcW w:w="8620" w:type="dxa"/>
            <w:vAlign w:val="bottom"/>
          </w:tcPr>
          <w:p>
            <w:pPr>
              <w:ind w:left="260"/>
              <w:spacing w:after="0"/>
              <w:rPr>
                <w:sz w:val="20"/>
                <w:szCs w:val="20"/>
                <w:color w:val="auto"/>
              </w:rPr>
            </w:pPr>
            <w:r>
              <w:rPr>
                <w:rFonts w:ascii="Arial" w:cs="Arial" w:eastAsia="Arial" w:hAnsi="Arial"/>
                <w:sz w:val="18"/>
                <w:szCs w:val="18"/>
                <w:b w:val="1"/>
                <w:bCs w:val="1"/>
                <w:color w:val="auto"/>
              </w:rPr>
              <w:t>Financial Statements</w:t>
            </w: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8"/>
        </w:trPr>
        <w:tc>
          <w:tcPr>
            <w:tcW w:w="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620" w:type="dxa"/>
            <w:vAlign w:val="bottom"/>
          </w:tcPr>
          <w:p>
            <w:pPr>
              <w:jc w:val="center"/>
              <w:ind w:left="1172"/>
              <w:spacing w:after="0"/>
              <w:rPr>
                <w:sz w:val="20"/>
                <w:szCs w:val="20"/>
                <w:color w:val="auto"/>
              </w:rPr>
            </w:pPr>
            <w:r>
              <w:rPr>
                <w:rFonts w:ascii="Arial" w:cs="Arial" w:eastAsia="Arial" w:hAnsi="Arial"/>
                <w:sz w:val="18"/>
                <w:szCs w:val="18"/>
                <w:b w:val="1"/>
                <w:bCs w:val="1"/>
                <w:color w:val="auto"/>
                <w:w w:val="99"/>
              </w:rPr>
              <w:t>MARVELL TECHNOLOGY GROUP LTD.</w:t>
            </w: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620" w:type="dxa"/>
            <w:vAlign w:val="bottom"/>
          </w:tcPr>
          <w:p>
            <w:pPr>
              <w:jc w:val="center"/>
              <w:ind w:left="1152"/>
              <w:spacing w:after="0"/>
              <w:rPr>
                <w:sz w:val="20"/>
                <w:szCs w:val="20"/>
                <w:color w:val="auto"/>
              </w:rPr>
            </w:pPr>
            <w:r>
              <w:rPr>
                <w:rFonts w:ascii="Arial" w:cs="Arial" w:eastAsia="Arial" w:hAnsi="Arial"/>
                <w:sz w:val="18"/>
                <w:szCs w:val="18"/>
                <w:b w:val="1"/>
                <w:bCs w:val="1"/>
                <w:color w:val="auto"/>
                <w:w w:val="97"/>
              </w:rPr>
              <w:t>UNAUDITED CONDENSED CONSOLIDATED BALANCE SHEETS</w:t>
            </w: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6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40" w:type="dxa"/>
            <w:vAlign w:val="bottom"/>
            <w:gridSpan w:val="2"/>
          </w:tcPr>
          <w:p>
            <w:pPr>
              <w:jc w:val="right"/>
              <w:ind w:right="452"/>
              <w:spacing w:after="0"/>
              <w:rPr>
                <w:sz w:val="20"/>
                <w:szCs w:val="20"/>
                <w:color w:val="auto"/>
              </w:rPr>
            </w:pPr>
            <w:r>
              <w:rPr>
                <w:rFonts w:ascii="Arial" w:cs="Arial" w:eastAsia="Arial" w:hAnsi="Arial"/>
                <w:sz w:val="14"/>
                <w:szCs w:val="14"/>
                <w:b w:val="1"/>
                <w:bCs w:val="1"/>
                <w:color w:val="auto"/>
              </w:rPr>
              <w:t>May 1,</w:t>
            </w:r>
          </w:p>
        </w:tc>
        <w:tc>
          <w:tcPr>
            <w:tcW w:w="90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w w:val="95"/>
              </w:rPr>
              <w:t>January 30,</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6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6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jc w:val="right"/>
              <w:ind w:right="14"/>
              <w:spacing w:after="0" w:line="142" w:lineRule="exact"/>
              <w:rPr>
                <w:sz w:val="20"/>
                <w:szCs w:val="20"/>
                <w:color w:val="auto"/>
              </w:rPr>
            </w:pPr>
            <w:r>
              <w:rPr>
                <w:rFonts w:ascii="Arial" w:cs="Arial" w:eastAsia="Arial" w:hAnsi="Arial"/>
                <w:sz w:val="14"/>
                <w:szCs w:val="14"/>
                <w:b w:val="1"/>
                <w:bCs w:val="1"/>
                <w:color w:val="auto"/>
              </w:rPr>
              <w:t>(In</w:t>
            </w:r>
          </w:p>
        </w:tc>
        <w:tc>
          <w:tcPr>
            <w:tcW w:w="1120" w:type="dxa"/>
            <w:vAlign w:val="bottom"/>
            <w:gridSpan w:val="3"/>
          </w:tcPr>
          <w:p>
            <w:pPr>
              <w:jc w:val="right"/>
              <w:ind w:right="453"/>
              <w:spacing w:after="0" w:line="142" w:lineRule="exact"/>
              <w:rPr>
                <w:sz w:val="20"/>
                <w:szCs w:val="20"/>
                <w:color w:val="auto"/>
              </w:rPr>
            </w:pPr>
            <w:r>
              <w:rPr>
                <w:rFonts w:ascii="Arial" w:cs="Arial" w:eastAsia="Arial" w:hAnsi="Arial"/>
                <w:sz w:val="14"/>
                <w:szCs w:val="14"/>
                <w:b w:val="1"/>
                <w:bCs w:val="1"/>
                <w:color w:val="auto"/>
                <w:w w:val="74"/>
              </w:rPr>
              <w:t>thousands)</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620" w:type="dxa"/>
            <w:vAlign w:val="bottom"/>
            <w:shd w:val="clear" w:color="auto" w:fill="CCEEFF"/>
          </w:tcPr>
          <w:p>
            <w:pPr>
              <w:ind w:left="3480"/>
              <w:spacing w:after="0"/>
              <w:rPr>
                <w:sz w:val="20"/>
                <w:szCs w:val="20"/>
                <w:color w:val="auto"/>
              </w:rPr>
            </w:pPr>
            <w:r>
              <w:rPr>
                <w:rFonts w:ascii="Arial" w:cs="Arial" w:eastAsia="Arial" w:hAnsi="Arial"/>
                <w:sz w:val="18"/>
                <w:szCs w:val="18"/>
                <w:b w:val="1"/>
                <w:bCs w:val="1"/>
                <w:color w:val="auto"/>
              </w:rPr>
              <w:t>ASSETS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gridSpan w:val="2"/>
          </w:tcPr>
          <w:p>
            <w:pPr>
              <w:spacing w:after="0"/>
              <w:rPr>
                <w:sz w:val="20"/>
                <w:szCs w:val="20"/>
                <w:color w:val="auto"/>
              </w:rPr>
            </w:pPr>
            <w:r>
              <w:rPr>
                <w:rFonts w:ascii="Arial" w:cs="Arial" w:eastAsia="Arial" w:hAnsi="Arial"/>
                <w:sz w:val="18"/>
                <w:szCs w:val="18"/>
                <w:color w:val="auto"/>
              </w:rPr>
              <w:t>Current assets:</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Cash and cash equivalents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1,352,339</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1,105,428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gridSpan w:val="2"/>
          </w:tcPr>
          <w:p>
            <w:pPr>
              <w:ind w:left="420"/>
              <w:spacing w:after="0"/>
              <w:rPr>
                <w:sz w:val="20"/>
                <w:szCs w:val="20"/>
                <w:color w:val="auto"/>
              </w:rPr>
            </w:pPr>
            <w:r>
              <w:rPr>
                <w:rFonts w:ascii="Arial" w:cs="Arial" w:eastAsia="Arial" w:hAnsi="Arial"/>
                <w:sz w:val="18"/>
                <w:szCs w:val="18"/>
                <w:color w:val="auto"/>
              </w:rPr>
              <w:t>Short-term investments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726,864</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691,289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Accounts receivable, net</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448,693</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356,796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gridSpan w:val="2"/>
          </w:tcPr>
          <w:p>
            <w:pPr>
              <w:ind w:left="420"/>
              <w:spacing w:after="0"/>
              <w:rPr>
                <w:sz w:val="20"/>
                <w:szCs w:val="20"/>
                <w:color w:val="auto"/>
              </w:rPr>
            </w:pPr>
            <w:r>
              <w:rPr>
                <w:rFonts w:ascii="Arial" w:cs="Arial" w:eastAsia="Arial" w:hAnsi="Arial"/>
                <w:sz w:val="18"/>
                <w:szCs w:val="18"/>
                <w:color w:val="auto"/>
              </w:rPr>
              <w:t>Inventories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206,643</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241,541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Prepaids and other current assets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54,676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62,527</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80" w:type="dxa"/>
            <w:vAlign w:val="bottom"/>
            <w:gridSpan w:val="2"/>
          </w:tcPr>
          <w:p>
            <w:pPr>
              <w:ind w:left="420"/>
              <w:spacing w:after="0"/>
              <w:rPr>
                <w:sz w:val="20"/>
                <w:szCs w:val="20"/>
                <w:color w:val="auto"/>
              </w:rPr>
            </w:pPr>
            <w:r>
              <w:rPr>
                <w:rFonts w:ascii="Arial" w:cs="Arial" w:eastAsia="Arial" w:hAnsi="Arial"/>
                <w:sz w:val="18"/>
                <w:szCs w:val="18"/>
                <w:color w:val="auto"/>
              </w:rPr>
              <w:t>Deferred income taxes</w:t>
            </w: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7,964</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7,964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620" w:type="dxa"/>
            <w:vAlign w:val="bottom"/>
            <w:shd w:val="clear" w:color="auto" w:fill="CCEEFF"/>
          </w:tcPr>
          <w:p>
            <w:pPr>
              <w:ind w:left="100"/>
              <w:spacing w:after="0"/>
              <w:rPr>
                <w:sz w:val="20"/>
                <w:szCs w:val="20"/>
                <w:color w:val="auto"/>
              </w:rPr>
            </w:pPr>
            <w:r>
              <w:rPr>
                <w:rFonts w:ascii="Arial" w:cs="Arial" w:eastAsia="Arial" w:hAnsi="Arial"/>
                <w:sz w:val="18"/>
                <w:szCs w:val="18"/>
                <w:color w:val="auto"/>
              </w:rPr>
              <w:t>Total current assets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2,797,179</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2,465,545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gridSpan w:val="2"/>
          </w:tcPr>
          <w:p>
            <w:pPr>
              <w:spacing w:after="0"/>
              <w:rPr>
                <w:sz w:val="20"/>
                <w:szCs w:val="20"/>
                <w:color w:val="auto"/>
              </w:rPr>
            </w:pPr>
            <w:r>
              <w:rPr>
                <w:rFonts w:ascii="Arial" w:cs="Arial" w:eastAsia="Arial" w:hAnsi="Arial"/>
                <w:sz w:val="18"/>
                <w:szCs w:val="18"/>
                <w:color w:val="auto"/>
              </w:rPr>
              <w:t>Property and equipment, net</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340,641</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342,497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34,235</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34,281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0" w:type="dxa"/>
            <w:vAlign w:val="bottom"/>
          </w:tcPr>
          <w:p>
            <w:pPr>
              <w:spacing w:after="0"/>
              <w:rPr>
                <w:sz w:val="20"/>
                <w:szCs w:val="20"/>
                <w:color w:val="auto"/>
              </w:rPr>
            </w:pPr>
            <w:r>
              <w:rPr>
                <w:rFonts w:ascii="Arial" w:cs="Arial" w:eastAsia="Arial" w:hAnsi="Arial"/>
                <w:sz w:val="18"/>
                <w:szCs w:val="18"/>
                <w:color w:val="auto"/>
              </w:rPr>
              <w:t>Goodwill</w:t>
            </w:r>
          </w:p>
        </w:tc>
        <w:tc>
          <w:tcPr>
            <w:tcW w:w="8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1,997,662</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1,997,662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156,582</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179,101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80" w:type="dxa"/>
            <w:vAlign w:val="bottom"/>
            <w:gridSpan w:val="2"/>
          </w:tcPr>
          <w:p>
            <w:pPr>
              <w:spacing w:after="0"/>
              <w:rPr>
                <w:sz w:val="20"/>
                <w:szCs w:val="20"/>
                <w:color w:val="auto"/>
              </w:rPr>
            </w:pPr>
            <w:r>
              <w:rPr>
                <w:rFonts w:ascii="Arial" w:cs="Arial" w:eastAsia="Arial" w:hAnsi="Arial"/>
                <w:sz w:val="18"/>
                <w:szCs w:val="18"/>
                <w:color w:val="auto"/>
              </w:rPr>
              <w:t>Other non-current assets</w:t>
            </w: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154,283</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151,854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620" w:type="dxa"/>
            <w:vAlign w:val="bottom"/>
            <w:shd w:val="clear" w:color="auto" w:fill="CCEEFF"/>
          </w:tcPr>
          <w:p>
            <w:pPr>
              <w:ind w:left="100"/>
              <w:spacing w:after="0"/>
              <w:rPr>
                <w:sz w:val="20"/>
                <w:szCs w:val="20"/>
                <w:color w:val="auto"/>
              </w:rPr>
            </w:pPr>
            <w:r>
              <w:rPr>
                <w:rFonts w:ascii="Arial" w:cs="Arial" w:eastAsia="Arial" w:hAnsi="Arial"/>
                <w:sz w:val="18"/>
                <w:szCs w:val="18"/>
                <w:color w:val="auto"/>
              </w:rPr>
              <w:t>Total assets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5,480,582</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5,170,940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8620" w:type="dxa"/>
            <w:vAlign w:val="bottom"/>
            <w:vMerge w:val="restart"/>
          </w:tcPr>
          <w:p>
            <w:pPr>
              <w:ind w:left="1900"/>
              <w:spacing w:after="0"/>
              <w:rPr>
                <w:sz w:val="20"/>
                <w:szCs w:val="20"/>
                <w:color w:val="auto"/>
              </w:rPr>
            </w:pPr>
            <w:r>
              <w:rPr>
                <w:rFonts w:ascii="Arial" w:cs="Arial" w:eastAsia="Arial" w:hAnsi="Arial"/>
                <w:sz w:val="18"/>
                <w:szCs w:val="18"/>
                <w:b w:val="1"/>
                <w:bCs w:val="1"/>
                <w:color w:val="auto"/>
              </w:rPr>
              <w:t>LIABILITIES AND SHAREHOLDERS’ EQUITY</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620" w:type="dxa"/>
            <w:vAlign w:val="bottom"/>
            <w:vMerge w:val="continue"/>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93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gridSpan w:val="2"/>
          </w:tcPr>
          <w:p>
            <w:pPr>
              <w:ind w:left="420"/>
              <w:spacing w:after="0"/>
              <w:rPr>
                <w:sz w:val="20"/>
                <w:szCs w:val="20"/>
                <w:color w:val="auto"/>
              </w:rPr>
            </w:pPr>
            <w:r>
              <w:rPr>
                <w:rFonts w:ascii="Arial" w:cs="Arial" w:eastAsia="Arial" w:hAnsi="Arial"/>
                <w:sz w:val="18"/>
                <w:szCs w:val="18"/>
                <w:color w:val="auto"/>
              </w:rPr>
              <w:t>Accounts payable</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288,568</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277,405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Accrued liabilities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82,590</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82,067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gridSpan w:val="2"/>
          </w:tcPr>
          <w:p>
            <w:pPr>
              <w:ind w:left="420"/>
              <w:spacing w:after="0"/>
              <w:rPr>
                <w:sz w:val="20"/>
                <w:szCs w:val="20"/>
                <w:color w:val="auto"/>
              </w:rPr>
            </w:pPr>
            <w:r>
              <w:rPr>
                <w:rFonts w:ascii="Arial" w:cs="Arial" w:eastAsia="Arial" w:hAnsi="Arial"/>
                <w:sz w:val="18"/>
                <w:szCs w:val="18"/>
                <w:color w:val="auto"/>
              </w:rPr>
              <w:t>Accrued employee compensation</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114,808</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125,810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Income taxes payable</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18,275</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19,992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gridSpan w:val="2"/>
          </w:tcPr>
          <w:p>
            <w:pPr>
              <w:ind w:left="420"/>
              <w:spacing w:after="0"/>
              <w:rPr>
                <w:sz w:val="20"/>
                <w:szCs w:val="20"/>
                <w:color w:val="auto"/>
              </w:rPr>
            </w:pPr>
            <w:r>
              <w:rPr>
                <w:rFonts w:ascii="Arial" w:cs="Arial" w:eastAsia="Arial" w:hAnsi="Arial"/>
                <w:sz w:val="18"/>
                <w:szCs w:val="18"/>
                <w:color w:val="auto"/>
              </w:rPr>
              <w:t>Deferred income</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83,329</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59,396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Current portion of capital lease obligations</w:t>
            </w: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1,981</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620" w:type="dxa"/>
            <w:vAlign w:val="bottom"/>
          </w:tcPr>
          <w:p>
            <w:pPr>
              <w:ind w:left="100"/>
              <w:spacing w:after="0"/>
              <w:rPr>
                <w:sz w:val="20"/>
                <w:szCs w:val="20"/>
                <w:color w:val="auto"/>
              </w:rPr>
            </w:pPr>
            <w:r>
              <w:rPr>
                <w:rFonts w:ascii="Arial" w:cs="Arial" w:eastAsia="Arial" w:hAnsi="Arial"/>
                <w:sz w:val="18"/>
                <w:szCs w:val="18"/>
                <w:color w:val="auto"/>
              </w:rPr>
              <w:t>Total current liabilities</w:t>
            </w:r>
          </w:p>
        </w:tc>
        <w:tc>
          <w:tcPr>
            <w:tcW w:w="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589,551</w:t>
            </w: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566,610</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93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Capital lease obligations, net of current portion</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52"/>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gridSpan w:val="2"/>
          </w:tcPr>
          <w:p>
            <w:pPr>
              <w:spacing w:after="0"/>
              <w:rPr>
                <w:sz w:val="20"/>
                <w:szCs w:val="20"/>
                <w:color w:val="auto"/>
              </w:rPr>
            </w:pPr>
            <w:r>
              <w:rPr>
                <w:rFonts w:ascii="Arial" w:cs="Arial" w:eastAsia="Arial" w:hAnsi="Arial"/>
                <w:sz w:val="18"/>
                <w:szCs w:val="18"/>
                <w:color w:val="auto"/>
              </w:rPr>
              <w:t>Non-current income taxes payable</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120,898</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117,240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70,405</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68,600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8620" w:type="dxa"/>
            <w:vAlign w:val="bottom"/>
          </w:tcPr>
          <w:p>
            <w:pPr>
              <w:ind w:left="100"/>
              <w:spacing w:after="0"/>
              <w:rPr>
                <w:sz w:val="20"/>
                <w:szCs w:val="20"/>
                <w:color w:val="auto"/>
              </w:rPr>
            </w:pPr>
            <w:r>
              <w:rPr>
                <w:rFonts w:ascii="Arial" w:cs="Arial" w:eastAsia="Arial" w:hAnsi="Arial"/>
                <w:sz w:val="18"/>
                <w:szCs w:val="18"/>
                <w:color w:val="auto"/>
              </w:rPr>
              <w:t>Total liabilities</w:t>
            </w:r>
          </w:p>
        </w:tc>
        <w:tc>
          <w:tcPr>
            <w:tcW w:w="8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780,854</w:t>
            </w:r>
          </w:p>
        </w:tc>
        <w:tc>
          <w:tcPr>
            <w:tcW w:w="3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752,961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Commitments and contingencies (Note 9)</w:t>
            </w: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22"/>
        </w:trPr>
        <w:tc>
          <w:tcPr>
            <w:tcW w:w="9400" w:type="dxa"/>
            <w:vAlign w:val="bottom"/>
            <w:gridSpan w:val="3"/>
          </w:tcPr>
          <w:p>
            <w:pPr>
              <w:spacing w:after="0"/>
              <w:rPr>
                <w:sz w:val="20"/>
                <w:szCs w:val="20"/>
                <w:color w:val="auto"/>
              </w:rPr>
            </w:pPr>
            <w:r>
              <w:rPr>
                <w:rFonts w:ascii="Arial" w:cs="Arial" w:eastAsia="Arial" w:hAnsi="Arial"/>
                <w:sz w:val="18"/>
                <w:szCs w:val="18"/>
                <w:color w:val="auto"/>
              </w:rPr>
              <w:t>Shareholders’ equity:</w:t>
            </w: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9380" w:type="dxa"/>
            <w:vAlign w:val="bottom"/>
            <w:gridSpan w:val="2"/>
          </w:tcPr>
          <w:p>
            <w:pPr>
              <w:spacing w:after="0"/>
              <w:rPr>
                <w:sz w:val="9"/>
                <w:szCs w:val="9"/>
                <w:color w:val="auto"/>
              </w:rPr>
            </w:pPr>
          </w:p>
        </w:tc>
        <w:tc>
          <w:tcPr>
            <w:tcW w:w="80" w:type="dxa"/>
            <w:vAlign w:val="bottom"/>
          </w:tcPr>
          <w:p>
            <w:pPr>
              <w:spacing w:after="0"/>
              <w:rPr>
                <w:sz w:val="9"/>
                <w:szCs w:val="9"/>
                <w:color w:val="auto"/>
              </w:rPr>
            </w:pPr>
          </w:p>
        </w:tc>
        <w:tc>
          <w:tcPr>
            <w:tcW w:w="720" w:type="dxa"/>
            <w:vAlign w:val="bottom"/>
          </w:tcPr>
          <w:p>
            <w:pPr>
              <w:spacing w:after="0"/>
              <w:rPr>
                <w:sz w:val="9"/>
                <w:szCs w:val="9"/>
                <w:color w:val="auto"/>
              </w:rPr>
            </w:pPr>
          </w:p>
        </w:tc>
        <w:tc>
          <w:tcPr>
            <w:tcW w:w="320" w:type="dxa"/>
            <w:vAlign w:val="bottom"/>
          </w:tcPr>
          <w:p>
            <w:pPr>
              <w:spacing w:after="0"/>
              <w:rPr>
                <w:sz w:val="9"/>
                <w:szCs w:val="9"/>
                <w:color w:val="auto"/>
              </w:rPr>
            </w:pPr>
          </w:p>
        </w:tc>
        <w:tc>
          <w:tcPr>
            <w:tcW w:w="80" w:type="dxa"/>
            <w:vAlign w:val="bottom"/>
          </w:tcPr>
          <w:p>
            <w:pPr>
              <w:spacing w:after="0"/>
              <w:rPr>
                <w:sz w:val="9"/>
                <w:szCs w:val="9"/>
                <w:color w:val="auto"/>
              </w:rPr>
            </w:pPr>
          </w:p>
        </w:tc>
        <w:tc>
          <w:tcPr>
            <w:tcW w:w="7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Common shares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gridSpan w:val="2"/>
          </w:tcPr>
          <w:p>
            <w:pPr>
              <w:ind w:left="420"/>
              <w:spacing w:after="0"/>
              <w:rPr>
                <w:sz w:val="20"/>
                <w:szCs w:val="20"/>
                <w:color w:val="auto"/>
              </w:rPr>
            </w:pPr>
            <w:r>
              <w:rPr>
                <w:rFonts w:ascii="Arial" w:cs="Arial" w:eastAsia="Arial" w:hAnsi="Arial"/>
                <w:sz w:val="18"/>
                <w:szCs w:val="18"/>
                <w:color w:val="auto"/>
              </w:rPr>
              <w:t>Additional paid-in capital</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4,683,490</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4,607,844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Accumulated other comprehensive loss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(560)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(885)</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80" w:type="dxa"/>
            <w:vAlign w:val="bottom"/>
            <w:gridSpan w:val="2"/>
          </w:tcPr>
          <w:p>
            <w:pPr>
              <w:ind w:left="420"/>
              <w:spacing w:after="0"/>
              <w:rPr>
                <w:sz w:val="20"/>
                <w:szCs w:val="20"/>
                <w:color w:val="auto"/>
              </w:rPr>
            </w:pPr>
            <w:r>
              <w:rPr>
                <w:rFonts w:ascii="Arial" w:cs="Arial" w:eastAsia="Arial" w:hAnsi="Arial"/>
                <w:sz w:val="18"/>
                <w:szCs w:val="18"/>
                <w:color w:val="auto"/>
              </w:rPr>
              <w:t>Retained earnings (accumulated deficit)</w:t>
            </w:r>
          </w:p>
        </w:tc>
        <w:tc>
          <w:tcPr>
            <w:tcW w:w="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15,510</w:t>
            </w: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(190,257)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620" w:type="dxa"/>
            <w:vAlign w:val="bottom"/>
            <w:shd w:val="clear" w:color="auto" w:fill="CCEEFF"/>
          </w:tcPr>
          <w:p>
            <w:pPr>
              <w:ind w:left="100"/>
              <w:spacing w:after="0"/>
              <w:rPr>
                <w:sz w:val="20"/>
                <w:szCs w:val="20"/>
                <w:color w:val="auto"/>
              </w:rPr>
            </w:pPr>
            <w:r>
              <w:rPr>
                <w:rFonts w:ascii="Arial" w:cs="Arial" w:eastAsia="Arial" w:hAnsi="Arial"/>
                <w:sz w:val="18"/>
                <w:szCs w:val="18"/>
                <w:color w:val="auto"/>
              </w:rPr>
              <w:t>Total shareholders’ equity</w:t>
            </w: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4,699,728</w:t>
            </w:r>
          </w:p>
        </w:tc>
        <w:tc>
          <w:tcPr>
            <w:tcW w:w="32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4,417,979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620" w:type="dxa"/>
            <w:vAlign w:val="bottom"/>
          </w:tcPr>
          <w:p>
            <w:pPr>
              <w:ind w:left="100"/>
              <w:spacing w:after="0"/>
              <w:rPr>
                <w:sz w:val="20"/>
                <w:szCs w:val="20"/>
                <w:color w:val="auto"/>
              </w:rPr>
            </w:pPr>
            <w:r>
              <w:rPr>
                <w:rFonts w:ascii="Arial" w:cs="Arial" w:eastAsia="Arial" w:hAnsi="Arial"/>
                <w:sz w:val="18"/>
                <w:szCs w:val="18"/>
                <w:color w:val="auto"/>
              </w:rPr>
              <w:t>Total liabilities and shareholders’ equity</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5,480,582</w:t>
            </w:r>
          </w:p>
        </w:tc>
        <w:tc>
          <w:tcPr>
            <w:tcW w:w="32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5,170,940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86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2540"/>
        <w:spacing w:after="0"/>
        <w:rPr>
          <w:sz w:val="20"/>
          <w:szCs w:val="20"/>
          <w:color w:val="auto"/>
        </w:rPr>
      </w:pPr>
      <w:r>
        <w:rPr>
          <w:rFonts w:ascii="Arial" w:cs="Arial" w:eastAsia="Arial" w:hAnsi="Arial"/>
          <w:sz w:val="18"/>
          <w:szCs w:val="18"/>
          <w:b w:val="1"/>
          <w:bCs w:val="1"/>
          <w:color w:val="auto"/>
        </w:rPr>
        <w:t>UNAUDITED CONDENSED CONSOLIDATED STATEMENTS OF OPERATIONS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960" w:type="dxa"/>
            <w:vAlign w:val="bottom"/>
          </w:tcPr>
          <w:p>
            <w:pPr>
              <w:spacing w:after="0"/>
              <w:rPr>
                <w:sz w:val="14"/>
                <w:szCs w:val="14"/>
                <w:color w:val="auto"/>
              </w:rPr>
            </w:pPr>
          </w:p>
        </w:tc>
        <w:tc>
          <w:tcPr>
            <w:tcW w:w="26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740" w:type="dxa"/>
            <w:vAlign w:val="bottom"/>
            <w:gridSpan w:val="6"/>
          </w:tcPr>
          <w:p>
            <w:pPr>
              <w:jc w:val="right"/>
              <w:ind w:right="360"/>
              <w:spacing w:after="0"/>
              <w:rPr>
                <w:sz w:val="20"/>
                <w:szCs w:val="20"/>
                <w:color w:val="auto"/>
              </w:rPr>
            </w:pPr>
            <w:r>
              <w:rPr>
                <w:rFonts w:ascii="Arial" w:cs="Arial" w:eastAsia="Arial" w:hAnsi="Arial"/>
                <w:sz w:val="14"/>
                <w:szCs w:val="14"/>
                <w:b w:val="1"/>
                <w:bCs w:val="1"/>
                <w:color w:val="auto"/>
                <w:w w:val="98"/>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96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gridSpan w:val="2"/>
          </w:tcPr>
          <w:p>
            <w:pPr>
              <w:jc w:val="right"/>
              <w:ind w:right="252"/>
              <w:spacing w:after="0" w:line="129" w:lineRule="exact"/>
              <w:rPr>
                <w:sz w:val="20"/>
                <w:szCs w:val="20"/>
                <w:color w:val="auto"/>
              </w:rPr>
            </w:pPr>
            <w:r>
              <w:rPr>
                <w:rFonts w:ascii="Arial" w:cs="Arial" w:eastAsia="Arial" w:hAnsi="Arial"/>
                <w:sz w:val="14"/>
                <w:szCs w:val="14"/>
                <w:b w:val="1"/>
                <w:bCs w:val="1"/>
                <w:color w:val="auto"/>
                <w:w w:val="98"/>
              </w:rPr>
              <w:t>May 1,</w:t>
            </w:r>
          </w:p>
        </w:tc>
        <w:tc>
          <w:tcPr>
            <w:tcW w:w="1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jc w:val="right"/>
              <w:ind w:right="94"/>
              <w:spacing w:after="0" w:line="129" w:lineRule="exact"/>
              <w:rPr>
                <w:sz w:val="20"/>
                <w:szCs w:val="20"/>
                <w:color w:val="auto"/>
              </w:rPr>
            </w:pPr>
            <w:r>
              <w:rPr>
                <w:rFonts w:ascii="Arial" w:cs="Arial" w:eastAsia="Arial" w:hAnsi="Arial"/>
                <w:sz w:val="14"/>
                <w:szCs w:val="14"/>
                <w:b w:val="1"/>
                <w:bCs w:val="1"/>
                <w:color w:val="auto"/>
              </w:rPr>
              <w:t>May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960" w:type="dxa"/>
            <w:vAlign w:val="bottom"/>
          </w:tcPr>
          <w:p>
            <w:pPr>
              <w:spacing w:after="0"/>
              <w:rPr>
                <w:sz w:val="14"/>
                <w:szCs w:val="14"/>
                <w:color w:val="auto"/>
              </w:rPr>
            </w:pPr>
          </w:p>
        </w:tc>
        <w:tc>
          <w:tcPr>
            <w:tcW w:w="26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2010</w:t>
            </w: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4"/>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960" w:type="dxa"/>
            <w:vAlign w:val="bottom"/>
          </w:tcPr>
          <w:p>
            <w:pPr>
              <w:spacing w:after="0"/>
              <w:rPr>
                <w:sz w:val="12"/>
                <w:szCs w:val="12"/>
                <w:color w:val="auto"/>
              </w:rPr>
            </w:pPr>
          </w:p>
        </w:tc>
        <w:tc>
          <w:tcPr>
            <w:tcW w:w="26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jc w:val="right"/>
              <w:spacing w:after="0" w:line="142" w:lineRule="exact"/>
              <w:rPr>
                <w:sz w:val="20"/>
                <w:szCs w:val="20"/>
                <w:color w:val="auto"/>
              </w:rPr>
            </w:pPr>
            <w:r>
              <w:rPr>
                <w:rFonts w:ascii="Arial" w:cs="Arial" w:eastAsia="Arial" w:hAnsi="Arial"/>
                <w:sz w:val="14"/>
                <w:szCs w:val="14"/>
                <w:b w:val="1"/>
                <w:bCs w:val="1"/>
                <w:color w:val="auto"/>
              </w:rPr>
              <w:t>(In</w:t>
            </w:r>
          </w:p>
        </w:tc>
        <w:tc>
          <w:tcPr>
            <w:tcW w:w="1060" w:type="dxa"/>
            <w:vAlign w:val="bottom"/>
            <w:gridSpan w:val="4"/>
          </w:tcPr>
          <w:p>
            <w:pPr>
              <w:jc w:val="right"/>
              <w:ind w:right="374"/>
              <w:spacing w:after="0" w:line="142" w:lineRule="exact"/>
              <w:rPr>
                <w:sz w:val="20"/>
                <w:szCs w:val="20"/>
                <w:color w:val="auto"/>
              </w:rPr>
            </w:pPr>
            <w:r>
              <w:rPr>
                <w:rFonts w:ascii="Arial" w:cs="Arial" w:eastAsia="Arial" w:hAnsi="Arial"/>
                <w:sz w:val="14"/>
                <w:szCs w:val="14"/>
                <w:b w:val="1"/>
                <w:bCs w:val="1"/>
                <w:color w:val="auto"/>
                <w:w w:val="76"/>
              </w:rPr>
              <w:t>thousands)</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855,579</w:t>
            </w:r>
          </w:p>
        </w:tc>
        <w:tc>
          <w:tcPr>
            <w:tcW w:w="18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5"/>
              </w:rPr>
              <w:t>521,434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2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343,985</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5"/>
              </w:rPr>
              <w:t>257,630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2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219,111</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206,089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2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38,423</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33,910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2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23,108</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102,728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26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22,549</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30,356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96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26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647,176</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5"/>
              </w:rPr>
              <w:t>630,713</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2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208,403</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8"/>
              </w:rPr>
              <w:t>(109,279)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tcPr>
          <w:p>
            <w:pPr>
              <w:spacing w:after="0"/>
              <w:rPr>
                <w:sz w:val="20"/>
                <w:szCs w:val="20"/>
                <w:color w:val="auto"/>
              </w:rPr>
            </w:pPr>
            <w:r>
              <w:rPr>
                <w:rFonts w:ascii="Arial" w:cs="Arial" w:eastAsia="Arial" w:hAnsi="Arial"/>
                <w:sz w:val="18"/>
                <w:szCs w:val="18"/>
                <w:color w:val="auto"/>
              </w:rPr>
              <w:t>Interest and other expense, net</w:t>
            </w:r>
          </w:p>
        </w:tc>
        <w:tc>
          <w:tcPr>
            <w:tcW w:w="2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52"/>
              <w:spacing w:after="0"/>
              <w:rPr>
                <w:sz w:val="20"/>
                <w:szCs w:val="20"/>
                <w:color w:val="auto"/>
              </w:rPr>
            </w:pPr>
            <w:r>
              <w:rPr>
                <w:rFonts w:ascii="Arial" w:cs="Arial" w:eastAsia="Arial" w:hAnsi="Arial"/>
                <w:sz w:val="18"/>
                <w:szCs w:val="18"/>
                <w:color w:val="auto"/>
              </w:rPr>
              <w:t>(3,701)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2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rPr>
              <w:t>(51)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(88)</w:t>
            </w:r>
          </w:p>
        </w:tc>
        <w:tc>
          <w:tcPr>
            <w:tcW w:w="0" w:type="dxa"/>
            <w:vAlign w:val="bottom"/>
          </w:tcPr>
          <w:p>
            <w:pPr>
              <w:spacing w:after="0"/>
              <w:rPr>
                <w:sz w:val="1"/>
                <w:szCs w:val="1"/>
                <w:color w:val="auto"/>
              </w:rPr>
            </w:pPr>
          </w:p>
        </w:tc>
      </w:tr>
      <w:tr>
        <w:trPr>
          <w:trHeight w:val="20"/>
        </w:trPr>
        <w:tc>
          <w:tcPr>
            <w:tcW w:w="6980" w:type="dxa"/>
            <w:vAlign w:val="bottom"/>
            <w:gridSpan w:val="2"/>
            <w:vMerge w:val="restart"/>
          </w:tcPr>
          <w:p>
            <w:pPr>
              <w:spacing w:after="0"/>
              <w:rPr>
                <w:sz w:val="20"/>
                <w:szCs w:val="20"/>
                <w:color w:val="auto"/>
              </w:rPr>
            </w:pPr>
            <w:r>
              <w:rPr>
                <w:rFonts w:ascii="Arial" w:cs="Arial" w:eastAsia="Arial" w:hAnsi="Arial"/>
                <w:sz w:val="18"/>
                <w:szCs w:val="18"/>
                <w:color w:val="auto"/>
              </w:rPr>
              <w:t>Income (loss) before income taxes</w:t>
            </w:r>
          </w:p>
        </w:tc>
        <w:tc>
          <w:tcPr>
            <w:tcW w:w="26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6980" w:type="dxa"/>
            <w:vAlign w:val="bottom"/>
            <w:gridSpan w:val="2"/>
            <w:vMerge w:val="continue"/>
          </w:tcPr>
          <w:p>
            <w:pPr>
              <w:spacing w:after="0"/>
              <w:rPr>
                <w:sz w:val="19"/>
                <w:szCs w:val="19"/>
                <w:color w:val="auto"/>
              </w:rPr>
            </w:pPr>
          </w:p>
        </w:tc>
        <w:tc>
          <w:tcPr>
            <w:tcW w:w="26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204,651</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w w:val="88"/>
              </w:rPr>
              <w:t>(109,439)</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96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2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rPr>
              <w:t>(1,116)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2,018</w:t>
            </w:r>
          </w:p>
        </w:tc>
        <w:tc>
          <w:tcPr>
            <w:tcW w:w="0" w:type="dxa"/>
            <w:vAlign w:val="bottom"/>
          </w:tcPr>
          <w:p>
            <w:pPr>
              <w:spacing w:after="0"/>
              <w:rPr>
                <w:sz w:val="1"/>
                <w:szCs w:val="1"/>
                <w:color w:val="auto"/>
              </w:rPr>
            </w:pPr>
          </w:p>
        </w:tc>
      </w:tr>
      <w:tr>
        <w:trPr>
          <w:trHeight w:val="20"/>
        </w:trPr>
        <w:tc>
          <w:tcPr>
            <w:tcW w:w="6980" w:type="dxa"/>
            <w:vAlign w:val="bottom"/>
            <w:gridSpan w:val="2"/>
            <w:vMerge w:val="restart"/>
          </w:tcPr>
          <w:p>
            <w:pPr>
              <w:spacing w:after="0"/>
              <w:rPr>
                <w:sz w:val="20"/>
                <w:szCs w:val="20"/>
                <w:color w:val="auto"/>
              </w:rPr>
            </w:pPr>
            <w:r>
              <w:rPr>
                <w:rFonts w:ascii="Arial" w:cs="Arial" w:eastAsia="Arial" w:hAnsi="Arial"/>
                <w:sz w:val="18"/>
                <w:szCs w:val="18"/>
                <w:color w:val="auto"/>
              </w:rPr>
              <w:t>Net income (loss)</w:t>
            </w:r>
          </w:p>
        </w:tc>
        <w:tc>
          <w:tcPr>
            <w:tcW w:w="26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980" w:type="dxa"/>
            <w:vAlign w:val="bottom"/>
            <w:gridSpan w:val="2"/>
            <w:vMerge w:val="continue"/>
          </w:tcPr>
          <w:p>
            <w:pPr>
              <w:spacing w:after="0"/>
              <w:rPr>
                <w:sz w:val="19"/>
                <w:szCs w:val="19"/>
                <w:color w:val="auto"/>
              </w:rPr>
            </w:pPr>
          </w:p>
        </w:tc>
        <w:tc>
          <w:tcPr>
            <w:tcW w:w="260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205,767</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w w:val="88"/>
              </w:rPr>
              <w:t>(111,457)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960" w:type="dxa"/>
            <w:vAlign w:val="bottom"/>
          </w:tcPr>
          <w:p>
            <w:pPr>
              <w:spacing w:after="0" w:line="20" w:lineRule="exact"/>
              <w:rPr>
                <w:sz w:val="1"/>
                <w:szCs w:val="1"/>
                <w:color w:val="auto"/>
              </w:rPr>
            </w:pPr>
          </w:p>
        </w:tc>
        <w:tc>
          <w:tcPr>
            <w:tcW w:w="26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696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 per share:</w:t>
            </w:r>
          </w:p>
        </w:tc>
        <w:tc>
          <w:tcPr>
            <w:tcW w:w="26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60" w:type="dxa"/>
            <w:vAlign w:val="bottom"/>
          </w:tcPr>
          <w:p>
            <w:pPr>
              <w:ind w:left="420"/>
              <w:spacing w:after="0"/>
              <w:rPr>
                <w:sz w:val="20"/>
                <w:szCs w:val="20"/>
                <w:color w:val="auto"/>
              </w:rPr>
            </w:pPr>
            <w:r>
              <w:rPr>
                <w:rFonts w:ascii="Arial" w:cs="Arial" w:eastAsia="Arial" w:hAnsi="Arial"/>
                <w:sz w:val="18"/>
                <w:szCs w:val="18"/>
                <w:color w:val="auto"/>
              </w:rPr>
              <w:t>Basic</w:t>
            </w:r>
          </w:p>
        </w:tc>
        <w:tc>
          <w:tcPr>
            <w:tcW w:w="27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0.32</w:t>
            </w:r>
          </w:p>
        </w:tc>
        <w:tc>
          <w:tcPr>
            <w:tcW w:w="180" w:type="dxa"/>
            <w:vAlign w:val="bottom"/>
          </w:tcPr>
          <w:p>
            <w:pPr>
              <w:spacing w:after="0"/>
              <w:rPr>
                <w:sz w:val="18"/>
                <w:szCs w:val="18"/>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(0.18)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960" w:type="dxa"/>
            <w:vAlign w:val="bottom"/>
          </w:tcPr>
          <w:p>
            <w:pPr>
              <w:spacing w:after="0" w:line="20" w:lineRule="exact"/>
              <w:rPr>
                <w:sz w:val="1"/>
                <w:szCs w:val="1"/>
                <w:color w:val="auto"/>
              </w:rPr>
            </w:pPr>
          </w:p>
        </w:tc>
        <w:tc>
          <w:tcPr>
            <w:tcW w:w="26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2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0.30</w:t>
            </w:r>
          </w:p>
        </w:tc>
        <w:tc>
          <w:tcPr>
            <w:tcW w:w="18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(0.18)</w:t>
            </w:r>
          </w:p>
        </w:tc>
        <w:tc>
          <w:tcPr>
            <w:tcW w:w="0" w:type="dxa"/>
            <w:vAlign w:val="bottom"/>
          </w:tcPr>
          <w:p>
            <w:pPr>
              <w:spacing w:after="0"/>
              <w:rPr>
                <w:sz w:val="1"/>
                <w:szCs w:val="1"/>
                <w:color w:val="auto"/>
              </w:rPr>
            </w:pPr>
          </w:p>
        </w:tc>
      </w:tr>
      <w:tr>
        <w:trPr>
          <w:trHeight w:val="20"/>
        </w:trPr>
        <w:tc>
          <w:tcPr>
            <w:tcW w:w="6980" w:type="dxa"/>
            <w:vAlign w:val="bottom"/>
            <w:gridSpan w:val="2"/>
            <w:vMerge w:val="restart"/>
          </w:tcPr>
          <w:p>
            <w:pPr>
              <w:spacing w:after="0"/>
              <w:rPr>
                <w:sz w:val="20"/>
                <w:szCs w:val="20"/>
                <w:color w:val="auto"/>
              </w:rPr>
            </w:pPr>
            <w:r>
              <w:rPr>
                <w:rFonts w:ascii="Arial" w:cs="Arial" w:eastAsia="Arial" w:hAnsi="Arial"/>
                <w:sz w:val="18"/>
                <w:szCs w:val="18"/>
                <w:color w:val="auto"/>
              </w:rPr>
              <w:t>Weighted average shares:</w:t>
            </w:r>
          </w:p>
        </w:tc>
        <w:tc>
          <w:tcPr>
            <w:tcW w:w="26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980" w:type="dxa"/>
            <w:vAlign w:val="bottom"/>
            <w:gridSpan w:val="2"/>
            <w:vMerge w:val="continue"/>
          </w:tcPr>
          <w:p>
            <w:pPr>
              <w:spacing w:after="0"/>
              <w:rPr>
                <w:sz w:val="18"/>
                <w:szCs w:val="18"/>
                <w:color w:val="auto"/>
              </w:rPr>
            </w:pPr>
          </w:p>
        </w:tc>
        <w:tc>
          <w:tcPr>
            <w:tcW w:w="2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9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26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640,926</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618,677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96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26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6960" w:type="dxa"/>
            <w:vAlign w:val="bottom"/>
            <w:vMerge w:val="continue"/>
          </w:tcPr>
          <w:p>
            <w:pPr>
              <w:spacing w:after="0"/>
              <w:rPr>
                <w:sz w:val="18"/>
                <w:szCs w:val="18"/>
                <w:color w:val="auto"/>
              </w:rPr>
            </w:pPr>
          </w:p>
        </w:tc>
        <w:tc>
          <w:tcPr>
            <w:tcW w:w="2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678,059</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618,677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960" w:type="dxa"/>
            <w:vAlign w:val="bottom"/>
          </w:tcPr>
          <w:p>
            <w:pPr>
              <w:spacing w:after="0" w:line="20" w:lineRule="exact"/>
              <w:rPr>
                <w:sz w:val="1"/>
                <w:szCs w:val="1"/>
                <w:color w:val="auto"/>
              </w:rPr>
            </w:pPr>
          </w:p>
        </w:tc>
        <w:tc>
          <w:tcPr>
            <w:tcW w:w="26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CASH FLOWS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40" w:type="dxa"/>
            <w:vAlign w:val="bottom"/>
            <w:gridSpan w:val="5"/>
          </w:tcPr>
          <w:p>
            <w:pPr>
              <w:jc w:val="right"/>
              <w:ind w:right="40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946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gridSpan w:val="2"/>
          </w:tcPr>
          <w:p>
            <w:pPr>
              <w:jc w:val="center"/>
              <w:ind w:right="238"/>
              <w:spacing w:after="0" w:line="129" w:lineRule="exact"/>
              <w:rPr>
                <w:sz w:val="20"/>
                <w:szCs w:val="20"/>
                <w:color w:val="auto"/>
              </w:rPr>
            </w:pPr>
            <w:r>
              <w:rPr>
                <w:rFonts w:ascii="Arial" w:cs="Arial" w:eastAsia="Arial" w:hAnsi="Arial"/>
                <w:sz w:val="14"/>
                <w:szCs w:val="14"/>
                <w:b w:val="1"/>
                <w:bCs w:val="1"/>
                <w:color w:val="auto"/>
                <w:w w:val="93"/>
              </w:rPr>
              <w:t>May 1,</w:t>
            </w:r>
          </w:p>
        </w:tc>
        <w:tc>
          <w:tcPr>
            <w:tcW w:w="12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80"/>
              <w:spacing w:after="0" w:line="129" w:lineRule="exact"/>
              <w:rPr>
                <w:sz w:val="20"/>
                <w:szCs w:val="20"/>
                <w:color w:val="auto"/>
              </w:rPr>
            </w:pPr>
            <w:r>
              <w:rPr>
                <w:rFonts w:ascii="Arial" w:cs="Arial" w:eastAsia="Arial" w:hAnsi="Arial"/>
                <w:sz w:val="14"/>
                <w:szCs w:val="14"/>
                <w:b w:val="1"/>
                <w:bCs w:val="1"/>
                <w:color w:val="auto"/>
              </w:rPr>
              <w:t>May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4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5"/>
              <w:spacing w:after="0"/>
              <w:rPr>
                <w:sz w:val="20"/>
                <w:szCs w:val="20"/>
                <w:color w:val="auto"/>
              </w:rPr>
            </w:pPr>
            <w:r>
              <w:rPr>
                <w:rFonts w:ascii="Arial" w:cs="Arial" w:eastAsia="Arial" w:hAnsi="Arial"/>
                <w:sz w:val="14"/>
                <w:szCs w:val="14"/>
                <w:b w:val="1"/>
                <w:bCs w:val="1"/>
                <w:color w:val="auto"/>
              </w:rPr>
              <w:t>2010</w:t>
            </w: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Borders>
              <w:bottom w:val="single" w:sz="8" w:color="auto"/>
            </w:tcBorders>
          </w:tcPr>
          <w:p>
            <w:pPr>
              <w:jc w:val="right"/>
              <w:ind w:right="140"/>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9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ind w:left="400"/>
              <w:spacing w:after="0" w:line="142" w:lineRule="exact"/>
              <w:rPr>
                <w:sz w:val="20"/>
                <w:szCs w:val="20"/>
                <w:color w:val="auto"/>
              </w:rPr>
            </w:pPr>
            <w:r>
              <w:rPr>
                <w:rFonts w:ascii="Arial" w:cs="Arial" w:eastAsia="Arial" w:hAnsi="Arial"/>
                <w:sz w:val="14"/>
                <w:szCs w:val="14"/>
                <w:b w:val="1"/>
                <w:bCs w:val="1"/>
                <w:color w:val="auto"/>
              </w:rPr>
              <w:t>(In</w:t>
            </w:r>
          </w:p>
        </w:tc>
        <w:tc>
          <w:tcPr>
            <w:tcW w:w="1040" w:type="dxa"/>
            <w:vAlign w:val="bottom"/>
            <w:gridSpan w:val="3"/>
          </w:tcPr>
          <w:p>
            <w:pPr>
              <w:jc w:val="right"/>
              <w:ind w:right="420"/>
              <w:spacing w:after="0"/>
              <w:rPr>
                <w:sz w:val="20"/>
                <w:szCs w:val="20"/>
                <w:color w:val="auto"/>
              </w:rPr>
            </w:pPr>
            <w:r>
              <w:rPr>
                <w:rFonts w:ascii="Arial" w:cs="Arial" w:eastAsia="Arial" w:hAnsi="Arial"/>
                <w:sz w:val="12"/>
                <w:szCs w:val="12"/>
                <w:b w:val="1"/>
                <w:bCs w:val="1"/>
                <w:color w:val="auto"/>
                <w:w w:val="80"/>
              </w:rPr>
              <w:t>thousands)</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tcPr>
          <w:p>
            <w:pPr>
              <w:ind w:left="420"/>
              <w:spacing w:after="0"/>
              <w:rPr>
                <w:sz w:val="20"/>
                <w:szCs w:val="20"/>
                <w:color w:val="auto"/>
              </w:rPr>
            </w:pPr>
            <w:r>
              <w:rPr>
                <w:rFonts w:ascii="Arial" w:cs="Arial" w:eastAsia="Arial" w:hAnsi="Arial"/>
                <w:sz w:val="18"/>
                <w:szCs w:val="18"/>
                <w:color w:val="auto"/>
              </w:rPr>
              <w:t>Net income (loss)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gridSpan w:val="2"/>
          </w:tcPr>
          <w:p>
            <w:pPr>
              <w:jc w:val="right"/>
              <w:ind w:right="138"/>
              <w:spacing w:after="0"/>
              <w:rPr>
                <w:sz w:val="20"/>
                <w:szCs w:val="20"/>
                <w:color w:val="auto"/>
              </w:rPr>
            </w:pPr>
            <w:r>
              <w:rPr>
                <w:rFonts w:ascii="Arial" w:cs="Arial" w:eastAsia="Arial" w:hAnsi="Arial"/>
                <w:sz w:val="18"/>
                <w:szCs w:val="18"/>
                <w:color w:val="auto"/>
              </w:rPr>
              <w:t>205,767</w:t>
            </w:r>
          </w:p>
        </w:tc>
        <w:tc>
          <w:tcPr>
            <w:tcW w:w="940" w:type="dxa"/>
            <w:vAlign w:val="bottom"/>
            <w:gridSpan w:val="3"/>
          </w:tcPr>
          <w:p>
            <w:pPr>
              <w:jc w:val="right"/>
              <w:ind w:right="40"/>
              <w:spacing w:after="0"/>
              <w:rPr>
                <w:sz w:val="20"/>
                <w:szCs w:val="20"/>
                <w:color w:val="auto"/>
              </w:rPr>
            </w:pPr>
            <w:r>
              <w:rPr>
                <w:rFonts w:ascii="Arial" w:cs="Arial" w:eastAsia="Arial" w:hAnsi="Arial"/>
                <w:sz w:val="18"/>
                <w:szCs w:val="18"/>
                <w:color w:val="auto"/>
              </w:rPr>
              <w:t>(111,457)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tcPr>
          <w:p>
            <w:pPr>
              <w:ind w:left="860"/>
              <w:spacing w:after="0"/>
              <w:rPr>
                <w:sz w:val="20"/>
                <w:szCs w:val="20"/>
                <w:color w:val="auto"/>
              </w:rPr>
            </w:pPr>
            <w:r>
              <w:rPr>
                <w:rFonts w:ascii="Arial" w:cs="Arial" w:eastAsia="Arial" w:hAnsi="Arial"/>
                <w:sz w:val="18"/>
                <w:szCs w:val="18"/>
                <w:color w:val="auto"/>
              </w:rPr>
              <w:t>Depreciation and amortization</w:t>
            </w:r>
          </w:p>
        </w:tc>
        <w:tc>
          <w:tcPr>
            <w:tcW w:w="100" w:type="dxa"/>
            <w:vAlign w:val="bottom"/>
          </w:tcPr>
          <w:p>
            <w:pPr>
              <w:spacing w:after="0"/>
              <w:rPr>
                <w:sz w:val="18"/>
                <w:szCs w:val="18"/>
                <w:color w:val="auto"/>
              </w:rPr>
            </w:pPr>
          </w:p>
        </w:tc>
        <w:tc>
          <w:tcPr>
            <w:tcW w:w="900" w:type="dxa"/>
            <w:vAlign w:val="bottom"/>
            <w:gridSpan w:val="2"/>
          </w:tcPr>
          <w:p>
            <w:pPr>
              <w:jc w:val="right"/>
              <w:ind w:right="138"/>
              <w:spacing w:after="0"/>
              <w:rPr>
                <w:sz w:val="20"/>
                <w:szCs w:val="20"/>
                <w:color w:val="auto"/>
              </w:rPr>
            </w:pPr>
            <w:r>
              <w:rPr>
                <w:rFonts w:ascii="Arial" w:cs="Arial" w:eastAsia="Arial" w:hAnsi="Arial"/>
                <w:sz w:val="18"/>
                <w:szCs w:val="18"/>
                <w:color w:val="auto"/>
              </w:rPr>
              <w:t>23,078</w:t>
            </w: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25,375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38"/>
              <w:spacing w:after="0"/>
              <w:rPr>
                <w:sz w:val="20"/>
                <w:szCs w:val="20"/>
                <w:color w:val="auto"/>
              </w:rPr>
            </w:pPr>
            <w:r>
              <w:rPr>
                <w:rFonts w:ascii="Arial" w:cs="Arial" w:eastAsia="Arial" w:hAnsi="Arial"/>
                <w:sz w:val="18"/>
                <w:szCs w:val="18"/>
                <w:color w:val="auto"/>
              </w:rPr>
              <w:t>26,896</w:t>
            </w:r>
          </w:p>
        </w:tc>
        <w:tc>
          <w:tcPr>
            <w:tcW w:w="9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31,648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tcPr>
          <w:p>
            <w:pPr>
              <w:ind w:left="860"/>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tcPr>
          <w:p>
            <w:pPr>
              <w:spacing w:after="0"/>
              <w:rPr>
                <w:sz w:val="18"/>
                <w:szCs w:val="18"/>
                <w:color w:val="auto"/>
              </w:rPr>
            </w:pPr>
          </w:p>
        </w:tc>
        <w:tc>
          <w:tcPr>
            <w:tcW w:w="900" w:type="dxa"/>
            <w:vAlign w:val="bottom"/>
            <w:gridSpan w:val="2"/>
          </w:tcPr>
          <w:p>
            <w:pPr>
              <w:jc w:val="right"/>
              <w:ind w:right="138"/>
              <w:spacing w:after="0"/>
              <w:rPr>
                <w:sz w:val="20"/>
                <w:szCs w:val="20"/>
                <w:color w:val="auto"/>
              </w:rPr>
            </w:pPr>
            <w:r>
              <w:rPr>
                <w:rFonts w:ascii="Arial" w:cs="Arial" w:eastAsia="Arial" w:hAnsi="Arial"/>
                <w:sz w:val="18"/>
                <w:szCs w:val="18"/>
                <w:color w:val="auto"/>
              </w:rPr>
              <w:t>22,549</w:t>
            </w: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30,356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Amortization of marketable securities premium</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38"/>
              <w:spacing w:after="0"/>
              <w:rPr>
                <w:sz w:val="20"/>
                <w:szCs w:val="20"/>
                <w:color w:val="auto"/>
              </w:rPr>
            </w:pPr>
            <w:r>
              <w:rPr>
                <w:rFonts w:ascii="Arial" w:cs="Arial" w:eastAsia="Arial" w:hAnsi="Arial"/>
                <w:sz w:val="18"/>
                <w:szCs w:val="18"/>
                <w:color w:val="auto"/>
              </w:rPr>
              <w:t>2,035</w:t>
            </w: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tcPr>
          <w:p>
            <w:pPr>
              <w:ind w:left="860"/>
              <w:spacing w:after="0"/>
              <w:rPr>
                <w:sz w:val="20"/>
                <w:szCs w:val="20"/>
                <w:color w:val="auto"/>
              </w:rPr>
            </w:pPr>
            <w:r>
              <w:rPr>
                <w:rFonts w:ascii="Arial" w:cs="Arial" w:eastAsia="Arial" w:hAnsi="Arial"/>
                <w:sz w:val="18"/>
                <w:szCs w:val="18"/>
                <w:color w:val="auto"/>
              </w:rPr>
              <w:t>Fair market value adjustment to Intel inventory sold</w:t>
            </w:r>
          </w:p>
        </w:tc>
        <w:tc>
          <w:tcPr>
            <w:tcW w:w="100" w:type="dxa"/>
            <w:vAlign w:val="bottom"/>
          </w:tcPr>
          <w:p>
            <w:pPr>
              <w:spacing w:after="0"/>
              <w:rPr>
                <w:sz w:val="18"/>
                <w:szCs w:val="18"/>
                <w:color w:val="auto"/>
              </w:rPr>
            </w:pPr>
          </w:p>
        </w:tc>
        <w:tc>
          <w:tcPr>
            <w:tcW w:w="900" w:type="dxa"/>
            <w:vAlign w:val="bottom"/>
            <w:gridSpan w:val="2"/>
          </w:tcPr>
          <w:p>
            <w:pPr>
              <w:jc w:val="right"/>
              <w:ind w:right="78"/>
              <w:spacing w:after="0"/>
              <w:rPr>
                <w:sz w:val="20"/>
                <w:szCs w:val="20"/>
                <w:color w:val="auto"/>
              </w:rPr>
            </w:pPr>
            <w:r>
              <w:rPr>
                <w:rFonts w:ascii="Arial" w:cs="Arial" w:eastAsia="Arial" w:hAnsi="Arial"/>
                <w:sz w:val="18"/>
                <w:szCs w:val="18"/>
                <w:color w:val="auto"/>
              </w:rPr>
              <w:t>(942)</w:t>
            </w:r>
          </w:p>
        </w:tc>
        <w:tc>
          <w:tcPr>
            <w:tcW w:w="940" w:type="dxa"/>
            <w:vAlign w:val="bottom"/>
            <w:gridSpan w:val="3"/>
          </w:tcPr>
          <w:p>
            <w:pPr>
              <w:jc w:val="right"/>
              <w:ind w:right="40"/>
              <w:spacing w:after="0"/>
              <w:rPr>
                <w:sz w:val="20"/>
                <w:szCs w:val="20"/>
                <w:color w:val="auto"/>
              </w:rPr>
            </w:pPr>
            <w:r>
              <w:rPr>
                <w:rFonts w:ascii="Arial" w:cs="Arial" w:eastAsia="Arial" w:hAnsi="Arial"/>
                <w:sz w:val="18"/>
                <w:szCs w:val="18"/>
                <w:color w:val="auto"/>
              </w:rPr>
              <w:t>(1,343)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Excess tax benefits from stock-based compensation</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78"/>
              <w:spacing w:after="0"/>
              <w:rPr>
                <w:sz w:val="20"/>
                <w:szCs w:val="20"/>
                <w:color w:val="auto"/>
              </w:rPr>
            </w:pPr>
            <w:r>
              <w:rPr>
                <w:rFonts w:ascii="Arial" w:cs="Arial" w:eastAsia="Arial" w:hAnsi="Arial"/>
                <w:sz w:val="18"/>
                <w:szCs w:val="18"/>
                <w:color w:val="auto"/>
              </w:rPr>
              <w:t>(185)</w:t>
            </w:r>
          </w:p>
        </w:tc>
        <w:tc>
          <w:tcPr>
            <w:tcW w:w="9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tcPr>
          <w:p>
            <w:pPr>
              <w:ind w:left="860"/>
              <w:spacing w:after="0"/>
              <w:rPr>
                <w:sz w:val="20"/>
                <w:szCs w:val="20"/>
                <w:color w:val="auto"/>
              </w:rPr>
            </w:pPr>
            <w:r>
              <w:rPr>
                <w:rFonts w:ascii="Arial" w:cs="Arial" w:eastAsia="Arial" w:hAnsi="Arial"/>
                <w:sz w:val="18"/>
                <w:szCs w:val="18"/>
                <w:color w:val="auto"/>
              </w:rPr>
              <w:t>Changes in assets and liabilities: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Accounts receivable</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78"/>
              <w:spacing w:after="0"/>
              <w:rPr>
                <w:sz w:val="20"/>
                <w:szCs w:val="20"/>
                <w:color w:val="auto"/>
              </w:rPr>
            </w:pPr>
            <w:r>
              <w:rPr>
                <w:rFonts w:ascii="Arial" w:cs="Arial" w:eastAsia="Arial" w:hAnsi="Arial"/>
                <w:sz w:val="18"/>
                <w:szCs w:val="18"/>
                <w:color w:val="auto"/>
              </w:rPr>
              <w:t>(91,897)</w:t>
            </w:r>
          </w:p>
        </w:tc>
        <w:tc>
          <w:tcPr>
            <w:tcW w:w="9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(63,266)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tcPr>
          <w:p>
            <w:pPr>
              <w:ind w:left="1280"/>
              <w:spacing w:after="0"/>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8"/>
                <w:szCs w:val="18"/>
                <w:color w:val="auto"/>
              </w:rPr>
            </w:pPr>
          </w:p>
        </w:tc>
        <w:tc>
          <w:tcPr>
            <w:tcW w:w="900" w:type="dxa"/>
            <w:vAlign w:val="bottom"/>
            <w:gridSpan w:val="2"/>
          </w:tcPr>
          <w:p>
            <w:pPr>
              <w:jc w:val="right"/>
              <w:ind w:right="138"/>
              <w:spacing w:after="0"/>
              <w:rPr>
                <w:sz w:val="20"/>
                <w:szCs w:val="20"/>
                <w:color w:val="auto"/>
              </w:rPr>
            </w:pPr>
            <w:r>
              <w:rPr>
                <w:rFonts w:ascii="Arial" w:cs="Arial" w:eastAsia="Arial" w:hAnsi="Arial"/>
                <w:sz w:val="18"/>
                <w:szCs w:val="18"/>
                <w:color w:val="auto"/>
              </w:rPr>
              <w:t>35,417</w:t>
            </w: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106,281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Prepaid expenses and other assets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38"/>
              <w:spacing w:after="0"/>
              <w:rPr>
                <w:sz w:val="20"/>
                <w:szCs w:val="20"/>
                <w:color w:val="auto"/>
              </w:rPr>
            </w:pPr>
            <w:r>
              <w:rPr>
                <w:rFonts w:ascii="Arial" w:cs="Arial" w:eastAsia="Arial" w:hAnsi="Arial"/>
                <w:sz w:val="18"/>
                <w:szCs w:val="18"/>
                <w:color w:val="auto"/>
              </w:rPr>
              <w:t>10,381</w:t>
            </w:r>
          </w:p>
        </w:tc>
        <w:tc>
          <w:tcPr>
            <w:tcW w:w="9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14,330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tcPr>
          <w:p>
            <w:pPr>
              <w:ind w:left="1280"/>
              <w:spacing w:after="0"/>
              <w:rPr>
                <w:sz w:val="20"/>
                <w:szCs w:val="20"/>
                <w:color w:val="auto"/>
              </w:rPr>
            </w:pPr>
            <w:r>
              <w:rPr>
                <w:rFonts w:ascii="Arial" w:cs="Arial" w:eastAsia="Arial" w:hAnsi="Arial"/>
                <w:sz w:val="18"/>
                <w:szCs w:val="18"/>
                <w:color w:val="auto"/>
              </w:rPr>
              <w:t>Accounts payable</w:t>
            </w:r>
          </w:p>
        </w:tc>
        <w:tc>
          <w:tcPr>
            <w:tcW w:w="100" w:type="dxa"/>
            <w:vAlign w:val="bottom"/>
          </w:tcPr>
          <w:p>
            <w:pPr>
              <w:spacing w:after="0"/>
              <w:rPr>
                <w:sz w:val="18"/>
                <w:szCs w:val="18"/>
                <w:color w:val="auto"/>
              </w:rPr>
            </w:pPr>
          </w:p>
        </w:tc>
        <w:tc>
          <w:tcPr>
            <w:tcW w:w="900" w:type="dxa"/>
            <w:vAlign w:val="bottom"/>
            <w:gridSpan w:val="2"/>
          </w:tcPr>
          <w:p>
            <w:pPr>
              <w:jc w:val="right"/>
              <w:ind w:right="138"/>
              <w:spacing w:after="0"/>
              <w:rPr>
                <w:sz w:val="20"/>
                <w:szCs w:val="20"/>
                <w:color w:val="auto"/>
              </w:rPr>
            </w:pPr>
            <w:r>
              <w:rPr>
                <w:rFonts w:ascii="Arial" w:cs="Arial" w:eastAsia="Arial" w:hAnsi="Arial"/>
                <w:sz w:val="18"/>
                <w:szCs w:val="18"/>
                <w:color w:val="auto"/>
              </w:rPr>
              <w:t>4,826</w:t>
            </w: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30,738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Accrued liabilities and other</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38"/>
              <w:spacing w:after="0"/>
              <w:rPr>
                <w:sz w:val="20"/>
                <w:szCs w:val="20"/>
                <w:color w:val="auto"/>
              </w:rPr>
            </w:pPr>
            <w:r>
              <w:rPr>
                <w:rFonts w:ascii="Arial" w:cs="Arial" w:eastAsia="Arial" w:hAnsi="Arial"/>
                <w:sz w:val="18"/>
                <w:szCs w:val="18"/>
                <w:color w:val="auto"/>
              </w:rPr>
              <w:t>2,298</w:t>
            </w:r>
          </w:p>
        </w:tc>
        <w:tc>
          <w:tcPr>
            <w:tcW w:w="9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63,455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tcPr>
          <w:p>
            <w:pPr>
              <w:ind w:left="1280"/>
              <w:spacing w:after="0"/>
              <w:rPr>
                <w:sz w:val="20"/>
                <w:szCs w:val="20"/>
                <w:color w:val="auto"/>
              </w:rPr>
            </w:pPr>
            <w:r>
              <w:rPr>
                <w:rFonts w:ascii="Arial" w:cs="Arial" w:eastAsia="Arial" w:hAnsi="Arial"/>
                <w:sz w:val="18"/>
                <w:szCs w:val="18"/>
                <w:color w:val="auto"/>
              </w:rPr>
              <w:t>Accrued employee compensation</w:t>
            </w:r>
          </w:p>
        </w:tc>
        <w:tc>
          <w:tcPr>
            <w:tcW w:w="100" w:type="dxa"/>
            <w:vAlign w:val="bottom"/>
          </w:tcPr>
          <w:p>
            <w:pPr>
              <w:spacing w:after="0"/>
              <w:rPr>
                <w:sz w:val="18"/>
                <w:szCs w:val="18"/>
                <w:color w:val="auto"/>
              </w:rPr>
            </w:pPr>
          </w:p>
        </w:tc>
        <w:tc>
          <w:tcPr>
            <w:tcW w:w="900" w:type="dxa"/>
            <w:vAlign w:val="bottom"/>
            <w:gridSpan w:val="2"/>
          </w:tcPr>
          <w:p>
            <w:pPr>
              <w:jc w:val="right"/>
              <w:ind w:right="78"/>
              <w:spacing w:after="0"/>
              <w:rPr>
                <w:sz w:val="20"/>
                <w:szCs w:val="20"/>
                <w:color w:val="auto"/>
              </w:rPr>
            </w:pPr>
            <w:r>
              <w:rPr>
                <w:rFonts w:ascii="Arial" w:cs="Arial" w:eastAsia="Arial" w:hAnsi="Arial"/>
                <w:sz w:val="18"/>
                <w:szCs w:val="18"/>
                <w:color w:val="auto"/>
              </w:rPr>
              <w:t>(10,506)</w:t>
            </w: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13,033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Income taxes payable</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38"/>
              <w:spacing w:after="0"/>
              <w:rPr>
                <w:sz w:val="20"/>
                <w:szCs w:val="20"/>
                <w:color w:val="auto"/>
              </w:rPr>
            </w:pPr>
            <w:r>
              <w:rPr>
                <w:rFonts w:ascii="Arial" w:cs="Arial" w:eastAsia="Arial" w:hAnsi="Arial"/>
                <w:sz w:val="18"/>
                <w:szCs w:val="18"/>
                <w:color w:val="auto"/>
              </w:rPr>
              <w:t>1,941</w:t>
            </w:r>
          </w:p>
        </w:tc>
        <w:tc>
          <w:tcPr>
            <w:tcW w:w="9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1,343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tcPr>
          <w:p>
            <w:pPr>
              <w:ind w:left="1280"/>
              <w:spacing w:after="0"/>
              <w:rPr>
                <w:sz w:val="20"/>
                <w:szCs w:val="20"/>
                <w:color w:val="auto"/>
              </w:rPr>
            </w:pPr>
            <w:r>
              <w:rPr>
                <w:rFonts w:ascii="Arial" w:cs="Arial" w:eastAsia="Arial" w:hAnsi="Arial"/>
                <w:sz w:val="18"/>
                <w:szCs w:val="18"/>
                <w:color w:val="auto"/>
              </w:rPr>
              <w:t>Deferred income</w:t>
            </w:r>
          </w:p>
        </w:tc>
        <w:tc>
          <w:tcPr>
            <w:tcW w:w="100" w:type="dxa"/>
            <w:vAlign w:val="bottom"/>
          </w:tcPr>
          <w:p>
            <w:pPr>
              <w:spacing w:after="0"/>
              <w:rPr>
                <w:sz w:val="18"/>
                <w:szCs w:val="18"/>
                <w:color w:val="auto"/>
              </w:rPr>
            </w:pPr>
          </w:p>
        </w:tc>
        <w:tc>
          <w:tcPr>
            <w:tcW w:w="900" w:type="dxa"/>
            <w:vAlign w:val="bottom"/>
            <w:gridSpan w:val="2"/>
          </w:tcPr>
          <w:p>
            <w:pPr>
              <w:jc w:val="right"/>
              <w:ind w:right="138"/>
              <w:spacing w:after="0"/>
              <w:rPr>
                <w:sz w:val="20"/>
                <w:szCs w:val="20"/>
                <w:color w:val="auto"/>
              </w:rPr>
            </w:pPr>
            <w:r>
              <w:rPr>
                <w:rFonts w:ascii="Arial" w:cs="Arial" w:eastAsia="Arial" w:hAnsi="Arial"/>
                <w:sz w:val="18"/>
                <w:szCs w:val="18"/>
                <w:color w:val="auto"/>
              </w:rPr>
              <w:t>23,933</w:t>
            </w: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4,065</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4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shd w:val="clear" w:color="auto" w:fill="CCEEFF"/>
          </w:tcPr>
          <w:p>
            <w:pPr>
              <w:ind w:left="1720"/>
              <w:spacing w:after="0"/>
              <w:rPr>
                <w:sz w:val="20"/>
                <w:szCs w:val="20"/>
                <w:color w:val="auto"/>
              </w:rPr>
            </w:pPr>
            <w:r>
              <w:rPr>
                <w:rFonts w:ascii="Arial" w:cs="Arial" w:eastAsia="Arial" w:hAnsi="Arial"/>
                <w:sz w:val="18"/>
                <w:szCs w:val="18"/>
                <w:color w:val="auto"/>
              </w:rPr>
              <w:t>Net cash provided by operating activities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38"/>
              <w:spacing w:after="0"/>
              <w:rPr>
                <w:sz w:val="20"/>
                <w:szCs w:val="20"/>
                <w:color w:val="auto"/>
              </w:rPr>
            </w:pPr>
            <w:r>
              <w:rPr>
                <w:rFonts w:ascii="Arial" w:cs="Arial" w:eastAsia="Arial" w:hAnsi="Arial"/>
                <w:sz w:val="18"/>
                <w:szCs w:val="18"/>
                <w:color w:val="auto"/>
              </w:rPr>
              <w:t>255,591</w:t>
            </w:r>
          </w:p>
        </w:tc>
        <w:tc>
          <w:tcPr>
            <w:tcW w:w="9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144,529</w:t>
            </w:r>
          </w:p>
        </w:tc>
        <w:tc>
          <w:tcPr>
            <w:tcW w:w="0" w:type="dxa"/>
            <w:vAlign w:val="bottom"/>
          </w:tcPr>
          <w:p>
            <w:pPr>
              <w:spacing w:after="0"/>
              <w:rPr>
                <w:sz w:val="1"/>
                <w:szCs w:val="1"/>
                <w:color w:val="auto"/>
              </w:rPr>
            </w:pPr>
          </w:p>
        </w:tc>
      </w:tr>
      <w:tr>
        <w:trPr>
          <w:trHeight w:val="222"/>
        </w:trPr>
        <w:tc>
          <w:tcPr>
            <w:tcW w:w="9480" w:type="dxa"/>
            <w:vAlign w:val="bottom"/>
            <w:gridSpan w:val="2"/>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spacing w:after="0"/>
              <w:rPr>
                <w:sz w:val="19"/>
                <w:szCs w:val="19"/>
                <w:color w:val="auto"/>
              </w:rPr>
            </w:pP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9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investments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78"/>
              <w:spacing w:after="0"/>
              <w:rPr>
                <w:sz w:val="20"/>
                <w:szCs w:val="20"/>
                <w:color w:val="auto"/>
              </w:rPr>
            </w:pPr>
            <w:r>
              <w:rPr>
                <w:rFonts w:ascii="Arial" w:cs="Arial" w:eastAsia="Arial" w:hAnsi="Arial"/>
                <w:sz w:val="18"/>
                <w:szCs w:val="18"/>
                <w:color w:val="auto"/>
                <w:w w:val="95"/>
              </w:rPr>
              <w:t>(187,878)</w:t>
            </w:r>
          </w:p>
        </w:tc>
        <w:tc>
          <w:tcPr>
            <w:tcW w:w="12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tcPr>
          <w:p>
            <w:pPr>
              <w:ind w:left="420"/>
              <w:spacing w:after="0"/>
              <w:rPr>
                <w:sz w:val="20"/>
                <w:szCs w:val="20"/>
                <w:color w:val="auto"/>
              </w:rPr>
            </w:pPr>
            <w:r>
              <w:rPr>
                <w:rFonts w:ascii="Arial" w:cs="Arial" w:eastAsia="Arial" w:hAnsi="Arial"/>
                <w:sz w:val="18"/>
                <w:szCs w:val="18"/>
                <w:color w:val="auto"/>
              </w:rPr>
              <w:t>Sales and maturities of investments</w:t>
            </w:r>
          </w:p>
        </w:tc>
        <w:tc>
          <w:tcPr>
            <w:tcW w:w="100" w:type="dxa"/>
            <w:vAlign w:val="bottom"/>
          </w:tcPr>
          <w:p>
            <w:pPr>
              <w:spacing w:after="0"/>
              <w:rPr>
                <w:sz w:val="18"/>
                <w:szCs w:val="18"/>
                <w:color w:val="auto"/>
              </w:rPr>
            </w:pPr>
          </w:p>
        </w:tc>
        <w:tc>
          <w:tcPr>
            <w:tcW w:w="900" w:type="dxa"/>
            <w:vAlign w:val="bottom"/>
            <w:gridSpan w:val="2"/>
          </w:tcPr>
          <w:p>
            <w:pPr>
              <w:jc w:val="right"/>
              <w:ind w:right="138"/>
              <w:spacing w:after="0"/>
              <w:rPr>
                <w:sz w:val="20"/>
                <w:szCs w:val="20"/>
                <w:color w:val="auto"/>
              </w:rPr>
            </w:pPr>
            <w:r>
              <w:rPr>
                <w:rFonts w:ascii="Arial" w:cs="Arial" w:eastAsia="Arial" w:hAnsi="Arial"/>
                <w:sz w:val="18"/>
                <w:szCs w:val="18"/>
                <w:color w:val="auto"/>
              </w:rPr>
              <w:t>149,440</w:t>
            </w:r>
          </w:p>
        </w:tc>
        <w:tc>
          <w:tcPr>
            <w:tcW w:w="12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78"/>
              <w:spacing w:after="0"/>
              <w:rPr>
                <w:sz w:val="20"/>
                <w:szCs w:val="20"/>
                <w:color w:val="auto"/>
              </w:rPr>
            </w:pPr>
            <w:r>
              <w:rPr>
                <w:rFonts w:ascii="Arial" w:cs="Arial" w:eastAsia="Arial" w:hAnsi="Arial"/>
                <w:sz w:val="18"/>
                <w:szCs w:val="18"/>
                <w:color w:val="auto"/>
              </w:rPr>
              <w:t>(16,395)</w:t>
            </w:r>
          </w:p>
        </w:tc>
        <w:tc>
          <w:tcPr>
            <w:tcW w:w="9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(3,414)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tcPr>
          <w:p>
            <w:pPr>
              <w:ind w:left="420"/>
              <w:spacing w:after="0"/>
              <w:rPr>
                <w:sz w:val="20"/>
                <w:szCs w:val="20"/>
                <w:color w:val="auto"/>
              </w:rPr>
            </w:pPr>
            <w:r>
              <w:rPr>
                <w:rFonts w:ascii="Arial" w:cs="Arial" w:eastAsia="Arial" w:hAnsi="Arial"/>
                <w:sz w:val="18"/>
                <w:szCs w:val="18"/>
                <w:color w:val="auto"/>
              </w:rPr>
              <w:t>Purchases of technology licenses</w:t>
            </w:r>
          </w:p>
        </w:tc>
        <w:tc>
          <w:tcPr>
            <w:tcW w:w="100" w:type="dxa"/>
            <w:vAlign w:val="bottom"/>
          </w:tcPr>
          <w:p>
            <w:pPr>
              <w:spacing w:after="0"/>
              <w:rPr>
                <w:sz w:val="18"/>
                <w:szCs w:val="18"/>
                <w:color w:val="auto"/>
              </w:rPr>
            </w:pPr>
          </w:p>
        </w:tc>
        <w:tc>
          <w:tcPr>
            <w:tcW w:w="900" w:type="dxa"/>
            <w:vAlign w:val="bottom"/>
            <w:gridSpan w:val="2"/>
          </w:tcPr>
          <w:p>
            <w:pPr>
              <w:jc w:val="right"/>
              <w:ind w:right="78"/>
              <w:spacing w:after="0"/>
              <w:rPr>
                <w:sz w:val="20"/>
                <w:szCs w:val="20"/>
                <w:color w:val="auto"/>
              </w:rPr>
            </w:pPr>
            <w:r>
              <w:rPr>
                <w:rFonts w:ascii="Arial" w:cs="Arial" w:eastAsia="Arial" w:hAnsi="Arial"/>
                <w:sz w:val="18"/>
                <w:szCs w:val="18"/>
                <w:color w:val="auto"/>
              </w:rPr>
              <w:t>(2,250)</w:t>
            </w:r>
          </w:p>
        </w:tc>
        <w:tc>
          <w:tcPr>
            <w:tcW w:w="940" w:type="dxa"/>
            <w:vAlign w:val="bottom"/>
            <w:gridSpan w:val="3"/>
          </w:tcPr>
          <w:p>
            <w:pPr>
              <w:jc w:val="right"/>
              <w:ind w:right="40"/>
              <w:spacing w:after="0"/>
              <w:rPr>
                <w:sz w:val="20"/>
                <w:szCs w:val="20"/>
                <w:color w:val="auto"/>
              </w:rPr>
            </w:pPr>
            <w:r>
              <w:rPr>
                <w:rFonts w:ascii="Arial" w:cs="Arial" w:eastAsia="Arial" w:hAnsi="Arial"/>
                <w:sz w:val="18"/>
                <w:szCs w:val="18"/>
                <w:color w:val="auto"/>
              </w:rPr>
              <w:t>(9,300)</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4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shd w:val="clear" w:color="auto" w:fill="CCEEFF"/>
          </w:tcPr>
          <w:p>
            <w:pPr>
              <w:ind w:left="1720"/>
              <w:spacing w:after="0"/>
              <w:rPr>
                <w:sz w:val="20"/>
                <w:szCs w:val="20"/>
                <w:color w:val="auto"/>
              </w:rPr>
            </w:pPr>
            <w:r>
              <w:rPr>
                <w:rFonts w:ascii="Arial" w:cs="Arial" w:eastAsia="Arial" w:hAnsi="Arial"/>
                <w:sz w:val="18"/>
                <w:szCs w:val="18"/>
                <w:color w:val="auto"/>
              </w:rPr>
              <w:t>Net cash used in investing activities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78"/>
              <w:spacing w:after="0"/>
              <w:rPr>
                <w:sz w:val="20"/>
                <w:szCs w:val="20"/>
                <w:color w:val="auto"/>
              </w:rPr>
            </w:pPr>
            <w:r>
              <w:rPr>
                <w:rFonts w:ascii="Arial" w:cs="Arial" w:eastAsia="Arial" w:hAnsi="Arial"/>
                <w:sz w:val="18"/>
                <w:szCs w:val="18"/>
                <w:color w:val="auto"/>
              </w:rPr>
              <w:t>(57,083)</w:t>
            </w:r>
          </w:p>
        </w:tc>
        <w:tc>
          <w:tcPr>
            <w:tcW w:w="9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(12,714)</w:t>
            </w:r>
          </w:p>
        </w:tc>
        <w:tc>
          <w:tcPr>
            <w:tcW w:w="0" w:type="dxa"/>
            <w:vAlign w:val="bottom"/>
          </w:tcPr>
          <w:p>
            <w:pPr>
              <w:spacing w:after="0"/>
              <w:rPr>
                <w:sz w:val="1"/>
                <w:szCs w:val="1"/>
                <w:color w:val="auto"/>
              </w:rPr>
            </w:pPr>
          </w:p>
        </w:tc>
      </w:tr>
      <w:tr>
        <w:trPr>
          <w:trHeight w:val="222"/>
        </w:trPr>
        <w:tc>
          <w:tcPr>
            <w:tcW w:w="9480" w:type="dxa"/>
            <w:vAlign w:val="bottom"/>
            <w:gridSpan w:val="2"/>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spacing w:after="0"/>
              <w:rPr>
                <w:sz w:val="19"/>
                <w:szCs w:val="19"/>
                <w:color w:val="auto"/>
              </w:rPr>
            </w:pP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9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Proceeds from the issuance of common shares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38"/>
              <w:spacing w:after="0"/>
              <w:rPr>
                <w:sz w:val="20"/>
                <w:szCs w:val="20"/>
                <w:color w:val="auto"/>
              </w:rPr>
            </w:pPr>
            <w:r>
              <w:rPr>
                <w:rFonts w:ascii="Arial" w:cs="Arial" w:eastAsia="Arial" w:hAnsi="Arial"/>
                <w:sz w:val="18"/>
                <w:szCs w:val="18"/>
                <w:color w:val="auto"/>
              </w:rPr>
              <w:t>48,688</w:t>
            </w:r>
          </w:p>
        </w:tc>
        <w:tc>
          <w:tcPr>
            <w:tcW w:w="9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385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tcPr>
          <w:p>
            <w:pPr>
              <w:ind w:left="420"/>
              <w:spacing w:after="0"/>
              <w:rPr>
                <w:sz w:val="20"/>
                <w:szCs w:val="20"/>
                <w:color w:val="auto"/>
              </w:rPr>
            </w:pPr>
            <w:r>
              <w:rPr>
                <w:rFonts w:ascii="Arial" w:cs="Arial" w:eastAsia="Arial" w:hAnsi="Arial"/>
                <w:sz w:val="18"/>
                <w:szCs w:val="18"/>
                <w:color w:val="auto"/>
              </w:rPr>
              <w:t>Principal payments on capital lease obligations</w:t>
            </w:r>
          </w:p>
        </w:tc>
        <w:tc>
          <w:tcPr>
            <w:tcW w:w="100" w:type="dxa"/>
            <w:vAlign w:val="bottom"/>
          </w:tcPr>
          <w:p>
            <w:pPr>
              <w:spacing w:after="0"/>
              <w:rPr>
                <w:sz w:val="18"/>
                <w:szCs w:val="18"/>
                <w:color w:val="auto"/>
              </w:rPr>
            </w:pPr>
          </w:p>
        </w:tc>
        <w:tc>
          <w:tcPr>
            <w:tcW w:w="900" w:type="dxa"/>
            <w:vAlign w:val="bottom"/>
            <w:gridSpan w:val="2"/>
          </w:tcPr>
          <w:p>
            <w:pPr>
              <w:jc w:val="right"/>
              <w:ind w:right="78"/>
              <w:spacing w:after="0"/>
              <w:rPr>
                <w:sz w:val="20"/>
                <w:szCs w:val="20"/>
                <w:color w:val="auto"/>
              </w:rPr>
            </w:pPr>
            <w:r>
              <w:rPr>
                <w:rFonts w:ascii="Arial" w:cs="Arial" w:eastAsia="Arial" w:hAnsi="Arial"/>
                <w:sz w:val="18"/>
                <w:szCs w:val="18"/>
                <w:color w:val="auto"/>
              </w:rPr>
              <w:t>(470)</w:t>
            </w:r>
          </w:p>
        </w:tc>
        <w:tc>
          <w:tcPr>
            <w:tcW w:w="940" w:type="dxa"/>
            <w:vAlign w:val="bottom"/>
            <w:gridSpan w:val="3"/>
          </w:tcPr>
          <w:p>
            <w:pPr>
              <w:jc w:val="right"/>
              <w:ind w:right="40"/>
              <w:spacing w:after="0"/>
              <w:rPr>
                <w:sz w:val="20"/>
                <w:szCs w:val="20"/>
                <w:color w:val="auto"/>
              </w:rPr>
            </w:pPr>
            <w:r>
              <w:rPr>
                <w:rFonts w:ascii="Arial" w:cs="Arial" w:eastAsia="Arial" w:hAnsi="Arial"/>
                <w:sz w:val="18"/>
                <w:szCs w:val="18"/>
                <w:color w:val="auto"/>
              </w:rPr>
              <w:t>(433)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38"/>
              <w:spacing w:after="0"/>
              <w:rPr>
                <w:sz w:val="20"/>
                <w:szCs w:val="20"/>
                <w:color w:val="auto"/>
              </w:rPr>
            </w:pPr>
            <w:r>
              <w:rPr>
                <w:rFonts w:ascii="Arial" w:cs="Arial" w:eastAsia="Arial" w:hAnsi="Arial"/>
                <w:sz w:val="18"/>
                <w:szCs w:val="18"/>
                <w:color w:val="auto"/>
              </w:rPr>
              <w:t>185</w:t>
            </w:r>
          </w:p>
        </w:tc>
        <w:tc>
          <w:tcPr>
            <w:tcW w:w="9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460" w:type="dxa"/>
            <w:vAlign w:val="bottom"/>
            <w:vMerge w:val="restart"/>
          </w:tcPr>
          <w:p>
            <w:pPr>
              <w:ind w:left="1720"/>
              <w:spacing w:after="0"/>
              <w:rPr>
                <w:sz w:val="20"/>
                <w:szCs w:val="20"/>
                <w:color w:val="auto"/>
              </w:rPr>
            </w:pPr>
            <w:r>
              <w:rPr>
                <w:rFonts w:ascii="Arial" w:cs="Arial" w:eastAsia="Arial" w:hAnsi="Arial"/>
                <w:sz w:val="18"/>
                <w:szCs w:val="18"/>
                <w:color w:val="auto"/>
              </w:rPr>
              <w:t>Net cash provided by (used in) financing activities</w:t>
            </w: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946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138"/>
              <w:spacing w:after="0"/>
              <w:rPr>
                <w:sz w:val="20"/>
                <w:szCs w:val="20"/>
                <w:color w:val="auto"/>
              </w:rPr>
            </w:pPr>
            <w:r>
              <w:rPr>
                <w:rFonts w:ascii="Arial" w:cs="Arial" w:eastAsia="Arial" w:hAnsi="Arial"/>
                <w:sz w:val="18"/>
                <w:szCs w:val="18"/>
                <w:color w:val="auto"/>
              </w:rPr>
              <w:t>48,403</w:t>
            </w:r>
          </w:p>
        </w:tc>
        <w:tc>
          <w:tcPr>
            <w:tcW w:w="940" w:type="dxa"/>
            <w:vAlign w:val="bottom"/>
            <w:gridSpan w:val="3"/>
          </w:tcPr>
          <w:p>
            <w:pPr>
              <w:jc w:val="right"/>
              <w:ind w:right="40"/>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9460" w:type="dxa"/>
            <w:vAlign w:val="bottom"/>
            <w:shd w:val="clear" w:color="auto" w:fill="CCEEFF"/>
          </w:tcPr>
          <w:p>
            <w:pPr>
              <w:spacing w:after="0"/>
              <w:rPr>
                <w:sz w:val="20"/>
                <w:szCs w:val="20"/>
                <w:color w:val="auto"/>
              </w:rPr>
            </w:pPr>
            <w:r>
              <w:rPr>
                <w:rFonts w:ascii="Arial" w:cs="Arial" w:eastAsia="Arial" w:hAnsi="Arial"/>
                <w:sz w:val="18"/>
                <w:szCs w:val="18"/>
                <w:color w:val="auto"/>
              </w:rPr>
              <w:t>Net increase in cash and cash equivalents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38"/>
              <w:spacing w:after="0"/>
              <w:rPr>
                <w:sz w:val="20"/>
                <w:szCs w:val="20"/>
                <w:color w:val="auto"/>
              </w:rPr>
            </w:pPr>
            <w:r>
              <w:rPr>
                <w:rFonts w:ascii="Arial" w:cs="Arial" w:eastAsia="Arial" w:hAnsi="Arial"/>
                <w:sz w:val="18"/>
                <w:szCs w:val="18"/>
                <w:color w:val="auto"/>
              </w:rPr>
              <w:t>246,911</w:t>
            </w:r>
          </w:p>
        </w:tc>
        <w:tc>
          <w:tcPr>
            <w:tcW w:w="9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131,796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460" w:type="dxa"/>
            <w:vAlign w:val="bottom"/>
          </w:tcPr>
          <w:p>
            <w:pPr>
              <w:spacing w:after="0"/>
              <w:rPr>
                <w:sz w:val="20"/>
                <w:szCs w:val="20"/>
                <w:color w:val="auto"/>
              </w:rPr>
            </w:pPr>
            <w:r>
              <w:rPr>
                <w:rFonts w:ascii="Arial" w:cs="Arial" w:eastAsia="Arial" w:hAnsi="Arial"/>
                <w:sz w:val="18"/>
                <w:szCs w:val="18"/>
                <w:color w:val="auto"/>
              </w:rPr>
              <w:t>Cash and cash equivalents at beginning of period</w:t>
            </w:r>
          </w:p>
        </w:tc>
        <w:tc>
          <w:tcPr>
            <w:tcW w:w="100" w:type="dxa"/>
            <w:vAlign w:val="bottom"/>
          </w:tcPr>
          <w:p>
            <w:pPr>
              <w:spacing w:after="0"/>
              <w:rPr>
                <w:sz w:val="18"/>
                <w:szCs w:val="18"/>
                <w:color w:val="auto"/>
              </w:rPr>
            </w:pPr>
          </w:p>
        </w:tc>
        <w:tc>
          <w:tcPr>
            <w:tcW w:w="900" w:type="dxa"/>
            <w:vAlign w:val="bottom"/>
            <w:gridSpan w:val="2"/>
          </w:tcPr>
          <w:p>
            <w:pPr>
              <w:jc w:val="right"/>
              <w:ind w:right="138"/>
              <w:spacing w:after="0"/>
              <w:rPr>
                <w:sz w:val="20"/>
                <w:szCs w:val="20"/>
                <w:color w:val="auto"/>
              </w:rPr>
            </w:pPr>
            <w:r>
              <w:rPr>
                <w:rFonts w:ascii="Arial" w:cs="Arial" w:eastAsia="Arial" w:hAnsi="Arial"/>
                <w:sz w:val="18"/>
                <w:szCs w:val="18"/>
                <w:color w:val="auto"/>
                <w:w w:val="84"/>
              </w:rPr>
              <w:t>1,105,428</w:t>
            </w: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927,409</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94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946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900" w:type="dxa"/>
            <w:vAlign w:val="bottom"/>
            <w:gridSpan w:val="2"/>
            <w:shd w:val="clear" w:color="auto" w:fill="CCEEFF"/>
          </w:tcPr>
          <w:p>
            <w:pPr>
              <w:jc w:val="right"/>
              <w:ind w:right="138"/>
              <w:spacing w:after="0"/>
              <w:rPr>
                <w:sz w:val="20"/>
                <w:szCs w:val="20"/>
                <w:color w:val="auto"/>
              </w:rPr>
            </w:pPr>
            <w:r>
              <w:rPr>
                <w:rFonts w:ascii="Arial" w:cs="Arial" w:eastAsia="Arial" w:hAnsi="Arial"/>
                <w:sz w:val="18"/>
                <w:szCs w:val="18"/>
                <w:color w:val="auto"/>
                <w:w w:val="84"/>
              </w:rPr>
              <w:t>1,352,339</w:t>
            </w:r>
          </w:p>
        </w:tc>
        <w:tc>
          <w:tcPr>
            <w:tcW w:w="9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1,059,205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its Significant Accounting Policies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Marvell Technology Group Ltd., a Bermuda company (the “Company”), is a leading global semiconductor provider of high-performance application specific standard products. The Company’s core strength of expertise is the development of complex system-on-a-chip devices leveraging its extensive technology portfolio of intellectual property in the areas of analog, mixed-signal, digital signal processing and embedded ARM-based microprocessor integrated circuits. The Company’s broad product portfolio includes devices for data storage, enterprise-class Ethernet data switching, Ethernet physical-layer transceiver handheld cellular, Ethernet-based wireless networking, personal area networking, Ethernet-based PC connectivity, control plane communications controllers, video-image processing and power management solutions.</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jc w:val="both"/>
        <w:ind w:right="10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2011 and fiscal 2010 are comprised of a 52-week period.</w:t>
      </w:r>
    </w:p>
    <w:p>
      <w:pPr>
        <w:spacing w:after="0" w:line="140" w:lineRule="exact"/>
        <w:rPr>
          <w:sz w:val="20"/>
          <w:szCs w:val="20"/>
          <w:color w:val="auto"/>
        </w:rPr>
      </w:pPr>
    </w:p>
    <w:p>
      <w:pPr>
        <w:ind w:right="120" w:firstLine="456"/>
        <w:spacing w:after="0" w:line="289" w:lineRule="auto"/>
        <w:rPr>
          <w:sz w:val="20"/>
          <w:szCs w:val="20"/>
          <w:color w:val="auto"/>
        </w:rPr>
      </w:pPr>
      <w:r>
        <w:rPr>
          <w:rFonts w:ascii="Arial" w:cs="Arial" w:eastAsia="Arial" w:hAnsi="Arial"/>
          <w:sz w:val="16"/>
          <w:szCs w:val="16"/>
          <w:color w:val="auto"/>
        </w:rPr>
        <w:t>The unaudited interim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financial position as of May 1, 2010, the results of its operations for the three months ended May 1, 2010 and May 2, 2009, and its cash flows for the three months ended May 1, 2010 and May 2, 2009. The January 30, 2010 condensed consolidated balance sheet data was derived from audited consolidated financial statements included in the Company’s Annual Report on Form 10-K for the year ended January 30, 2010 but does not include all disclosures required by GAAP. Certain reclassifications have been made to conform to the current period’s presentation.</w:t>
      </w:r>
    </w:p>
    <w:p>
      <w:pPr>
        <w:spacing w:after="0" w:line="118"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These condensed consolidated financial statements and related notes are unaudited and should be read in conjunction with the Company’s audited financial statements and related notes for the year ended January 30, 2010 included in the Company’s Annual Report on Form 10-K for the year ended January 30, 2010 as filed on March 31, 2010 with the Securities and Exchange Commission. The results of operations for the three months ended May 1, 2010 are not necessarily indicative of the results that may be expected for any other interim period or for the full fiscal year.</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preparation of consolidated financial statements in conformity with GAAP in the United States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uncollectible receivables, inventory excess and obsolescence, investment fair values, goodwill and other intangible assets, income taxes and contingencies. In addition, the Company uses assumptions when employing the Black-Scholes option valuation model to calculate the fair value of stock-based awards granted. The Company bases its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United States dollar.</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Revenue recognition</w:t>
      </w:r>
    </w:p>
    <w:p>
      <w:pPr>
        <w:spacing w:after="0" w:line="90" w:lineRule="exact"/>
        <w:rPr>
          <w:sz w:val="20"/>
          <w:szCs w:val="20"/>
          <w:color w:val="auto"/>
        </w:rPr>
      </w:pPr>
    </w:p>
    <w:p>
      <w:pPr>
        <w:ind w:right="520" w:firstLine="456"/>
        <w:spacing w:after="0" w:line="268" w:lineRule="auto"/>
        <w:rPr>
          <w:sz w:val="20"/>
          <w:szCs w:val="20"/>
          <w:color w:val="auto"/>
        </w:rPr>
      </w:pPr>
      <w:r>
        <w:rPr>
          <w:rFonts w:ascii="Arial" w:cs="Arial" w:eastAsia="Arial" w:hAnsi="Arial"/>
          <w:sz w:val="18"/>
          <w:szCs w:val="18"/>
          <w:color w:val="auto"/>
        </w:rPr>
        <w:t>The Company recognizes revenues when there is persuasive evidence of an arrangement, delivery has occurred, the fee is fixed or determinable, and collection is reasonably assured.</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60" w:firstLine="456"/>
        <w:spacing w:after="0" w:line="287"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However, some of the Company’s sales are made through distributors under agreements allowing for price protection, shipped from stock pricing adjustment rights and limited rights of return on products unsold by the distributors. Although title passes to the distributor upon shipment, terms and payment by the Company’s distributors is not contingent on resale of the product, product revenue on sales made through distributors with price protection, shipped from stock pricing adjustment rights and stock rotation rights is deferred until the distributors sell the product to end customers because the Company’s selling price is not fixed and determinable and the Company is not able to reliably estimate future returns. Deferred revenue less the related cost of the inventories is reported as deferred income. The Company does not believe that there is any significant exposure related to impairment of deferred cost of sales, as its historical returns have been minimal and inventory turnover for its distributors generally ranges from 60 to 90 days. The Company’s sales to direct customers are made primarily pursuant to standard purchase orders for delivery of products. Revenue related to the sale of consignment inventory is not recognized until the product is pulled from inventory stock by the customer.</w:t>
      </w:r>
    </w:p>
    <w:p>
      <w:pPr>
        <w:spacing w:after="0" w:line="123" w:lineRule="exact"/>
        <w:rPr>
          <w:sz w:val="20"/>
          <w:szCs w:val="20"/>
          <w:color w:val="auto"/>
        </w:rPr>
      </w:pPr>
    </w:p>
    <w:p>
      <w:pPr>
        <w:jc w:val="both"/>
        <w:ind w:right="240" w:firstLine="456"/>
        <w:spacing w:after="0" w:line="256" w:lineRule="auto"/>
        <w:rPr>
          <w:sz w:val="20"/>
          <w:szCs w:val="20"/>
          <w:color w:val="auto"/>
        </w:rPr>
      </w:pPr>
      <w:r>
        <w:rPr>
          <w:rFonts w:ascii="Arial" w:cs="Arial" w:eastAsia="Arial" w:hAnsi="Arial"/>
          <w:sz w:val="18"/>
          <w:szCs w:val="18"/>
          <w:color w:val="auto"/>
        </w:rPr>
        <w:t>The provision for estimated sales returns on product sales is recorded in the same period the related revenues are recorded. These estimates are based on historical sales returns and other known factors. Actual returns could differ from these estimates. The Company accounts for rebates by recording reductions to revenue for rebates in the same period that the related revenue is recorded. The amount of these reductions is based upon the terms included in the Company’s various rebate agreements.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9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In June 2009, the Financial Accounting Standard Board (“FASB”) issued guidance that amends the consolidation rules related to variable interest entities. The determination of whether a company is required to consolidate an entity is based on, among other things, an entity’s purpose and design and a company’s ability to direct the activities of the entity that most significantly impact the entity’s economic performance. This guidance requires ongoing reassessments of whether an enterprise is the primary beneficiary of the variable interest entity. This guidance became effective during the three months ended May 1, 2010 and the adoption did not have a material impact on the Company’s financial position or results of operations.</w:t>
      </w:r>
    </w:p>
    <w:p>
      <w:pPr>
        <w:spacing w:after="0" w:line="11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In September 2009, the FASB issued new accounting guidance related to the revenue recognition of multiple element arrangements. The new guidance states that if vendor specific objective evidence or third party evidence for deliverables in an arrangement cannot be determined, companies will be required to develop a best estimate of the selling price to separate deliverables and allocate arrangement consideration using the relative selling price method. The accounting guidance was adopted during the three months ended May 1, 2010, however, as the Company does not generally enter into multiple element arrangements, the adoption did not impact the Company’s financial position or results of operations.</w:t>
      </w:r>
    </w:p>
    <w:p>
      <w:pPr>
        <w:spacing w:after="0" w:line="11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January 2010, the FASB issued guidance that expands the interim and annual disclosure requirements of fair value measurements, including the information about movement of assets between Level 1 and 2 of the three-tier fair value hierarchy established under its fair value measurement guidance. This guidance also requires separate disclosure for purchases, sales, issuances and settlements in the reconciliation for fair value measurements using significant unobservable inputs using Level 3 methodologies. Except for the detailed disclosure in the Level 3 reconciliation, which is effective for the fiscal years beginning after December 15, 2010, all the other disclosures under this guidance became effective during the three months ended May 1, 2010. The adoption of the guidance did not have a material impact on the Company’s financial position or results of operations.</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45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31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720" w:type="dxa"/>
            <w:vAlign w:val="bottom"/>
            <w:tcBorders>
              <w:bottom w:val="single" w:sz="8" w:color="auto"/>
            </w:tcBorders>
            <w:gridSpan w:val="5"/>
          </w:tcPr>
          <w:p>
            <w:pPr>
              <w:ind w:left="220"/>
              <w:spacing w:after="0"/>
              <w:rPr>
                <w:sz w:val="20"/>
                <w:szCs w:val="20"/>
                <w:color w:val="auto"/>
              </w:rPr>
            </w:pPr>
            <w:r>
              <w:rPr>
                <w:rFonts w:ascii="Arial" w:cs="Arial" w:eastAsia="Arial" w:hAnsi="Arial"/>
                <w:sz w:val="14"/>
                <w:szCs w:val="14"/>
                <w:b w:val="1"/>
                <w:bCs w:val="1"/>
                <w:color w:val="auto"/>
              </w:rPr>
              <w:t>As of May 1, 2010</w:t>
            </w:r>
          </w:p>
        </w:tc>
        <w:tc>
          <w:tcPr>
            <w:tcW w:w="1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540" w:type="dxa"/>
            <w:vAlign w:val="bottom"/>
          </w:tcPr>
          <w:p>
            <w:pPr>
              <w:spacing w:after="0"/>
              <w:rPr>
                <w:sz w:val="11"/>
                <w:szCs w:val="11"/>
                <w:color w:val="auto"/>
              </w:rPr>
            </w:pPr>
          </w:p>
        </w:tc>
        <w:tc>
          <w:tcPr>
            <w:tcW w:w="31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20" w:type="dxa"/>
            <w:vAlign w:val="bottom"/>
          </w:tcPr>
          <w:p>
            <w:pPr>
              <w:ind w:left="20"/>
              <w:spacing w:after="0" w:line="129" w:lineRule="exact"/>
              <w:rPr>
                <w:sz w:val="20"/>
                <w:szCs w:val="20"/>
                <w:color w:val="auto"/>
              </w:rPr>
            </w:pPr>
            <w:r>
              <w:rPr>
                <w:rFonts w:ascii="Arial" w:cs="Arial" w:eastAsia="Arial" w:hAnsi="Arial"/>
                <w:sz w:val="14"/>
                <w:szCs w:val="14"/>
                <w:b w:val="1"/>
                <w:bCs w:val="1"/>
                <w:color w:val="auto"/>
              </w:rPr>
              <w:t>Gross</w:t>
            </w:r>
          </w:p>
        </w:tc>
        <w:tc>
          <w:tcPr>
            <w:tcW w:w="3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60" w:type="dxa"/>
            <w:vAlign w:val="bottom"/>
            <w:gridSpan w:val="2"/>
          </w:tcPr>
          <w:p>
            <w:pPr>
              <w:jc w:val="center"/>
              <w:ind w:right="380"/>
              <w:spacing w:after="0" w:line="129" w:lineRule="exact"/>
              <w:rPr>
                <w:sz w:val="20"/>
                <w:szCs w:val="20"/>
                <w:color w:val="auto"/>
              </w:rPr>
            </w:pPr>
            <w:r>
              <w:rPr>
                <w:rFonts w:ascii="Arial" w:cs="Arial" w:eastAsia="Arial" w:hAnsi="Arial"/>
                <w:sz w:val="14"/>
                <w:szCs w:val="14"/>
                <w:b w:val="1"/>
                <w:bCs w:val="1"/>
                <w:color w:val="auto"/>
                <w:w w:val="83"/>
              </w:rPr>
              <w:t>Gross</w:t>
            </w: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40" w:type="dxa"/>
            <w:vAlign w:val="bottom"/>
          </w:tcPr>
          <w:p>
            <w:pPr>
              <w:spacing w:after="0"/>
              <w:rPr>
                <w:sz w:val="12"/>
                <w:szCs w:val="12"/>
                <w:color w:val="auto"/>
              </w:rPr>
            </w:pPr>
          </w:p>
        </w:tc>
        <w:tc>
          <w:tcPr>
            <w:tcW w:w="3160" w:type="dxa"/>
            <w:vAlign w:val="bottom"/>
          </w:tcPr>
          <w:p>
            <w:pPr>
              <w:spacing w:after="0"/>
              <w:rPr>
                <w:sz w:val="12"/>
                <w:szCs w:val="12"/>
                <w:color w:val="auto"/>
              </w:rPr>
            </w:pPr>
          </w:p>
        </w:tc>
        <w:tc>
          <w:tcPr>
            <w:tcW w:w="100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Amortized</w:t>
            </w:r>
          </w:p>
        </w:tc>
        <w:tc>
          <w:tcPr>
            <w:tcW w:w="64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7"/>
              </w:rPr>
              <w:t>Unrealized</w:t>
            </w:r>
          </w:p>
        </w:tc>
        <w:tc>
          <w:tcPr>
            <w:tcW w:w="320" w:type="dxa"/>
            <w:vAlign w:val="bottom"/>
          </w:tcPr>
          <w:p>
            <w:pPr>
              <w:spacing w:after="0"/>
              <w:rPr>
                <w:sz w:val="12"/>
                <w:szCs w:val="12"/>
                <w:color w:val="auto"/>
              </w:rPr>
            </w:pPr>
          </w:p>
        </w:tc>
        <w:tc>
          <w:tcPr>
            <w:tcW w:w="8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180" w:type="dxa"/>
            <w:vAlign w:val="bottom"/>
          </w:tcPr>
          <w:p>
            <w:pPr>
              <w:spacing w:after="0"/>
              <w:rPr>
                <w:sz w:val="12"/>
                <w:szCs w:val="12"/>
                <w:color w:val="auto"/>
              </w:rPr>
            </w:pPr>
          </w:p>
        </w:tc>
        <w:tc>
          <w:tcPr>
            <w:tcW w:w="70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w w:val="95"/>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3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3"/>
              </w:rPr>
              <w:t>Cost</w:t>
            </w:r>
          </w:p>
        </w:tc>
        <w:tc>
          <w:tcPr>
            <w:tcW w:w="120" w:type="dxa"/>
            <w:vAlign w:val="bottom"/>
          </w:tcPr>
          <w:p>
            <w:pPr>
              <w:spacing w:after="0"/>
              <w:rPr>
                <w:sz w:val="14"/>
                <w:szCs w:val="14"/>
                <w:color w:val="auto"/>
              </w:rPr>
            </w:pPr>
          </w:p>
        </w:tc>
        <w:tc>
          <w:tcPr>
            <w:tcW w:w="520" w:type="dxa"/>
            <w:vAlign w:val="bottom"/>
          </w:tcPr>
          <w:p>
            <w:pPr>
              <w:ind w:left="20"/>
              <w:spacing w:after="0"/>
              <w:rPr>
                <w:sz w:val="20"/>
                <w:szCs w:val="20"/>
                <w:color w:val="auto"/>
              </w:rPr>
            </w:pPr>
            <w:r>
              <w:rPr>
                <w:rFonts w:ascii="Arial" w:cs="Arial" w:eastAsia="Arial" w:hAnsi="Arial"/>
                <w:sz w:val="14"/>
                <w:szCs w:val="14"/>
                <w:b w:val="1"/>
                <w:bCs w:val="1"/>
                <w:color w:val="auto"/>
              </w:rPr>
              <w:t>Gains</w:t>
            </w:r>
          </w:p>
        </w:tc>
        <w:tc>
          <w:tcPr>
            <w:tcW w:w="3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79"/>
              </w:rPr>
              <w:t>Loss</w:t>
            </w:r>
          </w:p>
        </w:tc>
        <w:tc>
          <w:tcPr>
            <w:tcW w:w="180" w:type="dxa"/>
            <w:vAlign w:val="bottom"/>
          </w:tcPr>
          <w:p>
            <w:pPr>
              <w:spacing w:after="0"/>
              <w:rPr>
                <w:sz w:val="14"/>
                <w:szCs w:val="14"/>
                <w:color w:val="auto"/>
              </w:rPr>
            </w:pPr>
          </w:p>
        </w:tc>
        <w:tc>
          <w:tcPr>
            <w:tcW w:w="700" w:type="dxa"/>
            <w:vAlign w:val="bottom"/>
            <w:gridSpan w:val="3"/>
          </w:tcPr>
          <w:p>
            <w:pPr>
              <w:ind w:left="40"/>
              <w:spacing w:after="0"/>
              <w:rPr>
                <w:sz w:val="20"/>
                <w:szCs w:val="20"/>
                <w:color w:val="auto"/>
              </w:rPr>
            </w:pPr>
            <w:r>
              <w:rPr>
                <w:rFonts w:ascii="Arial" w:cs="Arial" w:eastAsia="Arial" w:hAnsi="Arial"/>
                <w:sz w:val="14"/>
                <w:szCs w:val="14"/>
                <w:b w:val="1"/>
                <w:bCs w:val="1"/>
                <w:color w:val="auto"/>
                <w:w w:val="95"/>
              </w:rPr>
              <w:t>Fair 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Short-term investments:</w:t>
            </w:r>
          </w:p>
        </w:tc>
        <w:tc>
          <w:tcPr>
            <w:tcW w:w="31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3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4160" w:type="dxa"/>
            <w:vAlign w:val="bottom"/>
            <w:gridSpan w:val="4"/>
            <w:shd w:val="clear" w:color="auto" w:fill="CCEEFF"/>
          </w:tcPr>
          <w:p>
            <w:pPr>
              <w:jc w:val="right"/>
              <w:ind w:right="320"/>
              <w:spacing w:after="0"/>
              <w:rPr>
                <w:sz w:val="20"/>
                <w:szCs w:val="20"/>
                <w:color w:val="auto"/>
              </w:rPr>
            </w:pPr>
            <w:r>
              <w:rPr>
                <w:rFonts w:ascii="Arial" w:cs="Arial" w:eastAsia="Arial" w:hAnsi="Arial"/>
                <w:sz w:val="18"/>
                <w:szCs w:val="18"/>
                <w:color w:val="auto"/>
              </w:rPr>
              <w:t>$324,163</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ind w:left="120"/>
              <w:spacing w:after="0"/>
              <w:rPr>
                <w:sz w:val="20"/>
                <w:szCs w:val="20"/>
                <w:color w:val="auto"/>
              </w:rPr>
            </w:pPr>
            <w:r>
              <w:rPr>
                <w:rFonts w:ascii="Arial" w:cs="Arial" w:eastAsia="Arial" w:hAnsi="Arial"/>
                <w:sz w:val="18"/>
                <w:szCs w:val="18"/>
                <w:color w:val="auto"/>
                <w:w w:val="84"/>
              </w:rPr>
              <w:t>1,169</w:t>
            </w:r>
          </w:p>
        </w:tc>
        <w:tc>
          <w:tcPr>
            <w:tcW w:w="4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(70)</w:t>
            </w:r>
          </w:p>
        </w:tc>
        <w:tc>
          <w:tcPr>
            <w:tcW w:w="8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$325,262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U.S. government and agencies</w:t>
            </w:r>
          </w:p>
        </w:tc>
        <w:tc>
          <w:tcPr>
            <w:tcW w:w="3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396,491</w:t>
            </w:r>
          </w:p>
        </w:tc>
        <w:tc>
          <w:tcPr>
            <w:tcW w:w="120" w:type="dxa"/>
            <w:vAlign w:val="bottom"/>
          </w:tcPr>
          <w:p>
            <w:pPr>
              <w:spacing w:after="0"/>
              <w:rPr>
                <w:sz w:val="18"/>
                <w:szCs w:val="18"/>
                <w:color w:val="auto"/>
              </w:rPr>
            </w:pPr>
          </w:p>
        </w:tc>
        <w:tc>
          <w:tcPr>
            <w:tcW w:w="520" w:type="dxa"/>
            <w:vAlign w:val="bottom"/>
          </w:tcPr>
          <w:p>
            <w:pPr>
              <w:ind w:left="260"/>
              <w:spacing w:after="0"/>
              <w:rPr>
                <w:sz w:val="20"/>
                <w:szCs w:val="20"/>
                <w:color w:val="auto"/>
              </w:rPr>
            </w:pPr>
            <w:r>
              <w:rPr>
                <w:rFonts w:ascii="Arial" w:cs="Arial" w:eastAsia="Arial" w:hAnsi="Arial"/>
                <w:sz w:val="18"/>
                <w:szCs w:val="18"/>
                <w:color w:val="auto"/>
                <w:w w:val="79"/>
              </w:rPr>
              <w:t>135</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(24)</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396,602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Trading securities:</w:t>
            </w:r>
          </w:p>
        </w:tc>
        <w:tc>
          <w:tcPr>
            <w:tcW w:w="3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Auction rate security and settlement option</w:t>
            </w:r>
          </w:p>
        </w:tc>
        <w:tc>
          <w:tcPr>
            <w:tcW w:w="31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5,000</w:t>
            </w:r>
          </w:p>
        </w:tc>
        <w:tc>
          <w:tcPr>
            <w:tcW w:w="3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ind w:left="26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jc w:val="right"/>
              <w:ind w:right="17"/>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5,000</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4160" w:type="dxa"/>
            <w:vAlign w:val="bottom"/>
            <w:gridSpan w:val="4"/>
            <w:shd w:val="clear" w:color="auto" w:fill="CCEEFF"/>
          </w:tcPr>
          <w:p>
            <w:pPr>
              <w:jc w:val="right"/>
              <w:ind w:right="320"/>
              <w:spacing w:after="0"/>
              <w:rPr>
                <w:sz w:val="20"/>
                <w:szCs w:val="20"/>
                <w:color w:val="auto"/>
              </w:rPr>
            </w:pPr>
            <w:r>
              <w:rPr>
                <w:rFonts w:ascii="Arial" w:cs="Arial" w:eastAsia="Arial" w:hAnsi="Arial"/>
                <w:sz w:val="18"/>
                <w:szCs w:val="18"/>
                <w:color w:val="auto"/>
              </w:rPr>
              <w:t>$725,654</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ind w:left="120"/>
              <w:spacing w:after="0"/>
              <w:rPr>
                <w:sz w:val="20"/>
                <w:szCs w:val="20"/>
                <w:color w:val="auto"/>
              </w:rPr>
            </w:pPr>
            <w:r>
              <w:rPr>
                <w:rFonts w:ascii="Arial" w:cs="Arial" w:eastAsia="Arial" w:hAnsi="Arial"/>
                <w:sz w:val="18"/>
                <w:szCs w:val="18"/>
                <w:color w:val="auto"/>
                <w:w w:val="84"/>
              </w:rPr>
              <w:t>1,304</w:t>
            </w:r>
          </w:p>
        </w:tc>
        <w:tc>
          <w:tcPr>
            <w:tcW w:w="4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(94)</w:t>
            </w:r>
          </w:p>
        </w:tc>
        <w:tc>
          <w:tcPr>
            <w:tcW w:w="8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$726,864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2"/>
        </w:trPr>
        <w:tc>
          <w:tcPr>
            <w:tcW w:w="4560" w:type="dxa"/>
            <w:vAlign w:val="bottom"/>
            <w:gridSpan w:val="2"/>
          </w:tcPr>
          <w:p>
            <w:pPr>
              <w:spacing w:after="0"/>
              <w:rPr>
                <w:sz w:val="20"/>
                <w:szCs w:val="20"/>
                <w:color w:val="auto"/>
              </w:rPr>
            </w:pPr>
            <w:r>
              <w:rPr>
                <w:rFonts w:ascii="Arial" w:cs="Arial" w:eastAsia="Arial" w:hAnsi="Arial"/>
                <w:sz w:val="18"/>
                <w:szCs w:val="18"/>
                <w:b w:val="1"/>
                <w:bCs w:val="1"/>
                <w:color w:val="auto"/>
              </w:rPr>
              <w:t>Long-term investments:</w:t>
            </w:r>
          </w:p>
        </w:tc>
        <w:tc>
          <w:tcPr>
            <w:tcW w:w="3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Available-for-sale:</w:t>
            </w:r>
          </w:p>
        </w:tc>
        <w:tc>
          <w:tcPr>
            <w:tcW w:w="3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3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36,550</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520" w:type="dxa"/>
            <w:vAlign w:val="bottom"/>
          </w:tcPr>
          <w:p>
            <w:pPr>
              <w:ind w:left="260"/>
              <w:spacing w:after="0"/>
              <w:rPr>
                <w:sz w:val="20"/>
                <w:szCs w:val="20"/>
                <w:color w:val="auto"/>
              </w:rPr>
            </w:pPr>
            <w:r>
              <w:rPr>
                <w:rFonts w:ascii="Arial" w:cs="Arial" w:eastAsia="Arial" w:hAnsi="Arial"/>
                <w:sz w:val="18"/>
                <w:szCs w:val="18"/>
                <w:color w:val="auto"/>
              </w:rPr>
              <w:t>—</w:t>
            </w:r>
          </w:p>
        </w:tc>
        <w:tc>
          <w:tcPr>
            <w:tcW w:w="440" w:type="dxa"/>
            <w:vAlign w:val="bottom"/>
            <w:gridSpan w:val="2"/>
          </w:tcPr>
          <w:p>
            <w:pPr>
              <w:ind w:left="320"/>
              <w:spacing w:after="0"/>
              <w:rPr>
                <w:sz w:val="20"/>
                <w:szCs w:val="20"/>
                <w:color w:val="auto"/>
              </w:rPr>
            </w:pPr>
            <w:r>
              <w:rPr>
                <w:rFonts w:ascii="Arial" w:cs="Arial" w:eastAsia="Arial" w:hAnsi="Arial"/>
                <w:sz w:val="18"/>
                <w:szCs w:val="18"/>
                <w:color w:val="auto"/>
                <w:w w:val="99"/>
              </w:rPr>
              <w:t>$</w:t>
            </w: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w w:val="98"/>
              </w:rPr>
              <w:t>(2,315)</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34,235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540" w:type="dxa"/>
            <w:vAlign w:val="bottom"/>
          </w:tcPr>
          <w:p>
            <w:pPr>
              <w:spacing w:after="0"/>
              <w:rPr>
                <w:sz w:val="2"/>
                <w:szCs w:val="2"/>
                <w:color w:val="auto"/>
              </w:rPr>
            </w:pPr>
          </w:p>
        </w:tc>
        <w:tc>
          <w:tcPr>
            <w:tcW w:w="3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Total long-term investments</w:t>
            </w:r>
          </w:p>
        </w:tc>
        <w:tc>
          <w:tcPr>
            <w:tcW w:w="3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36,550</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4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98"/>
              </w:rPr>
              <w:t>(2,315)</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34,235</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60" w:type="dxa"/>
            <w:vAlign w:val="bottom"/>
            <w:gridSpan w:val="2"/>
            <w:vMerge w:val="restart"/>
          </w:tcPr>
          <w:p>
            <w:pPr>
              <w:spacing w:after="0"/>
              <w:rPr>
                <w:sz w:val="20"/>
                <w:szCs w:val="20"/>
                <w:color w:val="auto"/>
              </w:rPr>
            </w:pPr>
            <w:r>
              <w:rPr>
                <w:rFonts w:ascii="Arial" w:cs="Arial" w:eastAsia="Arial" w:hAnsi="Arial"/>
                <w:sz w:val="18"/>
                <w:szCs w:val="18"/>
                <w:color w:val="auto"/>
              </w:rPr>
              <w:t>Total investments</w:t>
            </w:r>
          </w:p>
        </w:tc>
        <w:tc>
          <w:tcPr>
            <w:tcW w:w="31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560" w:type="dxa"/>
            <w:vAlign w:val="bottom"/>
            <w:gridSpan w:val="2"/>
            <w:vMerge w:val="continue"/>
          </w:tcPr>
          <w:p>
            <w:pPr>
              <w:spacing w:after="0"/>
              <w:rPr>
                <w:sz w:val="18"/>
                <w:szCs w:val="18"/>
                <w:color w:val="auto"/>
              </w:rPr>
            </w:pPr>
          </w:p>
        </w:tc>
        <w:tc>
          <w:tcPr>
            <w:tcW w:w="4160" w:type="dxa"/>
            <w:vAlign w:val="bottom"/>
            <w:gridSpan w:val="4"/>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762,204</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520" w:type="dxa"/>
            <w:vAlign w:val="bottom"/>
          </w:tcPr>
          <w:p>
            <w:pPr>
              <w:ind w:left="120"/>
              <w:spacing w:after="0"/>
              <w:rPr>
                <w:sz w:val="20"/>
                <w:szCs w:val="20"/>
                <w:color w:val="auto"/>
              </w:rPr>
            </w:pPr>
            <w:r>
              <w:rPr>
                <w:rFonts w:ascii="Arial" w:cs="Arial" w:eastAsia="Arial" w:hAnsi="Arial"/>
                <w:sz w:val="18"/>
                <w:szCs w:val="18"/>
                <w:color w:val="auto"/>
                <w:w w:val="84"/>
              </w:rPr>
              <w:t>1,304</w:t>
            </w:r>
          </w:p>
        </w:tc>
        <w:tc>
          <w:tcPr>
            <w:tcW w:w="440" w:type="dxa"/>
            <w:vAlign w:val="bottom"/>
            <w:gridSpan w:val="2"/>
          </w:tcPr>
          <w:p>
            <w:pPr>
              <w:ind w:left="320"/>
              <w:spacing w:after="0"/>
              <w:rPr>
                <w:sz w:val="20"/>
                <w:szCs w:val="20"/>
                <w:color w:val="auto"/>
              </w:rPr>
            </w:pPr>
            <w:r>
              <w:rPr>
                <w:rFonts w:ascii="Arial" w:cs="Arial" w:eastAsia="Arial" w:hAnsi="Arial"/>
                <w:sz w:val="18"/>
                <w:szCs w:val="18"/>
                <w:color w:val="auto"/>
                <w:w w:val="99"/>
              </w:rPr>
              <w:t>$</w:t>
            </w: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w w:val="98"/>
              </w:rPr>
              <w:t>(2,409)</w:t>
            </w:r>
          </w:p>
        </w:tc>
        <w:tc>
          <w:tcPr>
            <w:tcW w:w="880" w:type="dxa"/>
            <w:vAlign w:val="bottom"/>
            <w:gridSpan w:val="4"/>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761,099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40" w:type="dxa"/>
            <w:vAlign w:val="bottom"/>
          </w:tcPr>
          <w:p>
            <w:pPr>
              <w:spacing w:after="0" w:line="20" w:lineRule="exact"/>
              <w:rPr>
                <w:sz w:val="1"/>
                <w:szCs w:val="1"/>
                <w:color w:val="auto"/>
              </w:rPr>
            </w:pPr>
          </w:p>
        </w:tc>
        <w:tc>
          <w:tcPr>
            <w:tcW w:w="3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60"/>
        </w:trPr>
        <w:tc>
          <w:tcPr>
            <w:tcW w:w="20" w:type="dxa"/>
            <w:vAlign w:val="bottom"/>
          </w:tcPr>
          <w:p>
            <w:pPr>
              <w:spacing w:after="0"/>
              <w:rPr>
                <w:sz w:val="24"/>
                <w:szCs w:val="24"/>
                <w:color w:val="auto"/>
              </w:rPr>
            </w:pPr>
          </w:p>
        </w:tc>
        <w:tc>
          <w:tcPr>
            <w:tcW w:w="4540" w:type="dxa"/>
            <w:vAlign w:val="bottom"/>
          </w:tcPr>
          <w:p>
            <w:pPr>
              <w:spacing w:after="0"/>
              <w:rPr>
                <w:sz w:val="24"/>
                <w:szCs w:val="24"/>
                <w:color w:val="auto"/>
              </w:rPr>
            </w:pPr>
          </w:p>
        </w:tc>
        <w:tc>
          <w:tcPr>
            <w:tcW w:w="316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gridSpan w:val="5"/>
          </w:tcPr>
          <w:p>
            <w:pPr>
              <w:jc w:val="right"/>
              <w:ind w:right="340"/>
              <w:spacing w:after="0"/>
              <w:rPr>
                <w:sz w:val="20"/>
                <w:szCs w:val="20"/>
                <w:color w:val="auto"/>
              </w:rPr>
            </w:pPr>
            <w:r>
              <w:rPr>
                <w:rFonts w:ascii="Arial" w:cs="Arial" w:eastAsia="Arial" w:hAnsi="Arial"/>
                <w:sz w:val="14"/>
                <w:szCs w:val="14"/>
                <w:b w:val="1"/>
                <w:bCs w:val="1"/>
                <w:color w:val="auto"/>
                <w:w w:val="90"/>
              </w:rPr>
              <w:t>As of January 30, 2010</w:t>
            </w:r>
          </w:p>
        </w:tc>
        <w:tc>
          <w:tcPr>
            <w:tcW w:w="1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540" w:type="dxa"/>
            <w:vAlign w:val="bottom"/>
          </w:tcPr>
          <w:p>
            <w:pPr>
              <w:spacing w:after="0"/>
              <w:rPr>
                <w:sz w:val="11"/>
                <w:szCs w:val="11"/>
                <w:color w:val="auto"/>
              </w:rPr>
            </w:pPr>
          </w:p>
        </w:tc>
        <w:tc>
          <w:tcPr>
            <w:tcW w:w="31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20" w:type="dxa"/>
            <w:vAlign w:val="bottom"/>
          </w:tcPr>
          <w:p>
            <w:pPr>
              <w:ind w:left="20"/>
              <w:spacing w:after="0" w:line="129" w:lineRule="exact"/>
              <w:rPr>
                <w:sz w:val="20"/>
                <w:szCs w:val="20"/>
                <w:color w:val="auto"/>
              </w:rPr>
            </w:pPr>
            <w:r>
              <w:rPr>
                <w:rFonts w:ascii="Arial" w:cs="Arial" w:eastAsia="Arial" w:hAnsi="Arial"/>
                <w:sz w:val="14"/>
                <w:szCs w:val="14"/>
                <w:b w:val="1"/>
                <w:bCs w:val="1"/>
                <w:color w:val="auto"/>
              </w:rPr>
              <w:t>Gross</w:t>
            </w:r>
          </w:p>
        </w:tc>
        <w:tc>
          <w:tcPr>
            <w:tcW w:w="3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60" w:type="dxa"/>
            <w:vAlign w:val="bottom"/>
            <w:gridSpan w:val="2"/>
          </w:tcPr>
          <w:p>
            <w:pPr>
              <w:jc w:val="center"/>
              <w:ind w:right="380"/>
              <w:spacing w:after="0" w:line="129" w:lineRule="exact"/>
              <w:rPr>
                <w:sz w:val="20"/>
                <w:szCs w:val="20"/>
                <w:color w:val="auto"/>
              </w:rPr>
            </w:pPr>
            <w:r>
              <w:rPr>
                <w:rFonts w:ascii="Arial" w:cs="Arial" w:eastAsia="Arial" w:hAnsi="Arial"/>
                <w:sz w:val="14"/>
                <w:szCs w:val="14"/>
                <w:b w:val="1"/>
                <w:bCs w:val="1"/>
                <w:color w:val="auto"/>
                <w:w w:val="83"/>
              </w:rPr>
              <w:t>Gross</w:t>
            </w: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40" w:type="dxa"/>
            <w:vAlign w:val="bottom"/>
          </w:tcPr>
          <w:p>
            <w:pPr>
              <w:spacing w:after="0"/>
              <w:rPr>
                <w:sz w:val="12"/>
                <w:szCs w:val="12"/>
                <w:color w:val="auto"/>
              </w:rPr>
            </w:pPr>
          </w:p>
        </w:tc>
        <w:tc>
          <w:tcPr>
            <w:tcW w:w="3160" w:type="dxa"/>
            <w:vAlign w:val="bottom"/>
          </w:tcPr>
          <w:p>
            <w:pPr>
              <w:spacing w:after="0"/>
              <w:rPr>
                <w:sz w:val="12"/>
                <w:szCs w:val="12"/>
                <w:color w:val="auto"/>
              </w:rPr>
            </w:pPr>
          </w:p>
        </w:tc>
        <w:tc>
          <w:tcPr>
            <w:tcW w:w="100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Amortized</w:t>
            </w:r>
          </w:p>
        </w:tc>
        <w:tc>
          <w:tcPr>
            <w:tcW w:w="64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7"/>
              </w:rPr>
              <w:t>Unrealized</w:t>
            </w:r>
          </w:p>
        </w:tc>
        <w:tc>
          <w:tcPr>
            <w:tcW w:w="320" w:type="dxa"/>
            <w:vAlign w:val="bottom"/>
          </w:tcPr>
          <w:p>
            <w:pPr>
              <w:spacing w:after="0"/>
              <w:rPr>
                <w:sz w:val="12"/>
                <w:szCs w:val="12"/>
                <w:color w:val="auto"/>
              </w:rPr>
            </w:pPr>
          </w:p>
        </w:tc>
        <w:tc>
          <w:tcPr>
            <w:tcW w:w="8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180" w:type="dxa"/>
            <w:vAlign w:val="bottom"/>
          </w:tcPr>
          <w:p>
            <w:pPr>
              <w:spacing w:after="0"/>
              <w:rPr>
                <w:sz w:val="12"/>
                <w:szCs w:val="12"/>
                <w:color w:val="auto"/>
              </w:rPr>
            </w:pPr>
          </w:p>
        </w:tc>
        <w:tc>
          <w:tcPr>
            <w:tcW w:w="70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w w:val="95"/>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3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3"/>
              </w:rPr>
              <w:t>Cost</w:t>
            </w:r>
          </w:p>
        </w:tc>
        <w:tc>
          <w:tcPr>
            <w:tcW w:w="120" w:type="dxa"/>
            <w:vAlign w:val="bottom"/>
          </w:tcPr>
          <w:p>
            <w:pPr>
              <w:spacing w:after="0"/>
              <w:rPr>
                <w:sz w:val="14"/>
                <w:szCs w:val="14"/>
                <w:color w:val="auto"/>
              </w:rPr>
            </w:pPr>
          </w:p>
        </w:tc>
        <w:tc>
          <w:tcPr>
            <w:tcW w:w="520" w:type="dxa"/>
            <w:vAlign w:val="bottom"/>
          </w:tcPr>
          <w:p>
            <w:pPr>
              <w:ind w:left="20"/>
              <w:spacing w:after="0"/>
              <w:rPr>
                <w:sz w:val="20"/>
                <w:szCs w:val="20"/>
                <w:color w:val="auto"/>
              </w:rPr>
            </w:pPr>
            <w:r>
              <w:rPr>
                <w:rFonts w:ascii="Arial" w:cs="Arial" w:eastAsia="Arial" w:hAnsi="Arial"/>
                <w:sz w:val="14"/>
                <w:szCs w:val="14"/>
                <w:b w:val="1"/>
                <w:bCs w:val="1"/>
                <w:color w:val="auto"/>
              </w:rPr>
              <w:t>Gains</w:t>
            </w:r>
          </w:p>
        </w:tc>
        <w:tc>
          <w:tcPr>
            <w:tcW w:w="3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79"/>
              </w:rPr>
              <w:t>Loss</w:t>
            </w:r>
          </w:p>
        </w:tc>
        <w:tc>
          <w:tcPr>
            <w:tcW w:w="180" w:type="dxa"/>
            <w:vAlign w:val="bottom"/>
          </w:tcPr>
          <w:p>
            <w:pPr>
              <w:spacing w:after="0"/>
              <w:rPr>
                <w:sz w:val="14"/>
                <w:szCs w:val="14"/>
                <w:color w:val="auto"/>
              </w:rPr>
            </w:pPr>
          </w:p>
        </w:tc>
        <w:tc>
          <w:tcPr>
            <w:tcW w:w="700" w:type="dxa"/>
            <w:vAlign w:val="bottom"/>
            <w:gridSpan w:val="3"/>
          </w:tcPr>
          <w:p>
            <w:pPr>
              <w:ind w:left="40"/>
              <w:spacing w:after="0"/>
              <w:rPr>
                <w:sz w:val="20"/>
                <w:szCs w:val="20"/>
                <w:color w:val="auto"/>
              </w:rPr>
            </w:pPr>
            <w:r>
              <w:rPr>
                <w:rFonts w:ascii="Arial" w:cs="Arial" w:eastAsia="Arial" w:hAnsi="Arial"/>
                <w:sz w:val="14"/>
                <w:szCs w:val="14"/>
                <w:b w:val="1"/>
                <w:bCs w:val="1"/>
                <w:color w:val="auto"/>
                <w:w w:val="95"/>
              </w:rPr>
              <w:t>Fair 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Short-term investments:</w:t>
            </w:r>
          </w:p>
        </w:tc>
        <w:tc>
          <w:tcPr>
            <w:tcW w:w="31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3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4160" w:type="dxa"/>
            <w:vAlign w:val="bottom"/>
            <w:gridSpan w:val="4"/>
            <w:shd w:val="clear" w:color="auto" w:fill="CCEEFF"/>
          </w:tcPr>
          <w:p>
            <w:pPr>
              <w:jc w:val="right"/>
              <w:ind w:right="320"/>
              <w:spacing w:after="0"/>
              <w:rPr>
                <w:sz w:val="20"/>
                <w:szCs w:val="20"/>
                <w:color w:val="auto"/>
              </w:rPr>
            </w:pPr>
            <w:r>
              <w:rPr>
                <w:rFonts w:ascii="Arial" w:cs="Arial" w:eastAsia="Arial" w:hAnsi="Arial"/>
                <w:sz w:val="18"/>
                <w:szCs w:val="18"/>
                <w:color w:val="auto"/>
              </w:rPr>
              <w:t>$227,610</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ind w:left="260"/>
              <w:spacing w:after="0"/>
              <w:rPr>
                <w:sz w:val="20"/>
                <w:szCs w:val="20"/>
                <w:color w:val="auto"/>
              </w:rPr>
            </w:pPr>
            <w:r>
              <w:rPr>
                <w:rFonts w:ascii="Arial" w:cs="Arial" w:eastAsia="Arial" w:hAnsi="Arial"/>
                <w:sz w:val="18"/>
                <w:szCs w:val="18"/>
                <w:color w:val="auto"/>
                <w:w w:val="79"/>
              </w:rPr>
              <w:t>934</w:t>
            </w:r>
          </w:p>
        </w:tc>
        <w:tc>
          <w:tcPr>
            <w:tcW w:w="4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(75)</w:t>
            </w:r>
          </w:p>
        </w:tc>
        <w:tc>
          <w:tcPr>
            <w:tcW w:w="8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$228,469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U.S. government and agencies</w:t>
            </w:r>
          </w:p>
        </w:tc>
        <w:tc>
          <w:tcPr>
            <w:tcW w:w="3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457,592</w:t>
            </w:r>
          </w:p>
        </w:tc>
        <w:tc>
          <w:tcPr>
            <w:tcW w:w="120" w:type="dxa"/>
            <w:vAlign w:val="bottom"/>
          </w:tcPr>
          <w:p>
            <w:pPr>
              <w:spacing w:after="0"/>
              <w:rPr>
                <w:sz w:val="18"/>
                <w:szCs w:val="18"/>
                <w:color w:val="auto"/>
              </w:rPr>
            </w:pPr>
          </w:p>
        </w:tc>
        <w:tc>
          <w:tcPr>
            <w:tcW w:w="520" w:type="dxa"/>
            <w:vAlign w:val="bottom"/>
          </w:tcPr>
          <w:p>
            <w:pPr>
              <w:ind w:left="260"/>
              <w:spacing w:after="0"/>
              <w:rPr>
                <w:sz w:val="20"/>
                <w:szCs w:val="20"/>
                <w:color w:val="auto"/>
              </w:rPr>
            </w:pPr>
            <w:r>
              <w:rPr>
                <w:rFonts w:ascii="Arial" w:cs="Arial" w:eastAsia="Arial" w:hAnsi="Arial"/>
                <w:sz w:val="18"/>
                <w:szCs w:val="18"/>
                <w:color w:val="auto"/>
                <w:w w:val="79"/>
              </w:rPr>
              <w:t>258</w:t>
            </w: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(30)</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457,820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Trading securities:</w:t>
            </w:r>
          </w:p>
        </w:tc>
        <w:tc>
          <w:tcPr>
            <w:tcW w:w="3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Auction rate security and settlement option</w:t>
            </w:r>
          </w:p>
        </w:tc>
        <w:tc>
          <w:tcPr>
            <w:tcW w:w="31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5,000</w:t>
            </w:r>
          </w:p>
        </w:tc>
        <w:tc>
          <w:tcPr>
            <w:tcW w:w="3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ind w:left="26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jc w:val="right"/>
              <w:ind w:right="17"/>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5,000</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4160" w:type="dxa"/>
            <w:vAlign w:val="bottom"/>
            <w:gridSpan w:val="4"/>
            <w:shd w:val="clear" w:color="auto" w:fill="CCEEFF"/>
          </w:tcPr>
          <w:p>
            <w:pPr>
              <w:jc w:val="right"/>
              <w:ind w:right="320"/>
              <w:spacing w:after="0"/>
              <w:rPr>
                <w:sz w:val="20"/>
                <w:szCs w:val="20"/>
                <w:color w:val="auto"/>
              </w:rPr>
            </w:pPr>
            <w:r>
              <w:rPr>
                <w:rFonts w:ascii="Arial" w:cs="Arial" w:eastAsia="Arial" w:hAnsi="Arial"/>
                <w:sz w:val="18"/>
                <w:szCs w:val="18"/>
                <w:color w:val="auto"/>
              </w:rPr>
              <w:t>$690,202</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ind w:left="120"/>
              <w:spacing w:after="0"/>
              <w:rPr>
                <w:sz w:val="20"/>
                <w:szCs w:val="20"/>
                <w:color w:val="auto"/>
              </w:rPr>
            </w:pPr>
            <w:r>
              <w:rPr>
                <w:rFonts w:ascii="Arial" w:cs="Arial" w:eastAsia="Arial" w:hAnsi="Arial"/>
                <w:sz w:val="18"/>
                <w:szCs w:val="18"/>
                <w:color w:val="auto"/>
                <w:w w:val="84"/>
              </w:rPr>
              <w:t>1,192</w:t>
            </w:r>
          </w:p>
        </w:tc>
        <w:tc>
          <w:tcPr>
            <w:tcW w:w="4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(105)</w:t>
            </w:r>
          </w:p>
        </w:tc>
        <w:tc>
          <w:tcPr>
            <w:tcW w:w="8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$691,289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2"/>
        </w:trPr>
        <w:tc>
          <w:tcPr>
            <w:tcW w:w="4560" w:type="dxa"/>
            <w:vAlign w:val="bottom"/>
            <w:gridSpan w:val="2"/>
          </w:tcPr>
          <w:p>
            <w:pPr>
              <w:spacing w:after="0"/>
              <w:rPr>
                <w:sz w:val="20"/>
                <w:szCs w:val="20"/>
                <w:color w:val="auto"/>
              </w:rPr>
            </w:pPr>
            <w:r>
              <w:rPr>
                <w:rFonts w:ascii="Arial" w:cs="Arial" w:eastAsia="Arial" w:hAnsi="Arial"/>
                <w:sz w:val="18"/>
                <w:szCs w:val="18"/>
                <w:b w:val="1"/>
                <w:bCs w:val="1"/>
                <w:color w:val="auto"/>
              </w:rPr>
              <w:t>Long-term investments:</w:t>
            </w:r>
          </w:p>
        </w:tc>
        <w:tc>
          <w:tcPr>
            <w:tcW w:w="3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Available-for-sale:</w:t>
            </w:r>
          </w:p>
        </w:tc>
        <w:tc>
          <w:tcPr>
            <w:tcW w:w="3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3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36,600</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520" w:type="dxa"/>
            <w:vAlign w:val="bottom"/>
          </w:tcPr>
          <w:p>
            <w:pPr>
              <w:ind w:left="260"/>
              <w:spacing w:after="0"/>
              <w:rPr>
                <w:sz w:val="20"/>
                <w:szCs w:val="20"/>
                <w:color w:val="auto"/>
              </w:rPr>
            </w:pPr>
            <w:r>
              <w:rPr>
                <w:rFonts w:ascii="Arial" w:cs="Arial" w:eastAsia="Arial" w:hAnsi="Arial"/>
                <w:sz w:val="18"/>
                <w:szCs w:val="18"/>
                <w:color w:val="auto"/>
              </w:rPr>
              <w:t>—</w:t>
            </w:r>
          </w:p>
        </w:tc>
        <w:tc>
          <w:tcPr>
            <w:tcW w:w="440" w:type="dxa"/>
            <w:vAlign w:val="bottom"/>
            <w:gridSpan w:val="2"/>
          </w:tcPr>
          <w:p>
            <w:pPr>
              <w:ind w:left="320"/>
              <w:spacing w:after="0"/>
              <w:rPr>
                <w:sz w:val="20"/>
                <w:szCs w:val="20"/>
                <w:color w:val="auto"/>
              </w:rPr>
            </w:pPr>
            <w:r>
              <w:rPr>
                <w:rFonts w:ascii="Arial" w:cs="Arial" w:eastAsia="Arial" w:hAnsi="Arial"/>
                <w:sz w:val="18"/>
                <w:szCs w:val="18"/>
                <w:color w:val="auto"/>
                <w:w w:val="99"/>
              </w:rPr>
              <w:t>$</w:t>
            </w: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w w:val="98"/>
              </w:rPr>
              <w:t>(2,319)</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34,281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540" w:type="dxa"/>
            <w:vAlign w:val="bottom"/>
          </w:tcPr>
          <w:p>
            <w:pPr>
              <w:spacing w:after="0"/>
              <w:rPr>
                <w:sz w:val="2"/>
                <w:szCs w:val="2"/>
                <w:color w:val="auto"/>
              </w:rPr>
            </w:pPr>
          </w:p>
        </w:tc>
        <w:tc>
          <w:tcPr>
            <w:tcW w:w="3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Total long-term investments</w:t>
            </w:r>
          </w:p>
        </w:tc>
        <w:tc>
          <w:tcPr>
            <w:tcW w:w="3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36,600</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4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98"/>
              </w:rPr>
              <w:t>(2,319)</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34,281</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60" w:type="dxa"/>
            <w:vAlign w:val="bottom"/>
            <w:gridSpan w:val="2"/>
            <w:vMerge w:val="restart"/>
          </w:tcPr>
          <w:p>
            <w:pPr>
              <w:spacing w:after="0"/>
              <w:rPr>
                <w:sz w:val="20"/>
                <w:szCs w:val="20"/>
                <w:color w:val="auto"/>
              </w:rPr>
            </w:pPr>
            <w:r>
              <w:rPr>
                <w:rFonts w:ascii="Arial" w:cs="Arial" w:eastAsia="Arial" w:hAnsi="Arial"/>
                <w:sz w:val="18"/>
                <w:szCs w:val="18"/>
                <w:color w:val="auto"/>
              </w:rPr>
              <w:t>Total investments</w:t>
            </w:r>
          </w:p>
        </w:tc>
        <w:tc>
          <w:tcPr>
            <w:tcW w:w="31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560" w:type="dxa"/>
            <w:vAlign w:val="bottom"/>
            <w:gridSpan w:val="2"/>
            <w:vMerge w:val="continue"/>
          </w:tcPr>
          <w:p>
            <w:pPr>
              <w:spacing w:after="0"/>
              <w:rPr>
                <w:sz w:val="18"/>
                <w:szCs w:val="18"/>
                <w:color w:val="auto"/>
              </w:rPr>
            </w:pPr>
          </w:p>
        </w:tc>
        <w:tc>
          <w:tcPr>
            <w:tcW w:w="4160" w:type="dxa"/>
            <w:vAlign w:val="bottom"/>
            <w:gridSpan w:val="4"/>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726,802</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520" w:type="dxa"/>
            <w:vAlign w:val="bottom"/>
          </w:tcPr>
          <w:p>
            <w:pPr>
              <w:ind w:left="120"/>
              <w:spacing w:after="0"/>
              <w:rPr>
                <w:sz w:val="20"/>
                <w:szCs w:val="20"/>
                <w:color w:val="auto"/>
              </w:rPr>
            </w:pPr>
            <w:r>
              <w:rPr>
                <w:rFonts w:ascii="Arial" w:cs="Arial" w:eastAsia="Arial" w:hAnsi="Arial"/>
                <w:sz w:val="18"/>
                <w:szCs w:val="18"/>
                <w:color w:val="auto"/>
                <w:w w:val="84"/>
              </w:rPr>
              <w:t>1,192</w:t>
            </w:r>
          </w:p>
        </w:tc>
        <w:tc>
          <w:tcPr>
            <w:tcW w:w="440" w:type="dxa"/>
            <w:vAlign w:val="bottom"/>
            <w:gridSpan w:val="2"/>
          </w:tcPr>
          <w:p>
            <w:pPr>
              <w:ind w:left="320"/>
              <w:spacing w:after="0"/>
              <w:rPr>
                <w:sz w:val="20"/>
                <w:szCs w:val="20"/>
                <w:color w:val="auto"/>
              </w:rPr>
            </w:pPr>
            <w:r>
              <w:rPr>
                <w:rFonts w:ascii="Arial" w:cs="Arial" w:eastAsia="Arial" w:hAnsi="Arial"/>
                <w:sz w:val="18"/>
                <w:szCs w:val="18"/>
                <w:color w:val="auto"/>
                <w:w w:val="99"/>
              </w:rPr>
              <w:t>$</w:t>
            </w: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w w:val="98"/>
              </w:rPr>
              <w:t>(2,424)</w:t>
            </w:r>
          </w:p>
        </w:tc>
        <w:tc>
          <w:tcPr>
            <w:tcW w:w="880" w:type="dxa"/>
            <w:vAlign w:val="bottom"/>
            <w:gridSpan w:val="4"/>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725,570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40" w:type="dxa"/>
            <w:vAlign w:val="bottom"/>
          </w:tcPr>
          <w:p>
            <w:pPr>
              <w:spacing w:after="0" w:line="20" w:lineRule="exact"/>
              <w:rPr>
                <w:sz w:val="1"/>
                <w:szCs w:val="1"/>
                <w:color w:val="auto"/>
              </w:rPr>
            </w:pPr>
          </w:p>
        </w:tc>
        <w:tc>
          <w:tcPr>
            <w:tcW w:w="3160" w:type="dxa"/>
            <w:vAlign w:val="bottom"/>
            <w:vMerge w:val="restart"/>
          </w:tcPr>
          <w:p>
            <w:pPr>
              <w:jc w:val="right"/>
              <w:ind w:right="1872"/>
              <w:spacing w:after="0"/>
              <w:rPr>
                <w:sz w:val="20"/>
                <w:szCs w:val="20"/>
                <w:color w:val="auto"/>
              </w:rPr>
            </w:pPr>
            <w:r>
              <w:rPr>
                <w:rFonts w:ascii="Arial" w:cs="Arial" w:eastAsia="Arial" w:hAnsi="Arial"/>
                <w:sz w:val="18"/>
                <w:szCs w:val="18"/>
                <w:color w:val="auto"/>
              </w:rPr>
              <w:t>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4540" w:type="dxa"/>
            <w:vAlign w:val="bottom"/>
          </w:tcPr>
          <w:p>
            <w:pPr>
              <w:spacing w:after="0"/>
              <w:rPr>
                <w:sz w:val="24"/>
                <w:szCs w:val="24"/>
                <w:color w:val="auto"/>
              </w:rPr>
            </w:pPr>
          </w:p>
        </w:tc>
        <w:tc>
          <w:tcPr>
            <w:tcW w:w="31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As of May 1, 2010, the Company’s investment portfolio included $41.6 million in par value of auction rate securities. Beginning in February 2008, liquidity issues in the global credit markets resulted in a failure of auction rate securities, as the amount of securities submitted for sale in those auctions exceeded the amount of bids. To estimate the fair value of the auction rate securities since that time, the Company used a discounted cash flow model based on estimated timing and amount of future interest and principal payments, credit quality of the underlying securities and illiquidity considerations, the collateralization of underlying security investments, the credit worthiness of the issuer of the securities, the probability of full repayment and other considerations described above. As of May 1, 2010, the auction rate securities were $2.3 million less than par value and recorded in long-term investments except for one $5 million auction rate security, which was transferred to short-term investments during fiscal 2010 after the Company executed a settlement agreement with UBS to sell back the security at par value beginning June 30, 2010 and expiring July 2, 2012. As a result of the settlement agreement, the Company received a put option and elected to measure it at fair value.</w:t>
      </w:r>
    </w:p>
    <w:p>
      <w:pPr>
        <w:spacing w:after="0" w:line="120"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Based on the Company’s assessment of its cash flow projections, a balance of approximately $2.1 billion in cash, cash equivalents and short-term investments other than auction rate securities and the fact that the Company continues to generate positive cash flow on a quarterly basis, the Company does not anticipate having to sell these securities below par value in order to operate our business. The Company does not have the intent to sell these auction rate securities until recovery and it is more likely than not that it will not be required to sell the auction rate securities prior to recovery. Thus, the Company considers the impairment to be temporary and recorded the unrealized loss to accumulated other comprehensive loss, a component of shareholders’ equity. To the extent that the Company determines that any impairment is other-than-temporary, the impairment would be recorded to earnings.</w:t>
      </w:r>
    </w:p>
    <w:p>
      <w:pPr>
        <w:spacing w:after="0" w:line="120"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contractual maturities of available-for-sale and trading debt securities at May 1, 2010, and January 30, 2010 are presented in the following table (in thousands):</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740" w:type="dxa"/>
            <w:vAlign w:val="bottom"/>
          </w:tcPr>
          <w:p>
            <w:pPr>
              <w:spacing w:after="0"/>
              <w:rPr>
                <w:sz w:val="14"/>
                <w:szCs w:val="14"/>
                <w:color w:val="auto"/>
              </w:rPr>
            </w:pPr>
          </w:p>
        </w:tc>
        <w:tc>
          <w:tcPr>
            <w:tcW w:w="3120" w:type="dxa"/>
            <w:vAlign w:val="bottom"/>
          </w:tcPr>
          <w:p>
            <w:pPr>
              <w:spacing w:after="0"/>
              <w:rPr>
                <w:sz w:val="14"/>
                <w:szCs w:val="14"/>
                <w:color w:val="auto"/>
              </w:rPr>
            </w:pPr>
          </w:p>
        </w:tc>
        <w:tc>
          <w:tcPr>
            <w:tcW w:w="1660" w:type="dxa"/>
            <w:vAlign w:val="bottom"/>
            <w:gridSpan w:val="3"/>
          </w:tcPr>
          <w:p>
            <w:pPr>
              <w:jc w:val="right"/>
              <w:ind w:right="399"/>
              <w:spacing w:after="0"/>
              <w:rPr>
                <w:sz w:val="20"/>
                <w:szCs w:val="20"/>
                <w:color w:val="auto"/>
              </w:rPr>
            </w:pPr>
            <w:r>
              <w:rPr>
                <w:rFonts w:ascii="Arial" w:cs="Arial" w:eastAsia="Arial" w:hAnsi="Arial"/>
                <w:sz w:val="14"/>
                <w:szCs w:val="14"/>
                <w:b w:val="1"/>
                <w:bCs w:val="1"/>
                <w:color w:val="auto"/>
              </w:rPr>
              <w:t>May 1, 2010</w:t>
            </w:r>
          </w:p>
        </w:tc>
        <w:tc>
          <w:tcPr>
            <w:tcW w:w="320" w:type="dxa"/>
            <w:vAlign w:val="bottom"/>
          </w:tcPr>
          <w:p>
            <w:pPr>
              <w:spacing w:after="0"/>
              <w:rPr>
                <w:sz w:val="14"/>
                <w:szCs w:val="14"/>
                <w:color w:val="auto"/>
              </w:rPr>
            </w:pPr>
          </w:p>
        </w:tc>
        <w:tc>
          <w:tcPr>
            <w:tcW w:w="1680" w:type="dxa"/>
            <w:vAlign w:val="bottom"/>
            <w:gridSpan w:val="4"/>
          </w:tcPr>
          <w:p>
            <w:pPr>
              <w:jc w:val="right"/>
              <w:ind w:right="360"/>
              <w:spacing w:after="0"/>
              <w:rPr>
                <w:sz w:val="20"/>
                <w:szCs w:val="20"/>
                <w:color w:val="auto"/>
              </w:rPr>
            </w:pPr>
            <w:r>
              <w:rPr>
                <w:rFonts w:ascii="Arial" w:cs="Arial" w:eastAsia="Arial" w:hAnsi="Arial"/>
                <w:sz w:val="14"/>
                <w:szCs w:val="14"/>
                <w:b w:val="1"/>
                <w:bCs w:val="1"/>
                <w:color w:val="auto"/>
              </w:rPr>
              <w:t>January 30, 2010</w:t>
            </w:r>
          </w:p>
        </w:tc>
        <w:tc>
          <w:tcPr>
            <w:tcW w:w="0" w:type="dxa"/>
            <w:vAlign w:val="bottom"/>
          </w:tcPr>
          <w:p>
            <w:pPr>
              <w:spacing w:after="0"/>
              <w:rPr>
                <w:sz w:val="1"/>
                <w:szCs w:val="1"/>
                <w:color w:val="auto"/>
              </w:rPr>
            </w:pPr>
          </w:p>
        </w:tc>
      </w:tr>
      <w:tr>
        <w:trPr>
          <w:trHeight w:val="129"/>
        </w:trPr>
        <w:tc>
          <w:tcPr>
            <w:tcW w:w="3740" w:type="dxa"/>
            <w:vAlign w:val="bottom"/>
          </w:tcPr>
          <w:p>
            <w:pPr>
              <w:spacing w:after="0"/>
              <w:rPr>
                <w:sz w:val="11"/>
                <w:szCs w:val="11"/>
                <w:color w:val="auto"/>
              </w:rPr>
            </w:pPr>
          </w:p>
        </w:tc>
        <w:tc>
          <w:tcPr>
            <w:tcW w:w="3120" w:type="dxa"/>
            <w:vAlign w:val="bottom"/>
          </w:tcPr>
          <w:p>
            <w:pPr>
              <w:spacing w:after="0"/>
              <w:rPr>
                <w:sz w:val="11"/>
                <w:szCs w:val="11"/>
                <w:color w:val="auto"/>
              </w:rPr>
            </w:pPr>
          </w:p>
        </w:tc>
        <w:tc>
          <w:tcPr>
            <w:tcW w:w="1000" w:type="dxa"/>
            <w:vAlign w:val="bottom"/>
            <w:tcBorders>
              <w:top w:val="single" w:sz="8" w:color="auto"/>
            </w:tcBorders>
            <w:gridSpan w:val="2"/>
          </w:tcPr>
          <w:p>
            <w:pPr>
              <w:jc w:val="center"/>
              <w:ind w:right="300"/>
              <w:spacing w:after="0" w:line="129" w:lineRule="exact"/>
              <w:rPr>
                <w:sz w:val="20"/>
                <w:szCs w:val="20"/>
                <w:color w:val="auto"/>
              </w:rPr>
            </w:pPr>
            <w:r>
              <w:rPr>
                <w:rFonts w:ascii="Arial" w:cs="Arial" w:eastAsia="Arial" w:hAnsi="Arial"/>
                <w:sz w:val="14"/>
                <w:szCs w:val="14"/>
                <w:b w:val="1"/>
                <w:bCs w:val="1"/>
                <w:color w:val="auto"/>
                <w:w w:val="90"/>
              </w:rPr>
              <w:t>Amortized</w:t>
            </w: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9"/>
              </w:rPr>
              <w:t>Estimated</w:t>
            </w:r>
          </w:p>
        </w:tc>
        <w:tc>
          <w:tcPr>
            <w:tcW w:w="320" w:type="dxa"/>
            <w:vAlign w:val="bottom"/>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0"/>
              </w:rPr>
              <w:t>Amortized</w:t>
            </w:r>
          </w:p>
        </w:tc>
        <w:tc>
          <w:tcPr>
            <w:tcW w:w="3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2"/>
              </w:rPr>
              <w:t>Estimated</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40" w:type="dxa"/>
            <w:vAlign w:val="bottom"/>
          </w:tcPr>
          <w:p>
            <w:pPr>
              <w:spacing w:after="0"/>
              <w:rPr>
                <w:sz w:val="14"/>
                <w:szCs w:val="14"/>
                <w:color w:val="auto"/>
              </w:rPr>
            </w:pPr>
          </w:p>
        </w:tc>
        <w:tc>
          <w:tcPr>
            <w:tcW w:w="3120" w:type="dxa"/>
            <w:vAlign w:val="bottom"/>
          </w:tcPr>
          <w:p>
            <w:pPr>
              <w:spacing w:after="0"/>
              <w:rPr>
                <w:sz w:val="14"/>
                <w:szCs w:val="14"/>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Cost</w:t>
            </w:r>
          </w:p>
        </w:tc>
        <w:tc>
          <w:tcPr>
            <w:tcW w:w="320" w:type="dxa"/>
            <w:vAlign w:val="bottom"/>
          </w:tcPr>
          <w:p>
            <w:pPr>
              <w:spacing w:after="0"/>
              <w:rPr>
                <w:sz w:val="14"/>
                <w:szCs w:val="14"/>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92"/>
              </w:rPr>
              <w:t>Fair Value</w:t>
            </w:r>
          </w:p>
        </w:tc>
        <w:tc>
          <w:tcPr>
            <w:tcW w:w="320" w:type="dxa"/>
            <w:vAlign w:val="bottom"/>
          </w:tcPr>
          <w:p>
            <w:pPr>
              <w:spacing w:after="0"/>
              <w:rPr>
                <w:sz w:val="14"/>
                <w:szCs w:val="14"/>
                <w:color w:val="auto"/>
              </w:rPr>
            </w:pPr>
          </w:p>
        </w:tc>
        <w:tc>
          <w:tcPr>
            <w:tcW w:w="680" w:type="dxa"/>
            <w:vAlign w:val="bottom"/>
            <w:tcBorders>
              <w:bottom w:val="single" w:sz="8" w:color="auto"/>
            </w:tcBorders>
          </w:tcPr>
          <w:p>
            <w:pPr>
              <w:jc w:val="right"/>
              <w:ind w:right="152"/>
              <w:spacing w:after="0"/>
              <w:rPr>
                <w:sz w:val="20"/>
                <w:szCs w:val="20"/>
                <w:color w:val="auto"/>
              </w:rPr>
            </w:pPr>
            <w:r>
              <w:rPr>
                <w:rFonts w:ascii="Arial" w:cs="Arial" w:eastAsia="Arial" w:hAnsi="Arial"/>
                <w:sz w:val="14"/>
                <w:szCs w:val="14"/>
                <w:b w:val="1"/>
                <w:bCs w:val="1"/>
                <w:color w:val="auto"/>
              </w:rPr>
              <w:t>Cost</w:t>
            </w:r>
          </w:p>
        </w:tc>
        <w:tc>
          <w:tcPr>
            <w:tcW w:w="300" w:type="dxa"/>
            <w:vAlign w:val="bottom"/>
          </w:tcPr>
          <w:p>
            <w:pPr>
              <w:spacing w:after="0"/>
              <w:rPr>
                <w:sz w:val="14"/>
                <w:szCs w:val="14"/>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95"/>
              </w:rPr>
              <w:t>Fair Value</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4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$413,665</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5"/>
              </w:rPr>
              <w:t>$413,729</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$357,179</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$357,348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4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4120" w:type="dxa"/>
            <w:vAlign w:val="bottom"/>
            <w:gridSpan w:val="3"/>
          </w:tcPr>
          <w:p>
            <w:pPr>
              <w:jc w:val="right"/>
              <w:ind w:right="320"/>
              <w:spacing w:after="0"/>
              <w:rPr>
                <w:sz w:val="20"/>
                <w:szCs w:val="20"/>
                <w:color w:val="auto"/>
              </w:rPr>
            </w:pPr>
            <w:r>
              <w:rPr>
                <w:rFonts w:ascii="Arial" w:cs="Arial" w:eastAsia="Arial" w:hAnsi="Arial"/>
                <w:sz w:val="18"/>
                <w:szCs w:val="18"/>
                <w:color w:val="auto"/>
              </w:rPr>
              <w:t>311,989</w:t>
            </w:r>
          </w:p>
        </w:tc>
        <w:tc>
          <w:tcPr>
            <w:tcW w:w="660" w:type="dxa"/>
            <w:vAlign w:val="bottom"/>
          </w:tcPr>
          <w:p>
            <w:pPr>
              <w:jc w:val="right"/>
              <w:spacing w:after="0"/>
              <w:rPr>
                <w:sz w:val="20"/>
                <w:szCs w:val="20"/>
                <w:color w:val="auto"/>
              </w:rPr>
            </w:pPr>
            <w:r>
              <w:rPr>
                <w:rFonts w:ascii="Arial" w:cs="Arial" w:eastAsia="Arial" w:hAnsi="Arial"/>
                <w:sz w:val="18"/>
                <w:szCs w:val="18"/>
                <w:color w:val="auto"/>
                <w:w w:val="98"/>
              </w:rPr>
              <w:t>313,135</w:t>
            </w: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333,023</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333,941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3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36,550</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34,235</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36,600</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34,281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740" w:type="dxa"/>
            <w:vAlign w:val="bottom"/>
          </w:tcPr>
          <w:p>
            <w:pPr>
              <w:spacing w:after="0" w:line="20" w:lineRule="exact"/>
              <w:rPr>
                <w:sz w:val="1"/>
                <w:szCs w:val="1"/>
                <w:color w:val="auto"/>
              </w:rPr>
            </w:pPr>
          </w:p>
        </w:tc>
        <w:tc>
          <w:tcPr>
            <w:tcW w:w="312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3740" w:type="dxa"/>
            <w:vAlign w:val="bottom"/>
          </w:tcPr>
          <w:p>
            <w:pPr>
              <w:spacing w:after="0"/>
              <w:rPr>
                <w:sz w:val="19"/>
                <w:szCs w:val="19"/>
                <w:color w:val="auto"/>
              </w:rPr>
            </w:pPr>
          </w:p>
        </w:tc>
        <w:tc>
          <w:tcPr>
            <w:tcW w:w="3120" w:type="dxa"/>
            <w:vAlign w:val="bottom"/>
          </w:tcPr>
          <w:p>
            <w:pPr>
              <w:spacing w:after="0"/>
              <w:rPr>
                <w:sz w:val="19"/>
                <w:szCs w:val="19"/>
                <w:color w:val="auto"/>
              </w:rPr>
            </w:pPr>
          </w:p>
        </w:tc>
        <w:tc>
          <w:tcPr>
            <w:tcW w:w="1000" w:type="dxa"/>
            <w:vAlign w:val="bottom"/>
            <w:gridSpan w:val="2"/>
          </w:tcPr>
          <w:p>
            <w:pPr>
              <w:jc w:val="right"/>
              <w:ind w:right="320"/>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762,204</w:t>
            </w:r>
          </w:p>
        </w:tc>
        <w:tc>
          <w:tcPr>
            <w:tcW w:w="660" w:type="dxa"/>
            <w:vAlign w:val="bottom"/>
          </w:tcPr>
          <w:p>
            <w:pPr>
              <w:jc w:val="right"/>
              <w:spacing w:after="0"/>
              <w:rPr>
                <w:sz w:val="20"/>
                <w:szCs w:val="20"/>
                <w:color w:val="auto"/>
              </w:rPr>
            </w:pPr>
            <w:r>
              <w:rPr>
                <w:rFonts w:ascii="Arial" w:cs="Arial" w:eastAsia="Arial" w:hAnsi="Arial"/>
                <w:sz w:val="18"/>
                <w:szCs w:val="18"/>
                <w:u w:val="single" w:color="auto"/>
                <w:color w:val="auto"/>
                <w:w w:val="85"/>
              </w:rPr>
              <w:t>$</w:t>
            </w:r>
            <w:r>
              <w:rPr>
                <w:rFonts w:ascii="Arial" w:cs="Arial" w:eastAsia="Arial" w:hAnsi="Arial"/>
                <w:sz w:val="18"/>
                <w:szCs w:val="18"/>
                <w:color w:val="auto"/>
                <w:w w:val="85"/>
              </w:rPr>
              <w:t>761,099</w:t>
            </w:r>
          </w:p>
        </w:tc>
        <w:tc>
          <w:tcPr>
            <w:tcW w:w="10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726,802</w:t>
            </w:r>
          </w:p>
        </w:tc>
        <w:tc>
          <w:tcPr>
            <w:tcW w:w="1000" w:type="dxa"/>
            <w:vAlign w:val="bottom"/>
            <w:gridSpan w:val="3"/>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725,570</w:t>
            </w:r>
          </w:p>
        </w:tc>
        <w:tc>
          <w:tcPr>
            <w:tcW w:w="0" w:type="dxa"/>
            <w:vAlign w:val="bottom"/>
          </w:tcPr>
          <w:p>
            <w:pPr>
              <w:spacing w:after="0"/>
              <w:rPr>
                <w:sz w:val="1"/>
                <w:szCs w:val="1"/>
                <w:color w:val="auto"/>
              </w:rPr>
            </w:pPr>
          </w:p>
        </w:tc>
      </w:tr>
      <w:tr>
        <w:trPr>
          <w:trHeight w:val="20"/>
        </w:trPr>
        <w:tc>
          <w:tcPr>
            <w:tcW w:w="3740" w:type="dxa"/>
            <w:vAlign w:val="bottom"/>
          </w:tcPr>
          <w:p>
            <w:pPr>
              <w:spacing w:after="0" w:line="20" w:lineRule="exact"/>
              <w:rPr>
                <w:sz w:val="1"/>
                <w:szCs w:val="1"/>
                <w:color w:val="auto"/>
              </w:rPr>
            </w:pPr>
          </w:p>
        </w:tc>
        <w:tc>
          <w:tcPr>
            <w:tcW w:w="3120" w:type="dxa"/>
            <w:vAlign w:val="bottom"/>
            <w:vMerge w:val="restart"/>
          </w:tcPr>
          <w:p>
            <w:pPr>
              <w:jc w:val="right"/>
              <w:ind w:right="1472"/>
              <w:spacing w:after="0"/>
              <w:rPr>
                <w:sz w:val="20"/>
                <w:szCs w:val="20"/>
                <w:color w:val="auto"/>
              </w:rPr>
            </w:pPr>
            <w:r>
              <w:rPr>
                <w:rFonts w:ascii="Arial" w:cs="Arial" w:eastAsia="Arial" w:hAnsi="Arial"/>
                <w:sz w:val="18"/>
                <w:szCs w:val="18"/>
                <w:color w:val="auto"/>
              </w:rPr>
              <w:t>9</w:t>
            </w:r>
          </w:p>
        </w:tc>
        <w:tc>
          <w:tcPr>
            <w:tcW w:w="6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740" w:type="dxa"/>
            <w:vAlign w:val="bottom"/>
          </w:tcPr>
          <w:p>
            <w:pPr>
              <w:spacing w:after="0"/>
              <w:rPr>
                <w:sz w:val="24"/>
                <w:szCs w:val="24"/>
                <w:color w:val="auto"/>
              </w:rPr>
            </w:pPr>
          </w:p>
        </w:tc>
        <w:tc>
          <w:tcPr>
            <w:tcW w:w="312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80"/>
          </w:cols>
          <w:pgMar w:left="240" w:top="459" w:right="27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The following table shows the investments’ gross unrealized losses and fair value, aggregated by investment category and length of time that individual securities have been in a continuous unrealized loss position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1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540" w:type="dxa"/>
            <w:vAlign w:val="bottom"/>
            <w:tcBorders>
              <w:bottom w:val="single" w:sz="8" w:color="auto"/>
            </w:tcBorders>
            <w:gridSpan w:val="5"/>
          </w:tcPr>
          <w:p>
            <w:pPr>
              <w:jc w:val="center"/>
              <w:ind w:right="280"/>
              <w:spacing w:after="0"/>
              <w:rPr>
                <w:sz w:val="20"/>
                <w:szCs w:val="20"/>
                <w:color w:val="auto"/>
              </w:rPr>
            </w:pPr>
            <w:r>
              <w:rPr>
                <w:rFonts w:ascii="Arial" w:cs="Arial" w:eastAsia="Arial" w:hAnsi="Arial"/>
                <w:sz w:val="14"/>
                <w:szCs w:val="14"/>
                <w:b w:val="1"/>
                <w:bCs w:val="1"/>
                <w:color w:val="auto"/>
                <w:w w:val="89"/>
              </w:rPr>
              <w:t>May 1, 2010</w:t>
            </w:r>
          </w:p>
        </w:tc>
        <w:tc>
          <w:tcPr>
            <w:tcW w:w="12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6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760" w:type="dxa"/>
            <w:vAlign w:val="bottom"/>
            <w:gridSpan w:val="5"/>
          </w:tcPr>
          <w:p>
            <w:pPr>
              <w:ind w:left="8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540" w:type="dxa"/>
            <w:vAlign w:val="bottom"/>
            <w:gridSpan w:val="5"/>
          </w:tcPr>
          <w:p>
            <w:pPr>
              <w:ind w:left="80"/>
              <w:spacing w:after="0" w:line="142" w:lineRule="exact"/>
              <w:rPr>
                <w:sz w:val="20"/>
                <w:szCs w:val="20"/>
                <w:color w:val="auto"/>
              </w:rPr>
            </w:pPr>
            <w:r>
              <w:rPr>
                <w:rFonts w:ascii="Arial" w:cs="Arial" w:eastAsia="Arial" w:hAnsi="Arial"/>
                <w:sz w:val="14"/>
                <w:szCs w:val="14"/>
                <w:b w:val="1"/>
                <w:bCs w:val="1"/>
                <w:color w:val="auto"/>
              </w:rPr>
              <w:t>12 months or more</w:t>
            </w:r>
          </w:p>
        </w:tc>
        <w:tc>
          <w:tcPr>
            <w:tcW w:w="120" w:type="dxa"/>
            <w:vAlign w:val="bottom"/>
          </w:tcPr>
          <w:p>
            <w:pPr>
              <w:spacing w:after="0"/>
              <w:rPr>
                <w:sz w:val="12"/>
                <w:szCs w:val="12"/>
                <w:color w:val="auto"/>
              </w:rPr>
            </w:pPr>
          </w:p>
        </w:tc>
        <w:tc>
          <w:tcPr>
            <w:tcW w:w="1020" w:type="dxa"/>
            <w:vAlign w:val="bottom"/>
            <w:gridSpan w:val="3"/>
          </w:tcPr>
          <w:p>
            <w:pPr>
              <w:ind w:left="620"/>
              <w:spacing w:after="0" w:line="142" w:lineRule="exact"/>
              <w:rPr>
                <w:sz w:val="20"/>
                <w:szCs w:val="20"/>
                <w:color w:val="auto"/>
              </w:rPr>
            </w:pPr>
            <w:r>
              <w:rPr>
                <w:rFonts w:ascii="Arial" w:cs="Arial" w:eastAsia="Arial" w:hAnsi="Arial"/>
                <w:sz w:val="14"/>
                <w:szCs w:val="14"/>
                <w:b w:val="1"/>
                <w:bCs w:val="1"/>
                <w:color w:val="auto"/>
              </w:rPr>
              <w:t>Total</w:t>
            </w:r>
          </w:p>
        </w:tc>
        <w:tc>
          <w:tcPr>
            <w:tcW w:w="5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618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141"/>
              <w:spacing w:after="0" w:line="129" w:lineRule="exact"/>
              <w:rPr>
                <w:sz w:val="20"/>
                <w:szCs w:val="20"/>
                <w:color w:val="auto"/>
              </w:rPr>
            </w:pPr>
            <w:r>
              <w:rPr>
                <w:rFonts w:ascii="Arial" w:cs="Arial" w:eastAsia="Arial" w:hAnsi="Arial"/>
                <w:sz w:val="14"/>
                <w:szCs w:val="14"/>
                <w:b w:val="1"/>
                <w:bCs w:val="1"/>
                <w:color w:val="auto"/>
              </w:rPr>
              <w:t>Fair</w:t>
            </w:r>
          </w:p>
        </w:tc>
        <w:tc>
          <w:tcPr>
            <w:tcW w:w="22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4"/>
              </w:rPr>
              <w:t>Unrealized</w:t>
            </w:r>
          </w:p>
        </w:tc>
        <w:tc>
          <w:tcPr>
            <w:tcW w:w="34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ind w:left="80"/>
              <w:spacing w:after="0" w:line="129" w:lineRule="exact"/>
              <w:rPr>
                <w:sz w:val="20"/>
                <w:szCs w:val="20"/>
                <w:color w:val="auto"/>
              </w:rPr>
            </w:pPr>
            <w:r>
              <w:rPr>
                <w:rFonts w:ascii="Arial" w:cs="Arial" w:eastAsia="Arial" w:hAnsi="Arial"/>
                <w:sz w:val="14"/>
                <w:szCs w:val="14"/>
                <w:b w:val="1"/>
                <w:bCs w:val="1"/>
                <w:color w:val="auto"/>
              </w:rPr>
              <w:t>Fair</w:t>
            </w:r>
          </w:p>
        </w:tc>
        <w:tc>
          <w:tcPr>
            <w:tcW w:w="2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1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ind w:left="80"/>
              <w:spacing w:after="0"/>
              <w:rPr>
                <w:sz w:val="20"/>
                <w:szCs w:val="20"/>
                <w:color w:val="auto"/>
              </w:rPr>
            </w:pPr>
            <w:r>
              <w:rPr>
                <w:rFonts w:ascii="Arial" w:cs="Arial" w:eastAsia="Arial" w:hAnsi="Arial"/>
                <w:sz w:val="14"/>
                <w:szCs w:val="14"/>
                <w:b w:val="1"/>
                <w:bCs w:val="1"/>
                <w:color w:val="auto"/>
              </w:rPr>
              <w:t>Value</w:t>
            </w:r>
          </w:p>
        </w:tc>
        <w:tc>
          <w:tcPr>
            <w:tcW w:w="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ind w:left="40"/>
              <w:spacing w:after="0"/>
              <w:rPr>
                <w:sz w:val="20"/>
                <w:szCs w:val="20"/>
                <w:color w:val="auto"/>
              </w:rPr>
            </w:pPr>
            <w:r>
              <w:rPr>
                <w:rFonts w:ascii="Arial" w:cs="Arial" w:eastAsia="Arial" w:hAnsi="Arial"/>
                <w:sz w:val="14"/>
                <w:szCs w:val="14"/>
                <w:b w:val="1"/>
                <w:bCs w:val="1"/>
                <w:color w:val="auto"/>
              </w:rPr>
              <w:t>(Loss)</w:t>
            </w:r>
          </w:p>
        </w:tc>
        <w:tc>
          <w:tcPr>
            <w:tcW w:w="3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62"/>
              <w:spacing w:after="0"/>
              <w:rPr>
                <w:sz w:val="20"/>
                <w:szCs w:val="20"/>
                <w:color w:val="auto"/>
              </w:rPr>
            </w:pPr>
            <w:r>
              <w:rPr>
                <w:rFonts w:ascii="Arial" w:cs="Arial" w:eastAsia="Arial" w:hAnsi="Arial"/>
                <w:sz w:val="14"/>
                <w:szCs w:val="14"/>
                <w:b w:val="1"/>
                <w:bCs w:val="1"/>
                <w:color w:val="auto"/>
                <w:w w:val="90"/>
              </w:rPr>
              <w:t>Value</w:t>
            </w:r>
          </w:p>
        </w:tc>
        <w:tc>
          <w:tcPr>
            <w:tcW w:w="2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56"/>
              <w:spacing w:after="0"/>
              <w:rPr>
                <w:sz w:val="20"/>
                <w:szCs w:val="20"/>
                <w:color w:val="auto"/>
              </w:rPr>
            </w:pPr>
            <w:r>
              <w:rPr>
                <w:rFonts w:ascii="Arial" w:cs="Arial" w:eastAsia="Arial" w:hAnsi="Arial"/>
                <w:sz w:val="14"/>
                <w:szCs w:val="14"/>
                <w:b w:val="1"/>
                <w:bCs w:val="1"/>
                <w:color w:val="auto"/>
                <w:w w:val="85"/>
              </w:rPr>
              <w:t>(Loss)</w:t>
            </w: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Fair Value</w:t>
            </w:r>
          </w:p>
        </w:tc>
        <w:tc>
          <w:tcPr>
            <w:tcW w:w="2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(Loss)</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U.S. Federal and State debt securities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165,958</w:t>
            </w:r>
          </w:p>
        </w:tc>
        <w:tc>
          <w:tcPr>
            <w:tcW w:w="32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(24)</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ind w:right="22"/>
              <w:spacing w:after="0"/>
              <w:rPr>
                <w:sz w:val="20"/>
                <w:szCs w:val="20"/>
                <w:color w:val="auto"/>
              </w:rPr>
            </w:pPr>
            <w:r>
              <w:rPr>
                <w:rFonts w:ascii="Arial" w:cs="Arial" w:eastAsia="Arial" w:hAnsi="Arial"/>
                <w:sz w:val="18"/>
                <w:szCs w:val="18"/>
                <w:color w:val="auto"/>
              </w:rPr>
              <w:t>—</w:t>
            </w:r>
          </w:p>
        </w:tc>
        <w:tc>
          <w:tcPr>
            <w:tcW w:w="32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99"/>
              </w:rPr>
              <w:t>$</w:t>
            </w:r>
          </w:p>
        </w:tc>
        <w:tc>
          <w:tcPr>
            <w:tcW w:w="7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$165,958</w:t>
            </w: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6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16"/>
        </w:trPr>
        <w:tc>
          <w:tcPr>
            <w:tcW w:w="6180" w:type="dxa"/>
            <w:vAlign w:val="bottom"/>
          </w:tcPr>
          <w:p>
            <w:pPr>
              <w:spacing w:after="0"/>
              <w:rPr>
                <w:sz w:val="20"/>
                <w:szCs w:val="20"/>
                <w:color w:val="auto"/>
              </w:rPr>
            </w:pPr>
            <w:r>
              <w:rPr>
                <w:rFonts w:ascii="Arial" w:cs="Arial" w:eastAsia="Arial" w:hAnsi="Arial"/>
                <w:sz w:val="18"/>
                <w:szCs w:val="18"/>
                <w:color w:val="auto"/>
              </w:rPr>
              <w:t>Corporate debt securities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57,963</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(70)</w:t>
            </w:r>
          </w:p>
        </w:tc>
        <w:tc>
          <w:tcPr>
            <w:tcW w:w="80" w:type="dxa"/>
            <w:vAlign w:val="bottom"/>
          </w:tcPr>
          <w:p>
            <w:pPr>
              <w:spacing w:after="0"/>
              <w:rPr>
                <w:sz w:val="18"/>
                <w:szCs w:val="18"/>
                <w:color w:val="auto"/>
              </w:rPr>
            </w:pPr>
          </w:p>
        </w:tc>
        <w:tc>
          <w:tcPr>
            <w:tcW w:w="500" w:type="dxa"/>
            <w:vAlign w:val="bottom"/>
          </w:tcPr>
          <w:p>
            <w:pPr>
              <w:jc w:val="right"/>
              <w:ind w:right="22"/>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57,963</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gridSpan w:val="2"/>
          </w:tcPr>
          <w:p>
            <w:pPr>
              <w:jc w:val="right"/>
              <w:ind w:right="40"/>
              <w:spacing w:after="0"/>
              <w:rPr>
                <w:sz w:val="20"/>
                <w:szCs w:val="20"/>
                <w:color w:val="auto"/>
              </w:rPr>
            </w:pPr>
            <w:r>
              <w:rPr>
                <w:rFonts w:ascii="Arial" w:cs="Arial" w:eastAsia="Arial" w:hAnsi="Arial"/>
                <w:sz w:val="18"/>
                <w:szCs w:val="18"/>
                <w:color w:val="auto"/>
              </w:rPr>
              <w:t>(70)</w:t>
            </w:r>
          </w:p>
        </w:tc>
        <w:tc>
          <w:tcPr>
            <w:tcW w:w="0" w:type="dxa"/>
            <w:vAlign w:val="bottom"/>
          </w:tcPr>
          <w:p>
            <w:pPr>
              <w:spacing w:after="0"/>
              <w:rPr>
                <w:sz w:val="1"/>
                <w:szCs w:val="1"/>
                <w:color w:val="auto"/>
              </w:rPr>
            </w:pPr>
          </w:p>
        </w:tc>
      </w:tr>
      <w:tr>
        <w:trPr>
          <w:trHeight w:val="216"/>
        </w:trPr>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21"/>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34,235</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8"/>
              </w:rPr>
              <w:t>(2,315)</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34,235</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(2,315)</w:t>
            </w:r>
          </w:p>
        </w:tc>
        <w:tc>
          <w:tcPr>
            <w:tcW w:w="0" w:type="dxa"/>
            <w:vAlign w:val="bottom"/>
          </w:tcPr>
          <w:p>
            <w:pPr>
              <w:spacing w:after="0"/>
              <w:rPr>
                <w:sz w:val="1"/>
                <w:szCs w:val="1"/>
                <w:color w:val="auto"/>
              </w:rPr>
            </w:pPr>
          </w:p>
        </w:tc>
      </w:tr>
      <w:tr>
        <w:trPr>
          <w:trHeight w:val="20"/>
        </w:trPr>
        <w:tc>
          <w:tcPr>
            <w:tcW w:w="618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180" w:type="dxa"/>
            <w:vAlign w:val="bottom"/>
            <w:vMerge w:val="continue"/>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223,921</w:t>
            </w:r>
          </w:p>
        </w:tc>
        <w:tc>
          <w:tcPr>
            <w:tcW w:w="320" w:type="dxa"/>
            <w:vAlign w:val="bottom"/>
            <w:gridSpan w:val="2"/>
          </w:tcPr>
          <w:p>
            <w:pPr>
              <w:ind w:left="220"/>
              <w:spacing w:after="0"/>
              <w:rPr>
                <w:sz w:val="20"/>
                <w:szCs w:val="20"/>
                <w:color w:val="auto"/>
              </w:rPr>
            </w:pPr>
            <w:r>
              <w:rPr>
                <w:rFonts w:ascii="Arial" w:cs="Arial" w:eastAsia="Arial" w:hAnsi="Arial"/>
                <w:sz w:val="18"/>
                <w:szCs w:val="18"/>
                <w:color w:val="auto"/>
                <w:w w:val="79"/>
              </w:rPr>
              <w:t>$</w:t>
            </w: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(94)</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7"/>
              </w:rPr>
              <w:t>34,235</w:t>
            </w:r>
          </w:p>
        </w:tc>
        <w:tc>
          <w:tcPr>
            <w:tcW w:w="320" w:type="dxa"/>
            <w:vAlign w:val="bottom"/>
            <w:gridSpan w:val="2"/>
          </w:tcPr>
          <w:p>
            <w:pPr>
              <w:ind w:left="200"/>
              <w:spacing w:after="0"/>
              <w:rPr>
                <w:sz w:val="20"/>
                <w:szCs w:val="20"/>
                <w:color w:val="auto"/>
              </w:rPr>
            </w:pPr>
            <w:r>
              <w:rPr>
                <w:rFonts w:ascii="Arial" w:cs="Arial" w:eastAsia="Arial" w:hAnsi="Arial"/>
                <w:sz w:val="18"/>
                <w:szCs w:val="18"/>
                <w:color w:val="auto"/>
                <w:w w:val="99"/>
              </w:rPr>
              <w:t>$</w:t>
            </w: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(2,315)</w:t>
            </w:r>
          </w:p>
        </w:tc>
        <w:tc>
          <w:tcPr>
            <w:tcW w:w="8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258,156</w:t>
            </w:r>
          </w:p>
        </w:tc>
        <w:tc>
          <w:tcPr>
            <w:tcW w:w="340" w:type="dxa"/>
            <w:vAlign w:val="bottom"/>
            <w:gridSpan w:val="2"/>
          </w:tcPr>
          <w:p>
            <w:pPr>
              <w:ind w:left="220"/>
              <w:spacing w:after="0"/>
              <w:rPr>
                <w:sz w:val="20"/>
                <w:szCs w:val="20"/>
                <w:color w:val="auto"/>
              </w:rPr>
            </w:pPr>
            <w:r>
              <w:rPr>
                <w:rFonts w:ascii="Arial" w:cs="Arial" w:eastAsia="Arial" w:hAnsi="Arial"/>
                <w:sz w:val="18"/>
                <w:szCs w:val="18"/>
                <w:color w:val="auto"/>
                <w:w w:val="99"/>
              </w:rPr>
              <w:t>$</w:t>
            </w:r>
          </w:p>
        </w:tc>
        <w:tc>
          <w:tcPr>
            <w:tcW w:w="6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(2,409)</w:t>
            </w:r>
          </w:p>
        </w:tc>
        <w:tc>
          <w:tcPr>
            <w:tcW w:w="0" w:type="dxa"/>
            <w:vAlign w:val="bottom"/>
          </w:tcPr>
          <w:p>
            <w:pPr>
              <w:spacing w:after="0"/>
              <w:rPr>
                <w:sz w:val="1"/>
                <w:szCs w:val="1"/>
                <w:color w:val="auto"/>
              </w:rPr>
            </w:pPr>
          </w:p>
        </w:tc>
      </w:tr>
      <w:tr>
        <w:trPr>
          <w:trHeight w:val="20"/>
        </w:trPr>
        <w:tc>
          <w:tcPr>
            <w:tcW w:w="6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60"/>
        </w:trPr>
        <w:tc>
          <w:tcPr>
            <w:tcW w:w="618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20" w:type="dxa"/>
            <w:vAlign w:val="bottom"/>
            <w:tcBorders>
              <w:bottom w:val="single" w:sz="8" w:color="auto"/>
            </w:tcBorders>
          </w:tcPr>
          <w:p>
            <w:pPr>
              <w:spacing w:after="0"/>
              <w:rPr>
                <w:sz w:val="24"/>
                <w:szCs w:val="24"/>
                <w:color w:val="auto"/>
              </w:rPr>
            </w:pPr>
          </w:p>
        </w:tc>
        <w:tc>
          <w:tcPr>
            <w:tcW w:w="34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540" w:type="dxa"/>
            <w:vAlign w:val="bottom"/>
            <w:tcBorders>
              <w:bottom w:val="single" w:sz="8" w:color="auto"/>
            </w:tcBorders>
            <w:gridSpan w:val="5"/>
          </w:tcPr>
          <w:p>
            <w:pPr>
              <w:jc w:val="center"/>
              <w:ind w:right="280"/>
              <w:spacing w:after="0"/>
              <w:rPr>
                <w:sz w:val="20"/>
                <w:szCs w:val="20"/>
                <w:color w:val="auto"/>
              </w:rPr>
            </w:pPr>
            <w:r>
              <w:rPr>
                <w:rFonts w:ascii="Arial" w:cs="Arial" w:eastAsia="Arial" w:hAnsi="Arial"/>
                <w:sz w:val="14"/>
                <w:szCs w:val="14"/>
                <w:b w:val="1"/>
                <w:bCs w:val="1"/>
                <w:color w:val="auto"/>
                <w:w w:val="87"/>
              </w:rPr>
              <w:t>January 30, 2010</w:t>
            </w:r>
          </w:p>
        </w:tc>
        <w:tc>
          <w:tcPr>
            <w:tcW w:w="120" w:type="dxa"/>
            <w:vAlign w:val="bottom"/>
            <w:tcBorders>
              <w:bottom w:val="single" w:sz="8" w:color="auto"/>
            </w:tcBorders>
          </w:tcPr>
          <w:p>
            <w:pPr>
              <w:spacing w:after="0"/>
              <w:rPr>
                <w:sz w:val="24"/>
                <w:szCs w:val="24"/>
                <w:color w:val="auto"/>
              </w:rPr>
            </w:pPr>
          </w:p>
        </w:tc>
        <w:tc>
          <w:tcPr>
            <w:tcW w:w="68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52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6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760" w:type="dxa"/>
            <w:vAlign w:val="bottom"/>
            <w:gridSpan w:val="5"/>
          </w:tcPr>
          <w:p>
            <w:pPr>
              <w:ind w:left="8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540" w:type="dxa"/>
            <w:vAlign w:val="bottom"/>
            <w:gridSpan w:val="5"/>
          </w:tcPr>
          <w:p>
            <w:pPr>
              <w:ind w:left="80"/>
              <w:spacing w:after="0" w:line="142" w:lineRule="exact"/>
              <w:rPr>
                <w:sz w:val="20"/>
                <w:szCs w:val="20"/>
                <w:color w:val="auto"/>
              </w:rPr>
            </w:pPr>
            <w:r>
              <w:rPr>
                <w:rFonts w:ascii="Arial" w:cs="Arial" w:eastAsia="Arial" w:hAnsi="Arial"/>
                <w:sz w:val="14"/>
                <w:szCs w:val="14"/>
                <w:b w:val="1"/>
                <w:bCs w:val="1"/>
                <w:color w:val="auto"/>
              </w:rPr>
              <w:t>12 months or more</w:t>
            </w:r>
          </w:p>
        </w:tc>
        <w:tc>
          <w:tcPr>
            <w:tcW w:w="120" w:type="dxa"/>
            <w:vAlign w:val="bottom"/>
          </w:tcPr>
          <w:p>
            <w:pPr>
              <w:spacing w:after="0"/>
              <w:rPr>
                <w:sz w:val="12"/>
                <w:szCs w:val="12"/>
                <w:color w:val="auto"/>
              </w:rPr>
            </w:pPr>
          </w:p>
        </w:tc>
        <w:tc>
          <w:tcPr>
            <w:tcW w:w="1020" w:type="dxa"/>
            <w:vAlign w:val="bottom"/>
            <w:gridSpan w:val="3"/>
          </w:tcPr>
          <w:p>
            <w:pPr>
              <w:ind w:left="620"/>
              <w:spacing w:after="0" w:line="142" w:lineRule="exact"/>
              <w:rPr>
                <w:sz w:val="20"/>
                <w:szCs w:val="20"/>
                <w:color w:val="auto"/>
              </w:rPr>
            </w:pPr>
            <w:r>
              <w:rPr>
                <w:rFonts w:ascii="Arial" w:cs="Arial" w:eastAsia="Arial" w:hAnsi="Arial"/>
                <w:sz w:val="14"/>
                <w:szCs w:val="14"/>
                <w:b w:val="1"/>
                <w:bCs w:val="1"/>
                <w:color w:val="auto"/>
              </w:rPr>
              <w:t>Total</w:t>
            </w:r>
          </w:p>
        </w:tc>
        <w:tc>
          <w:tcPr>
            <w:tcW w:w="5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618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141"/>
              <w:spacing w:after="0" w:line="129" w:lineRule="exact"/>
              <w:rPr>
                <w:sz w:val="20"/>
                <w:szCs w:val="20"/>
                <w:color w:val="auto"/>
              </w:rPr>
            </w:pPr>
            <w:r>
              <w:rPr>
                <w:rFonts w:ascii="Arial" w:cs="Arial" w:eastAsia="Arial" w:hAnsi="Arial"/>
                <w:sz w:val="14"/>
                <w:szCs w:val="14"/>
                <w:b w:val="1"/>
                <w:bCs w:val="1"/>
                <w:color w:val="auto"/>
              </w:rPr>
              <w:t>Fair</w:t>
            </w:r>
          </w:p>
        </w:tc>
        <w:tc>
          <w:tcPr>
            <w:tcW w:w="22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4"/>
              </w:rPr>
              <w:t>Unrealized</w:t>
            </w:r>
          </w:p>
        </w:tc>
        <w:tc>
          <w:tcPr>
            <w:tcW w:w="34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ind w:left="80"/>
              <w:spacing w:after="0" w:line="129" w:lineRule="exact"/>
              <w:rPr>
                <w:sz w:val="20"/>
                <w:szCs w:val="20"/>
                <w:color w:val="auto"/>
              </w:rPr>
            </w:pPr>
            <w:r>
              <w:rPr>
                <w:rFonts w:ascii="Arial" w:cs="Arial" w:eastAsia="Arial" w:hAnsi="Arial"/>
                <w:sz w:val="14"/>
                <w:szCs w:val="14"/>
                <w:b w:val="1"/>
                <w:bCs w:val="1"/>
                <w:color w:val="auto"/>
              </w:rPr>
              <w:t>Fair</w:t>
            </w:r>
          </w:p>
        </w:tc>
        <w:tc>
          <w:tcPr>
            <w:tcW w:w="2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Fair</w:t>
            </w:r>
          </w:p>
        </w:tc>
        <w:tc>
          <w:tcPr>
            <w:tcW w:w="22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1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ind w:left="80"/>
              <w:spacing w:after="0"/>
              <w:rPr>
                <w:sz w:val="20"/>
                <w:szCs w:val="20"/>
                <w:color w:val="auto"/>
              </w:rPr>
            </w:pPr>
            <w:r>
              <w:rPr>
                <w:rFonts w:ascii="Arial" w:cs="Arial" w:eastAsia="Arial" w:hAnsi="Arial"/>
                <w:sz w:val="14"/>
                <w:szCs w:val="14"/>
                <w:b w:val="1"/>
                <w:bCs w:val="1"/>
                <w:color w:val="auto"/>
              </w:rPr>
              <w:t>Value</w:t>
            </w:r>
          </w:p>
        </w:tc>
        <w:tc>
          <w:tcPr>
            <w:tcW w:w="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ind w:left="40"/>
              <w:spacing w:after="0"/>
              <w:rPr>
                <w:sz w:val="20"/>
                <w:szCs w:val="20"/>
                <w:color w:val="auto"/>
              </w:rPr>
            </w:pPr>
            <w:r>
              <w:rPr>
                <w:rFonts w:ascii="Arial" w:cs="Arial" w:eastAsia="Arial" w:hAnsi="Arial"/>
                <w:sz w:val="14"/>
                <w:szCs w:val="14"/>
                <w:b w:val="1"/>
                <w:bCs w:val="1"/>
                <w:color w:val="auto"/>
              </w:rPr>
              <w:t>(Loss)</w:t>
            </w:r>
          </w:p>
        </w:tc>
        <w:tc>
          <w:tcPr>
            <w:tcW w:w="3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62"/>
              <w:spacing w:after="0"/>
              <w:rPr>
                <w:sz w:val="20"/>
                <w:szCs w:val="20"/>
                <w:color w:val="auto"/>
              </w:rPr>
            </w:pPr>
            <w:r>
              <w:rPr>
                <w:rFonts w:ascii="Arial" w:cs="Arial" w:eastAsia="Arial" w:hAnsi="Arial"/>
                <w:sz w:val="14"/>
                <w:szCs w:val="14"/>
                <w:b w:val="1"/>
                <w:bCs w:val="1"/>
                <w:color w:val="auto"/>
                <w:w w:val="90"/>
              </w:rPr>
              <w:t>Value</w:t>
            </w:r>
          </w:p>
        </w:tc>
        <w:tc>
          <w:tcPr>
            <w:tcW w:w="2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56"/>
              <w:spacing w:after="0"/>
              <w:rPr>
                <w:sz w:val="20"/>
                <w:szCs w:val="20"/>
                <w:color w:val="auto"/>
              </w:rPr>
            </w:pPr>
            <w:r>
              <w:rPr>
                <w:rFonts w:ascii="Arial" w:cs="Arial" w:eastAsia="Arial" w:hAnsi="Arial"/>
                <w:sz w:val="14"/>
                <w:szCs w:val="14"/>
                <w:b w:val="1"/>
                <w:bCs w:val="1"/>
                <w:color w:val="auto"/>
                <w:w w:val="85"/>
              </w:rPr>
              <w:t>(Loss)</w:t>
            </w: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Value</w:t>
            </w:r>
          </w:p>
        </w:tc>
        <w:tc>
          <w:tcPr>
            <w:tcW w:w="2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(Loss)</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U.S. Federal and State debt securities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94,220</w:t>
            </w:r>
          </w:p>
        </w:tc>
        <w:tc>
          <w:tcPr>
            <w:tcW w:w="32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ind w:right="22"/>
              <w:spacing w:after="0"/>
              <w:rPr>
                <w:sz w:val="20"/>
                <w:szCs w:val="20"/>
                <w:color w:val="auto"/>
              </w:rPr>
            </w:pPr>
            <w:r>
              <w:rPr>
                <w:rFonts w:ascii="Arial" w:cs="Arial" w:eastAsia="Arial" w:hAnsi="Arial"/>
                <w:sz w:val="18"/>
                <w:szCs w:val="18"/>
                <w:color w:val="auto"/>
              </w:rPr>
              <w:t>—</w:t>
            </w:r>
          </w:p>
        </w:tc>
        <w:tc>
          <w:tcPr>
            <w:tcW w:w="32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99"/>
              </w:rPr>
              <w:t>$</w:t>
            </w:r>
          </w:p>
        </w:tc>
        <w:tc>
          <w:tcPr>
            <w:tcW w:w="7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$ 94,220</w:t>
            </w:r>
          </w:p>
        </w:tc>
        <w:tc>
          <w:tcPr>
            <w:tcW w:w="34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99"/>
              </w:rPr>
              <w:t>$</w:t>
            </w:r>
          </w:p>
        </w:tc>
        <w:tc>
          <w:tcPr>
            <w:tcW w:w="6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6180" w:type="dxa"/>
            <w:vAlign w:val="bottom"/>
          </w:tcPr>
          <w:p>
            <w:pPr>
              <w:spacing w:after="0"/>
              <w:rPr>
                <w:sz w:val="20"/>
                <w:szCs w:val="20"/>
                <w:color w:val="auto"/>
              </w:rPr>
            </w:pPr>
            <w:r>
              <w:rPr>
                <w:rFonts w:ascii="Arial" w:cs="Arial" w:eastAsia="Arial" w:hAnsi="Arial"/>
                <w:sz w:val="18"/>
                <w:szCs w:val="18"/>
                <w:color w:val="auto"/>
              </w:rPr>
              <w:t>Corporate debt securities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28,428</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(75)</w:t>
            </w:r>
          </w:p>
        </w:tc>
        <w:tc>
          <w:tcPr>
            <w:tcW w:w="80" w:type="dxa"/>
            <w:vAlign w:val="bottom"/>
          </w:tcPr>
          <w:p>
            <w:pPr>
              <w:spacing w:after="0"/>
              <w:rPr>
                <w:sz w:val="18"/>
                <w:szCs w:val="18"/>
                <w:color w:val="auto"/>
              </w:rPr>
            </w:pPr>
          </w:p>
        </w:tc>
        <w:tc>
          <w:tcPr>
            <w:tcW w:w="500" w:type="dxa"/>
            <w:vAlign w:val="bottom"/>
          </w:tcPr>
          <w:p>
            <w:pPr>
              <w:jc w:val="right"/>
              <w:ind w:right="22"/>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28,428</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gridSpan w:val="2"/>
          </w:tcPr>
          <w:p>
            <w:pPr>
              <w:jc w:val="right"/>
              <w:ind w:right="40"/>
              <w:spacing w:after="0"/>
              <w:rPr>
                <w:sz w:val="20"/>
                <w:szCs w:val="20"/>
                <w:color w:val="auto"/>
              </w:rPr>
            </w:pPr>
            <w:r>
              <w:rPr>
                <w:rFonts w:ascii="Arial" w:cs="Arial" w:eastAsia="Arial" w:hAnsi="Arial"/>
                <w:sz w:val="18"/>
                <w:szCs w:val="18"/>
                <w:color w:val="auto"/>
              </w:rPr>
              <w:t>(75)</w:t>
            </w:r>
          </w:p>
        </w:tc>
        <w:tc>
          <w:tcPr>
            <w:tcW w:w="0" w:type="dxa"/>
            <w:vAlign w:val="bottom"/>
          </w:tcPr>
          <w:p>
            <w:pPr>
              <w:spacing w:after="0"/>
              <w:rPr>
                <w:sz w:val="1"/>
                <w:szCs w:val="1"/>
                <w:color w:val="auto"/>
              </w:rPr>
            </w:pPr>
          </w:p>
        </w:tc>
      </w:tr>
      <w:tr>
        <w:trPr>
          <w:trHeight w:val="216"/>
        </w:trPr>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21"/>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34,281</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8"/>
              </w:rPr>
              <w:t>(2,319)</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34,281</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(2,319)</w:t>
            </w:r>
          </w:p>
        </w:tc>
        <w:tc>
          <w:tcPr>
            <w:tcW w:w="0" w:type="dxa"/>
            <w:vAlign w:val="bottom"/>
          </w:tcPr>
          <w:p>
            <w:pPr>
              <w:spacing w:after="0"/>
              <w:rPr>
                <w:sz w:val="1"/>
                <w:szCs w:val="1"/>
                <w:color w:val="auto"/>
              </w:rPr>
            </w:pPr>
          </w:p>
        </w:tc>
      </w:tr>
      <w:tr>
        <w:trPr>
          <w:trHeight w:val="20"/>
        </w:trPr>
        <w:tc>
          <w:tcPr>
            <w:tcW w:w="618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180" w:type="dxa"/>
            <w:vAlign w:val="bottom"/>
            <w:vMerge w:val="continue"/>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122,648</w:t>
            </w:r>
          </w:p>
        </w:tc>
        <w:tc>
          <w:tcPr>
            <w:tcW w:w="320" w:type="dxa"/>
            <w:vAlign w:val="bottom"/>
            <w:gridSpan w:val="2"/>
          </w:tcPr>
          <w:p>
            <w:pPr>
              <w:ind w:left="220"/>
              <w:spacing w:after="0"/>
              <w:rPr>
                <w:sz w:val="20"/>
                <w:szCs w:val="20"/>
                <w:color w:val="auto"/>
              </w:rPr>
            </w:pPr>
            <w:r>
              <w:rPr>
                <w:rFonts w:ascii="Arial" w:cs="Arial" w:eastAsia="Arial" w:hAnsi="Arial"/>
                <w:sz w:val="18"/>
                <w:szCs w:val="18"/>
                <w:color w:val="auto"/>
                <w:w w:val="79"/>
              </w:rPr>
              <w:t>$</w:t>
            </w: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(105)</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7"/>
              </w:rPr>
              <w:t>34,281</w:t>
            </w:r>
          </w:p>
        </w:tc>
        <w:tc>
          <w:tcPr>
            <w:tcW w:w="320" w:type="dxa"/>
            <w:vAlign w:val="bottom"/>
            <w:gridSpan w:val="2"/>
          </w:tcPr>
          <w:p>
            <w:pPr>
              <w:ind w:left="200"/>
              <w:spacing w:after="0"/>
              <w:rPr>
                <w:sz w:val="20"/>
                <w:szCs w:val="20"/>
                <w:color w:val="auto"/>
              </w:rPr>
            </w:pPr>
            <w:r>
              <w:rPr>
                <w:rFonts w:ascii="Arial" w:cs="Arial" w:eastAsia="Arial" w:hAnsi="Arial"/>
                <w:sz w:val="18"/>
                <w:szCs w:val="18"/>
                <w:color w:val="auto"/>
                <w:w w:val="99"/>
              </w:rPr>
              <w:t>$</w:t>
            </w: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(2,319)</w:t>
            </w:r>
          </w:p>
        </w:tc>
        <w:tc>
          <w:tcPr>
            <w:tcW w:w="8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156,929</w:t>
            </w:r>
          </w:p>
        </w:tc>
        <w:tc>
          <w:tcPr>
            <w:tcW w:w="340" w:type="dxa"/>
            <w:vAlign w:val="bottom"/>
            <w:gridSpan w:val="2"/>
          </w:tcPr>
          <w:p>
            <w:pPr>
              <w:ind w:left="220"/>
              <w:spacing w:after="0"/>
              <w:rPr>
                <w:sz w:val="20"/>
                <w:szCs w:val="20"/>
                <w:color w:val="auto"/>
              </w:rPr>
            </w:pPr>
            <w:r>
              <w:rPr>
                <w:rFonts w:ascii="Arial" w:cs="Arial" w:eastAsia="Arial" w:hAnsi="Arial"/>
                <w:sz w:val="18"/>
                <w:szCs w:val="18"/>
                <w:color w:val="auto"/>
                <w:w w:val="99"/>
              </w:rPr>
              <w:t>$</w:t>
            </w:r>
          </w:p>
        </w:tc>
        <w:tc>
          <w:tcPr>
            <w:tcW w:w="6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(2,424)</w:t>
            </w:r>
          </w:p>
        </w:tc>
        <w:tc>
          <w:tcPr>
            <w:tcW w:w="0" w:type="dxa"/>
            <w:vAlign w:val="bottom"/>
          </w:tcPr>
          <w:p>
            <w:pPr>
              <w:spacing w:after="0"/>
              <w:rPr>
                <w:sz w:val="1"/>
                <w:szCs w:val="1"/>
                <w:color w:val="auto"/>
              </w:rPr>
            </w:pPr>
          </w:p>
        </w:tc>
      </w:tr>
      <w:tr>
        <w:trPr>
          <w:trHeight w:val="20"/>
        </w:trPr>
        <w:tc>
          <w:tcPr>
            <w:tcW w:w="6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Supplemental Financial Information (in thousands)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Inventories</w:t>
      </w:r>
    </w:p>
    <w:p>
      <w:pPr>
        <w:spacing w:after="0" w:line="195" w:lineRule="exact"/>
        <w:rPr>
          <w:sz w:val="20"/>
          <w:szCs w:val="20"/>
          <w:color w:val="auto"/>
        </w:rPr>
      </w:pPr>
    </w:p>
    <w:tbl>
      <w:tblPr>
        <w:tblLayout w:type="fixed"/>
        <w:tblInd w:w="240" w:type="dxa"/>
        <w:tblCellMar>
          <w:top w:w="0" w:type="dxa"/>
          <w:left w:w="0" w:type="dxa"/>
          <w:bottom w:w="0" w:type="dxa"/>
          <w:right w:w="0" w:type="dxa"/>
        </w:tblCellMar>
      </w:tblPr>
      <w:tr>
        <w:trPr>
          <w:trHeight w:val="161"/>
        </w:trPr>
        <w:tc>
          <w:tcPr>
            <w:tcW w:w="1140" w:type="dxa"/>
            <w:vAlign w:val="bottom"/>
          </w:tcPr>
          <w:p>
            <w:pPr>
              <w:spacing w:after="0"/>
              <w:rPr>
                <w:sz w:val="13"/>
                <w:szCs w:val="13"/>
                <w:color w:val="auto"/>
              </w:rPr>
            </w:pPr>
          </w:p>
        </w:tc>
        <w:tc>
          <w:tcPr>
            <w:tcW w:w="3860" w:type="dxa"/>
            <w:vAlign w:val="bottom"/>
          </w:tcPr>
          <w:p>
            <w:pPr>
              <w:spacing w:after="0"/>
              <w:rPr>
                <w:sz w:val="13"/>
                <w:szCs w:val="13"/>
                <w:color w:val="auto"/>
              </w:rPr>
            </w:pPr>
          </w:p>
        </w:tc>
        <w:tc>
          <w:tcPr>
            <w:tcW w:w="27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4"/>
                <w:szCs w:val="14"/>
                <w:b w:val="1"/>
                <w:bCs w:val="1"/>
                <w:color w:val="auto"/>
              </w:rPr>
              <w:t>January</w:t>
            </w:r>
          </w:p>
        </w:tc>
        <w:tc>
          <w:tcPr>
            <w:tcW w:w="0" w:type="dxa"/>
            <w:vAlign w:val="bottom"/>
          </w:tcPr>
          <w:p>
            <w:pPr>
              <w:spacing w:after="0"/>
              <w:rPr>
                <w:sz w:val="1"/>
                <w:szCs w:val="1"/>
                <w:color w:val="auto"/>
              </w:rPr>
            </w:pPr>
          </w:p>
        </w:tc>
      </w:tr>
      <w:tr>
        <w:trPr>
          <w:trHeight w:val="149"/>
        </w:trPr>
        <w:tc>
          <w:tcPr>
            <w:tcW w:w="1140" w:type="dxa"/>
            <w:vAlign w:val="bottom"/>
          </w:tcPr>
          <w:p>
            <w:pPr>
              <w:spacing w:after="0"/>
              <w:rPr>
                <w:sz w:val="12"/>
                <w:szCs w:val="12"/>
                <w:color w:val="auto"/>
              </w:rPr>
            </w:pPr>
          </w:p>
        </w:tc>
        <w:tc>
          <w:tcPr>
            <w:tcW w:w="3860" w:type="dxa"/>
            <w:vAlign w:val="bottom"/>
          </w:tcPr>
          <w:p>
            <w:pPr>
              <w:spacing w:after="0"/>
              <w:rPr>
                <w:sz w:val="12"/>
                <w:szCs w:val="12"/>
                <w:color w:val="auto"/>
              </w:rPr>
            </w:pPr>
          </w:p>
        </w:tc>
        <w:tc>
          <w:tcPr>
            <w:tcW w:w="27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60" w:type="dxa"/>
            <w:vAlign w:val="bottom"/>
            <w:gridSpan w:val="2"/>
          </w:tcPr>
          <w:p>
            <w:pPr>
              <w:jc w:val="right"/>
              <w:ind w:right="140"/>
              <w:spacing w:after="0" w:line="149" w:lineRule="exact"/>
              <w:rPr>
                <w:sz w:val="20"/>
                <w:szCs w:val="20"/>
                <w:color w:val="auto"/>
              </w:rPr>
            </w:pPr>
            <w:r>
              <w:rPr>
                <w:rFonts w:ascii="Arial" w:cs="Arial" w:eastAsia="Arial" w:hAnsi="Arial"/>
                <w:sz w:val="14"/>
                <w:szCs w:val="14"/>
                <w:b w:val="1"/>
                <w:bCs w:val="1"/>
                <w:color w:val="auto"/>
              </w:rPr>
              <w:t>May 1,</w:t>
            </w:r>
          </w:p>
        </w:tc>
        <w:tc>
          <w:tcPr>
            <w:tcW w:w="1000" w:type="dxa"/>
            <w:vAlign w:val="bottom"/>
            <w:gridSpan w:val="3"/>
          </w:tcPr>
          <w:p>
            <w:pPr>
              <w:jc w:val="center"/>
              <w:ind w:left="454"/>
              <w:spacing w:after="0" w:line="149" w:lineRule="exact"/>
              <w:rPr>
                <w:sz w:val="20"/>
                <w:szCs w:val="20"/>
                <w:color w:val="auto"/>
              </w:rPr>
            </w:pPr>
            <w:r>
              <w:rPr>
                <w:rFonts w:ascii="Arial" w:cs="Arial" w:eastAsia="Arial" w:hAnsi="Arial"/>
                <w:sz w:val="14"/>
                <w:szCs w:val="14"/>
                <w:b w:val="1"/>
                <w:bCs w:val="1"/>
                <w:color w:val="auto"/>
                <w:w w:val="92"/>
              </w:rPr>
              <w:t>30,</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3860" w:type="dxa"/>
            <w:vAlign w:val="bottom"/>
          </w:tcPr>
          <w:p>
            <w:pPr>
              <w:spacing w:after="0"/>
              <w:rPr>
                <w:sz w:val="14"/>
                <w:szCs w:val="14"/>
                <w:color w:val="auto"/>
              </w:rPr>
            </w:pPr>
          </w:p>
        </w:tc>
        <w:tc>
          <w:tcPr>
            <w:tcW w:w="3040" w:type="dxa"/>
            <w:vAlign w:val="bottom"/>
            <w:gridSpan w:val="2"/>
          </w:tcPr>
          <w:p>
            <w:pPr>
              <w:spacing w:after="0"/>
              <w:rPr>
                <w:sz w:val="14"/>
                <w:szCs w:val="14"/>
                <w:color w:val="auto"/>
              </w:rPr>
            </w:pPr>
          </w:p>
        </w:tc>
        <w:tc>
          <w:tcPr>
            <w:tcW w:w="660" w:type="dxa"/>
            <w:vAlign w:val="bottom"/>
            <w:tcBorders>
              <w:bottom w:val="single" w:sz="8" w:color="auto"/>
            </w:tcBorders>
            <w:gridSpan w:val="2"/>
          </w:tcPr>
          <w:p>
            <w:pPr>
              <w:jc w:val="right"/>
              <w:ind w:right="200"/>
              <w:spacing w:after="0"/>
              <w:rPr>
                <w:sz w:val="20"/>
                <w:szCs w:val="20"/>
                <w:color w:val="auto"/>
              </w:rPr>
            </w:pPr>
            <w:r>
              <w:rPr>
                <w:rFonts w:ascii="Arial" w:cs="Arial" w:eastAsia="Arial" w:hAnsi="Arial"/>
                <w:sz w:val="14"/>
                <w:szCs w:val="14"/>
                <w:b w:val="1"/>
                <w:bCs w:val="1"/>
                <w:color w:val="auto"/>
              </w:rPr>
              <w:t>2010</w:t>
            </w:r>
          </w:p>
        </w:tc>
        <w:tc>
          <w:tcPr>
            <w:tcW w:w="440" w:type="dxa"/>
            <w:vAlign w:val="bottom"/>
            <w:gridSpan w:val="2"/>
          </w:tcPr>
          <w:p>
            <w:pPr>
              <w:spacing w:after="0"/>
              <w:rPr>
                <w:sz w:val="14"/>
                <w:szCs w:val="14"/>
                <w:color w:val="auto"/>
              </w:rPr>
            </w:pPr>
          </w:p>
        </w:tc>
        <w:tc>
          <w:tcPr>
            <w:tcW w:w="560" w:type="dxa"/>
            <w:vAlign w:val="bottom"/>
            <w:tcBorders>
              <w:bottom w:val="single" w:sz="8" w:color="auto"/>
            </w:tcBorders>
          </w:tcPr>
          <w:p>
            <w:pPr>
              <w:jc w:val="center"/>
              <w:ind w:left="26"/>
              <w:spacing w:after="0"/>
              <w:rPr>
                <w:sz w:val="20"/>
                <w:szCs w:val="20"/>
                <w:color w:val="auto"/>
              </w:rPr>
            </w:pPr>
            <w:r>
              <w:rPr>
                <w:rFonts w:ascii="Arial" w:cs="Arial" w:eastAsia="Arial" w:hAnsi="Arial"/>
                <w:sz w:val="14"/>
                <w:szCs w:val="14"/>
                <w:b w:val="1"/>
                <w:bCs w:val="1"/>
                <w:color w:val="auto"/>
                <w:w w:val="83"/>
              </w:rPr>
              <w:t>2010</w:t>
            </w:r>
          </w:p>
        </w:tc>
        <w:tc>
          <w:tcPr>
            <w:tcW w:w="120" w:type="dxa"/>
            <w:vAlign w:val="bottom"/>
            <w:tcBorders>
              <w:bottom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Work-in-process</w:t>
            </w:r>
          </w:p>
        </w:tc>
        <w:tc>
          <w:tcPr>
            <w:tcW w:w="37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$127,939</w:t>
            </w:r>
          </w:p>
        </w:tc>
        <w:tc>
          <w:tcPr>
            <w:tcW w:w="1120" w:type="dxa"/>
            <w:vAlign w:val="bottom"/>
            <w:gridSpan w:val="4"/>
            <w:shd w:val="clear" w:color="auto" w:fill="CCEEFF"/>
          </w:tcPr>
          <w:p>
            <w:pPr>
              <w:jc w:val="center"/>
              <w:ind w:left="334"/>
              <w:spacing w:after="0"/>
              <w:rPr>
                <w:sz w:val="20"/>
                <w:szCs w:val="20"/>
                <w:color w:val="auto"/>
              </w:rPr>
            </w:pPr>
            <w:r>
              <w:rPr>
                <w:rFonts w:ascii="Arial" w:cs="Arial" w:eastAsia="Arial" w:hAnsi="Arial"/>
                <w:sz w:val="18"/>
                <w:szCs w:val="18"/>
                <w:color w:val="auto"/>
                <w:w w:val="87"/>
              </w:rPr>
              <w:t>$128,371</w:t>
            </w:r>
          </w:p>
        </w:tc>
        <w:tc>
          <w:tcPr>
            <w:tcW w:w="0" w:type="dxa"/>
            <w:vAlign w:val="bottom"/>
          </w:tcPr>
          <w:p>
            <w:pPr>
              <w:spacing w:after="0"/>
              <w:rPr>
                <w:sz w:val="1"/>
                <w:szCs w:val="1"/>
                <w:color w:val="auto"/>
              </w:rPr>
            </w:pPr>
          </w:p>
        </w:tc>
      </w:tr>
      <w:tr>
        <w:trPr>
          <w:trHeight w:val="223"/>
        </w:trPr>
        <w:tc>
          <w:tcPr>
            <w:tcW w:w="1140" w:type="dxa"/>
            <w:vAlign w:val="bottom"/>
          </w:tcPr>
          <w:p>
            <w:pPr>
              <w:spacing w:after="0"/>
              <w:rPr>
                <w:sz w:val="19"/>
                <w:szCs w:val="19"/>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Finished goods</w:t>
            </w:r>
          </w:p>
        </w:tc>
        <w:tc>
          <w:tcPr>
            <w:tcW w:w="3040" w:type="dxa"/>
            <w:vAlign w:val="bottom"/>
            <w:gridSpan w:val="2"/>
          </w:tcPr>
          <w:p>
            <w:pPr>
              <w:spacing w:after="0"/>
              <w:rPr>
                <w:sz w:val="19"/>
                <w:szCs w:val="19"/>
                <w:color w:val="auto"/>
              </w:rPr>
            </w:pPr>
          </w:p>
        </w:tc>
        <w:tc>
          <w:tcPr>
            <w:tcW w:w="66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78,704</w:t>
            </w:r>
          </w:p>
        </w:tc>
        <w:tc>
          <w:tcPr>
            <w:tcW w:w="440" w:type="dxa"/>
            <w:vAlign w:val="bottom"/>
            <w:gridSpan w:val="2"/>
          </w:tcPr>
          <w:p>
            <w:pPr>
              <w:spacing w:after="0"/>
              <w:rPr>
                <w:sz w:val="19"/>
                <w:szCs w:val="19"/>
                <w:color w:val="auto"/>
              </w:rPr>
            </w:pPr>
          </w:p>
        </w:tc>
        <w:tc>
          <w:tcPr>
            <w:tcW w:w="68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w w:val="98"/>
              </w:rPr>
              <w:t>113,170</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Inventories</w:t>
            </w:r>
          </w:p>
        </w:tc>
        <w:tc>
          <w:tcPr>
            <w:tcW w:w="3700" w:type="dxa"/>
            <w:vAlign w:val="bottom"/>
            <w:gridSpan w:val="4"/>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206,643</w:t>
            </w:r>
          </w:p>
        </w:tc>
        <w:tc>
          <w:tcPr>
            <w:tcW w:w="1120" w:type="dxa"/>
            <w:vAlign w:val="bottom"/>
            <w:gridSpan w:val="4"/>
            <w:shd w:val="clear" w:color="auto" w:fill="CCEEFF"/>
          </w:tcPr>
          <w:p>
            <w:pPr>
              <w:jc w:val="center"/>
              <w:ind w:left="334"/>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241,541</w:t>
            </w:r>
          </w:p>
        </w:tc>
        <w:tc>
          <w:tcPr>
            <w:tcW w:w="0" w:type="dxa"/>
            <w:vAlign w:val="bottom"/>
          </w:tcPr>
          <w:p>
            <w:pPr>
              <w:spacing w:after="0"/>
              <w:rPr>
                <w:sz w:val="1"/>
                <w:szCs w:val="1"/>
                <w:color w:val="auto"/>
              </w:rPr>
            </w:pPr>
          </w:p>
        </w:tc>
      </w:tr>
      <w:tr>
        <w:trPr>
          <w:trHeight w:val="20"/>
        </w:trPr>
        <w:tc>
          <w:tcPr>
            <w:tcW w:w="5000" w:type="dxa"/>
            <w:vAlign w:val="bottom"/>
            <w:gridSpan w:val="2"/>
            <w:vMerge w:val="restart"/>
          </w:tcPr>
          <w:p>
            <w:pPr>
              <w:spacing w:after="0"/>
              <w:rPr>
                <w:sz w:val="20"/>
                <w:szCs w:val="20"/>
                <w:color w:val="auto"/>
              </w:rPr>
            </w:pPr>
            <w:r>
              <w:rPr>
                <w:rFonts w:ascii="Arial" w:cs="Arial" w:eastAsia="Arial" w:hAnsi="Arial"/>
                <w:sz w:val="18"/>
                <w:szCs w:val="18"/>
                <w:b w:val="1"/>
                <w:bCs w:val="1"/>
                <w:i w:val="1"/>
                <w:iCs w:val="1"/>
                <w:color w:val="auto"/>
              </w:rPr>
              <w:t>Property and equipment, net</w:t>
            </w:r>
          </w:p>
        </w:tc>
        <w:tc>
          <w:tcPr>
            <w:tcW w:w="27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000" w:type="dxa"/>
            <w:vAlign w:val="bottom"/>
            <w:gridSpan w:val="2"/>
            <w:vMerge w:val="continue"/>
          </w:tcPr>
          <w:p>
            <w:pPr>
              <w:spacing w:after="0"/>
              <w:rPr>
                <w:sz w:val="24"/>
                <w:szCs w:val="24"/>
                <w:color w:val="auto"/>
              </w:rPr>
            </w:pPr>
          </w:p>
        </w:tc>
        <w:tc>
          <w:tcPr>
            <w:tcW w:w="27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1140" w:type="dxa"/>
            <w:vAlign w:val="bottom"/>
          </w:tcPr>
          <w:p>
            <w:pPr>
              <w:spacing w:after="0"/>
              <w:rPr>
                <w:sz w:val="24"/>
                <w:szCs w:val="24"/>
                <w:color w:val="auto"/>
              </w:rPr>
            </w:pPr>
          </w:p>
        </w:tc>
        <w:tc>
          <w:tcPr>
            <w:tcW w:w="3860" w:type="dxa"/>
            <w:vAlign w:val="bottom"/>
          </w:tcPr>
          <w:p>
            <w:pPr>
              <w:spacing w:after="0"/>
              <w:rPr>
                <w:sz w:val="24"/>
                <w:szCs w:val="24"/>
                <w:color w:val="auto"/>
              </w:rPr>
            </w:pPr>
          </w:p>
        </w:tc>
        <w:tc>
          <w:tcPr>
            <w:tcW w:w="2740" w:type="dxa"/>
            <w:vAlign w:val="bottom"/>
          </w:tcPr>
          <w:p>
            <w:pPr>
              <w:spacing w:after="0"/>
              <w:rPr>
                <w:sz w:val="24"/>
                <w:szCs w:val="24"/>
                <w:color w:val="auto"/>
              </w:rPr>
            </w:pPr>
          </w:p>
        </w:tc>
        <w:tc>
          <w:tcPr>
            <w:tcW w:w="960" w:type="dxa"/>
            <w:vAlign w:val="bottom"/>
            <w:gridSpan w:val="3"/>
          </w:tcPr>
          <w:p>
            <w:pPr>
              <w:jc w:val="right"/>
              <w:ind w:right="400"/>
              <w:spacing w:after="0"/>
              <w:rPr>
                <w:sz w:val="20"/>
                <w:szCs w:val="20"/>
                <w:color w:val="auto"/>
              </w:rPr>
            </w:pPr>
            <w:r>
              <w:rPr>
                <w:rFonts w:ascii="Arial" w:cs="Arial" w:eastAsia="Arial" w:hAnsi="Arial"/>
                <w:sz w:val="14"/>
                <w:szCs w:val="14"/>
                <w:b w:val="1"/>
                <w:bCs w:val="1"/>
                <w:color w:val="auto"/>
              </w:rPr>
              <w:t>May 1,</w:t>
            </w:r>
          </w:p>
        </w:tc>
        <w:tc>
          <w:tcPr>
            <w:tcW w:w="280" w:type="dxa"/>
            <w:vAlign w:val="bottom"/>
          </w:tcPr>
          <w:p>
            <w:pPr>
              <w:spacing w:after="0"/>
              <w:rPr>
                <w:sz w:val="24"/>
                <w:szCs w:val="24"/>
                <w:color w:val="auto"/>
              </w:rPr>
            </w:pPr>
          </w:p>
        </w:tc>
        <w:tc>
          <w:tcPr>
            <w:tcW w:w="84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w w:val="88"/>
              </w:rPr>
              <w:t>January 30,</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3860" w:type="dxa"/>
            <w:vAlign w:val="bottom"/>
          </w:tcPr>
          <w:p>
            <w:pPr>
              <w:spacing w:after="0"/>
              <w:rPr>
                <w:sz w:val="14"/>
                <w:szCs w:val="14"/>
                <w:color w:val="auto"/>
              </w:rPr>
            </w:pPr>
          </w:p>
        </w:tc>
        <w:tc>
          <w:tcPr>
            <w:tcW w:w="2740" w:type="dxa"/>
            <w:vAlign w:val="bottom"/>
          </w:tcPr>
          <w:p>
            <w:pPr>
              <w:spacing w:after="0"/>
              <w:rPr>
                <w:sz w:val="14"/>
                <w:szCs w:val="14"/>
                <w:color w:val="auto"/>
              </w:rPr>
            </w:pPr>
          </w:p>
        </w:tc>
        <w:tc>
          <w:tcPr>
            <w:tcW w:w="720" w:type="dxa"/>
            <w:vAlign w:val="bottom"/>
            <w:tcBorders>
              <w:bottom w:val="single" w:sz="8" w:color="auto"/>
            </w:tcBorders>
            <w:gridSpan w:val="2"/>
          </w:tcPr>
          <w:p>
            <w:pPr>
              <w:jc w:val="right"/>
              <w:ind w:right="166"/>
              <w:spacing w:after="0"/>
              <w:rPr>
                <w:sz w:val="20"/>
                <w:szCs w:val="20"/>
                <w:color w:val="auto"/>
              </w:rPr>
            </w:pPr>
            <w:r>
              <w:rPr>
                <w:rFonts w:ascii="Arial" w:cs="Arial" w:eastAsia="Arial" w:hAnsi="Arial"/>
                <w:sz w:val="14"/>
                <w:szCs w:val="14"/>
                <w:b w:val="1"/>
                <w:bCs w:val="1"/>
                <w:color w:val="auto"/>
              </w:rPr>
              <w:t>2010</w:t>
            </w:r>
          </w:p>
        </w:tc>
        <w:tc>
          <w:tcPr>
            <w:tcW w:w="2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20" w:type="dxa"/>
            <w:vAlign w:val="bottom"/>
            <w:tcBorders>
              <w:bottom w:val="single" w:sz="8" w:color="auto"/>
            </w:tcBorders>
            <w:gridSpan w:val="2"/>
          </w:tcPr>
          <w:p>
            <w:pPr>
              <w:jc w:val="right"/>
              <w:ind w:right="146"/>
              <w:spacing w:after="0"/>
              <w:rPr>
                <w:sz w:val="20"/>
                <w:szCs w:val="20"/>
                <w:color w:val="auto"/>
              </w:rPr>
            </w:pPr>
            <w:r>
              <w:rPr>
                <w:rFonts w:ascii="Arial" w:cs="Arial" w:eastAsia="Arial" w:hAnsi="Arial"/>
                <w:sz w:val="14"/>
                <w:szCs w:val="14"/>
                <w:b w:val="1"/>
                <w:bCs w:val="1"/>
                <w:color w:val="auto"/>
              </w:rPr>
              <w:t>2010</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Machinery and equipment</w:t>
            </w:r>
          </w:p>
        </w:tc>
        <w:tc>
          <w:tcPr>
            <w:tcW w:w="34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$ 382,997</w:t>
            </w:r>
          </w:p>
        </w:tc>
        <w:tc>
          <w:tcPr>
            <w:tcW w:w="2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$ 371,281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Computer software</w:t>
            </w:r>
          </w:p>
        </w:tc>
        <w:tc>
          <w:tcPr>
            <w:tcW w:w="3460" w:type="dxa"/>
            <w:vAlign w:val="bottom"/>
            <w:gridSpan w:val="3"/>
          </w:tcPr>
          <w:p>
            <w:pPr>
              <w:jc w:val="right"/>
              <w:spacing w:after="0"/>
              <w:rPr>
                <w:sz w:val="20"/>
                <w:szCs w:val="20"/>
                <w:color w:val="auto"/>
              </w:rPr>
            </w:pPr>
            <w:r>
              <w:rPr>
                <w:rFonts w:ascii="Arial" w:cs="Arial" w:eastAsia="Arial" w:hAnsi="Arial"/>
                <w:sz w:val="18"/>
                <w:szCs w:val="18"/>
                <w:color w:val="auto"/>
              </w:rPr>
              <w:t>67,297</w:t>
            </w:r>
          </w:p>
        </w:tc>
        <w:tc>
          <w:tcPr>
            <w:tcW w:w="240" w:type="dxa"/>
            <w:vAlign w:val="bottom"/>
          </w:tcPr>
          <w:p>
            <w:pPr>
              <w:spacing w:after="0"/>
              <w:rPr>
                <w:sz w:val="18"/>
                <w:szCs w:val="18"/>
                <w:color w:val="auto"/>
              </w:rPr>
            </w:pP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66,643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Furniture and fixtures</w:t>
            </w:r>
          </w:p>
        </w:tc>
        <w:tc>
          <w:tcPr>
            <w:tcW w:w="34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23,390</w:t>
            </w:r>
          </w:p>
        </w:tc>
        <w:tc>
          <w:tcPr>
            <w:tcW w:w="2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23,335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Leasehold improvements</w:t>
            </w:r>
          </w:p>
        </w:tc>
        <w:tc>
          <w:tcPr>
            <w:tcW w:w="3460" w:type="dxa"/>
            <w:vAlign w:val="bottom"/>
            <w:gridSpan w:val="3"/>
          </w:tcPr>
          <w:p>
            <w:pPr>
              <w:jc w:val="right"/>
              <w:spacing w:after="0"/>
              <w:rPr>
                <w:sz w:val="20"/>
                <w:szCs w:val="20"/>
                <w:color w:val="auto"/>
              </w:rPr>
            </w:pPr>
            <w:r>
              <w:rPr>
                <w:rFonts w:ascii="Arial" w:cs="Arial" w:eastAsia="Arial" w:hAnsi="Arial"/>
                <w:sz w:val="18"/>
                <w:szCs w:val="18"/>
                <w:color w:val="auto"/>
              </w:rPr>
              <w:t>31,988</w:t>
            </w:r>
          </w:p>
        </w:tc>
        <w:tc>
          <w:tcPr>
            <w:tcW w:w="240" w:type="dxa"/>
            <w:vAlign w:val="bottom"/>
          </w:tcPr>
          <w:p>
            <w:pPr>
              <w:spacing w:after="0"/>
              <w:rPr>
                <w:sz w:val="18"/>
                <w:szCs w:val="18"/>
                <w:color w:val="auto"/>
              </w:rPr>
            </w:pP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33,224</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34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146,294</w:t>
            </w:r>
          </w:p>
        </w:tc>
        <w:tc>
          <w:tcPr>
            <w:tcW w:w="2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146,294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Building improvements</w:t>
            </w:r>
          </w:p>
        </w:tc>
        <w:tc>
          <w:tcPr>
            <w:tcW w:w="3460" w:type="dxa"/>
            <w:vAlign w:val="bottom"/>
            <w:gridSpan w:val="3"/>
          </w:tcPr>
          <w:p>
            <w:pPr>
              <w:jc w:val="right"/>
              <w:spacing w:after="0"/>
              <w:rPr>
                <w:sz w:val="20"/>
                <w:szCs w:val="20"/>
                <w:color w:val="auto"/>
              </w:rPr>
            </w:pPr>
            <w:r>
              <w:rPr>
                <w:rFonts w:ascii="Arial" w:cs="Arial" w:eastAsia="Arial" w:hAnsi="Arial"/>
                <w:sz w:val="18"/>
                <w:szCs w:val="18"/>
                <w:color w:val="auto"/>
              </w:rPr>
              <w:t>46,730</w:t>
            </w:r>
          </w:p>
        </w:tc>
        <w:tc>
          <w:tcPr>
            <w:tcW w:w="240" w:type="dxa"/>
            <w:vAlign w:val="bottom"/>
          </w:tcPr>
          <w:p>
            <w:pPr>
              <w:spacing w:after="0"/>
              <w:rPr>
                <w:sz w:val="18"/>
                <w:szCs w:val="18"/>
                <w:color w:val="auto"/>
              </w:rPr>
            </w:pPr>
          </w:p>
        </w:tc>
        <w:tc>
          <w:tcPr>
            <w:tcW w:w="1000" w:type="dxa"/>
            <w:vAlign w:val="bottom"/>
            <w:gridSpan w:val="3"/>
          </w:tcPr>
          <w:p>
            <w:pPr>
              <w:jc w:val="right"/>
              <w:spacing w:after="0"/>
              <w:rPr>
                <w:sz w:val="20"/>
                <w:szCs w:val="20"/>
                <w:color w:val="auto"/>
              </w:rPr>
            </w:pPr>
            <w:r>
              <w:rPr>
                <w:rFonts w:ascii="Arial" w:cs="Arial" w:eastAsia="Arial" w:hAnsi="Arial"/>
                <w:sz w:val="18"/>
                <w:szCs w:val="18"/>
                <w:color w:val="auto"/>
              </w:rPr>
              <w:t>45,631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34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71,198</w:t>
            </w:r>
          </w:p>
        </w:tc>
        <w:tc>
          <w:tcPr>
            <w:tcW w:w="2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71,198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140" w:type="dxa"/>
            <w:vAlign w:val="bottom"/>
          </w:tcPr>
          <w:p>
            <w:pPr>
              <w:spacing w:after="0"/>
              <w:rPr>
                <w:sz w:val="19"/>
                <w:szCs w:val="19"/>
                <w:color w:val="auto"/>
              </w:rPr>
            </w:pPr>
          </w:p>
        </w:tc>
        <w:tc>
          <w:tcPr>
            <w:tcW w:w="3860" w:type="dxa"/>
            <w:vAlign w:val="bottom"/>
          </w:tcPr>
          <w:p>
            <w:pPr>
              <w:spacing w:after="0"/>
              <w:rPr>
                <w:sz w:val="20"/>
                <w:szCs w:val="20"/>
                <w:color w:val="auto"/>
              </w:rPr>
            </w:pPr>
            <w:r>
              <w:rPr>
                <w:rFonts w:ascii="Arial" w:cs="Arial" w:eastAsia="Arial" w:hAnsi="Arial"/>
                <w:sz w:val="18"/>
                <w:szCs w:val="18"/>
                <w:color w:val="auto"/>
              </w:rPr>
              <w:t>Construction in progress</w:t>
            </w:r>
          </w:p>
        </w:tc>
        <w:tc>
          <w:tcPr>
            <w:tcW w:w="2740" w:type="dxa"/>
            <w:vAlign w:val="bottom"/>
          </w:tcPr>
          <w:p>
            <w:pPr>
              <w:spacing w:after="0"/>
              <w:rPr>
                <w:sz w:val="19"/>
                <w:szCs w:val="19"/>
                <w:color w:val="auto"/>
              </w:rPr>
            </w:pPr>
          </w:p>
        </w:tc>
        <w:tc>
          <w:tcPr>
            <w:tcW w:w="7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7,463</w:t>
            </w:r>
          </w:p>
        </w:tc>
        <w:tc>
          <w:tcPr>
            <w:tcW w:w="2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5,174</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60" w:type="dxa"/>
            <w:vAlign w:val="bottom"/>
            <w:shd w:val="clear" w:color="auto" w:fill="CCEEFF"/>
          </w:tcPr>
          <w:p>
            <w:pPr>
              <w:spacing w:after="0"/>
              <w:rPr>
                <w:sz w:val="18"/>
                <w:szCs w:val="18"/>
                <w:color w:val="auto"/>
              </w:rPr>
            </w:pPr>
          </w:p>
        </w:tc>
        <w:tc>
          <w:tcPr>
            <w:tcW w:w="34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777,357</w:t>
            </w:r>
          </w:p>
        </w:tc>
        <w:tc>
          <w:tcPr>
            <w:tcW w:w="2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762,780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60" w:type="dxa"/>
            <w:vAlign w:val="bottom"/>
          </w:tcPr>
          <w:p>
            <w:pPr>
              <w:spacing w:after="0"/>
              <w:rPr>
                <w:sz w:val="20"/>
                <w:szCs w:val="20"/>
                <w:color w:val="auto"/>
              </w:rPr>
            </w:pPr>
            <w:r>
              <w:rPr>
                <w:rFonts w:ascii="Arial" w:cs="Arial" w:eastAsia="Arial" w:hAnsi="Arial"/>
                <w:sz w:val="18"/>
                <w:szCs w:val="18"/>
                <w:color w:val="auto"/>
                <w:w w:val="97"/>
              </w:rPr>
              <w:t>Less: Accumulated depreciation and amortization</w:t>
            </w:r>
          </w:p>
        </w:tc>
        <w:tc>
          <w:tcPr>
            <w:tcW w:w="2740" w:type="dxa"/>
            <w:vAlign w:val="bottom"/>
          </w:tcPr>
          <w:p>
            <w:pPr>
              <w:spacing w:after="0"/>
              <w:rPr>
                <w:sz w:val="18"/>
                <w:szCs w:val="18"/>
                <w:color w:val="auto"/>
              </w:rPr>
            </w:pPr>
          </w:p>
        </w:tc>
        <w:tc>
          <w:tcPr>
            <w:tcW w:w="960" w:type="dxa"/>
            <w:vAlign w:val="bottom"/>
            <w:gridSpan w:val="3"/>
          </w:tcPr>
          <w:p>
            <w:pPr>
              <w:jc w:val="right"/>
              <w:ind w:right="180"/>
              <w:spacing w:after="0"/>
              <w:rPr>
                <w:sz w:val="20"/>
                <w:szCs w:val="20"/>
                <w:color w:val="auto"/>
              </w:rPr>
            </w:pPr>
            <w:r>
              <w:rPr>
                <w:rFonts w:ascii="Arial" w:cs="Arial" w:eastAsia="Arial" w:hAnsi="Arial"/>
                <w:sz w:val="18"/>
                <w:szCs w:val="18"/>
                <w:color w:val="auto"/>
                <w:w w:val="98"/>
              </w:rPr>
              <w:t>(436,716)</w:t>
            </w:r>
          </w:p>
        </w:tc>
        <w:tc>
          <w:tcPr>
            <w:tcW w:w="1120" w:type="dxa"/>
            <w:vAlign w:val="bottom"/>
            <w:gridSpan w:val="4"/>
          </w:tcPr>
          <w:p>
            <w:pPr>
              <w:jc w:val="right"/>
              <w:ind w:right="60"/>
              <w:spacing w:after="0"/>
              <w:rPr>
                <w:sz w:val="20"/>
                <w:szCs w:val="20"/>
                <w:color w:val="auto"/>
              </w:rPr>
            </w:pPr>
            <w:r>
              <w:rPr>
                <w:rFonts w:ascii="Arial" w:cs="Arial" w:eastAsia="Arial" w:hAnsi="Arial"/>
                <w:sz w:val="18"/>
                <w:szCs w:val="18"/>
                <w:color w:val="auto"/>
              </w:rPr>
              <w:t>(420,283)</w:t>
            </w:r>
          </w:p>
        </w:tc>
        <w:tc>
          <w:tcPr>
            <w:tcW w:w="0" w:type="dxa"/>
            <w:vAlign w:val="bottom"/>
          </w:tcPr>
          <w:p>
            <w:pPr>
              <w:spacing w:after="0"/>
              <w:rPr>
                <w:sz w:val="1"/>
                <w:szCs w:val="1"/>
                <w:color w:val="auto"/>
              </w:rPr>
            </w:pPr>
          </w:p>
        </w:tc>
      </w:tr>
      <w:tr>
        <w:trPr>
          <w:trHeight w:val="27"/>
        </w:trPr>
        <w:tc>
          <w:tcPr>
            <w:tcW w:w="1140" w:type="dxa"/>
            <w:vAlign w:val="bottom"/>
            <w:vMerge w:val="restart"/>
          </w:tcPr>
          <w:p>
            <w:pPr>
              <w:spacing w:after="0"/>
              <w:rPr>
                <w:sz w:val="2"/>
                <w:szCs w:val="2"/>
                <w:color w:val="auto"/>
              </w:rPr>
            </w:pPr>
          </w:p>
        </w:tc>
        <w:tc>
          <w:tcPr>
            <w:tcW w:w="3860" w:type="dxa"/>
            <w:vAlign w:val="bottom"/>
          </w:tcPr>
          <w:p>
            <w:pPr>
              <w:spacing w:after="0"/>
              <w:rPr>
                <w:sz w:val="2"/>
                <w:szCs w:val="2"/>
                <w:color w:val="auto"/>
              </w:rPr>
            </w:pPr>
          </w:p>
        </w:tc>
        <w:tc>
          <w:tcPr>
            <w:tcW w:w="274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140" w:type="dxa"/>
            <w:vAlign w:val="bottom"/>
            <w:vMerge w:val="continue"/>
          </w:tcPr>
          <w:p>
            <w:pPr>
              <w:spacing w:after="0"/>
              <w:rPr>
                <w:sz w:val="18"/>
                <w:szCs w:val="18"/>
                <w:color w:val="auto"/>
              </w:rPr>
            </w:pPr>
          </w:p>
        </w:tc>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34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$ 340,641</w:t>
            </w:r>
          </w:p>
        </w:tc>
        <w:tc>
          <w:tcPr>
            <w:tcW w:w="24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$ 342,497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3860" w:type="dxa"/>
            <w:vAlign w:val="bottom"/>
          </w:tcPr>
          <w:p>
            <w:pPr>
              <w:spacing w:after="0" w:line="20" w:lineRule="exact"/>
              <w:rPr>
                <w:sz w:val="1"/>
                <w:szCs w:val="1"/>
                <w:color w:val="auto"/>
              </w:rPr>
            </w:pPr>
          </w:p>
        </w:tc>
        <w:tc>
          <w:tcPr>
            <w:tcW w:w="2740" w:type="dxa"/>
            <w:vAlign w:val="bottom"/>
            <w:vMerge w:val="restart"/>
          </w:tcPr>
          <w:p>
            <w:pPr>
              <w:jc w:val="right"/>
              <w:ind w:right="2092"/>
              <w:spacing w:after="0"/>
              <w:rPr>
                <w:sz w:val="20"/>
                <w:szCs w:val="20"/>
                <w:color w:val="auto"/>
              </w:rPr>
            </w:pPr>
            <w:r>
              <w:rPr>
                <w:rFonts w:ascii="Arial" w:cs="Arial" w:eastAsia="Arial" w:hAnsi="Arial"/>
                <w:sz w:val="18"/>
                <w:szCs w:val="18"/>
                <w:color w:val="auto"/>
              </w:rPr>
              <w:t>10</w:t>
            </w:r>
          </w:p>
        </w:tc>
        <w:tc>
          <w:tcPr>
            <w:tcW w:w="3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1140" w:type="dxa"/>
            <w:vAlign w:val="bottom"/>
          </w:tcPr>
          <w:p>
            <w:pPr>
              <w:spacing w:after="0"/>
              <w:rPr>
                <w:sz w:val="24"/>
                <w:szCs w:val="24"/>
                <w:color w:val="auto"/>
              </w:rPr>
            </w:pPr>
          </w:p>
        </w:tc>
        <w:tc>
          <w:tcPr>
            <w:tcW w:w="3860" w:type="dxa"/>
            <w:vAlign w:val="bottom"/>
          </w:tcPr>
          <w:p>
            <w:pPr>
              <w:spacing w:after="0"/>
              <w:rPr>
                <w:sz w:val="24"/>
                <w:szCs w:val="24"/>
                <w:color w:val="auto"/>
              </w:rPr>
            </w:pPr>
          </w:p>
        </w:tc>
        <w:tc>
          <w:tcPr>
            <w:tcW w:w="2740" w:type="dxa"/>
            <w:vAlign w:val="bottom"/>
            <w:vMerge w:val="continue"/>
          </w:tcPr>
          <w:p>
            <w:pPr>
              <w:spacing w:after="0"/>
              <w:rPr>
                <w:sz w:val="24"/>
                <w:szCs w:val="24"/>
                <w:color w:val="auto"/>
              </w:rPr>
            </w:pPr>
          </w:p>
        </w:tc>
        <w:tc>
          <w:tcPr>
            <w:tcW w:w="3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Other non-current assets</w:t>
      </w:r>
    </w:p>
    <w:p>
      <w:pPr>
        <w:spacing w:after="0" w:line="195" w:lineRule="exact"/>
        <w:rPr>
          <w:sz w:val="20"/>
          <w:szCs w:val="20"/>
          <w:color w:val="auto"/>
        </w:rPr>
      </w:pPr>
    </w:p>
    <w:tbl>
      <w:tblPr>
        <w:tblLayout w:type="fixed"/>
        <w:tblInd w:w="240" w:type="dxa"/>
        <w:tblCellMar>
          <w:top w:w="0" w:type="dxa"/>
          <w:left w:w="0" w:type="dxa"/>
          <w:bottom w:w="0" w:type="dxa"/>
          <w:right w:w="0" w:type="dxa"/>
        </w:tblCellMar>
      </w:tblPr>
      <w:tr>
        <w:trPr>
          <w:trHeight w:val="161"/>
        </w:trPr>
        <w:tc>
          <w:tcPr>
            <w:tcW w:w="114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31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80" w:type="dxa"/>
            <w:vAlign w:val="bottom"/>
            <w:gridSpan w:val="2"/>
          </w:tcPr>
          <w:p>
            <w:pPr>
              <w:jc w:val="right"/>
              <w:ind w:right="46"/>
              <w:spacing w:after="0"/>
              <w:rPr>
                <w:sz w:val="20"/>
                <w:szCs w:val="20"/>
                <w:color w:val="auto"/>
              </w:rPr>
            </w:pPr>
            <w:r>
              <w:rPr>
                <w:rFonts w:ascii="Arial" w:cs="Arial" w:eastAsia="Arial" w:hAnsi="Arial"/>
                <w:sz w:val="14"/>
                <w:szCs w:val="14"/>
                <w:b w:val="1"/>
                <w:bCs w:val="1"/>
                <w:color w:val="auto"/>
              </w:rPr>
              <w:t>January</w:t>
            </w:r>
          </w:p>
        </w:tc>
        <w:tc>
          <w:tcPr>
            <w:tcW w:w="0" w:type="dxa"/>
            <w:vAlign w:val="bottom"/>
          </w:tcPr>
          <w:p>
            <w:pPr>
              <w:spacing w:after="0"/>
              <w:rPr>
                <w:sz w:val="1"/>
                <w:szCs w:val="1"/>
                <w:color w:val="auto"/>
              </w:rPr>
            </w:pPr>
          </w:p>
        </w:tc>
      </w:tr>
      <w:tr>
        <w:trPr>
          <w:trHeight w:val="149"/>
        </w:trPr>
        <w:tc>
          <w:tcPr>
            <w:tcW w:w="1140" w:type="dxa"/>
            <w:vAlign w:val="bottom"/>
          </w:tcPr>
          <w:p>
            <w:pPr>
              <w:spacing w:after="0"/>
              <w:rPr>
                <w:sz w:val="12"/>
                <w:szCs w:val="12"/>
                <w:color w:val="auto"/>
              </w:rPr>
            </w:pPr>
          </w:p>
        </w:tc>
        <w:tc>
          <w:tcPr>
            <w:tcW w:w="3800" w:type="dxa"/>
            <w:vAlign w:val="bottom"/>
          </w:tcPr>
          <w:p>
            <w:pPr>
              <w:spacing w:after="0"/>
              <w:rPr>
                <w:sz w:val="12"/>
                <w:szCs w:val="12"/>
                <w:color w:val="auto"/>
              </w:rPr>
            </w:pPr>
          </w:p>
        </w:tc>
        <w:tc>
          <w:tcPr>
            <w:tcW w:w="3100" w:type="dxa"/>
            <w:vAlign w:val="bottom"/>
          </w:tcPr>
          <w:p>
            <w:pPr>
              <w:spacing w:after="0"/>
              <w:rPr>
                <w:sz w:val="12"/>
                <w:szCs w:val="12"/>
                <w:color w:val="auto"/>
              </w:rPr>
            </w:pPr>
          </w:p>
        </w:tc>
        <w:tc>
          <w:tcPr>
            <w:tcW w:w="760" w:type="dxa"/>
            <w:vAlign w:val="bottom"/>
            <w:gridSpan w:val="3"/>
          </w:tcPr>
          <w:p>
            <w:pPr>
              <w:jc w:val="right"/>
              <w:ind w:right="240"/>
              <w:spacing w:after="0" w:line="149" w:lineRule="exact"/>
              <w:rPr>
                <w:sz w:val="20"/>
                <w:szCs w:val="20"/>
                <w:color w:val="auto"/>
              </w:rPr>
            </w:pPr>
            <w:r>
              <w:rPr>
                <w:rFonts w:ascii="Arial" w:cs="Arial" w:eastAsia="Arial" w:hAnsi="Arial"/>
                <w:sz w:val="14"/>
                <w:szCs w:val="14"/>
                <w:b w:val="1"/>
                <w:bCs w:val="1"/>
                <w:color w:val="auto"/>
              </w:rPr>
              <w:t>May 1,</w:t>
            </w:r>
          </w:p>
        </w:tc>
        <w:tc>
          <w:tcPr>
            <w:tcW w:w="1020" w:type="dxa"/>
            <w:vAlign w:val="bottom"/>
            <w:gridSpan w:val="3"/>
          </w:tcPr>
          <w:p>
            <w:pPr>
              <w:jc w:val="right"/>
              <w:ind w:right="186"/>
              <w:spacing w:after="0" w:line="149" w:lineRule="exact"/>
              <w:rPr>
                <w:sz w:val="20"/>
                <w:szCs w:val="20"/>
                <w:color w:val="auto"/>
              </w:rPr>
            </w:pPr>
            <w:r>
              <w:rPr>
                <w:rFonts w:ascii="Arial" w:cs="Arial" w:eastAsia="Arial" w:hAnsi="Arial"/>
                <w:sz w:val="14"/>
                <w:szCs w:val="14"/>
                <w:b w:val="1"/>
                <w:bCs w:val="1"/>
                <w:color w:val="auto"/>
              </w:rPr>
              <w:t>30,</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3100" w:type="dxa"/>
            <w:vAlign w:val="bottom"/>
          </w:tcPr>
          <w:p>
            <w:pPr>
              <w:spacing w:after="0"/>
              <w:rPr>
                <w:sz w:val="14"/>
                <w:szCs w:val="14"/>
                <w:color w:val="auto"/>
              </w:rPr>
            </w:pPr>
          </w:p>
        </w:tc>
        <w:tc>
          <w:tcPr>
            <w:tcW w:w="660" w:type="dxa"/>
            <w:vAlign w:val="bottom"/>
            <w:tcBorders>
              <w:bottom w:val="single" w:sz="8" w:color="auto"/>
            </w:tcBorders>
            <w:gridSpan w:val="2"/>
          </w:tcPr>
          <w:p>
            <w:pPr>
              <w:jc w:val="right"/>
              <w:ind w:right="126"/>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80" w:type="dxa"/>
            <w:vAlign w:val="bottom"/>
            <w:tcBorders>
              <w:bottom w:val="single" w:sz="8" w:color="auto"/>
            </w:tcBorders>
            <w:gridSpan w:val="2"/>
          </w:tcPr>
          <w:p>
            <w:pPr>
              <w:jc w:val="right"/>
              <w:ind w:right="146"/>
              <w:spacing w:after="0"/>
              <w:rPr>
                <w:sz w:val="20"/>
                <w:szCs w:val="20"/>
                <w:color w:val="auto"/>
              </w:rPr>
            </w:pPr>
            <w:r>
              <w:rPr>
                <w:rFonts w:ascii="Arial" w:cs="Arial" w:eastAsia="Arial" w:hAnsi="Arial"/>
                <w:sz w:val="14"/>
                <w:szCs w:val="14"/>
                <w:b w:val="1"/>
                <w:bCs w:val="1"/>
                <w:color w:val="auto"/>
              </w:rPr>
              <w:t>2010</w:t>
            </w: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Severance fund</w:t>
            </w:r>
          </w:p>
        </w:tc>
        <w:tc>
          <w:tcPr>
            <w:tcW w:w="37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$ 56,199</w:t>
            </w:r>
          </w:p>
        </w:tc>
        <w:tc>
          <w:tcPr>
            <w:tcW w:w="100" w:type="dxa"/>
            <w:vAlign w:val="bottom"/>
            <w:shd w:val="clear" w:color="auto" w:fill="CCEEFF"/>
          </w:tcPr>
          <w:p>
            <w:pPr>
              <w:spacing w:after="0"/>
              <w:rPr>
                <w:sz w:val="18"/>
                <w:szCs w:val="18"/>
                <w:color w:val="auto"/>
              </w:rPr>
            </w:pPr>
          </w:p>
        </w:tc>
        <w:tc>
          <w:tcPr>
            <w:tcW w:w="10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$ 57,261</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Technology licenses</w:t>
            </w:r>
          </w:p>
        </w:tc>
        <w:tc>
          <w:tcPr>
            <w:tcW w:w="3760" w:type="dxa"/>
            <w:vAlign w:val="bottom"/>
            <w:gridSpan w:val="3"/>
          </w:tcPr>
          <w:p>
            <w:pPr>
              <w:jc w:val="right"/>
              <w:spacing w:after="0"/>
              <w:rPr>
                <w:sz w:val="20"/>
                <w:szCs w:val="20"/>
                <w:color w:val="auto"/>
              </w:rPr>
            </w:pPr>
            <w:r>
              <w:rPr>
                <w:rFonts w:ascii="Arial" w:cs="Arial" w:eastAsia="Arial" w:hAnsi="Arial"/>
                <w:sz w:val="18"/>
                <w:szCs w:val="18"/>
                <w:color w:val="auto"/>
              </w:rPr>
              <w:t>37,233</w:t>
            </w:r>
          </w:p>
        </w:tc>
        <w:tc>
          <w:tcPr>
            <w:tcW w:w="100" w:type="dxa"/>
            <w:vAlign w:val="bottom"/>
          </w:tcPr>
          <w:p>
            <w:pPr>
              <w:spacing w:after="0"/>
              <w:rPr>
                <w:sz w:val="18"/>
                <w:szCs w:val="18"/>
                <w:color w:val="auto"/>
              </w:rPr>
            </w:pP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33,486</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 non-current</w:t>
            </w:r>
          </w:p>
        </w:tc>
        <w:tc>
          <w:tcPr>
            <w:tcW w:w="37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34,638</w:t>
            </w:r>
          </w:p>
        </w:tc>
        <w:tc>
          <w:tcPr>
            <w:tcW w:w="100" w:type="dxa"/>
            <w:vAlign w:val="bottom"/>
            <w:shd w:val="clear" w:color="auto" w:fill="CCEEFF"/>
          </w:tcPr>
          <w:p>
            <w:pPr>
              <w:spacing w:after="0"/>
              <w:rPr>
                <w:sz w:val="18"/>
                <w:szCs w:val="18"/>
                <w:color w:val="auto"/>
              </w:rPr>
            </w:pPr>
          </w:p>
        </w:tc>
        <w:tc>
          <w:tcPr>
            <w:tcW w:w="10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34,638</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Long-term prepayments for foundry capacity</w:t>
            </w:r>
          </w:p>
        </w:tc>
        <w:tc>
          <w:tcPr>
            <w:tcW w:w="3760" w:type="dxa"/>
            <w:vAlign w:val="bottom"/>
            <w:gridSpan w:val="3"/>
          </w:tcPr>
          <w:p>
            <w:pPr>
              <w:jc w:val="right"/>
              <w:spacing w:after="0"/>
              <w:rPr>
                <w:sz w:val="20"/>
                <w:szCs w:val="20"/>
                <w:color w:val="auto"/>
              </w:rPr>
            </w:pPr>
            <w:r>
              <w:rPr>
                <w:rFonts w:ascii="Arial" w:cs="Arial" w:eastAsia="Arial" w:hAnsi="Arial"/>
                <w:sz w:val="18"/>
                <w:szCs w:val="18"/>
                <w:color w:val="auto"/>
              </w:rPr>
              <w:t>8,504</w:t>
            </w:r>
          </w:p>
        </w:tc>
        <w:tc>
          <w:tcPr>
            <w:tcW w:w="100" w:type="dxa"/>
            <w:vAlign w:val="bottom"/>
          </w:tcPr>
          <w:p>
            <w:pPr>
              <w:spacing w:after="0"/>
              <w:rPr>
                <w:sz w:val="18"/>
                <w:szCs w:val="18"/>
                <w:color w:val="auto"/>
              </w:rPr>
            </w:pP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8,504</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Equity investments in privately held companies</w:t>
            </w:r>
          </w:p>
        </w:tc>
        <w:tc>
          <w:tcPr>
            <w:tcW w:w="37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7,314</w:t>
            </w:r>
          </w:p>
        </w:tc>
        <w:tc>
          <w:tcPr>
            <w:tcW w:w="100" w:type="dxa"/>
            <w:vAlign w:val="bottom"/>
            <w:shd w:val="clear" w:color="auto" w:fill="CCEEFF"/>
          </w:tcPr>
          <w:p>
            <w:pPr>
              <w:spacing w:after="0"/>
              <w:rPr>
                <w:sz w:val="18"/>
                <w:szCs w:val="18"/>
                <w:color w:val="auto"/>
              </w:rPr>
            </w:pPr>
          </w:p>
        </w:tc>
        <w:tc>
          <w:tcPr>
            <w:tcW w:w="10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6,314</w:t>
            </w:r>
          </w:p>
        </w:tc>
        <w:tc>
          <w:tcPr>
            <w:tcW w:w="0" w:type="dxa"/>
            <w:vAlign w:val="bottom"/>
          </w:tcPr>
          <w:p>
            <w:pPr>
              <w:spacing w:after="0"/>
              <w:rPr>
                <w:sz w:val="1"/>
                <w:szCs w:val="1"/>
                <w:color w:val="auto"/>
              </w:rPr>
            </w:pPr>
          </w:p>
        </w:tc>
      </w:tr>
      <w:tr>
        <w:trPr>
          <w:trHeight w:val="223"/>
        </w:trPr>
        <w:tc>
          <w:tcPr>
            <w:tcW w:w="1140" w:type="dxa"/>
            <w:vAlign w:val="bottom"/>
          </w:tcPr>
          <w:p>
            <w:pPr>
              <w:spacing w:after="0"/>
              <w:rPr>
                <w:sz w:val="19"/>
                <w:szCs w:val="19"/>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Other</w:t>
            </w:r>
          </w:p>
        </w:tc>
        <w:tc>
          <w:tcPr>
            <w:tcW w:w="3100" w:type="dxa"/>
            <w:vAlign w:val="bottom"/>
          </w:tcPr>
          <w:p>
            <w:pPr>
              <w:spacing w:after="0"/>
              <w:rPr>
                <w:sz w:val="19"/>
                <w:szCs w:val="19"/>
                <w:color w:val="auto"/>
              </w:rPr>
            </w:pPr>
          </w:p>
        </w:tc>
        <w:tc>
          <w:tcPr>
            <w:tcW w:w="66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10,395</w:t>
            </w: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6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11,651</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3760" w:type="dxa"/>
            <w:vAlign w:val="bottom"/>
            <w:gridSpan w:val="3"/>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154,283</w:t>
            </w:r>
          </w:p>
        </w:tc>
        <w:tc>
          <w:tcPr>
            <w:tcW w:w="100" w:type="dxa"/>
            <w:vAlign w:val="bottom"/>
            <w:shd w:val="clear" w:color="auto" w:fill="CCEEFF"/>
          </w:tcPr>
          <w:p>
            <w:pPr>
              <w:spacing w:after="0"/>
              <w:rPr>
                <w:sz w:val="18"/>
                <w:szCs w:val="18"/>
                <w:color w:val="auto"/>
              </w:rPr>
            </w:pPr>
          </w:p>
        </w:tc>
        <w:tc>
          <w:tcPr>
            <w:tcW w:w="1020" w:type="dxa"/>
            <w:vAlign w:val="bottom"/>
            <w:gridSpan w:val="3"/>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151,854</w:t>
            </w:r>
          </w:p>
        </w:tc>
        <w:tc>
          <w:tcPr>
            <w:tcW w:w="0" w:type="dxa"/>
            <w:vAlign w:val="bottom"/>
          </w:tcPr>
          <w:p>
            <w:pPr>
              <w:spacing w:after="0"/>
              <w:rPr>
                <w:sz w:val="1"/>
                <w:szCs w:val="1"/>
                <w:color w:val="auto"/>
              </w:rPr>
            </w:pPr>
          </w:p>
        </w:tc>
      </w:tr>
      <w:tr>
        <w:trPr>
          <w:trHeight w:val="20"/>
        </w:trPr>
        <w:tc>
          <w:tcPr>
            <w:tcW w:w="4940" w:type="dxa"/>
            <w:vAlign w:val="bottom"/>
            <w:gridSpan w:val="2"/>
            <w:vMerge w:val="restart"/>
          </w:tcPr>
          <w:p>
            <w:pPr>
              <w:spacing w:after="0"/>
              <w:rPr>
                <w:sz w:val="20"/>
                <w:szCs w:val="20"/>
                <w:color w:val="auto"/>
              </w:rPr>
            </w:pPr>
            <w:r>
              <w:rPr>
                <w:rFonts w:ascii="Arial" w:cs="Arial" w:eastAsia="Arial" w:hAnsi="Arial"/>
                <w:sz w:val="18"/>
                <w:szCs w:val="18"/>
                <w:b w:val="1"/>
                <w:bCs w:val="1"/>
                <w:i w:val="1"/>
                <w:iCs w:val="1"/>
                <w:color w:val="auto"/>
              </w:rPr>
              <w:t>Accrued liabilities</w:t>
            </w:r>
          </w:p>
        </w:tc>
        <w:tc>
          <w:tcPr>
            <w:tcW w:w="31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4940" w:type="dxa"/>
            <w:vAlign w:val="bottom"/>
            <w:gridSpan w:val="2"/>
            <w:vMerge w:val="continue"/>
          </w:tcPr>
          <w:p>
            <w:pPr>
              <w:spacing w:after="0"/>
              <w:rPr>
                <w:sz w:val="24"/>
                <w:szCs w:val="24"/>
                <w:color w:val="auto"/>
              </w:rPr>
            </w:pPr>
          </w:p>
        </w:tc>
        <w:tc>
          <w:tcPr>
            <w:tcW w:w="3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1140" w:type="dxa"/>
            <w:vAlign w:val="bottom"/>
          </w:tcPr>
          <w:p>
            <w:pPr>
              <w:spacing w:after="0"/>
              <w:rPr>
                <w:sz w:val="24"/>
                <w:szCs w:val="24"/>
                <w:color w:val="auto"/>
              </w:rPr>
            </w:pPr>
          </w:p>
        </w:tc>
        <w:tc>
          <w:tcPr>
            <w:tcW w:w="3800" w:type="dxa"/>
            <w:vAlign w:val="bottom"/>
          </w:tcPr>
          <w:p>
            <w:pPr>
              <w:spacing w:after="0"/>
              <w:rPr>
                <w:sz w:val="24"/>
                <w:szCs w:val="24"/>
                <w:color w:val="auto"/>
              </w:rPr>
            </w:pPr>
          </w:p>
        </w:tc>
        <w:tc>
          <w:tcPr>
            <w:tcW w:w="3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jc w:val="right"/>
              <w:ind w:right="6"/>
              <w:spacing w:after="0"/>
              <w:rPr>
                <w:sz w:val="20"/>
                <w:szCs w:val="20"/>
                <w:color w:val="auto"/>
              </w:rPr>
            </w:pPr>
            <w:r>
              <w:rPr>
                <w:rFonts w:ascii="Arial" w:cs="Arial" w:eastAsia="Arial" w:hAnsi="Arial"/>
                <w:sz w:val="14"/>
                <w:szCs w:val="14"/>
                <w:b w:val="1"/>
                <w:bCs w:val="1"/>
                <w:color w:val="auto"/>
                <w:w w:val="89"/>
              </w:rPr>
              <w:t>January</w:t>
            </w:r>
          </w:p>
        </w:tc>
        <w:tc>
          <w:tcPr>
            <w:tcW w:w="0" w:type="dxa"/>
            <w:vAlign w:val="bottom"/>
          </w:tcPr>
          <w:p>
            <w:pPr>
              <w:spacing w:after="0"/>
              <w:rPr>
                <w:sz w:val="1"/>
                <w:szCs w:val="1"/>
                <w:color w:val="auto"/>
              </w:rPr>
            </w:pPr>
          </w:p>
        </w:tc>
      </w:tr>
      <w:tr>
        <w:trPr>
          <w:trHeight w:val="149"/>
        </w:trPr>
        <w:tc>
          <w:tcPr>
            <w:tcW w:w="1140" w:type="dxa"/>
            <w:vAlign w:val="bottom"/>
          </w:tcPr>
          <w:p>
            <w:pPr>
              <w:spacing w:after="0"/>
              <w:rPr>
                <w:sz w:val="12"/>
                <w:szCs w:val="12"/>
                <w:color w:val="auto"/>
              </w:rPr>
            </w:pPr>
          </w:p>
        </w:tc>
        <w:tc>
          <w:tcPr>
            <w:tcW w:w="3800" w:type="dxa"/>
            <w:vAlign w:val="bottom"/>
          </w:tcPr>
          <w:p>
            <w:pPr>
              <w:spacing w:after="0"/>
              <w:rPr>
                <w:sz w:val="12"/>
                <w:szCs w:val="12"/>
                <w:color w:val="auto"/>
              </w:rPr>
            </w:pPr>
          </w:p>
        </w:tc>
        <w:tc>
          <w:tcPr>
            <w:tcW w:w="31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93"/>
              </w:rPr>
              <w:t>May 1,</w:t>
            </w:r>
          </w:p>
        </w:tc>
        <w:tc>
          <w:tcPr>
            <w:tcW w:w="1020" w:type="dxa"/>
            <w:vAlign w:val="bottom"/>
            <w:gridSpan w:val="3"/>
          </w:tcPr>
          <w:p>
            <w:pPr>
              <w:jc w:val="center"/>
              <w:ind w:left="335"/>
              <w:spacing w:after="0" w:line="149" w:lineRule="exact"/>
              <w:rPr>
                <w:sz w:val="20"/>
                <w:szCs w:val="20"/>
                <w:color w:val="auto"/>
              </w:rPr>
            </w:pPr>
            <w:r>
              <w:rPr>
                <w:rFonts w:ascii="Arial" w:cs="Arial" w:eastAsia="Arial" w:hAnsi="Arial"/>
                <w:sz w:val="14"/>
                <w:szCs w:val="14"/>
                <w:b w:val="1"/>
                <w:bCs w:val="1"/>
                <w:color w:val="auto"/>
                <w:w w:val="81"/>
              </w:rPr>
              <w:t>30,</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3280" w:type="dxa"/>
            <w:vAlign w:val="bottom"/>
            <w:gridSpan w:val="2"/>
          </w:tcPr>
          <w:p>
            <w:pPr>
              <w:spacing w:after="0"/>
              <w:rPr>
                <w:sz w:val="14"/>
                <w:szCs w:val="14"/>
                <w:color w:val="auto"/>
              </w:rPr>
            </w:pPr>
          </w:p>
        </w:tc>
        <w:tc>
          <w:tcPr>
            <w:tcW w:w="480" w:type="dxa"/>
            <w:vAlign w:val="bottom"/>
            <w:tcBorders>
              <w:bottom w:val="single" w:sz="8" w:color="auto"/>
            </w:tcBorders>
          </w:tcPr>
          <w:p>
            <w:pPr>
              <w:jc w:val="center"/>
              <w:ind w:left="26"/>
              <w:spacing w:after="0"/>
              <w:rPr>
                <w:sz w:val="20"/>
                <w:szCs w:val="20"/>
                <w:color w:val="auto"/>
              </w:rPr>
            </w:pPr>
            <w:r>
              <w:rPr>
                <w:rFonts w:ascii="Arial" w:cs="Arial" w:eastAsia="Arial" w:hAnsi="Arial"/>
                <w:sz w:val="14"/>
                <w:szCs w:val="14"/>
                <w:b w:val="1"/>
                <w:bCs w:val="1"/>
                <w:color w:val="auto"/>
                <w:w w:val="83"/>
              </w:rPr>
              <w:t>2010</w:t>
            </w:r>
          </w:p>
        </w:tc>
        <w:tc>
          <w:tcPr>
            <w:tcW w:w="100" w:type="dxa"/>
            <w:vAlign w:val="bottom"/>
            <w:tcBorders>
              <w:bottom w:val="single" w:sz="8" w:color="auto"/>
            </w:tcBorders>
          </w:tcPr>
          <w:p>
            <w:pPr>
              <w:spacing w:after="0"/>
              <w:rPr>
                <w:sz w:val="14"/>
                <w:szCs w:val="14"/>
                <w:color w:val="auto"/>
              </w:rPr>
            </w:pPr>
          </w:p>
        </w:tc>
        <w:tc>
          <w:tcPr>
            <w:tcW w:w="440" w:type="dxa"/>
            <w:vAlign w:val="bottom"/>
            <w:gridSpan w:val="2"/>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2010</w:t>
            </w: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38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$14,659</w:t>
            </w:r>
          </w:p>
        </w:tc>
        <w:tc>
          <w:tcPr>
            <w:tcW w:w="10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$12,651</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Accrued legal and professional services</w:t>
            </w:r>
          </w:p>
        </w:tc>
        <w:tc>
          <w:tcPr>
            <w:tcW w:w="3860" w:type="dxa"/>
            <w:vAlign w:val="bottom"/>
            <w:gridSpan w:val="4"/>
          </w:tcPr>
          <w:p>
            <w:pPr>
              <w:jc w:val="right"/>
              <w:spacing w:after="0"/>
              <w:rPr>
                <w:sz w:val="20"/>
                <w:szCs w:val="20"/>
                <w:color w:val="auto"/>
              </w:rPr>
            </w:pPr>
            <w:r>
              <w:rPr>
                <w:rFonts w:ascii="Arial" w:cs="Arial" w:eastAsia="Arial" w:hAnsi="Arial"/>
                <w:sz w:val="18"/>
                <w:szCs w:val="18"/>
                <w:color w:val="auto"/>
              </w:rPr>
              <w:t>13,882</w:t>
            </w: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13,585</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Accrued rebates</w:t>
            </w:r>
          </w:p>
        </w:tc>
        <w:tc>
          <w:tcPr>
            <w:tcW w:w="38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12,943</w:t>
            </w:r>
          </w:p>
        </w:tc>
        <w:tc>
          <w:tcPr>
            <w:tcW w:w="10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13,404</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Accrued customer advances</w:t>
            </w:r>
          </w:p>
        </w:tc>
        <w:tc>
          <w:tcPr>
            <w:tcW w:w="3860" w:type="dxa"/>
            <w:vAlign w:val="bottom"/>
            <w:gridSpan w:val="4"/>
          </w:tcPr>
          <w:p>
            <w:pPr>
              <w:jc w:val="right"/>
              <w:spacing w:after="0"/>
              <w:rPr>
                <w:sz w:val="20"/>
                <w:szCs w:val="20"/>
                <w:color w:val="auto"/>
              </w:rPr>
            </w:pPr>
            <w:r>
              <w:rPr>
                <w:rFonts w:ascii="Arial" w:cs="Arial" w:eastAsia="Arial" w:hAnsi="Arial"/>
                <w:sz w:val="18"/>
                <w:szCs w:val="18"/>
                <w:color w:val="auto"/>
              </w:rPr>
              <w:t>7,876</w:t>
            </w: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8,167</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Accrued tapeouts</w:t>
            </w:r>
          </w:p>
        </w:tc>
        <w:tc>
          <w:tcPr>
            <w:tcW w:w="38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7,834</w:t>
            </w:r>
          </w:p>
        </w:tc>
        <w:tc>
          <w:tcPr>
            <w:tcW w:w="10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5,957</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Accrued sales/GST tax</w:t>
            </w:r>
          </w:p>
        </w:tc>
        <w:tc>
          <w:tcPr>
            <w:tcW w:w="3860" w:type="dxa"/>
            <w:vAlign w:val="bottom"/>
            <w:gridSpan w:val="4"/>
          </w:tcPr>
          <w:p>
            <w:pPr>
              <w:jc w:val="right"/>
              <w:spacing w:after="0"/>
              <w:rPr>
                <w:sz w:val="20"/>
                <w:szCs w:val="20"/>
                <w:color w:val="auto"/>
              </w:rPr>
            </w:pPr>
            <w:r>
              <w:rPr>
                <w:rFonts w:ascii="Arial" w:cs="Arial" w:eastAsia="Arial" w:hAnsi="Arial"/>
                <w:sz w:val="18"/>
                <w:szCs w:val="18"/>
                <w:color w:val="auto"/>
              </w:rPr>
              <w:t>5,546</w:t>
            </w: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6,082</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3280" w:type="dxa"/>
            <w:vAlign w:val="bottom"/>
            <w:gridSpan w:val="2"/>
            <w:shd w:val="clear" w:color="auto" w:fill="CCEEFF"/>
          </w:tcPr>
          <w:p>
            <w:pPr>
              <w:spacing w:after="0"/>
              <w:rPr>
                <w:sz w:val="18"/>
                <w:szCs w:val="18"/>
                <w:color w:val="auto"/>
              </w:rPr>
            </w:pPr>
          </w:p>
        </w:tc>
        <w:tc>
          <w:tcPr>
            <w:tcW w:w="5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19,850</w:t>
            </w:r>
          </w:p>
        </w:tc>
        <w:tc>
          <w:tcPr>
            <w:tcW w:w="440" w:type="dxa"/>
            <w:vAlign w:val="bottom"/>
            <w:gridSpan w:val="2"/>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22,221</w:t>
            </w:r>
          </w:p>
        </w:tc>
        <w:tc>
          <w:tcPr>
            <w:tcW w:w="0" w:type="dxa"/>
            <w:vAlign w:val="bottom"/>
          </w:tcPr>
          <w:p>
            <w:pPr>
              <w:spacing w:after="0"/>
              <w:rPr>
                <w:sz w:val="1"/>
                <w:szCs w:val="1"/>
                <w:color w:val="auto"/>
              </w:rPr>
            </w:pPr>
          </w:p>
        </w:tc>
      </w:tr>
      <w:tr>
        <w:trPr>
          <w:trHeight w:val="221"/>
        </w:trPr>
        <w:tc>
          <w:tcPr>
            <w:tcW w:w="4940" w:type="dxa"/>
            <w:vAlign w:val="bottom"/>
            <w:gridSpan w:val="2"/>
          </w:tcPr>
          <w:p>
            <w:pPr>
              <w:ind w:left="1140"/>
              <w:spacing w:after="0"/>
              <w:rPr>
                <w:sz w:val="20"/>
                <w:szCs w:val="20"/>
                <w:color w:val="auto"/>
              </w:rPr>
            </w:pPr>
            <w:r>
              <w:rPr>
                <w:rFonts w:ascii="Arial" w:cs="Arial" w:eastAsia="Arial" w:hAnsi="Arial"/>
                <w:sz w:val="18"/>
                <w:szCs w:val="18"/>
                <w:color w:val="auto"/>
              </w:rPr>
              <w:t>Accrued liabilities</w:t>
            </w:r>
          </w:p>
        </w:tc>
        <w:tc>
          <w:tcPr>
            <w:tcW w:w="3860" w:type="dxa"/>
            <w:vAlign w:val="bottom"/>
            <w:gridSpan w:val="4"/>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82,590</w:t>
            </w:r>
          </w:p>
        </w:tc>
        <w:tc>
          <w:tcPr>
            <w:tcW w:w="102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82,067</w:t>
            </w:r>
          </w:p>
        </w:tc>
        <w:tc>
          <w:tcPr>
            <w:tcW w:w="0" w:type="dxa"/>
            <w:vAlign w:val="bottom"/>
          </w:tcPr>
          <w:p>
            <w:pPr>
              <w:spacing w:after="0"/>
              <w:rPr>
                <w:sz w:val="1"/>
                <w:szCs w:val="1"/>
                <w:color w:val="auto"/>
              </w:rPr>
            </w:pPr>
          </w:p>
        </w:tc>
      </w:tr>
      <w:tr>
        <w:trPr>
          <w:trHeight w:val="20"/>
        </w:trPr>
        <w:tc>
          <w:tcPr>
            <w:tcW w:w="4940" w:type="dxa"/>
            <w:vAlign w:val="bottom"/>
            <w:gridSpan w:val="2"/>
            <w:vMerge w:val="restart"/>
          </w:tcPr>
          <w:p>
            <w:pPr>
              <w:spacing w:after="0"/>
              <w:rPr>
                <w:sz w:val="20"/>
                <w:szCs w:val="20"/>
                <w:color w:val="auto"/>
              </w:rPr>
            </w:pPr>
            <w:r>
              <w:rPr>
                <w:rFonts w:ascii="Arial" w:cs="Arial" w:eastAsia="Arial" w:hAnsi="Arial"/>
                <w:sz w:val="18"/>
                <w:szCs w:val="18"/>
                <w:b w:val="1"/>
                <w:bCs w:val="1"/>
                <w:i w:val="1"/>
                <w:iCs w:val="1"/>
                <w:color w:val="auto"/>
              </w:rPr>
              <w:t>Other long-term liabilities</w:t>
            </w:r>
          </w:p>
        </w:tc>
        <w:tc>
          <w:tcPr>
            <w:tcW w:w="3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4940" w:type="dxa"/>
            <w:vAlign w:val="bottom"/>
            <w:gridSpan w:val="2"/>
            <w:vMerge w:val="continue"/>
          </w:tcPr>
          <w:p>
            <w:pPr>
              <w:spacing w:after="0"/>
              <w:rPr>
                <w:sz w:val="24"/>
                <w:szCs w:val="24"/>
                <w:color w:val="auto"/>
              </w:rPr>
            </w:pPr>
          </w:p>
        </w:tc>
        <w:tc>
          <w:tcPr>
            <w:tcW w:w="3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1140" w:type="dxa"/>
            <w:vAlign w:val="bottom"/>
          </w:tcPr>
          <w:p>
            <w:pPr>
              <w:spacing w:after="0"/>
              <w:rPr>
                <w:sz w:val="24"/>
                <w:szCs w:val="24"/>
                <w:color w:val="auto"/>
              </w:rPr>
            </w:pPr>
          </w:p>
        </w:tc>
        <w:tc>
          <w:tcPr>
            <w:tcW w:w="3800" w:type="dxa"/>
            <w:vAlign w:val="bottom"/>
          </w:tcPr>
          <w:p>
            <w:pPr>
              <w:spacing w:after="0"/>
              <w:rPr>
                <w:sz w:val="24"/>
                <w:szCs w:val="24"/>
                <w:color w:val="auto"/>
              </w:rPr>
            </w:pPr>
          </w:p>
        </w:tc>
        <w:tc>
          <w:tcPr>
            <w:tcW w:w="3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jc w:val="right"/>
              <w:ind w:right="6"/>
              <w:spacing w:after="0"/>
              <w:rPr>
                <w:sz w:val="20"/>
                <w:szCs w:val="20"/>
                <w:color w:val="auto"/>
              </w:rPr>
            </w:pPr>
            <w:r>
              <w:rPr>
                <w:rFonts w:ascii="Arial" w:cs="Arial" w:eastAsia="Arial" w:hAnsi="Arial"/>
                <w:sz w:val="14"/>
                <w:szCs w:val="14"/>
                <w:b w:val="1"/>
                <w:bCs w:val="1"/>
                <w:color w:val="auto"/>
                <w:w w:val="89"/>
              </w:rPr>
              <w:t>January</w:t>
            </w:r>
          </w:p>
        </w:tc>
        <w:tc>
          <w:tcPr>
            <w:tcW w:w="0" w:type="dxa"/>
            <w:vAlign w:val="bottom"/>
          </w:tcPr>
          <w:p>
            <w:pPr>
              <w:spacing w:after="0"/>
              <w:rPr>
                <w:sz w:val="1"/>
                <w:szCs w:val="1"/>
                <w:color w:val="auto"/>
              </w:rPr>
            </w:pPr>
          </w:p>
        </w:tc>
      </w:tr>
      <w:tr>
        <w:trPr>
          <w:trHeight w:val="149"/>
        </w:trPr>
        <w:tc>
          <w:tcPr>
            <w:tcW w:w="1140" w:type="dxa"/>
            <w:vAlign w:val="bottom"/>
          </w:tcPr>
          <w:p>
            <w:pPr>
              <w:spacing w:after="0"/>
              <w:rPr>
                <w:sz w:val="12"/>
                <w:szCs w:val="12"/>
                <w:color w:val="auto"/>
              </w:rPr>
            </w:pPr>
          </w:p>
        </w:tc>
        <w:tc>
          <w:tcPr>
            <w:tcW w:w="3800" w:type="dxa"/>
            <w:vAlign w:val="bottom"/>
          </w:tcPr>
          <w:p>
            <w:pPr>
              <w:spacing w:after="0"/>
              <w:rPr>
                <w:sz w:val="12"/>
                <w:szCs w:val="12"/>
                <w:color w:val="auto"/>
              </w:rPr>
            </w:pPr>
          </w:p>
        </w:tc>
        <w:tc>
          <w:tcPr>
            <w:tcW w:w="31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93"/>
              </w:rPr>
              <w:t>May 1,</w:t>
            </w:r>
          </w:p>
        </w:tc>
        <w:tc>
          <w:tcPr>
            <w:tcW w:w="1020" w:type="dxa"/>
            <w:vAlign w:val="bottom"/>
            <w:gridSpan w:val="3"/>
          </w:tcPr>
          <w:p>
            <w:pPr>
              <w:jc w:val="center"/>
              <w:ind w:left="335"/>
              <w:spacing w:after="0" w:line="149" w:lineRule="exact"/>
              <w:rPr>
                <w:sz w:val="20"/>
                <w:szCs w:val="20"/>
                <w:color w:val="auto"/>
              </w:rPr>
            </w:pPr>
            <w:r>
              <w:rPr>
                <w:rFonts w:ascii="Arial" w:cs="Arial" w:eastAsia="Arial" w:hAnsi="Arial"/>
                <w:sz w:val="14"/>
                <w:szCs w:val="14"/>
                <w:b w:val="1"/>
                <w:bCs w:val="1"/>
                <w:color w:val="auto"/>
                <w:w w:val="81"/>
              </w:rPr>
              <w:t>30,</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3280" w:type="dxa"/>
            <w:vAlign w:val="bottom"/>
            <w:gridSpan w:val="2"/>
          </w:tcPr>
          <w:p>
            <w:pPr>
              <w:spacing w:after="0"/>
              <w:rPr>
                <w:sz w:val="14"/>
                <w:szCs w:val="14"/>
                <w:color w:val="auto"/>
              </w:rPr>
            </w:pPr>
          </w:p>
        </w:tc>
        <w:tc>
          <w:tcPr>
            <w:tcW w:w="480" w:type="dxa"/>
            <w:vAlign w:val="bottom"/>
            <w:tcBorders>
              <w:bottom w:val="single" w:sz="8" w:color="auto"/>
            </w:tcBorders>
          </w:tcPr>
          <w:p>
            <w:pPr>
              <w:jc w:val="center"/>
              <w:ind w:left="26"/>
              <w:spacing w:after="0"/>
              <w:rPr>
                <w:sz w:val="20"/>
                <w:szCs w:val="20"/>
                <w:color w:val="auto"/>
              </w:rPr>
            </w:pPr>
            <w:r>
              <w:rPr>
                <w:rFonts w:ascii="Arial" w:cs="Arial" w:eastAsia="Arial" w:hAnsi="Arial"/>
                <w:sz w:val="14"/>
                <w:szCs w:val="14"/>
                <w:b w:val="1"/>
                <w:bCs w:val="1"/>
                <w:color w:val="auto"/>
                <w:w w:val="83"/>
              </w:rPr>
              <w:t>2010</w:t>
            </w:r>
          </w:p>
        </w:tc>
        <w:tc>
          <w:tcPr>
            <w:tcW w:w="100" w:type="dxa"/>
            <w:vAlign w:val="bottom"/>
            <w:tcBorders>
              <w:bottom w:val="single" w:sz="8" w:color="auto"/>
            </w:tcBorders>
          </w:tcPr>
          <w:p>
            <w:pPr>
              <w:spacing w:after="0"/>
              <w:rPr>
                <w:sz w:val="14"/>
                <w:szCs w:val="14"/>
                <w:color w:val="auto"/>
              </w:rPr>
            </w:pPr>
          </w:p>
        </w:tc>
        <w:tc>
          <w:tcPr>
            <w:tcW w:w="440" w:type="dxa"/>
            <w:vAlign w:val="bottom"/>
            <w:gridSpan w:val="2"/>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2010</w:t>
            </w: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Accrued severance</w:t>
            </w:r>
          </w:p>
        </w:tc>
        <w:tc>
          <w:tcPr>
            <w:tcW w:w="38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$54,905</w:t>
            </w:r>
          </w:p>
        </w:tc>
        <w:tc>
          <w:tcPr>
            <w:tcW w:w="10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$53,549</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Long-term facilities consolidation charge</w:t>
            </w:r>
          </w:p>
        </w:tc>
        <w:tc>
          <w:tcPr>
            <w:tcW w:w="3860" w:type="dxa"/>
            <w:vAlign w:val="bottom"/>
            <w:gridSpan w:val="4"/>
          </w:tcPr>
          <w:p>
            <w:pPr>
              <w:jc w:val="right"/>
              <w:spacing w:after="0"/>
              <w:rPr>
                <w:sz w:val="20"/>
                <w:szCs w:val="20"/>
                <w:color w:val="auto"/>
              </w:rPr>
            </w:pPr>
            <w:r>
              <w:rPr>
                <w:rFonts w:ascii="Arial" w:cs="Arial" w:eastAsia="Arial" w:hAnsi="Arial"/>
                <w:sz w:val="18"/>
                <w:szCs w:val="18"/>
                <w:color w:val="auto"/>
              </w:rPr>
              <w:t>3,518</w:t>
            </w: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3,305</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Accrued technology license</w:t>
            </w:r>
          </w:p>
        </w:tc>
        <w:tc>
          <w:tcPr>
            <w:tcW w:w="38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4,500</w:t>
            </w:r>
          </w:p>
        </w:tc>
        <w:tc>
          <w:tcPr>
            <w:tcW w:w="10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4,500</w:t>
            </w:r>
          </w:p>
        </w:tc>
        <w:tc>
          <w:tcPr>
            <w:tcW w:w="0" w:type="dxa"/>
            <w:vAlign w:val="bottom"/>
          </w:tcPr>
          <w:p>
            <w:pPr>
              <w:spacing w:after="0"/>
              <w:rPr>
                <w:sz w:val="1"/>
                <w:szCs w:val="1"/>
                <w:color w:val="auto"/>
              </w:rPr>
            </w:pPr>
          </w:p>
        </w:tc>
      </w:tr>
      <w:tr>
        <w:trPr>
          <w:trHeight w:val="223"/>
        </w:trPr>
        <w:tc>
          <w:tcPr>
            <w:tcW w:w="1140" w:type="dxa"/>
            <w:vAlign w:val="bottom"/>
          </w:tcPr>
          <w:p>
            <w:pPr>
              <w:spacing w:after="0"/>
              <w:rPr>
                <w:sz w:val="19"/>
                <w:szCs w:val="19"/>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Other</w:t>
            </w:r>
          </w:p>
        </w:tc>
        <w:tc>
          <w:tcPr>
            <w:tcW w:w="3280" w:type="dxa"/>
            <w:vAlign w:val="bottom"/>
            <w:gridSpan w:val="2"/>
          </w:tcPr>
          <w:p>
            <w:pPr>
              <w:spacing w:after="0"/>
              <w:rPr>
                <w:sz w:val="19"/>
                <w:szCs w:val="19"/>
                <w:color w:val="auto"/>
              </w:rPr>
            </w:pPr>
          </w:p>
        </w:tc>
        <w:tc>
          <w:tcPr>
            <w:tcW w:w="5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7,482</w:t>
            </w:r>
          </w:p>
        </w:tc>
        <w:tc>
          <w:tcPr>
            <w:tcW w:w="440" w:type="dxa"/>
            <w:vAlign w:val="bottom"/>
            <w:gridSpan w:val="2"/>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7,246</w:t>
            </w: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3860" w:type="dxa"/>
            <w:vAlign w:val="bottom"/>
            <w:gridSpan w:val="4"/>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70,405</w:t>
            </w:r>
          </w:p>
        </w:tc>
        <w:tc>
          <w:tcPr>
            <w:tcW w:w="1020" w:type="dxa"/>
            <w:vAlign w:val="bottom"/>
            <w:gridSpan w:val="3"/>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68,600</w:t>
            </w: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3800" w:type="dxa"/>
            <w:vAlign w:val="bottom"/>
          </w:tcPr>
          <w:p>
            <w:pPr>
              <w:spacing w:after="0" w:line="20" w:lineRule="exact"/>
              <w:rPr>
                <w:sz w:val="1"/>
                <w:szCs w:val="1"/>
                <w:color w:val="auto"/>
              </w:rPr>
            </w:pPr>
          </w:p>
        </w:tc>
        <w:tc>
          <w:tcPr>
            <w:tcW w:w="3100" w:type="dxa"/>
            <w:vAlign w:val="bottom"/>
            <w:vMerge w:val="restart"/>
          </w:tcPr>
          <w:p>
            <w:pPr>
              <w:jc w:val="right"/>
              <w:ind w:right="2392"/>
              <w:spacing w:after="0"/>
              <w:rPr>
                <w:sz w:val="20"/>
                <w:szCs w:val="20"/>
                <w:color w:val="auto"/>
              </w:rPr>
            </w:pPr>
            <w:r>
              <w:rPr>
                <w:rFonts w:ascii="Arial" w:cs="Arial" w:eastAsia="Arial" w:hAnsi="Arial"/>
                <w:sz w:val="18"/>
                <w:szCs w:val="18"/>
                <w:color w:val="auto"/>
              </w:rPr>
              <w:t>11</w:t>
            </w:r>
          </w:p>
        </w:tc>
        <w:tc>
          <w:tcPr>
            <w:tcW w:w="180" w:type="dxa"/>
            <w:vAlign w:val="bottom"/>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1140" w:type="dxa"/>
            <w:vAlign w:val="bottom"/>
          </w:tcPr>
          <w:p>
            <w:pPr>
              <w:spacing w:after="0"/>
              <w:rPr>
                <w:sz w:val="24"/>
                <w:szCs w:val="24"/>
                <w:color w:val="auto"/>
              </w:rPr>
            </w:pPr>
          </w:p>
        </w:tc>
        <w:tc>
          <w:tcPr>
            <w:tcW w:w="3800" w:type="dxa"/>
            <w:vAlign w:val="bottom"/>
          </w:tcPr>
          <w:p>
            <w:pPr>
              <w:spacing w:after="0"/>
              <w:rPr>
                <w:sz w:val="24"/>
                <w:szCs w:val="24"/>
                <w:color w:val="auto"/>
              </w:rPr>
            </w:pPr>
          </w:p>
        </w:tc>
        <w:tc>
          <w:tcPr>
            <w:tcW w:w="3100" w:type="dxa"/>
            <w:vAlign w:val="bottom"/>
            <w:vMerge w:val="continue"/>
          </w:tcPr>
          <w:p>
            <w:pPr>
              <w:spacing w:after="0"/>
              <w:rPr>
                <w:sz w:val="24"/>
                <w:szCs w:val="24"/>
                <w:color w:val="auto"/>
              </w:rPr>
            </w:pPr>
          </w:p>
        </w:tc>
        <w:tc>
          <w:tcPr>
            <w:tcW w:w="1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219"/>
          </w:cols>
          <w:pgMar w:left="240" w:top="459" w:right="1440"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Net income (loss) per share</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The computations of basic and diluted net income (loss) per share are presented in the following table (in thousands, except per share amounts):</w:t>
      </w:r>
    </w:p>
    <w:p>
      <w:pPr>
        <w:spacing w:after="0" w:line="179"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536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840" w:type="dxa"/>
            <w:vAlign w:val="bottom"/>
            <w:gridSpan w:val="5"/>
          </w:tcPr>
          <w:p>
            <w:pPr>
              <w:jc w:val="right"/>
              <w:ind w:right="400"/>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536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tcPr>
          <w:p>
            <w:pPr>
              <w:jc w:val="right"/>
              <w:ind w:right="79"/>
              <w:spacing w:after="0" w:line="129" w:lineRule="exact"/>
              <w:rPr>
                <w:sz w:val="20"/>
                <w:szCs w:val="20"/>
                <w:color w:val="auto"/>
              </w:rPr>
            </w:pPr>
            <w:r>
              <w:rPr>
                <w:rFonts w:ascii="Arial" w:cs="Arial" w:eastAsia="Arial" w:hAnsi="Arial"/>
                <w:sz w:val="14"/>
                <w:szCs w:val="14"/>
                <w:b w:val="1"/>
                <w:bCs w:val="1"/>
                <w:color w:val="auto"/>
                <w:w w:val="98"/>
              </w:rPr>
              <w:t>May 1,</w:t>
            </w:r>
          </w:p>
        </w:tc>
        <w:tc>
          <w:tcPr>
            <w:tcW w:w="42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tcPr>
          <w:p>
            <w:pPr>
              <w:jc w:val="right"/>
              <w:ind w:right="77"/>
              <w:spacing w:after="0" w:line="129" w:lineRule="exact"/>
              <w:rPr>
                <w:sz w:val="20"/>
                <w:szCs w:val="20"/>
                <w:color w:val="auto"/>
              </w:rPr>
            </w:pPr>
            <w:r>
              <w:rPr>
                <w:rFonts w:ascii="Arial" w:cs="Arial" w:eastAsia="Arial" w:hAnsi="Arial"/>
                <w:sz w:val="14"/>
                <w:szCs w:val="14"/>
                <w:b w:val="1"/>
                <w:bCs w:val="1"/>
                <w:color w:val="auto"/>
              </w:rPr>
              <w:t>May 2,</w:t>
            </w:r>
          </w:p>
        </w:tc>
        <w:tc>
          <w:tcPr>
            <w:tcW w:w="120" w:type="dxa"/>
            <w:vAlign w:val="bottom"/>
          </w:tcPr>
          <w:p>
            <w:pPr>
              <w:spacing w:after="0"/>
              <w:rPr>
                <w:sz w:val="11"/>
                <w:szCs w:val="11"/>
                <w:color w:val="auto"/>
              </w:rPr>
            </w:pPr>
          </w:p>
        </w:tc>
      </w:tr>
      <w:tr>
        <w:trPr>
          <w:trHeight w:val="161"/>
        </w:trPr>
        <w:tc>
          <w:tcPr>
            <w:tcW w:w="536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9"/>
              <w:spacing w:after="0"/>
              <w:rPr>
                <w:sz w:val="20"/>
                <w:szCs w:val="20"/>
                <w:color w:val="auto"/>
              </w:rPr>
            </w:pPr>
            <w:r>
              <w:rPr>
                <w:rFonts w:ascii="Arial" w:cs="Arial" w:eastAsia="Arial" w:hAnsi="Arial"/>
                <w:sz w:val="14"/>
                <w:szCs w:val="14"/>
                <w:b w:val="1"/>
                <w:bCs w:val="1"/>
                <w:color w:val="auto"/>
              </w:rPr>
              <w:t>2010</w:t>
            </w:r>
          </w:p>
        </w:tc>
        <w:tc>
          <w:tcPr>
            <w:tcW w:w="4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2009</w:t>
            </w:r>
          </w:p>
        </w:tc>
        <w:tc>
          <w:tcPr>
            <w:tcW w:w="120" w:type="dxa"/>
            <w:vAlign w:val="bottom"/>
          </w:tcPr>
          <w:p>
            <w:pPr>
              <w:spacing w:after="0"/>
              <w:rPr>
                <w:sz w:val="14"/>
                <w:szCs w:val="14"/>
                <w:color w:val="auto"/>
              </w:rPr>
            </w:pPr>
          </w:p>
        </w:tc>
      </w:tr>
      <w:tr>
        <w:trPr>
          <w:trHeight w:val="210"/>
        </w:trPr>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Numerator:</w:t>
            </w:r>
          </w:p>
        </w:tc>
        <w:tc>
          <w:tcPr>
            <w:tcW w:w="1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5360" w:type="dxa"/>
            <w:vAlign w:val="bottom"/>
          </w:tcPr>
          <w:p>
            <w:pPr>
              <w:ind w:left="440"/>
              <w:spacing w:after="0"/>
              <w:rPr>
                <w:sz w:val="20"/>
                <w:szCs w:val="20"/>
                <w:color w:val="auto"/>
              </w:rPr>
            </w:pPr>
            <w:r>
              <w:rPr>
                <w:rFonts w:ascii="Arial" w:cs="Arial" w:eastAsia="Arial" w:hAnsi="Arial"/>
                <w:sz w:val="18"/>
                <w:szCs w:val="18"/>
                <w:color w:val="auto"/>
              </w:rPr>
              <w:t>Net income (loss)</w:t>
            </w:r>
          </w:p>
        </w:tc>
        <w:tc>
          <w:tcPr>
            <w:tcW w:w="1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6"/>
              </w:rPr>
              <w:t>205,767</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w w:val="85"/>
              </w:rPr>
              <w:t>(111,457)</w:t>
            </w:r>
          </w:p>
        </w:tc>
      </w:tr>
      <w:tr>
        <w:trPr>
          <w:trHeight w:val="216"/>
        </w:trPr>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1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5360" w:type="dxa"/>
            <w:vAlign w:val="bottom"/>
          </w:tcPr>
          <w:p>
            <w:pPr>
              <w:spacing w:after="0"/>
              <w:rPr>
                <w:sz w:val="20"/>
                <w:szCs w:val="20"/>
                <w:color w:val="auto"/>
              </w:rPr>
            </w:pPr>
            <w:r>
              <w:rPr>
                <w:rFonts w:ascii="Arial" w:cs="Arial" w:eastAsia="Arial" w:hAnsi="Arial"/>
                <w:sz w:val="18"/>
                <w:szCs w:val="18"/>
                <w:color w:val="auto"/>
              </w:rPr>
              <w:t>Weighted average shares of common shares outstanding:</w:t>
            </w:r>
          </w:p>
        </w:tc>
        <w:tc>
          <w:tcPr>
            <w:tcW w:w="1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53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basic</w:t>
            </w:r>
          </w:p>
        </w:tc>
        <w:tc>
          <w:tcPr>
            <w:tcW w:w="1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640,926</w:t>
            </w: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618,677</w:t>
            </w:r>
          </w:p>
        </w:tc>
        <w:tc>
          <w:tcPr>
            <w:tcW w:w="120" w:type="dxa"/>
            <w:vAlign w:val="bottom"/>
            <w:shd w:val="clear" w:color="auto" w:fill="CCEEFF"/>
          </w:tcPr>
          <w:p>
            <w:pPr>
              <w:spacing w:after="0"/>
              <w:rPr>
                <w:sz w:val="18"/>
                <w:szCs w:val="18"/>
                <w:color w:val="auto"/>
              </w:rPr>
            </w:pPr>
          </w:p>
        </w:tc>
      </w:tr>
      <w:tr>
        <w:trPr>
          <w:trHeight w:val="216"/>
        </w:trPr>
        <w:tc>
          <w:tcPr>
            <w:tcW w:w="5360" w:type="dxa"/>
            <w:vAlign w:val="bottom"/>
          </w:tcPr>
          <w:p>
            <w:pPr>
              <w:spacing w:after="0"/>
              <w:rPr>
                <w:sz w:val="20"/>
                <w:szCs w:val="20"/>
                <w:color w:val="auto"/>
              </w:rPr>
            </w:pPr>
            <w:r>
              <w:rPr>
                <w:rFonts w:ascii="Arial" w:cs="Arial" w:eastAsia="Arial" w:hAnsi="Arial"/>
                <w:sz w:val="18"/>
                <w:szCs w:val="18"/>
                <w:color w:val="auto"/>
              </w:rPr>
              <w:t>Effect of dilutive securities:</w:t>
            </w:r>
          </w:p>
        </w:tc>
        <w:tc>
          <w:tcPr>
            <w:tcW w:w="1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Common share options and other</w:t>
            </w:r>
          </w:p>
        </w:tc>
        <w:tc>
          <w:tcPr>
            <w:tcW w:w="1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37,133</w:t>
            </w: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5360" w:type="dxa"/>
            <w:vAlign w:val="bottom"/>
          </w:tcPr>
          <w:p>
            <w:pPr>
              <w:ind w:left="440"/>
              <w:spacing w:after="0"/>
              <w:rPr>
                <w:sz w:val="20"/>
                <w:szCs w:val="20"/>
                <w:color w:val="auto"/>
              </w:rPr>
            </w:pPr>
            <w:r>
              <w:rPr>
                <w:rFonts w:ascii="Arial" w:cs="Arial" w:eastAsia="Arial" w:hAnsi="Arial"/>
                <w:sz w:val="18"/>
                <w:szCs w:val="18"/>
                <w:color w:val="auto"/>
              </w:rPr>
              <w:t>Weighted average shares — diluted</w:t>
            </w:r>
          </w:p>
        </w:tc>
        <w:tc>
          <w:tcPr>
            <w:tcW w:w="1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6"/>
              </w:rPr>
              <w:t>678,059</w:t>
            </w: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618,677</w:t>
            </w:r>
          </w:p>
        </w:tc>
        <w:tc>
          <w:tcPr>
            <w:tcW w:w="120" w:type="dxa"/>
            <w:vAlign w:val="bottom"/>
          </w:tcPr>
          <w:p>
            <w:pPr>
              <w:spacing w:after="0"/>
              <w:rPr>
                <w:sz w:val="18"/>
                <w:szCs w:val="18"/>
                <w:color w:val="auto"/>
              </w:rPr>
            </w:pPr>
          </w:p>
        </w:tc>
      </w:tr>
      <w:tr>
        <w:trPr>
          <w:trHeight w:val="216"/>
        </w:trPr>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 per share:</w:t>
            </w:r>
          </w:p>
        </w:tc>
        <w:tc>
          <w:tcPr>
            <w:tcW w:w="1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5360" w:type="dxa"/>
            <w:vAlign w:val="bottom"/>
          </w:tcPr>
          <w:p>
            <w:pPr>
              <w:ind w:left="440"/>
              <w:spacing w:after="0"/>
              <w:rPr>
                <w:sz w:val="20"/>
                <w:szCs w:val="20"/>
                <w:color w:val="auto"/>
              </w:rPr>
            </w:pPr>
            <w:r>
              <w:rPr>
                <w:rFonts w:ascii="Arial" w:cs="Arial" w:eastAsia="Arial" w:hAnsi="Arial"/>
                <w:sz w:val="18"/>
                <w:szCs w:val="18"/>
                <w:color w:val="auto"/>
              </w:rPr>
              <w:t>Basic</w:t>
            </w:r>
          </w:p>
        </w:tc>
        <w:tc>
          <w:tcPr>
            <w:tcW w:w="1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0.32</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(0.18)</w:t>
            </w:r>
          </w:p>
        </w:tc>
      </w:tr>
      <w:tr>
        <w:trPr>
          <w:trHeight w:val="216"/>
        </w:trPr>
        <w:tc>
          <w:tcPr>
            <w:tcW w:w="53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Diluted</w:t>
            </w:r>
          </w:p>
        </w:tc>
        <w:tc>
          <w:tcPr>
            <w:tcW w:w="1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0.30</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(0.18)</w:t>
            </w:r>
          </w:p>
        </w:tc>
      </w:tr>
    </w:tbl>
    <w:p>
      <w:pPr>
        <w:spacing w:after="0" w:line="154" w:lineRule="exact"/>
        <w:rPr>
          <w:sz w:val="20"/>
          <w:szCs w:val="20"/>
          <w:color w:val="auto"/>
        </w:rPr>
      </w:pPr>
    </w:p>
    <w:p>
      <w:pPr>
        <w:jc w:val="both"/>
        <w:ind w:right="280" w:firstLine="456"/>
        <w:spacing w:after="0" w:line="298" w:lineRule="auto"/>
        <w:rPr>
          <w:sz w:val="20"/>
          <w:szCs w:val="20"/>
          <w:color w:val="auto"/>
        </w:rPr>
      </w:pPr>
      <w:r>
        <w:rPr>
          <w:rFonts w:ascii="Arial" w:cs="Arial" w:eastAsia="Arial" w:hAnsi="Arial"/>
          <w:sz w:val="16"/>
          <w:szCs w:val="16"/>
          <w:color w:val="auto"/>
        </w:rPr>
        <w:t>Options to purchase 9.2 million common shares at a weighted average exercise price of $22.63 have been excluded from the computation of diluted net income per share for the three months ended May 1, 2010 because their exercise price was greater than the share price of the Company’s common shares and therefore, the effect would have been anti-dilutive. The effects of common share options, restricted stock and other securities totaling 17.1 million shares were excluded from diluted net loss per share for the three months ended May 2, 2009 as they would be anti-dilutive in net loss periods.</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Comprehensive income (loss) (in thousands)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changes in the components of other comprehensive income (loss) were as follows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920" w:type="dxa"/>
            <w:vAlign w:val="bottom"/>
          </w:tcPr>
          <w:p>
            <w:pPr>
              <w:spacing w:after="0"/>
              <w:rPr>
                <w:sz w:val="14"/>
                <w:szCs w:val="14"/>
                <w:color w:val="auto"/>
              </w:rPr>
            </w:pPr>
          </w:p>
        </w:tc>
        <w:tc>
          <w:tcPr>
            <w:tcW w:w="60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940" w:type="dxa"/>
            <w:vAlign w:val="bottom"/>
            <w:gridSpan w:val="6"/>
          </w:tcPr>
          <w:p>
            <w:pPr>
              <w:jc w:val="right"/>
              <w:ind w:right="42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920" w:type="dxa"/>
            <w:vAlign w:val="bottom"/>
          </w:tcPr>
          <w:p>
            <w:pPr>
              <w:spacing w:after="0"/>
              <w:rPr>
                <w:sz w:val="11"/>
                <w:szCs w:val="11"/>
                <w:color w:val="auto"/>
              </w:rPr>
            </w:pPr>
          </w:p>
        </w:tc>
        <w:tc>
          <w:tcPr>
            <w:tcW w:w="60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80" w:type="dxa"/>
            <w:vAlign w:val="bottom"/>
            <w:tcBorders>
              <w:top w:val="single" w:sz="8" w:color="auto"/>
            </w:tcBorders>
            <w:gridSpan w:val="2"/>
          </w:tcPr>
          <w:p>
            <w:pPr>
              <w:jc w:val="right"/>
              <w:ind w:right="140"/>
              <w:spacing w:after="0" w:line="129" w:lineRule="exact"/>
              <w:rPr>
                <w:sz w:val="20"/>
                <w:szCs w:val="20"/>
                <w:color w:val="auto"/>
              </w:rPr>
            </w:pPr>
            <w:r>
              <w:rPr>
                <w:rFonts w:ascii="Arial" w:cs="Arial" w:eastAsia="Arial" w:hAnsi="Arial"/>
                <w:sz w:val="14"/>
                <w:szCs w:val="14"/>
                <w:b w:val="1"/>
                <w:bCs w:val="1"/>
                <w:color w:val="auto"/>
              </w:rPr>
              <w:t>May 1,</w:t>
            </w:r>
          </w:p>
        </w:tc>
        <w:tc>
          <w:tcPr>
            <w:tcW w:w="46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center"/>
              <w:ind w:right="58"/>
              <w:spacing w:after="0" w:line="129" w:lineRule="exact"/>
              <w:rPr>
                <w:sz w:val="20"/>
                <w:szCs w:val="20"/>
                <w:color w:val="auto"/>
              </w:rPr>
            </w:pPr>
            <w:r>
              <w:rPr>
                <w:rFonts w:ascii="Arial" w:cs="Arial" w:eastAsia="Arial" w:hAnsi="Arial"/>
                <w:sz w:val="14"/>
                <w:szCs w:val="14"/>
                <w:b w:val="1"/>
                <w:bCs w:val="1"/>
                <w:color w:val="auto"/>
                <w:w w:val="93"/>
              </w:rPr>
              <w:t>May 2,</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6060" w:type="dxa"/>
            <w:vAlign w:val="bottom"/>
          </w:tcPr>
          <w:p>
            <w:pPr>
              <w:spacing w:after="0"/>
              <w:rPr>
                <w:sz w:val="14"/>
                <w:szCs w:val="14"/>
                <w:color w:val="auto"/>
              </w:rPr>
            </w:pPr>
          </w:p>
        </w:tc>
        <w:tc>
          <w:tcPr>
            <w:tcW w:w="680" w:type="dxa"/>
            <w:vAlign w:val="bottom"/>
            <w:gridSpan w:val="2"/>
          </w:tcPr>
          <w:p>
            <w:pPr>
              <w:spacing w:after="0"/>
              <w:rPr>
                <w:sz w:val="14"/>
                <w:szCs w:val="14"/>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2010</w:t>
            </w:r>
          </w:p>
        </w:tc>
        <w:tc>
          <w:tcPr>
            <w:tcW w:w="180" w:type="dxa"/>
            <w:vAlign w:val="bottom"/>
            <w:tcBorders>
              <w:bottom w:val="single" w:sz="8" w:color="auto"/>
            </w:tcBorders>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58"/>
              <w:spacing w:after="0"/>
              <w:rPr>
                <w:sz w:val="20"/>
                <w:szCs w:val="20"/>
                <w:color w:val="auto"/>
              </w:rPr>
            </w:pPr>
            <w:r>
              <w:rPr>
                <w:rFonts w:ascii="Arial" w:cs="Arial" w:eastAsia="Arial" w:hAnsi="Arial"/>
                <w:sz w:val="14"/>
                <w:szCs w:val="14"/>
                <w:b w:val="1"/>
                <w:bCs w:val="1"/>
                <w:color w:val="auto"/>
                <w:w w:val="89"/>
              </w:rPr>
              <w:t>2009</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13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$205,767</w:t>
            </w:r>
          </w:p>
        </w:tc>
        <w:tc>
          <w:tcPr>
            <w:tcW w:w="126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 (111,457)</w:t>
            </w: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060" w:type="dxa"/>
            <w:vAlign w:val="bottom"/>
          </w:tcPr>
          <w:p>
            <w:pPr>
              <w:spacing w:after="0"/>
              <w:rPr>
                <w:sz w:val="20"/>
                <w:szCs w:val="20"/>
                <w:color w:val="auto"/>
              </w:rPr>
            </w:pPr>
            <w:r>
              <w:rPr>
                <w:rFonts w:ascii="Arial" w:cs="Arial" w:eastAsia="Arial" w:hAnsi="Arial"/>
                <w:sz w:val="18"/>
                <w:szCs w:val="18"/>
                <w:color w:val="auto"/>
              </w:rPr>
              <w:t>Other comprehensive income</w:t>
            </w: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0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Change in unrealized gain on marketable securities</w:t>
            </w:r>
          </w:p>
        </w:tc>
        <w:tc>
          <w:tcPr>
            <w:tcW w:w="13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126</w:t>
            </w:r>
          </w:p>
        </w:tc>
        <w:tc>
          <w:tcPr>
            <w:tcW w:w="46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060" w:type="dxa"/>
            <w:vAlign w:val="bottom"/>
          </w:tcPr>
          <w:p>
            <w:pPr>
              <w:ind w:left="440"/>
              <w:spacing w:after="0"/>
              <w:rPr>
                <w:sz w:val="20"/>
                <w:szCs w:val="20"/>
                <w:color w:val="auto"/>
              </w:rPr>
            </w:pPr>
            <w:r>
              <w:rPr>
                <w:rFonts w:ascii="Arial" w:cs="Arial" w:eastAsia="Arial" w:hAnsi="Arial"/>
                <w:sz w:val="18"/>
                <w:szCs w:val="18"/>
                <w:color w:val="auto"/>
              </w:rPr>
              <w:t>Change in unrealized gain (loss) on cash flow hedges</w:t>
            </w:r>
          </w:p>
        </w:tc>
        <w:tc>
          <w:tcPr>
            <w:tcW w:w="1360" w:type="dxa"/>
            <w:vAlign w:val="bottom"/>
            <w:gridSpan w:val="4"/>
          </w:tcPr>
          <w:p>
            <w:pPr>
              <w:jc w:val="right"/>
              <w:spacing w:after="0"/>
              <w:rPr>
                <w:sz w:val="20"/>
                <w:szCs w:val="20"/>
                <w:color w:val="auto"/>
              </w:rPr>
            </w:pPr>
            <w:r>
              <w:rPr>
                <w:rFonts w:ascii="Arial" w:cs="Arial" w:eastAsia="Arial" w:hAnsi="Arial"/>
                <w:sz w:val="18"/>
                <w:szCs w:val="18"/>
                <w:color w:val="auto"/>
              </w:rPr>
              <w:t>199</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rPr>
              <w:t>(1,076)</w:t>
            </w: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0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Change in other</w:t>
            </w:r>
          </w:p>
        </w:tc>
        <w:tc>
          <w:tcPr>
            <w:tcW w:w="6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46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(886)</w:t>
            </w:r>
          </w:p>
        </w:tc>
        <w:tc>
          <w:tcPr>
            <w:tcW w:w="0" w:type="dxa"/>
            <w:vAlign w:val="bottom"/>
          </w:tcPr>
          <w:p>
            <w:pPr>
              <w:spacing w:after="0"/>
              <w:rPr>
                <w:sz w:val="1"/>
                <w:szCs w:val="1"/>
                <w:color w:val="auto"/>
              </w:rPr>
            </w:pPr>
          </w:p>
        </w:tc>
      </w:tr>
      <w:tr>
        <w:trPr>
          <w:trHeight w:val="20"/>
        </w:trPr>
        <w:tc>
          <w:tcPr>
            <w:tcW w:w="6980" w:type="dxa"/>
            <w:vAlign w:val="bottom"/>
            <w:gridSpan w:val="2"/>
            <w:vMerge w:val="restart"/>
          </w:tcPr>
          <w:p>
            <w:pPr>
              <w:ind w:left="920"/>
              <w:spacing w:after="0"/>
              <w:rPr>
                <w:sz w:val="20"/>
                <w:szCs w:val="20"/>
                <w:color w:val="auto"/>
              </w:rPr>
            </w:pPr>
            <w:r>
              <w:rPr>
                <w:rFonts w:ascii="Arial" w:cs="Arial" w:eastAsia="Arial" w:hAnsi="Arial"/>
                <w:sz w:val="18"/>
                <w:szCs w:val="18"/>
                <w:color w:val="auto"/>
              </w:rPr>
              <w:t>Total comprehensive income (loss)</w:t>
            </w:r>
          </w:p>
        </w:tc>
        <w:tc>
          <w:tcPr>
            <w:tcW w:w="6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460" w:type="dxa"/>
            <w:vAlign w:val="bottom"/>
            <w:tcBorders>
              <w:right w:val="single" w:sz="8" w:color="auto"/>
            </w:tcBorders>
          </w:tcPr>
          <w:p>
            <w:pPr>
              <w:spacing w:after="0" w:line="20" w:lineRule="exact"/>
              <w:rPr>
                <w:sz w:val="1"/>
                <w:szCs w:val="1"/>
                <w:color w:val="auto"/>
              </w:rPr>
            </w:pPr>
          </w:p>
        </w:tc>
        <w:tc>
          <w:tcPr>
            <w:tcW w:w="680" w:type="dxa"/>
            <w:vAlign w:val="bottom"/>
            <w:gridSpan w:val="2"/>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6980" w:type="dxa"/>
            <w:vAlign w:val="bottom"/>
            <w:gridSpan w:val="2"/>
            <w:vMerge w:val="continue"/>
          </w:tcPr>
          <w:p>
            <w:pPr>
              <w:spacing w:after="0"/>
              <w:rPr>
                <w:sz w:val="19"/>
                <w:szCs w:val="19"/>
                <w:color w:val="auto"/>
              </w:rPr>
            </w:pPr>
          </w:p>
        </w:tc>
        <w:tc>
          <w:tcPr>
            <w:tcW w:w="1360" w:type="dxa"/>
            <w:vAlign w:val="bottom"/>
            <w:gridSpan w:val="4"/>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206,092</w:t>
            </w:r>
          </w:p>
        </w:tc>
        <w:tc>
          <w:tcPr>
            <w:tcW w:w="1260" w:type="dxa"/>
            <w:vAlign w:val="bottom"/>
            <w:gridSpan w:val="4"/>
          </w:tcPr>
          <w:p>
            <w:pPr>
              <w:jc w:val="right"/>
              <w:ind w:right="6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 xml:space="preserve"> (113,419)</w:t>
            </w:r>
          </w:p>
        </w:tc>
        <w:tc>
          <w:tcPr>
            <w:tcW w:w="0" w:type="dxa"/>
            <w:vAlign w:val="bottom"/>
          </w:tcPr>
          <w:p>
            <w:pPr>
              <w:spacing w:after="0"/>
              <w:rPr>
                <w:sz w:val="1"/>
                <w:szCs w:val="1"/>
                <w:color w:val="auto"/>
              </w:rPr>
            </w:pPr>
          </w:p>
        </w:tc>
      </w:tr>
      <w:tr>
        <w:trPr>
          <w:trHeight w:val="20"/>
        </w:trPr>
        <w:tc>
          <w:tcPr>
            <w:tcW w:w="6980" w:type="dxa"/>
            <w:vAlign w:val="bottom"/>
            <w:gridSpan w:val="2"/>
            <w:vMerge w:val="restart"/>
          </w:tcPr>
          <w:p>
            <w:pPr>
              <w:spacing w:after="0"/>
              <w:rPr>
                <w:sz w:val="20"/>
                <w:szCs w:val="20"/>
                <w:color w:val="auto"/>
              </w:rPr>
            </w:pPr>
            <w:r>
              <w:rPr>
                <w:rFonts w:ascii="Arial" w:cs="Arial" w:eastAsia="Arial" w:hAnsi="Arial"/>
                <w:sz w:val="18"/>
                <w:szCs w:val="18"/>
                <w:color w:val="auto"/>
                <w:w w:val="96"/>
              </w:rPr>
              <w:t>The components of accumulated other comprehensive loss were as follows (in thousands):</w:t>
            </w:r>
          </w:p>
        </w:tc>
        <w:tc>
          <w:tcPr>
            <w:tcW w:w="6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2"/>
        </w:trPr>
        <w:tc>
          <w:tcPr>
            <w:tcW w:w="6980" w:type="dxa"/>
            <w:vAlign w:val="bottom"/>
            <w:gridSpan w:val="2"/>
            <w:vMerge w:val="continue"/>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920" w:type="dxa"/>
            <w:vAlign w:val="bottom"/>
          </w:tcPr>
          <w:p>
            <w:pPr>
              <w:spacing w:after="0"/>
              <w:rPr>
                <w:sz w:val="24"/>
                <w:szCs w:val="24"/>
                <w:color w:val="auto"/>
              </w:rPr>
            </w:pPr>
          </w:p>
        </w:tc>
        <w:tc>
          <w:tcPr>
            <w:tcW w:w="60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8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w w:val="88"/>
              </w:rPr>
              <w:t>May 1,</w:t>
            </w:r>
          </w:p>
        </w:tc>
        <w:tc>
          <w:tcPr>
            <w:tcW w:w="460" w:type="dxa"/>
            <w:vAlign w:val="bottom"/>
          </w:tcPr>
          <w:p>
            <w:pPr>
              <w:spacing w:after="0"/>
              <w:rPr>
                <w:sz w:val="24"/>
                <w:szCs w:val="24"/>
                <w:color w:val="auto"/>
              </w:rPr>
            </w:pPr>
          </w:p>
        </w:tc>
        <w:tc>
          <w:tcPr>
            <w:tcW w:w="80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88"/>
              </w:rPr>
              <w:t>January 30,</w:t>
            </w: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60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560" w:type="dxa"/>
            <w:vAlign w:val="bottom"/>
            <w:tcBorders>
              <w:bottom w:val="single" w:sz="8" w:color="auto"/>
            </w:tcBorders>
            <w:gridSpan w:val="2"/>
          </w:tcPr>
          <w:p>
            <w:pPr>
              <w:jc w:val="right"/>
              <w:ind w:right="88"/>
              <w:spacing w:after="0"/>
              <w:rPr>
                <w:sz w:val="20"/>
                <w:szCs w:val="20"/>
                <w:color w:val="auto"/>
              </w:rPr>
            </w:pPr>
            <w:r>
              <w:rPr>
                <w:rFonts w:ascii="Arial" w:cs="Arial" w:eastAsia="Arial" w:hAnsi="Arial"/>
                <w:sz w:val="14"/>
                <w:szCs w:val="14"/>
                <w:b w:val="1"/>
                <w:bCs w:val="1"/>
                <w:color w:val="auto"/>
              </w:rPr>
              <w:t>2010</w:t>
            </w:r>
          </w:p>
        </w:tc>
        <w:tc>
          <w:tcPr>
            <w:tcW w:w="1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18"/>
              <w:spacing w:after="0"/>
              <w:rPr>
                <w:sz w:val="20"/>
                <w:szCs w:val="20"/>
                <w:color w:val="auto"/>
              </w:rPr>
            </w:pPr>
            <w:r>
              <w:rPr>
                <w:rFonts w:ascii="Arial" w:cs="Arial" w:eastAsia="Arial" w:hAnsi="Arial"/>
                <w:sz w:val="14"/>
                <w:szCs w:val="14"/>
                <w:b w:val="1"/>
                <w:bCs w:val="1"/>
                <w:color w:val="auto"/>
                <w:w w:val="89"/>
              </w:rPr>
              <w:t>2010</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on marketable securities, net of taxes</w:t>
            </w: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$ 1,210</w:t>
            </w:r>
          </w:p>
        </w:tc>
        <w:tc>
          <w:tcPr>
            <w:tcW w:w="18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060" w:type="dxa"/>
            <w:vAlign w:val="bottom"/>
          </w:tcPr>
          <w:p>
            <w:pPr>
              <w:spacing w:after="0"/>
              <w:rPr>
                <w:sz w:val="20"/>
                <w:szCs w:val="20"/>
                <w:color w:val="auto"/>
              </w:rPr>
            </w:pPr>
            <w:r>
              <w:rPr>
                <w:rFonts w:ascii="Arial" w:cs="Arial" w:eastAsia="Arial" w:hAnsi="Arial"/>
                <w:sz w:val="18"/>
                <w:szCs w:val="18"/>
                <w:color w:val="auto"/>
              </w:rPr>
              <w:t>Unrealized loss on auction rate securities</w:t>
            </w:r>
          </w:p>
        </w:tc>
        <w:tc>
          <w:tcPr>
            <w:tcW w:w="1360" w:type="dxa"/>
            <w:vAlign w:val="bottom"/>
            <w:gridSpan w:val="4"/>
          </w:tcPr>
          <w:p>
            <w:pPr>
              <w:jc w:val="right"/>
              <w:ind w:right="140"/>
              <w:spacing w:after="0"/>
              <w:rPr>
                <w:sz w:val="20"/>
                <w:szCs w:val="20"/>
                <w:color w:val="auto"/>
              </w:rPr>
            </w:pPr>
            <w:r>
              <w:rPr>
                <w:rFonts w:ascii="Arial" w:cs="Arial" w:eastAsia="Arial" w:hAnsi="Arial"/>
                <w:sz w:val="18"/>
                <w:szCs w:val="18"/>
                <w:color w:val="auto"/>
              </w:rPr>
              <w:t>(2,315)</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rPr>
              <w:t>(2,319)</w:t>
            </w: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on cash flow hedges, net of taxes</w:t>
            </w: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540</w:t>
            </w:r>
          </w:p>
        </w:tc>
        <w:tc>
          <w:tcPr>
            <w:tcW w:w="180" w:type="dxa"/>
            <w:vAlign w:val="bottom"/>
            <w:shd w:val="clear" w:color="auto" w:fill="CCEEFF"/>
          </w:tcPr>
          <w:p>
            <w:pPr>
              <w:spacing w:after="0"/>
              <w:rPr>
                <w:sz w:val="18"/>
                <w:szCs w:val="18"/>
                <w:color w:val="auto"/>
              </w:rPr>
            </w:pPr>
          </w:p>
        </w:tc>
        <w:tc>
          <w:tcPr>
            <w:tcW w:w="46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0" w:type="dxa"/>
            <w:vAlign w:val="bottom"/>
          </w:tcPr>
          <w:p>
            <w:pPr>
              <w:spacing w:after="0"/>
              <w:rPr>
                <w:sz w:val="19"/>
                <w:szCs w:val="19"/>
                <w:color w:val="auto"/>
              </w:rPr>
            </w:pPr>
          </w:p>
        </w:tc>
        <w:tc>
          <w:tcPr>
            <w:tcW w:w="6060" w:type="dxa"/>
            <w:vAlign w:val="bottom"/>
          </w:tcPr>
          <w:p>
            <w:pPr>
              <w:spacing w:after="0"/>
              <w:rPr>
                <w:sz w:val="20"/>
                <w:szCs w:val="20"/>
                <w:color w:val="auto"/>
              </w:rPr>
            </w:pPr>
            <w:r>
              <w:rPr>
                <w:rFonts w:ascii="Arial" w:cs="Arial" w:eastAsia="Arial" w:hAnsi="Arial"/>
                <w:sz w:val="18"/>
                <w:szCs w:val="18"/>
                <w:color w:val="auto"/>
              </w:rPr>
              <w:t>Other</w:t>
            </w:r>
          </w:p>
        </w:tc>
        <w:tc>
          <w:tcPr>
            <w:tcW w:w="620" w:type="dxa"/>
            <w:vAlign w:val="bottom"/>
          </w:tcPr>
          <w:p>
            <w:pPr>
              <w:spacing w:after="0"/>
              <w:rPr>
                <w:sz w:val="19"/>
                <w:szCs w:val="19"/>
                <w:color w:val="auto"/>
              </w:rPr>
            </w:pPr>
          </w:p>
        </w:tc>
        <w:tc>
          <w:tcPr>
            <w:tcW w:w="56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5</w:t>
            </w:r>
          </w:p>
        </w:tc>
        <w:tc>
          <w:tcPr>
            <w:tcW w:w="1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Accumulated other comprehensive loss</w:t>
            </w:r>
          </w:p>
        </w:tc>
        <w:tc>
          <w:tcPr>
            <w:tcW w:w="1360" w:type="dxa"/>
            <w:vAlign w:val="bottom"/>
            <w:gridSpan w:val="4"/>
            <w:shd w:val="clear" w:color="auto" w:fill="CCEEFF"/>
          </w:tcPr>
          <w:p>
            <w:pPr>
              <w:jc w:val="right"/>
              <w:ind w:right="140"/>
              <w:spacing w:after="0"/>
              <w:rPr>
                <w:sz w:val="20"/>
                <w:szCs w:val="20"/>
                <w:color w:val="auto"/>
              </w:rPr>
            </w:pPr>
            <w:r>
              <w:rPr>
                <w:rFonts w:ascii="Arial" w:cs="Arial" w:eastAsia="Arial" w:hAnsi="Arial"/>
                <w:sz w:val="18"/>
                <w:szCs w:val="18"/>
                <w:color w:val="auto"/>
              </w:rPr>
              <w:t>$  (560)</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(885)</w:t>
            </w: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6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short-term impact of currency fluctuations. The Company’s policy is to enter into foreign currency forward contracts with maturities generally less than 12 months that mitigate the impact of rate fluctuations on certain local currency denominated operating expenses. All derivatives are recorded at fair value in either prepaids and other current assets or accrued liabilities. The Company reports cash flows from derivative instruments in cash flows from operating activities. The Company uses quoted prices to value its derivative instruments.</w:t>
      </w:r>
    </w:p>
    <w:p>
      <w:pPr>
        <w:sectPr>
          <w:pgSz w:w="11900" w:h="16838" w:orient="portrait"/>
          <w:cols w:equalWidth="0" w:num="1">
            <w:col w:w="11400"/>
          </w:cols>
          <w:pgMar w:left="240" w:top="459" w:right="259" w:bottom="1440" w:gutter="0" w:footer="0" w:header="0"/>
        </w:sectPr>
      </w:pP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12</w:t>
      </w:r>
    </w:p>
    <w:p>
      <w:pPr>
        <w:sectPr>
          <w:pgSz w:w="11900" w:h="16838" w:orient="portrait"/>
          <w:cols w:equalWidth="0" w:num="1">
            <w:col w:w="11400"/>
          </w:cols>
          <w:pgMar w:left="240" w:top="459" w:right="259" w:bottom="1440" w:gutter="0" w:footer="0" w:header="0"/>
          <w:type w:val="continuous"/>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May 1, 2010, the notional amounts of outstanding hedge contracts were as follows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24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560" w:type="dxa"/>
            <w:vAlign w:val="bottom"/>
            <w:tcBorders>
              <w:bottom w:val="single" w:sz="8" w:color="auto"/>
            </w:tcBorders>
            <w:gridSpan w:val="3"/>
          </w:tcPr>
          <w:p>
            <w:pPr>
              <w:ind w:left="580"/>
              <w:spacing w:after="0"/>
              <w:rPr>
                <w:sz w:val="20"/>
                <w:szCs w:val="20"/>
                <w:color w:val="auto"/>
              </w:rPr>
            </w:pPr>
            <w:r>
              <w:rPr>
                <w:rFonts w:ascii="Arial" w:cs="Arial" w:eastAsia="Arial" w:hAnsi="Arial"/>
                <w:sz w:val="14"/>
                <w:szCs w:val="14"/>
                <w:b w:val="1"/>
                <w:bCs w:val="1"/>
                <w:color w:val="auto"/>
              </w:rPr>
              <w:t>May 1, 2010</w:t>
            </w:r>
          </w:p>
        </w:tc>
        <w:tc>
          <w:tcPr>
            <w:tcW w:w="500" w:type="dxa"/>
            <w:vAlign w:val="bottom"/>
            <w:tcBorders>
              <w:bottom w:val="single" w:sz="8" w:color="auto"/>
            </w:tcBorders>
          </w:tcPr>
          <w:p>
            <w:pPr>
              <w:spacing w:after="0"/>
              <w:rPr>
                <w:sz w:val="14"/>
                <w:szCs w:val="14"/>
                <w:color w:val="auto"/>
              </w:rPr>
            </w:pPr>
          </w:p>
        </w:tc>
        <w:tc>
          <w:tcPr>
            <w:tcW w:w="60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500" w:type="dxa"/>
            <w:vAlign w:val="bottom"/>
            <w:tcBorders>
              <w:bottom w:val="single" w:sz="8" w:color="auto"/>
            </w:tcBorders>
            <w:gridSpan w:val="3"/>
          </w:tcPr>
          <w:p>
            <w:pPr>
              <w:ind w:left="420"/>
              <w:spacing w:after="0"/>
              <w:rPr>
                <w:sz w:val="20"/>
                <w:szCs w:val="20"/>
                <w:color w:val="auto"/>
              </w:rPr>
            </w:pPr>
            <w:r>
              <w:rPr>
                <w:rFonts w:ascii="Arial" w:cs="Arial" w:eastAsia="Arial" w:hAnsi="Arial"/>
                <w:sz w:val="14"/>
                <w:szCs w:val="14"/>
                <w:b w:val="1"/>
                <w:bCs w:val="1"/>
                <w:color w:val="auto"/>
                <w:w w:val="94"/>
              </w:rPr>
              <w:t>January 30, 2010</w:t>
            </w:r>
          </w:p>
        </w:tc>
        <w:tc>
          <w:tcPr>
            <w:tcW w:w="56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240" w:type="dxa"/>
            <w:vAlign w:val="bottom"/>
          </w:tcPr>
          <w:p>
            <w:pPr>
              <w:spacing w:after="0"/>
              <w:rPr>
                <w:sz w:val="12"/>
                <w:szCs w:val="12"/>
                <w:color w:val="auto"/>
              </w:rPr>
            </w:pPr>
          </w:p>
        </w:tc>
        <w:tc>
          <w:tcPr>
            <w:tcW w:w="1460" w:type="dxa"/>
            <w:vAlign w:val="bottom"/>
            <w:gridSpan w:val="3"/>
          </w:tcPr>
          <w:p>
            <w:pPr>
              <w:spacing w:after="0" w:line="142" w:lineRule="exact"/>
              <w:rPr>
                <w:sz w:val="20"/>
                <w:szCs w:val="20"/>
                <w:color w:val="auto"/>
              </w:rPr>
            </w:pPr>
            <w:r>
              <w:rPr>
                <w:rFonts w:ascii="Arial" w:cs="Arial" w:eastAsia="Arial" w:hAnsi="Arial"/>
                <w:sz w:val="14"/>
                <w:szCs w:val="14"/>
                <w:b w:val="1"/>
                <w:bCs w:val="1"/>
                <w:color w:val="auto"/>
              </w:rPr>
              <w:t>Buy Contracts</w:t>
            </w:r>
          </w:p>
        </w:tc>
        <w:tc>
          <w:tcPr>
            <w:tcW w:w="820" w:type="dxa"/>
            <w:vAlign w:val="bottom"/>
            <w:gridSpan w:val="2"/>
          </w:tcPr>
          <w:p>
            <w:pPr>
              <w:spacing w:after="0" w:line="142" w:lineRule="exact"/>
              <w:rPr>
                <w:sz w:val="20"/>
                <w:szCs w:val="20"/>
                <w:color w:val="auto"/>
              </w:rPr>
            </w:pPr>
            <w:r>
              <w:rPr>
                <w:rFonts w:ascii="Arial" w:cs="Arial" w:eastAsia="Arial" w:hAnsi="Arial"/>
                <w:sz w:val="14"/>
                <w:szCs w:val="14"/>
                <w:b w:val="1"/>
                <w:bCs w:val="1"/>
                <w:color w:val="auto"/>
                <w:w w:val="84"/>
              </w:rPr>
              <w:t>Sell Contracts</w:t>
            </w:r>
          </w:p>
        </w:tc>
        <w:tc>
          <w:tcPr>
            <w:tcW w:w="600" w:type="dxa"/>
            <w:vAlign w:val="bottom"/>
          </w:tcPr>
          <w:p>
            <w:pPr>
              <w:spacing w:after="0"/>
              <w:rPr>
                <w:sz w:val="12"/>
                <w:szCs w:val="12"/>
                <w:color w:val="auto"/>
              </w:rPr>
            </w:pPr>
          </w:p>
        </w:tc>
        <w:tc>
          <w:tcPr>
            <w:tcW w:w="1440" w:type="dxa"/>
            <w:vAlign w:val="bottom"/>
            <w:gridSpan w:val="3"/>
          </w:tcPr>
          <w:p>
            <w:pPr>
              <w:spacing w:after="0" w:line="142" w:lineRule="exact"/>
              <w:rPr>
                <w:sz w:val="20"/>
                <w:szCs w:val="20"/>
                <w:color w:val="auto"/>
              </w:rPr>
            </w:pPr>
            <w:r>
              <w:rPr>
                <w:rFonts w:ascii="Arial" w:cs="Arial" w:eastAsia="Arial" w:hAnsi="Arial"/>
                <w:sz w:val="14"/>
                <w:szCs w:val="14"/>
                <w:b w:val="1"/>
                <w:bCs w:val="1"/>
                <w:color w:val="auto"/>
              </w:rPr>
              <w:t>Buy Contracts</w:t>
            </w:r>
          </w:p>
        </w:tc>
        <w:tc>
          <w:tcPr>
            <w:tcW w:w="840" w:type="dxa"/>
            <w:vAlign w:val="bottom"/>
            <w:gridSpan w:val="2"/>
          </w:tcPr>
          <w:p>
            <w:pPr>
              <w:ind w:left="20"/>
              <w:spacing w:after="0" w:line="142" w:lineRule="exact"/>
              <w:rPr>
                <w:sz w:val="20"/>
                <w:szCs w:val="20"/>
                <w:color w:val="auto"/>
              </w:rPr>
            </w:pPr>
            <w:r>
              <w:rPr>
                <w:rFonts w:ascii="Arial" w:cs="Arial" w:eastAsia="Arial" w:hAnsi="Arial"/>
                <w:sz w:val="14"/>
                <w:szCs w:val="14"/>
                <w:b w:val="1"/>
                <w:bCs w:val="1"/>
                <w:color w:val="auto"/>
                <w:w w:val="84"/>
              </w:rPr>
              <w:t>Sell Contracts</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524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Israeli shekel</w:t>
            </w: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49,582</w:t>
            </w:r>
          </w:p>
        </w:tc>
        <w:tc>
          <w:tcPr>
            <w:tcW w:w="6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22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29,512</w:t>
            </w:r>
          </w:p>
        </w:tc>
        <w:tc>
          <w:tcPr>
            <w:tcW w:w="2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(1,163)</w:t>
            </w:r>
          </w:p>
        </w:tc>
        <w:tc>
          <w:tcPr>
            <w:tcW w:w="0" w:type="dxa"/>
            <w:vAlign w:val="bottom"/>
          </w:tcPr>
          <w:p>
            <w:pPr>
              <w:spacing w:after="0"/>
              <w:rPr>
                <w:sz w:val="1"/>
                <w:szCs w:val="1"/>
                <w:color w:val="auto"/>
              </w:rPr>
            </w:pPr>
          </w:p>
        </w:tc>
      </w:tr>
      <w:tr>
        <w:trPr>
          <w:trHeight w:val="20"/>
        </w:trPr>
        <w:tc>
          <w:tcPr>
            <w:tcW w:w="5240" w:type="dxa"/>
            <w:vAlign w:val="bottom"/>
            <w:vMerge w:val="restart"/>
          </w:tcPr>
          <w:p>
            <w:pPr>
              <w:spacing w:after="0"/>
              <w:rPr>
                <w:sz w:val="20"/>
                <w:szCs w:val="20"/>
                <w:color w:val="auto"/>
              </w:rPr>
            </w:pPr>
            <w:r>
              <w:rPr>
                <w:rFonts w:ascii="Arial" w:cs="Arial" w:eastAsia="Arial" w:hAnsi="Arial"/>
                <w:sz w:val="18"/>
                <w:szCs w:val="18"/>
                <w:color w:val="auto"/>
              </w:rPr>
              <w:t>Total</w:t>
            </w:r>
          </w:p>
        </w:tc>
        <w:tc>
          <w:tcPr>
            <w:tcW w:w="2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240" w:type="dxa"/>
            <w:vAlign w:val="bottom"/>
            <w:vMerge w:val="continue"/>
          </w:tcPr>
          <w:p>
            <w:pPr>
              <w:spacing w:after="0"/>
              <w:rPr>
                <w:sz w:val="19"/>
                <w:szCs w:val="19"/>
                <w:color w:val="auto"/>
              </w:rPr>
            </w:pP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49,582</w:t>
            </w:r>
          </w:p>
        </w:tc>
        <w:tc>
          <w:tcPr>
            <w:tcW w:w="620" w:type="dxa"/>
            <w:vAlign w:val="bottom"/>
          </w:tcPr>
          <w:p>
            <w:pPr>
              <w:spacing w:after="0"/>
              <w:rPr>
                <w:sz w:val="19"/>
                <w:szCs w:val="19"/>
                <w:color w:val="auto"/>
              </w:rPr>
            </w:pPr>
          </w:p>
        </w:tc>
        <w:tc>
          <w:tcPr>
            <w:tcW w:w="320" w:type="dxa"/>
            <w:vAlign w:val="bottom"/>
          </w:tcPr>
          <w:p>
            <w:pPr>
              <w:spacing w:after="0"/>
              <w:rPr>
                <w:sz w:val="20"/>
                <w:szCs w:val="20"/>
                <w:color w:val="auto"/>
              </w:rPr>
            </w:pPr>
            <w:r>
              <w:rPr>
                <w:rFonts w:ascii="Arial" w:cs="Arial" w:eastAsia="Arial" w:hAnsi="Arial"/>
                <w:sz w:val="18"/>
                <w:szCs w:val="18"/>
                <w:color w:val="auto"/>
              </w:rPr>
              <w:t>$</w:t>
            </w:r>
          </w:p>
        </w:tc>
        <w:tc>
          <w:tcPr>
            <w:tcW w:w="500" w:type="dxa"/>
            <w:vAlign w:val="bottom"/>
          </w:tcPr>
          <w:p>
            <w:pPr>
              <w:ind w:left="240"/>
              <w:spacing w:after="0"/>
              <w:rPr>
                <w:sz w:val="20"/>
                <w:szCs w:val="20"/>
                <w:color w:val="auto"/>
              </w:rPr>
            </w:pPr>
            <w:r>
              <w:rPr>
                <w:rFonts w:ascii="Arial" w:cs="Arial" w:eastAsia="Arial" w:hAnsi="Arial"/>
                <w:sz w:val="18"/>
                <w:szCs w:val="18"/>
                <w:color w:val="auto"/>
              </w:rPr>
              <w:t>—</w:t>
            </w:r>
          </w:p>
        </w:tc>
        <w:tc>
          <w:tcPr>
            <w:tcW w:w="600" w:type="dxa"/>
            <w:vAlign w:val="bottom"/>
          </w:tcPr>
          <w:p>
            <w:pPr>
              <w:spacing w:after="0"/>
              <w:rPr>
                <w:sz w:val="19"/>
                <w:szCs w:val="19"/>
                <w:color w:val="auto"/>
              </w:rPr>
            </w:pP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1220" w:type="dxa"/>
            <w:vAlign w:val="bottom"/>
            <w:gridSpan w:val="2"/>
          </w:tcPr>
          <w:p>
            <w:pPr>
              <w:jc w:val="right"/>
              <w:ind w:right="600"/>
              <w:spacing w:after="0"/>
              <w:rPr>
                <w:sz w:val="20"/>
                <w:szCs w:val="20"/>
                <w:color w:val="auto"/>
              </w:rPr>
            </w:pPr>
            <w:r>
              <w:rPr>
                <w:rFonts w:ascii="Arial" w:cs="Arial" w:eastAsia="Arial" w:hAnsi="Arial"/>
                <w:sz w:val="18"/>
                <w:szCs w:val="18"/>
                <w:color w:val="auto"/>
              </w:rPr>
              <w:t>29,512</w:t>
            </w:r>
          </w:p>
        </w:tc>
        <w:tc>
          <w:tcPr>
            <w:tcW w:w="280" w:type="dxa"/>
            <w:vAlign w:val="bottom"/>
          </w:tcPr>
          <w:p>
            <w:pPr>
              <w:spacing w:after="0"/>
              <w:rPr>
                <w:sz w:val="20"/>
                <w:szCs w:val="20"/>
                <w:color w:val="auto"/>
              </w:rPr>
            </w:pPr>
            <w:r>
              <w:rPr>
                <w:rFonts w:ascii="Arial" w:cs="Arial" w:eastAsia="Arial" w:hAnsi="Arial"/>
                <w:sz w:val="18"/>
                <w:szCs w:val="18"/>
                <w:color w:val="auto"/>
              </w:rPr>
              <w:t>$</w:t>
            </w:r>
          </w:p>
        </w:tc>
        <w:tc>
          <w:tcPr>
            <w:tcW w:w="660" w:type="dxa"/>
            <w:vAlign w:val="bottom"/>
            <w:gridSpan w:val="2"/>
          </w:tcPr>
          <w:p>
            <w:pPr>
              <w:jc w:val="right"/>
              <w:ind w:right="40"/>
              <w:spacing w:after="0"/>
              <w:rPr>
                <w:sz w:val="20"/>
                <w:szCs w:val="20"/>
                <w:color w:val="auto"/>
              </w:rPr>
            </w:pPr>
            <w:r>
              <w:rPr>
                <w:rFonts w:ascii="Arial" w:cs="Arial" w:eastAsia="Arial" w:hAnsi="Arial"/>
                <w:sz w:val="18"/>
                <w:szCs w:val="18"/>
                <w:color w:val="auto"/>
              </w:rPr>
              <w:t>(1,163)</w:t>
            </w:r>
          </w:p>
        </w:tc>
        <w:tc>
          <w:tcPr>
            <w:tcW w:w="0" w:type="dxa"/>
            <w:vAlign w:val="bottom"/>
          </w:tcPr>
          <w:p>
            <w:pPr>
              <w:spacing w:after="0"/>
              <w:rPr>
                <w:sz w:val="1"/>
                <w:szCs w:val="1"/>
                <w:color w:val="auto"/>
              </w:rPr>
            </w:pPr>
          </w:p>
        </w:tc>
      </w:tr>
      <w:tr>
        <w:trPr>
          <w:trHeight w:val="20"/>
        </w:trPr>
        <w:tc>
          <w:tcPr>
            <w:tcW w:w="524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denominated in Israeli shekels. The Company evaluates and calculates the effectiveness of each hedge at least quarterly. The effective change is recorded in other comprehensive income (“OCI”) and is subsequently reclassified to operating expense when the hedged expense is recognized. Ineffectiveness is recorded in interest and other expense, net.</w:t>
      </w:r>
    </w:p>
    <w:p>
      <w:pPr>
        <w:spacing w:after="0" w:line="143"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i w:val="1"/>
          <w:iCs w:val="1"/>
          <w:color w:val="auto"/>
        </w:rPr>
        <w:t xml:space="preserve">Other Foreign Currency Forward Contracts. </w:t>
      </w:r>
      <w:r>
        <w:rPr>
          <w:rFonts w:ascii="Arial" w:cs="Arial" w:eastAsia="Arial" w:hAnsi="Arial"/>
          <w:sz w:val="18"/>
          <w:szCs w:val="18"/>
          <w:color w:val="auto"/>
        </w:rPr>
        <w:t>The Company enters into foreign currency forward exchange contracts to hedge certain payments</w:t>
      </w:r>
      <w:r>
        <w:rPr>
          <w:rFonts w:ascii="Arial" w:cs="Arial" w:eastAsia="Arial" w:hAnsi="Arial"/>
          <w:sz w:val="18"/>
          <w:szCs w:val="18"/>
          <w:i w:val="1"/>
          <w:iCs w:val="1"/>
          <w:color w:val="auto"/>
        </w:rPr>
        <w:t xml:space="preserve"> </w:t>
      </w:r>
      <w:r>
        <w:rPr>
          <w:rFonts w:ascii="Arial" w:cs="Arial" w:eastAsia="Arial" w:hAnsi="Arial"/>
          <w:sz w:val="18"/>
          <w:szCs w:val="18"/>
          <w:color w:val="auto"/>
        </w:rPr>
        <w:t>denominated in Israeli shekels that it does not designate and document as cash flow or other hedges for accounting purposes. The maturities of these contracts are generally less than 12 months. Gains or losses arising from the remeasurement of these contracts to fair value each period are recorded in interest and other income (expense), net.</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and balance sheet classification of foreign exchange contract derivatives are as follows (in thousands):</w:t>
      </w:r>
    </w:p>
    <w:p>
      <w:pPr>
        <w:spacing w:after="0" w:line="195"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260" w:type="dxa"/>
            <w:vAlign w:val="bottom"/>
          </w:tcPr>
          <w:p>
            <w:pPr>
              <w:spacing w:after="0"/>
              <w:rPr>
                <w:sz w:val="14"/>
                <w:szCs w:val="14"/>
                <w:color w:val="auto"/>
              </w:rPr>
            </w:pPr>
          </w:p>
        </w:tc>
        <w:tc>
          <w:tcPr>
            <w:tcW w:w="1980" w:type="dxa"/>
            <w:vAlign w:val="bottom"/>
            <w:gridSpan w:val="2"/>
          </w:tcPr>
          <w:p>
            <w:pPr>
              <w:ind w:left="1560"/>
              <w:spacing w:after="0"/>
              <w:rPr>
                <w:sz w:val="20"/>
                <w:szCs w:val="20"/>
                <w:color w:val="auto"/>
              </w:rPr>
            </w:pPr>
            <w:r>
              <w:rPr>
                <w:rFonts w:ascii="Arial" w:cs="Arial" w:eastAsia="Arial" w:hAnsi="Arial"/>
                <w:sz w:val="14"/>
                <w:szCs w:val="14"/>
                <w:b w:val="1"/>
                <w:bCs w:val="1"/>
                <w:color w:val="auto"/>
                <w:w w:val="93"/>
              </w:rPr>
              <w:t>May 1,</w:t>
            </w:r>
          </w:p>
        </w:tc>
        <w:tc>
          <w:tcPr>
            <w:tcW w:w="1420" w:type="dxa"/>
            <w:vAlign w:val="bottom"/>
            <w:gridSpan w:val="4"/>
          </w:tcPr>
          <w:p>
            <w:pPr>
              <w:ind w:left="620"/>
              <w:spacing w:after="0"/>
              <w:rPr>
                <w:sz w:val="20"/>
                <w:szCs w:val="20"/>
                <w:color w:val="auto"/>
              </w:rPr>
            </w:pPr>
            <w:r>
              <w:rPr>
                <w:rFonts w:ascii="Arial" w:cs="Arial" w:eastAsia="Arial" w:hAnsi="Arial"/>
                <w:sz w:val="14"/>
                <w:szCs w:val="14"/>
                <w:b w:val="1"/>
                <w:bCs w:val="1"/>
                <w:color w:val="auto"/>
              </w:rPr>
              <w:t>January 30,</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260" w:type="dxa"/>
            <w:vAlign w:val="bottom"/>
          </w:tcPr>
          <w:p>
            <w:pPr>
              <w:spacing w:after="0"/>
              <w:rPr>
                <w:sz w:val="14"/>
                <w:szCs w:val="14"/>
                <w:color w:val="auto"/>
              </w:rPr>
            </w:pPr>
          </w:p>
        </w:tc>
        <w:tc>
          <w:tcPr>
            <w:tcW w:w="1980" w:type="dxa"/>
            <w:vAlign w:val="bottom"/>
            <w:gridSpan w:val="2"/>
          </w:tcPr>
          <w:p>
            <w:pPr>
              <w:jc w:val="center"/>
              <w:ind w:left="1482"/>
              <w:spacing w:after="0"/>
              <w:rPr>
                <w:sz w:val="20"/>
                <w:szCs w:val="20"/>
                <w:color w:val="auto"/>
              </w:rPr>
            </w:pPr>
            <w:r>
              <w:rPr>
                <w:rFonts w:ascii="Arial" w:cs="Arial" w:eastAsia="Arial" w:hAnsi="Arial"/>
                <w:sz w:val="14"/>
                <w:szCs w:val="14"/>
                <w:b w:val="1"/>
                <w:bCs w:val="1"/>
                <w:color w:val="auto"/>
                <w:w w:val="83"/>
              </w:rPr>
              <w:t>2010</w:t>
            </w:r>
          </w:p>
        </w:tc>
        <w:tc>
          <w:tcPr>
            <w:tcW w:w="6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jc w:val="right"/>
              <w:ind w:right="117"/>
              <w:spacing w:after="0"/>
              <w:rPr>
                <w:sz w:val="20"/>
                <w:szCs w:val="20"/>
                <w:color w:val="auto"/>
              </w:rPr>
            </w:pPr>
            <w:r>
              <w:rPr>
                <w:rFonts w:ascii="Arial" w:cs="Arial" w:eastAsia="Arial" w:hAnsi="Arial"/>
                <w:sz w:val="14"/>
                <w:szCs w:val="14"/>
                <w:b w:val="1"/>
                <w:bCs w:val="1"/>
                <w:color w:val="auto"/>
              </w:rPr>
              <w:t>2010</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Prepaids and other current assets:</w:t>
            </w:r>
          </w:p>
        </w:tc>
        <w:tc>
          <w:tcPr>
            <w:tcW w:w="1580" w:type="dxa"/>
            <w:vAlign w:val="bottom"/>
            <w:shd w:val="clear" w:color="auto" w:fill="CCEEFF"/>
          </w:tcPr>
          <w:p>
            <w:pPr>
              <w:spacing w:after="0"/>
              <w:rPr>
                <w:sz w:val="18"/>
                <w:szCs w:val="18"/>
                <w:color w:val="auto"/>
              </w:rPr>
            </w:pPr>
          </w:p>
        </w:tc>
        <w:tc>
          <w:tcPr>
            <w:tcW w:w="400" w:type="dxa"/>
            <w:vAlign w:val="bottom"/>
            <w:tcBorders>
              <w:top w:val="single" w:sz="8" w:color="auto"/>
            </w:tcBorders>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tcPr>
          <w:p>
            <w:pPr>
              <w:spacing w:after="0"/>
              <w:rPr>
                <w:sz w:val="20"/>
                <w:szCs w:val="20"/>
                <w:color w:val="auto"/>
              </w:rPr>
            </w:pPr>
            <w:r>
              <w:rPr>
                <w:rFonts w:ascii="Arial" w:cs="Arial" w:eastAsia="Arial" w:hAnsi="Arial"/>
                <w:sz w:val="18"/>
                <w:szCs w:val="18"/>
                <w:color w:val="auto"/>
              </w:rPr>
              <w:t>Derivative assets designated as hedging instruments:</w:t>
            </w:r>
          </w:p>
        </w:tc>
        <w:tc>
          <w:tcPr>
            <w:tcW w:w="1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flow hedges</w:t>
            </w:r>
          </w:p>
        </w:tc>
        <w:tc>
          <w:tcPr>
            <w:tcW w:w="1980" w:type="dxa"/>
            <w:vAlign w:val="bottom"/>
            <w:gridSpan w:val="2"/>
            <w:shd w:val="clear" w:color="auto" w:fill="CCEEFF"/>
          </w:tcPr>
          <w:p>
            <w:pPr>
              <w:jc w:val="center"/>
              <w:ind w:left="1482"/>
              <w:spacing w:after="0"/>
              <w:rPr>
                <w:sz w:val="20"/>
                <w:szCs w:val="20"/>
                <w:color w:val="auto"/>
              </w:rPr>
            </w:pPr>
            <w:r>
              <w:rPr>
                <w:rFonts w:ascii="Arial" w:cs="Arial" w:eastAsia="Arial" w:hAnsi="Arial"/>
                <w:sz w:val="18"/>
                <w:szCs w:val="18"/>
                <w:color w:val="auto"/>
                <w:w w:val="93"/>
              </w:rPr>
              <w:t>$ 591</w:t>
            </w:r>
          </w:p>
        </w:tc>
        <w:tc>
          <w:tcPr>
            <w:tcW w:w="760" w:type="dxa"/>
            <w:vAlign w:val="bottom"/>
            <w:gridSpan w:val="2"/>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tcPr>
          <w:p>
            <w:pPr>
              <w:ind w:left="420"/>
              <w:spacing w:after="0"/>
              <w:rPr>
                <w:sz w:val="20"/>
                <w:szCs w:val="20"/>
                <w:color w:val="auto"/>
              </w:rPr>
            </w:pPr>
            <w:r>
              <w:rPr>
                <w:rFonts w:ascii="Arial" w:cs="Arial" w:eastAsia="Arial" w:hAnsi="Arial"/>
                <w:sz w:val="18"/>
                <w:szCs w:val="18"/>
                <w:color w:val="auto"/>
              </w:rPr>
              <w:t>Other forward contracts</w:t>
            </w:r>
          </w:p>
        </w:tc>
        <w:tc>
          <w:tcPr>
            <w:tcW w:w="1580" w:type="dxa"/>
            <w:vAlign w:val="bottom"/>
          </w:tcPr>
          <w:p>
            <w:pPr>
              <w:spacing w:after="0"/>
              <w:rPr>
                <w:sz w:val="18"/>
                <w:szCs w:val="18"/>
                <w:color w:val="auto"/>
              </w:rPr>
            </w:pPr>
          </w:p>
        </w:tc>
        <w:tc>
          <w:tcPr>
            <w:tcW w:w="400" w:type="dxa"/>
            <w:vAlign w:val="bottom"/>
          </w:tcPr>
          <w:p>
            <w:pPr>
              <w:ind w:left="120"/>
              <w:spacing w:after="0"/>
              <w:rPr>
                <w:sz w:val="20"/>
                <w:szCs w:val="20"/>
                <w:color w:val="auto"/>
              </w:rPr>
            </w:pPr>
            <w:r>
              <w:rPr>
                <w:rFonts w:ascii="Arial" w:cs="Arial" w:eastAsia="Arial" w:hAnsi="Arial"/>
                <w:sz w:val="18"/>
                <w:szCs w:val="18"/>
                <w:color w:val="auto"/>
              </w:rPr>
              <w:t>—</w:t>
            </w: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gridSpan w:val="2"/>
          </w:tcPr>
          <w:p>
            <w:pPr>
              <w:jc w:val="right"/>
              <w:ind w:right="60"/>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260" w:type="dxa"/>
            <w:vAlign w:val="bottom"/>
          </w:tcPr>
          <w:p>
            <w:pPr>
              <w:spacing w:after="0"/>
              <w:rPr>
                <w:sz w:val="2"/>
                <w:szCs w:val="2"/>
                <w:color w:val="auto"/>
              </w:rPr>
            </w:pPr>
          </w:p>
        </w:tc>
        <w:tc>
          <w:tcPr>
            <w:tcW w:w="1580" w:type="dxa"/>
            <w:vAlign w:val="bottom"/>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6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Total derivative assets</w:t>
            </w:r>
          </w:p>
        </w:tc>
        <w:tc>
          <w:tcPr>
            <w:tcW w:w="1980" w:type="dxa"/>
            <w:vAlign w:val="bottom"/>
            <w:gridSpan w:val="2"/>
            <w:shd w:val="clear" w:color="auto" w:fill="CCEEFF"/>
          </w:tcPr>
          <w:p>
            <w:pPr>
              <w:jc w:val="center"/>
              <w:ind w:left="1482"/>
              <w:spacing w:after="0"/>
              <w:rPr>
                <w:sz w:val="20"/>
                <w:szCs w:val="20"/>
                <w:color w:val="auto"/>
              </w:rPr>
            </w:pPr>
            <w:r>
              <w:rPr>
                <w:rFonts w:ascii="Arial" w:cs="Arial" w:eastAsia="Arial" w:hAnsi="Arial"/>
                <w:sz w:val="18"/>
                <w:szCs w:val="18"/>
                <w:color w:val="auto"/>
                <w:w w:val="93"/>
              </w:rPr>
              <w:t>$ 591</w:t>
            </w:r>
          </w:p>
        </w:tc>
        <w:tc>
          <w:tcPr>
            <w:tcW w:w="760" w:type="dxa"/>
            <w:vAlign w:val="bottom"/>
            <w:gridSpan w:val="2"/>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60" w:type="dxa"/>
            <w:vAlign w:val="bottom"/>
          </w:tcPr>
          <w:p>
            <w:pPr>
              <w:spacing w:after="0" w:line="20" w:lineRule="exact"/>
              <w:rPr>
                <w:sz w:val="1"/>
                <w:szCs w:val="1"/>
                <w:color w:val="auto"/>
              </w:rPr>
            </w:pPr>
          </w:p>
        </w:tc>
        <w:tc>
          <w:tcPr>
            <w:tcW w:w="1580" w:type="dxa"/>
            <w:vAlign w:val="bottom"/>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40" w:firstLine="456"/>
        <w:spacing w:after="0" w:line="332" w:lineRule="auto"/>
        <w:rPr>
          <w:sz w:val="20"/>
          <w:szCs w:val="20"/>
          <w:color w:val="auto"/>
        </w:rPr>
      </w:pPr>
      <w:r>
        <w:rPr>
          <w:rFonts w:ascii="Arial" w:cs="Arial" w:eastAsia="Arial" w:hAnsi="Arial"/>
          <w:sz w:val="16"/>
          <w:szCs w:val="16"/>
          <w:color w:val="auto"/>
        </w:rPr>
        <w:t>The following tables summarize the pre-tax effect of foreign exchange contract derivatives by (a) cash flow hedges and (b) other foreign currency hedges on OCI and the unaudited condensed consolidated statements of operations for the three months ended May 1, 2010.</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 Cash Flow Hedges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6900" w:type="dxa"/>
            <w:vAlign w:val="bottom"/>
          </w:tcPr>
          <w:p>
            <w:pPr>
              <w:spacing w:after="0"/>
              <w:rPr>
                <w:sz w:val="14"/>
                <w:szCs w:val="14"/>
                <w:color w:val="auto"/>
              </w:rPr>
            </w:pPr>
          </w:p>
        </w:tc>
        <w:tc>
          <w:tcPr>
            <w:tcW w:w="1780" w:type="dxa"/>
            <w:vAlign w:val="bottom"/>
            <w:gridSpan w:val="6"/>
          </w:tcPr>
          <w:p>
            <w:pPr>
              <w:ind w:left="22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6900" w:type="dxa"/>
            <w:vAlign w:val="bottom"/>
          </w:tcPr>
          <w:p>
            <w:pPr>
              <w:spacing w:after="0"/>
              <w:rPr>
                <w:sz w:val="11"/>
                <w:szCs w:val="11"/>
                <w:color w:val="auto"/>
              </w:rPr>
            </w:pPr>
          </w:p>
        </w:tc>
        <w:tc>
          <w:tcPr>
            <w:tcW w:w="760" w:type="dxa"/>
            <w:vAlign w:val="bottom"/>
            <w:tcBorders>
              <w:top w:val="single" w:sz="8" w:color="auto"/>
            </w:tcBorders>
            <w:gridSpan w:val="2"/>
          </w:tcPr>
          <w:p>
            <w:pPr>
              <w:jc w:val="right"/>
              <w:ind w:right="340"/>
              <w:spacing w:after="0" w:line="129" w:lineRule="exact"/>
              <w:rPr>
                <w:sz w:val="20"/>
                <w:szCs w:val="20"/>
                <w:color w:val="auto"/>
              </w:rPr>
            </w:pPr>
            <w:r>
              <w:rPr>
                <w:rFonts w:ascii="Arial" w:cs="Arial" w:eastAsia="Arial" w:hAnsi="Arial"/>
                <w:sz w:val="14"/>
                <w:szCs w:val="14"/>
                <w:b w:val="1"/>
                <w:bCs w:val="1"/>
                <w:color w:val="auto"/>
                <w:w w:val="93"/>
              </w:rPr>
              <w:t>May 1,</w:t>
            </w:r>
          </w:p>
        </w:tc>
        <w:tc>
          <w:tcPr>
            <w:tcW w:w="28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ind w:left="20"/>
              <w:spacing w:after="0" w:line="129" w:lineRule="exact"/>
              <w:rPr>
                <w:sz w:val="20"/>
                <w:szCs w:val="20"/>
                <w:color w:val="auto"/>
              </w:rPr>
            </w:pPr>
            <w:r>
              <w:rPr>
                <w:rFonts w:ascii="Arial" w:cs="Arial" w:eastAsia="Arial" w:hAnsi="Arial"/>
                <w:sz w:val="14"/>
                <w:szCs w:val="14"/>
                <w:b w:val="1"/>
                <w:bCs w:val="1"/>
                <w:color w:val="auto"/>
              </w:rPr>
              <w:t>May 2,</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900" w:type="dxa"/>
            <w:vAlign w:val="bottom"/>
          </w:tcPr>
          <w:p>
            <w:pPr>
              <w:spacing w:after="0"/>
              <w:rPr>
                <w:sz w:val="14"/>
                <w:szCs w:val="14"/>
                <w:color w:val="auto"/>
              </w:rPr>
            </w:pPr>
          </w:p>
        </w:tc>
        <w:tc>
          <w:tcPr>
            <w:tcW w:w="440" w:type="dxa"/>
            <w:vAlign w:val="bottom"/>
            <w:tcBorders>
              <w:bottom w:val="single" w:sz="8" w:color="auto"/>
            </w:tcBorders>
          </w:tcPr>
          <w:p>
            <w:pPr>
              <w:jc w:val="right"/>
              <w:ind w:right="1"/>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ind w:left="80"/>
              <w:spacing w:after="0"/>
              <w:rPr>
                <w:sz w:val="20"/>
                <w:szCs w:val="20"/>
                <w:color w:val="auto"/>
              </w:rPr>
            </w:pPr>
            <w:r>
              <w:rPr>
                <w:rFonts w:ascii="Arial" w:cs="Arial" w:eastAsia="Arial" w:hAnsi="Arial"/>
                <w:sz w:val="14"/>
                <w:szCs w:val="14"/>
                <w:b w:val="1"/>
                <w:bCs w:val="1"/>
                <w:color w:val="auto"/>
              </w:rPr>
              <w:t>2009</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900" w:type="dxa"/>
            <w:vAlign w:val="bottom"/>
            <w:shd w:val="clear" w:color="auto" w:fill="CCEEFF"/>
          </w:tcPr>
          <w:p>
            <w:pPr>
              <w:spacing w:after="0"/>
              <w:rPr>
                <w:sz w:val="20"/>
                <w:szCs w:val="20"/>
                <w:color w:val="auto"/>
              </w:rPr>
            </w:pPr>
            <w:r>
              <w:rPr>
                <w:rFonts w:ascii="Arial" w:cs="Arial" w:eastAsia="Arial" w:hAnsi="Arial"/>
                <w:sz w:val="18"/>
                <w:szCs w:val="18"/>
                <w:color w:val="auto"/>
              </w:rPr>
              <w:t>Accumulated OCI, beginning of period</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$ 341</w:t>
            </w:r>
          </w:p>
        </w:tc>
        <w:tc>
          <w:tcPr>
            <w:tcW w:w="320" w:type="dxa"/>
            <w:vAlign w:val="bottom"/>
            <w:shd w:val="clear" w:color="auto" w:fill="CCEEFF"/>
          </w:tcPr>
          <w:p>
            <w:pPr>
              <w:spacing w:after="0"/>
              <w:rPr>
                <w:sz w:val="18"/>
                <w:szCs w:val="18"/>
                <w:color w:val="auto"/>
              </w:rPr>
            </w:pP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6900" w:type="dxa"/>
            <w:vAlign w:val="bottom"/>
          </w:tcPr>
          <w:p>
            <w:pPr>
              <w:spacing w:after="0"/>
              <w:rPr>
                <w:sz w:val="20"/>
                <w:szCs w:val="20"/>
                <w:color w:val="auto"/>
              </w:rPr>
            </w:pPr>
            <w:r>
              <w:rPr>
                <w:rFonts w:ascii="Arial" w:cs="Arial" w:eastAsia="Arial" w:hAnsi="Arial"/>
                <w:sz w:val="18"/>
                <w:szCs w:val="18"/>
                <w:color w:val="auto"/>
              </w:rPr>
              <w:t>Gains (losses) recorded in OCI (effective portion)</w:t>
            </w:r>
          </w:p>
        </w:tc>
        <w:tc>
          <w:tcPr>
            <w:tcW w:w="440" w:type="dxa"/>
            <w:vAlign w:val="bottom"/>
          </w:tcPr>
          <w:p>
            <w:pPr>
              <w:jc w:val="right"/>
              <w:spacing w:after="0"/>
              <w:rPr>
                <w:sz w:val="20"/>
                <w:szCs w:val="20"/>
                <w:color w:val="auto"/>
              </w:rPr>
            </w:pPr>
            <w:r>
              <w:rPr>
                <w:rFonts w:ascii="Arial" w:cs="Arial" w:eastAsia="Arial" w:hAnsi="Arial"/>
                <w:sz w:val="18"/>
                <w:szCs w:val="18"/>
                <w:color w:val="auto"/>
              </w:rPr>
              <w:t>250</w:t>
            </w: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gridSpan w:val="2"/>
          </w:tcPr>
          <w:p>
            <w:pPr>
              <w:ind w:left="80"/>
              <w:spacing w:after="0"/>
              <w:rPr>
                <w:sz w:val="20"/>
                <w:szCs w:val="20"/>
                <w:color w:val="auto"/>
              </w:rPr>
            </w:pPr>
            <w:r>
              <w:rPr>
                <w:rFonts w:ascii="Arial" w:cs="Arial" w:eastAsia="Arial" w:hAnsi="Arial"/>
                <w:sz w:val="18"/>
                <w:szCs w:val="18"/>
                <w:color w:val="auto"/>
                <w:w w:val="98"/>
              </w:rPr>
              <w:t>(1,076)</w:t>
            </w:r>
          </w:p>
        </w:tc>
        <w:tc>
          <w:tcPr>
            <w:tcW w:w="0" w:type="dxa"/>
            <w:vAlign w:val="bottom"/>
          </w:tcPr>
          <w:p>
            <w:pPr>
              <w:spacing w:after="0"/>
              <w:rPr>
                <w:sz w:val="1"/>
                <w:szCs w:val="1"/>
                <w:color w:val="auto"/>
              </w:rPr>
            </w:pPr>
          </w:p>
        </w:tc>
      </w:tr>
      <w:tr>
        <w:trPr>
          <w:trHeight w:val="216"/>
        </w:trPr>
        <w:tc>
          <w:tcPr>
            <w:tcW w:w="6900" w:type="dxa"/>
            <w:vAlign w:val="bottom"/>
            <w:shd w:val="clear" w:color="auto" w:fill="CCEEFF"/>
          </w:tcPr>
          <w:p>
            <w:pPr>
              <w:spacing w:after="0"/>
              <w:rPr>
                <w:sz w:val="20"/>
                <w:szCs w:val="20"/>
                <w:color w:val="auto"/>
              </w:rPr>
            </w:pPr>
            <w:r>
              <w:rPr>
                <w:rFonts w:ascii="Arial" w:cs="Arial" w:eastAsia="Arial" w:hAnsi="Arial"/>
                <w:sz w:val="18"/>
                <w:szCs w:val="18"/>
                <w:color w:val="auto"/>
              </w:rPr>
              <w:t>Losses reclassified from OCI to operating expense (effective portion)</w:t>
            </w:r>
          </w:p>
        </w:tc>
        <w:tc>
          <w:tcPr>
            <w:tcW w:w="7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(51)</w:t>
            </w: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6900" w:type="dxa"/>
            <w:vAlign w:val="bottom"/>
            <w:vMerge w:val="restart"/>
          </w:tcPr>
          <w:p>
            <w:pPr>
              <w:spacing w:after="0"/>
              <w:rPr>
                <w:sz w:val="20"/>
                <w:szCs w:val="20"/>
                <w:color w:val="auto"/>
              </w:rPr>
            </w:pPr>
            <w:r>
              <w:rPr>
                <w:rFonts w:ascii="Arial" w:cs="Arial" w:eastAsia="Arial" w:hAnsi="Arial"/>
                <w:sz w:val="18"/>
                <w:szCs w:val="18"/>
                <w:color w:val="auto"/>
              </w:rPr>
              <w:t>Accumulated OCI, end of period</w:t>
            </w:r>
          </w:p>
        </w:tc>
        <w:tc>
          <w:tcPr>
            <w:tcW w:w="44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900" w:type="dxa"/>
            <w:vAlign w:val="bottom"/>
            <w:vMerge w:val="continue"/>
          </w:tcPr>
          <w:p>
            <w:pPr>
              <w:spacing w:after="0"/>
              <w:rPr>
                <w:sz w:val="19"/>
                <w:szCs w:val="19"/>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w w:val="93"/>
              </w:rPr>
              <w:t>$ 540</w:t>
            </w:r>
          </w:p>
        </w:tc>
        <w:tc>
          <w:tcPr>
            <w:tcW w:w="320" w:type="dxa"/>
            <w:vAlign w:val="bottom"/>
          </w:tcPr>
          <w:p>
            <w:pPr>
              <w:spacing w:after="0"/>
              <w:rPr>
                <w:sz w:val="19"/>
                <w:szCs w:val="19"/>
                <w:color w:val="auto"/>
              </w:rPr>
            </w:pP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60" w:type="dxa"/>
            <w:vAlign w:val="bottom"/>
            <w:gridSpan w:val="2"/>
          </w:tcPr>
          <w:p>
            <w:pPr>
              <w:ind w:left="80"/>
              <w:spacing w:after="0"/>
              <w:rPr>
                <w:sz w:val="20"/>
                <w:szCs w:val="20"/>
                <w:color w:val="auto"/>
              </w:rPr>
            </w:pPr>
            <w:r>
              <w:rPr>
                <w:rFonts w:ascii="Arial" w:cs="Arial" w:eastAsia="Arial" w:hAnsi="Arial"/>
                <w:sz w:val="18"/>
                <w:szCs w:val="18"/>
                <w:color w:val="auto"/>
                <w:w w:val="98"/>
              </w:rPr>
              <w:t>(1,076)</w:t>
            </w:r>
          </w:p>
        </w:tc>
        <w:tc>
          <w:tcPr>
            <w:tcW w:w="0" w:type="dxa"/>
            <w:vAlign w:val="bottom"/>
          </w:tcPr>
          <w:p>
            <w:pPr>
              <w:spacing w:after="0"/>
              <w:rPr>
                <w:sz w:val="1"/>
                <w:szCs w:val="1"/>
                <w:color w:val="auto"/>
              </w:rPr>
            </w:pPr>
          </w:p>
        </w:tc>
      </w:tr>
      <w:tr>
        <w:trPr>
          <w:trHeight w:val="20"/>
        </w:trPr>
        <w:tc>
          <w:tcPr>
            <w:tcW w:w="6900" w:type="dxa"/>
            <w:vAlign w:val="bottom"/>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Company anticipates reclassifying the accumulated gain recorded as of May 1, 2010 from OCI to operating expense within 12 months.</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 Other forward contracts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3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20" w:type="dxa"/>
            <w:vAlign w:val="bottom"/>
            <w:gridSpan w:val="5"/>
          </w:tcPr>
          <w:p>
            <w:pPr>
              <w:jc w:val="right"/>
              <w:ind w:right="300"/>
              <w:spacing w:after="0"/>
              <w:rPr>
                <w:sz w:val="20"/>
                <w:szCs w:val="20"/>
                <w:color w:val="auto"/>
              </w:rPr>
            </w:pPr>
            <w:r>
              <w:rPr>
                <w:rFonts w:ascii="Arial" w:cs="Arial" w:eastAsia="Arial" w:hAnsi="Arial"/>
                <w:sz w:val="14"/>
                <w:szCs w:val="14"/>
                <w:b w:val="1"/>
                <w:bCs w:val="1"/>
                <w:color w:val="auto"/>
                <w:w w:val="93"/>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3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4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rPr>
              <w:t>May 1,</w:t>
            </w:r>
          </w:p>
        </w:tc>
        <w:tc>
          <w:tcPr>
            <w:tcW w:w="48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right"/>
              <w:ind w:right="20"/>
              <w:spacing w:after="0" w:line="129" w:lineRule="exact"/>
              <w:rPr>
                <w:sz w:val="20"/>
                <w:szCs w:val="20"/>
                <w:color w:val="auto"/>
              </w:rPr>
            </w:pPr>
            <w:r>
              <w:rPr>
                <w:rFonts w:ascii="Arial" w:cs="Arial" w:eastAsia="Arial" w:hAnsi="Arial"/>
                <w:sz w:val="14"/>
                <w:szCs w:val="14"/>
                <w:b w:val="1"/>
                <w:bCs w:val="1"/>
                <w:color w:val="auto"/>
                <w:w w:val="88"/>
              </w:rPr>
              <w:t>May 2,</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3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jc w:val="right"/>
              <w:ind w:right="60"/>
              <w:spacing w:after="0"/>
              <w:rPr>
                <w:sz w:val="20"/>
                <w:szCs w:val="20"/>
                <w:color w:val="auto"/>
              </w:rPr>
            </w:pPr>
            <w:r>
              <w:rPr>
                <w:rFonts w:ascii="Arial" w:cs="Arial" w:eastAsia="Arial" w:hAnsi="Arial"/>
                <w:sz w:val="14"/>
                <w:szCs w:val="14"/>
                <w:b w:val="1"/>
                <w:bCs w:val="1"/>
                <w:color w:val="auto"/>
                <w:w w:val="89"/>
              </w:rPr>
              <w:t>2010</w:t>
            </w:r>
          </w:p>
        </w:tc>
        <w:tc>
          <w:tcPr>
            <w:tcW w:w="4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80"/>
              <w:spacing w:after="0"/>
              <w:rPr>
                <w:sz w:val="20"/>
                <w:szCs w:val="20"/>
                <w:color w:val="auto"/>
              </w:rPr>
            </w:pPr>
            <w:r>
              <w:rPr>
                <w:rFonts w:ascii="Arial" w:cs="Arial" w:eastAsia="Arial" w:hAnsi="Arial"/>
                <w:sz w:val="14"/>
                <w:szCs w:val="14"/>
                <w:b w:val="1"/>
                <w:bCs w:val="1"/>
                <w:color w:val="auto"/>
              </w:rPr>
              <w:t>2009</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Gains (losses) recognized in other expenses, net</w:t>
            </w: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257</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(475)</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320" w:type="dxa"/>
            <w:vAlign w:val="bottom"/>
          </w:tcPr>
          <w:p>
            <w:pPr>
              <w:spacing w:after="0"/>
              <w:rPr>
                <w:sz w:val="20"/>
                <w:szCs w:val="20"/>
                <w:color w:val="auto"/>
              </w:rPr>
            </w:pPr>
            <w:r>
              <w:rPr>
                <w:rFonts w:ascii="Arial" w:cs="Arial" w:eastAsia="Arial" w:hAnsi="Arial"/>
                <w:sz w:val="18"/>
                <w:szCs w:val="18"/>
                <w:color w:val="auto"/>
              </w:rPr>
              <w:t>Interest income</w:t>
            </w:r>
          </w:p>
        </w:tc>
        <w:tc>
          <w:tcPr>
            <w:tcW w:w="6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w:t>
            </w:r>
          </w:p>
        </w:tc>
        <w:tc>
          <w:tcPr>
            <w:tcW w:w="4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w w:val="95"/>
              </w:rPr>
              <w:t>Total gains (losses) in unaudited condensed consolidated statements of operations</w:t>
            </w: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307</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(475)</w:t>
            </w:r>
          </w:p>
        </w:tc>
        <w:tc>
          <w:tcPr>
            <w:tcW w:w="0" w:type="dxa"/>
            <w:vAlign w:val="bottom"/>
          </w:tcPr>
          <w:p>
            <w:pPr>
              <w:spacing w:after="0"/>
              <w:rPr>
                <w:sz w:val="1"/>
                <w:szCs w:val="1"/>
                <w:color w:val="auto"/>
              </w:rPr>
            </w:pPr>
          </w:p>
        </w:tc>
      </w:tr>
      <w:tr>
        <w:trPr>
          <w:trHeight w:val="20"/>
        </w:trPr>
        <w:tc>
          <w:tcPr>
            <w:tcW w:w="6340" w:type="dxa"/>
            <w:vAlign w:val="bottom"/>
            <w:gridSpan w:val="2"/>
            <w:vMerge w:val="restart"/>
          </w:tcPr>
          <w:p>
            <w:pPr>
              <w:jc w:val="right"/>
              <w:ind w:right="1832"/>
              <w:spacing w:after="0"/>
              <w:rPr>
                <w:sz w:val="20"/>
                <w:szCs w:val="20"/>
                <w:color w:val="auto"/>
              </w:rPr>
            </w:pPr>
            <w:r>
              <w:rPr>
                <w:rFonts w:ascii="Arial" w:cs="Arial" w:eastAsia="Arial" w:hAnsi="Arial"/>
                <w:sz w:val="18"/>
                <w:szCs w:val="18"/>
                <w:color w:val="auto"/>
              </w:rPr>
              <w:t>13</w:t>
            </w:r>
          </w:p>
        </w:tc>
        <w:tc>
          <w:tcPr>
            <w:tcW w:w="6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6340" w:type="dxa"/>
            <w:vAlign w:val="bottom"/>
            <w:gridSpan w:val="2"/>
            <w:vMerge w:val="continue"/>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80"/>
          </w:cols>
          <w:pgMar w:left="240" w:top="459" w:right="27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Effective February 3, 2008, the Company adopted the authoritative guidance for fair value measurements and disclosures for all assets and liabilities within the scope of this guidance, except as it applies to the non-financial assets and non-financial liabilities subject to additional authoritative guidance, which the Company adopted during the first quarter ended May 2, 2009. The guidance clarifies that fair value is an exit price, representing the amount that would be received to sell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guidance establishes a three-tier value hierarchy, which prioritizes the inputs used in the valuation methodologies in measuring fair value:</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1 - Observable inputs that reflect quoted prices (unadjusted) for identical assets or liabilities in active markets.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2 - Include other inputs that are directly or indirectly observable in the marketplace.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fair value hierarchy also requires an entity to maximize the use of observable inputs and minimize the use of unobservable inputs when measuring fair</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The Company measures its cash equivalents and marketable securities at fair value. The Company’s cash equivalents and marketable securities are primarily classified within Level 1 with the exception of its investments in auction rate securities, which are classified within Level 3. Cash equivalents and marketable securities are valued primarily using quoted market prices utilizing market observable inputs. The Company investments in corporate debt securities are classified within Level 2 as the market inputs to value these instruments consist of market yields, reported trades and broker/dealer quotes. In addition, foreign currency contracts are classified within Level 2 as the valuation inputs are based on quoted prices and market observable data of similar instruments. The Company’s investments in auction rate securities are classified within Level 3 because there are no active markets for the auction rate securities and therefore the Company is unable to obtain independent valuations from market sources. Therefore, the auction rate securities were valued using a discounted cash flow model. Some of the inputs to the cash flow model are unobservable in the market. The total amount of assets measured using Level 3 valuation methodologies represented 0.7% of total assets as of May 1, 2010.</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45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The tables below set forth, by level, the Company’s financial assets that were accounted for at fair value as of May 1, 2010 and January 30, 2010. The tables do not include assets and liabilities that are measured at historical cost or any basis other than fair value (in thousands):</w:t>
      </w:r>
    </w:p>
    <w:p>
      <w:pPr>
        <w:spacing w:after="0" w:line="109"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0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580" w:type="dxa"/>
            <w:vAlign w:val="bottom"/>
            <w:gridSpan w:val="4"/>
          </w:tcPr>
          <w:p>
            <w:pPr>
              <w:ind w:left="420"/>
              <w:spacing w:after="0"/>
              <w:rPr>
                <w:sz w:val="20"/>
                <w:szCs w:val="20"/>
                <w:color w:val="auto"/>
              </w:rPr>
            </w:pPr>
            <w:r>
              <w:rPr>
                <w:rFonts w:ascii="Arial" w:cs="Arial" w:eastAsia="Arial" w:hAnsi="Arial"/>
                <w:sz w:val="14"/>
                <w:szCs w:val="14"/>
                <w:b w:val="1"/>
                <w:bCs w:val="1"/>
                <w:color w:val="auto"/>
                <w:w w:val="89"/>
              </w:rPr>
              <w:t>Portion of 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0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160" w:type="dxa"/>
            <w:vAlign w:val="bottom"/>
            <w:gridSpan w:val="3"/>
          </w:tcPr>
          <w:p>
            <w:pPr>
              <w:jc w:val="center"/>
              <w:ind w:right="40"/>
              <w:spacing w:after="0" w:line="149" w:lineRule="exact"/>
              <w:rPr>
                <w:sz w:val="20"/>
                <w:szCs w:val="20"/>
                <w:color w:val="auto"/>
              </w:rPr>
            </w:pPr>
            <w:r>
              <w:rPr>
                <w:rFonts w:ascii="Arial" w:cs="Arial" w:eastAsia="Arial" w:hAnsi="Arial"/>
                <w:sz w:val="14"/>
                <w:szCs w:val="14"/>
                <w:b w:val="1"/>
                <w:bCs w:val="1"/>
                <w:color w:val="auto"/>
                <w:w w:val="87"/>
              </w:rPr>
              <w:t>Value 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0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4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2"/>
              </w:rPr>
              <w:t>Fair Value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0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gridSpan w:val="2"/>
          </w:tcPr>
          <w:p>
            <w:pPr>
              <w:jc w:val="right"/>
              <w:ind w:right="580"/>
              <w:spacing w:after="0"/>
              <w:rPr>
                <w:sz w:val="20"/>
                <w:szCs w:val="20"/>
                <w:color w:val="auto"/>
              </w:rPr>
            </w:pPr>
            <w:r>
              <w:rPr>
                <w:rFonts w:ascii="Arial" w:cs="Arial" w:eastAsia="Arial" w:hAnsi="Arial"/>
                <w:sz w:val="14"/>
                <w:szCs w:val="14"/>
                <w:b w:val="1"/>
                <w:bCs w:val="1"/>
                <w:color w:val="auto"/>
              </w:rPr>
              <w:t>Level 1</w:t>
            </w:r>
          </w:p>
        </w:tc>
        <w:tc>
          <w:tcPr>
            <w:tcW w:w="100" w:type="dxa"/>
            <w:vAlign w:val="bottom"/>
          </w:tcPr>
          <w:p>
            <w:pPr>
              <w:spacing w:after="0"/>
              <w:rPr>
                <w:sz w:val="14"/>
                <w:szCs w:val="14"/>
                <w:color w:val="auto"/>
              </w:rPr>
            </w:pPr>
          </w:p>
        </w:tc>
        <w:tc>
          <w:tcPr>
            <w:tcW w:w="980" w:type="dxa"/>
            <w:vAlign w:val="bottom"/>
            <w:gridSpan w:val="2"/>
          </w:tcPr>
          <w:p>
            <w:pPr>
              <w:ind w:left="40"/>
              <w:spacing w:after="0"/>
              <w:rPr>
                <w:sz w:val="20"/>
                <w:szCs w:val="20"/>
                <w:color w:val="auto"/>
              </w:rPr>
            </w:pPr>
            <w:r>
              <w:rPr>
                <w:rFonts w:ascii="Arial" w:cs="Arial" w:eastAsia="Arial" w:hAnsi="Arial"/>
                <w:sz w:val="14"/>
                <w:szCs w:val="14"/>
                <w:b w:val="1"/>
                <w:bCs w:val="1"/>
                <w:color w:val="auto"/>
              </w:rPr>
              <w:t>Level 2</w:t>
            </w: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Level 3</w:t>
            </w: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4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1"/>
              </w:rPr>
              <w:t>at May 1, 2010</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Items measured at fair value on a recurring basis:</w:t>
            </w: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102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spacing w:after="0"/>
              <w:rPr>
                <w:sz w:val="20"/>
                <w:szCs w:val="20"/>
                <w:color w:val="auto"/>
              </w:rPr>
            </w:pPr>
            <w:r>
              <w:rPr>
                <w:rFonts w:ascii="Arial" w:cs="Arial" w:eastAsia="Arial" w:hAnsi="Arial"/>
                <w:sz w:val="18"/>
                <w:szCs w:val="18"/>
                <w:color w:val="auto"/>
              </w:rPr>
              <w:t>Assets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867,617</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gridSpan w:val="2"/>
          </w:tcPr>
          <w:p>
            <w:pPr>
              <w:ind w:left="420"/>
              <w:spacing w:after="0"/>
              <w:rPr>
                <w:sz w:val="20"/>
                <w:szCs w:val="20"/>
                <w:color w:val="auto"/>
              </w:rPr>
            </w:pPr>
            <w:r>
              <w:rPr>
                <w:rFonts w:ascii="Arial" w:cs="Arial" w:eastAsia="Arial" w:hAnsi="Arial"/>
                <w:sz w:val="18"/>
                <w:szCs w:val="18"/>
                <w:color w:val="auto"/>
                <w:w w:val="99"/>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867,617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government and agencies</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62,393</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62,393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tcPr>
          <w:p>
            <w:pPr>
              <w:spacing w:after="0"/>
              <w:rPr>
                <w:sz w:val="18"/>
                <w:szCs w:val="18"/>
                <w:color w:val="auto"/>
              </w:rPr>
            </w:pPr>
          </w:p>
        </w:tc>
        <w:tc>
          <w:tcPr>
            <w:tcW w:w="110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4,000</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4,000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US government and agencies</w:t>
            </w:r>
          </w:p>
        </w:tc>
        <w:tc>
          <w:tcPr>
            <w:tcW w:w="100" w:type="dxa"/>
            <w:vAlign w:val="bottom"/>
          </w:tcPr>
          <w:p>
            <w:pPr>
              <w:spacing w:after="0"/>
              <w:rPr>
                <w:sz w:val="18"/>
                <w:szCs w:val="18"/>
                <w:color w:val="auto"/>
              </w:rPr>
            </w:pP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396,602</w:t>
            </w:r>
          </w:p>
        </w:tc>
        <w:tc>
          <w:tcPr>
            <w:tcW w:w="100" w:type="dxa"/>
            <w:vAlign w:val="bottom"/>
          </w:tcPr>
          <w:p>
            <w:pPr>
              <w:spacing w:after="0"/>
              <w:rPr>
                <w:sz w:val="18"/>
                <w:szCs w:val="18"/>
                <w:color w:val="auto"/>
              </w:rPr>
            </w:pPr>
          </w:p>
        </w:tc>
        <w:tc>
          <w:tcPr>
            <w:tcW w:w="9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396,602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325,262</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325,262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Auction rate securities and settlement option</w:t>
            </w:r>
          </w:p>
        </w:tc>
        <w:tc>
          <w:tcPr>
            <w:tcW w:w="100" w:type="dxa"/>
            <w:vAlign w:val="bottom"/>
          </w:tcPr>
          <w:p>
            <w:pPr>
              <w:spacing w:after="0"/>
              <w:rPr>
                <w:sz w:val="18"/>
                <w:szCs w:val="18"/>
                <w:color w:val="auto"/>
              </w:rPr>
            </w:pPr>
          </w:p>
        </w:tc>
        <w:tc>
          <w:tcPr>
            <w:tcW w:w="110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5,000</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5,000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00" w:type="dxa"/>
            <w:vAlign w:val="bottom"/>
          </w:tcPr>
          <w:p>
            <w:pPr>
              <w:spacing w:after="0"/>
              <w:rPr>
                <w:sz w:val="18"/>
                <w:szCs w:val="18"/>
                <w:color w:val="auto"/>
              </w:rPr>
            </w:pPr>
          </w:p>
        </w:tc>
        <w:tc>
          <w:tcPr>
            <w:tcW w:w="110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34,235</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34,235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Prepaids and other current assets: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100" w:type="dxa"/>
            <w:vAlign w:val="bottom"/>
          </w:tcPr>
          <w:p>
            <w:pPr>
              <w:spacing w:after="0"/>
              <w:rPr>
                <w:sz w:val="18"/>
                <w:szCs w:val="18"/>
                <w:color w:val="auto"/>
              </w:rPr>
            </w:pPr>
          </w:p>
        </w:tc>
        <w:tc>
          <w:tcPr>
            <w:tcW w:w="110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80" w:type="dxa"/>
            <w:vAlign w:val="bottom"/>
            <w:gridSpan w:val="2"/>
          </w:tcPr>
          <w:p>
            <w:pPr>
              <w:ind w:left="320"/>
              <w:spacing w:after="0"/>
              <w:rPr>
                <w:sz w:val="20"/>
                <w:szCs w:val="20"/>
                <w:color w:val="auto"/>
              </w:rPr>
            </w:pPr>
            <w:r>
              <w:rPr>
                <w:rFonts w:ascii="Arial" w:cs="Arial" w:eastAsia="Arial" w:hAnsi="Arial"/>
                <w:sz w:val="18"/>
                <w:szCs w:val="18"/>
                <w:color w:val="auto"/>
              </w:rPr>
              <w:t>591</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591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100" w:type="dxa"/>
            <w:vAlign w:val="bottom"/>
          </w:tcPr>
          <w:p>
            <w:pPr>
              <w:spacing w:after="0"/>
              <w:rPr>
                <w:sz w:val="18"/>
                <w:szCs w:val="18"/>
                <w:color w:val="auto"/>
              </w:rPr>
            </w:pP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9,310</w:t>
            </w: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46,889</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56,199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0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02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4"/>
              </w:rPr>
              <w:t>1,335,922</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376,742</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39,235</w:t>
            </w:r>
          </w:p>
        </w:tc>
        <w:tc>
          <w:tcPr>
            <w:tcW w:w="5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w w:val="99"/>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1,751,899</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0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140" w:type="dxa"/>
            <w:vAlign w:val="bottom"/>
            <w:tcBorders>
              <w:top w:val="single" w:sz="8" w:color="auto"/>
              <w:bottom w:val="single" w:sz="8" w:color="auto"/>
            </w:tcBorders>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6"/>
        </w:trPr>
        <w:tc>
          <w:tcPr>
            <w:tcW w:w="20" w:type="dxa"/>
            <w:vAlign w:val="bottom"/>
          </w:tcPr>
          <w:p>
            <w:pPr>
              <w:spacing w:after="0"/>
              <w:rPr>
                <w:sz w:val="24"/>
                <w:szCs w:val="24"/>
                <w:color w:val="auto"/>
              </w:rPr>
            </w:pPr>
          </w:p>
        </w:tc>
        <w:tc>
          <w:tcPr>
            <w:tcW w:w="60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580" w:type="dxa"/>
            <w:vAlign w:val="bottom"/>
            <w:gridSpan w:val="4"/>
          </w:tcPr>
          <w:p>
            <w:pPr>
              <w:ind w:left="420"/>
              <w:spacing w:after="0"/>
              <w:rPr>
                <w:sz w:val="20"/>
                <w:szCs w:val="20"/>
                <w:color w:val="auto"/>
              </w:rPr>
            </w:pPr>
            <w:r>
              <w:rPr>
                <w:rFonts w:ascii="Arial" w:cs="Arial" w:eastAsia="Arial" w:hAnsi="Arial"/>
                <w:sz w:val="14"/>
                <w:szCs w:val="14"/>
                <w:b w:val="1"/>
                <w:bCs w:val="1"/>
                <w:color w:val="auto"/>
                <w:w w:val="89"/>
              </w:rPr>
              <w:t>Portion of 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0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160" w:type="dxa"/>
            <w:vAlign w:val="bottom"/>
            <w:gridSpan w:val="3"/>
          </w:tcPr>
          <w:p>
            <w:pPr>
              <w:jc w:val="center"/>
              <w:ind w:right="40"/>
              <w:spacing w:after="0" w:line="149" w:lineRule="exact"/>
              <w:rPr>
                <w:sz w:val="20"/>
                <w:szCs w:val="20"/>
                <w:color w:val="auto"/>
              </w:rPr>
            </w:pPr>
            <w:r>
              <w:rPr>
                <w:rFonts w:ascii="Arial" w:cs="Arial" w:eastAsia="Arial" w:hAnsi="Arial"/>
                <w:sz w:val="14"/>
                <w:szCs w:val="14"/>
                <w:b w:val="1"/>
                <w:bCs w:val="1"/>
                <w:color w:val="auto"/>
                <w:w w:val="87"/>
              </w:rPr>
              <w:t>Value 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0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4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2"/>
              </w:rPr>
              <w:t>Fair Value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0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gridSpan w:val="2"/>
          </w:tcPr>
          <w:p>
            <w:pPr>
              <w:jc w:val="right"/>
              <w:ind w:right="580"/>
              <w:spacing w:after="0"/>
              <w:rPr>
                <w:sz w:val="20"/>
                <w:szCs w:val="20"/>
                <w:color w:val="auto"/>
              </w:rPr>
            </w:pPr>
            <w:r>
              <w:rPr>
                <w:rFonts w:ascii="Arial" w:cs="Arial" w:eastAsia="Arial" w:hAnsi="Arial"/>
                <w:sz w:val="14"/>
                <w:szCs w:val="14"/>
                <w:b w:val="1"/>
                <w:bCs w:val="1"/>
                <w:color w:val="auto"/>
              </w:rPr>
              <w:t>Level 1</w:t>
            </w:r>
          </w:p>
        </w:tc>
        <w:tc>
          <w:tcPr>
            <w:tcW w:w="100" w:type="dxa"/>
            <w:vAlign w:val="bottom"/>
          </w:tcPr>
          <w:p>
            <w:pPr>
              <w:spacing w:after="0"/>
              <w:rPr>
                <w:sz w:val="14"/>
                <w:szCs w:val="14"/>
                <w:color w:val="auto"/>
              </w:rPr>
            </w:pPr>
          </w:p>
        </w:tc>
        <w:tc>
          <w:tcPr>
            <w:tcW w:w="980" w:type="dxa"/>
            <w:vAlign w:val="bottom"/>
            <w:gridSpan w:val="2"/>
          </w:tcPr>
          <w:p>
            <w:pPr>
              <w:ind w:left="40"/>
              <w:spacing w:after="0"/>
              <w:rPr>
                <w:sz w:val="20"/>
                <w:szCs w:val="20"/>
                <w:color w:val="auto"/>
              </w:rPr>
            </w:pPr>
            <w:r>
              <w:rPr>
                <w:rFonts w:ascii="Arial" w:cs="Arial" w:eastAsia="Arial" w:hAnsi="Arial"/>
                <w:sz w:val="14"/>
                <w:szCs w:val="14"/>
                <w:b w:val="1"/>
                <w:bCs w:val="1"/>
                <w:color w:val="auto"/>
              </w:rPr>
              <w:t>Level 2</w:t>
            </w: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Level 3</w:t>
            </w:r>
          </w:p>
        </w:tc>
        <w:tc>
          <w:tcPr>
            <w:tcW w:w="420" w:type="dxa"/>
            <w:vAlign w:val="bottom"/>
          </w:tcPr>
          <w:p>
            <w:pPr>
              <w:spacing w:after="0"/>
              <w:rPr>
                <w:sz w:val="14"/>
                <w:szCs w:val="14"/>
                <w:color w:val="auto"/>
              </w:rPr>
            </w:pPr>
          </w:p>
        </w:tc>
        <w:tc>
          <w:tcPr>
            <w:tcW w:w="1160" w:type="dxa"/>
            <w:vAlign w:val="bottom"/>
            <w:gridSpan w:val="3"/>
          </w:tcPr>
          <w:p>
            <w:pPr>
              <w:spacing w:after="0"/>
              <w:rPr>
                <w:sz w:val="20"/>
                <w:szCs w:val="20"/>
                <w:color w:val="auto"/>
              </w:rPr>
            </w:pPr>
            <w:r>
              <w:rPr>
                <w:rFonts w:ascii="Arial" w:cs="Arial" w:eastAsia="Arial" w:hAnsi="Arial"/>
                <w:sz w:val="14"/>
                <w:szCs w:val="14"/>
                <w:b w:val="1"/>
                <w:bCs w:val="1"/>
                <w:color w:val="auto"/>
                <w:w w:val="88"/>
              </w:rPr>
              <w:t>at January 30, 2010</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Items measured at fair value on a recurring basis:</w:t>
            </w: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102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spacing w:after="0"/>
              <w:rPr>
                <w:sz w:val="20"/>
                <w:szCs w:val="20"/>
                <w:color w:val="auto"/>
              </w:rPr>
            </w:pPr>
            <w:r>
              <w:rPr>
                <w:rFonts w:ascii="Arial" w:cs="Arial" w:eastAsia="Arial" w:hAnsi="Arial"/>
                <w:sz w:val="18"/>
                <w:szCs w:val="18"/>
                <w:color w:val="auto"/>
              </w:rPr>
              <w:t>Assets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542,574</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gridSpan w:val="2"/>
          </w:tcPr>
          <w:p>
            <w:pPr>
              <w:ind w:left="420"/>
              <w:spacing w:after="0"/>
              <w:rPr>
                <w:sz w:val="20"/>
                <w:szCs w:val="20"/>
                <w:color w:val="auto"/>
              </w:rPr>
            </w:pPr>
            <w:r>
              <w:rPr>
                <w:rFonts w:ascii="Arial" w:cs="Arial" w:eastAsia="Arial" w:hAnsi="Arial"/>
                <w:sz w:val="18"/>
                <w:szCs w:val="18"/>
                <w:color w:val="auto"/>
                <w:w w:val="99"/>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542,574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government and agencies</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105,304</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105,304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tcPr>
          <w:p>
            <w:pPr>
              <w:spacing w:after="0"/>
              <w:rPr>
                <w:sz w:val="18"/>
                <w:szCs w:val="18"/>
                <w:color w:val="auto"/>
              </w:rPr>
            </w:pPr>
          </w:p>
        </w:tc>
        <w:tc>
          <w:tcPr>
            <w:tcW w:w="110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4,000</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4,000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US government and agencies</w:t>
            </w:r>
          </w:p>
        </w:tc>
        <w:tc>
          <w:tcPr>
            <w:tcW w:w="100" w:type="dxa"/>
            <w:vAlign w:val="bottom"/>
          </w:tcPr>
          <w:p>
            <w:pPr>
              <w:spacing w:after="0"/>
              <w:rPr>
                <w:sz w:val="18"/>
                <w:szCs w:val="18"/>
                <w:color w:val="auto"/>
              </w:rPr>
            </w:pP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457,820</w:t>
            </w:r>
          </w:p>
        </w:tc>
        <w:tc>
          <w:tcPr>
            <w:tcW w:w="100" w:type="dxa"/>
            <w:vAlign w:val="bottom"/>
          </w:tcPr>
          <w:p>
            <w:pPr>
              <w:spacing w:after="0"/>
              <w:rPr>
                <w:sz w:val="18"/>
                <w:szCs w:val="18"/>
                <w:color w:val="auto"/>
              </w:rPr>
            </w:pPr>
          </w:p>
        </w:tc>
        <w:tc>
          <w:tcPr>
            <w:tcW w:w="9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457,820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228,469</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228,469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Auction rate securities and settlement option</w:t>
            </w:r>
          </w:p>
        </w:tc>
        <w:tc>
          <w:tcPr>
            <w:tcW w:w="100" w:type="dxa"/>
            <w:vAlign w:val="bottom"/>
          </w:tcPr>
          <w:p>
            <w:pPr>
              <w:spacing w:after="0"/>
              <w:rPr>
                <w:sz w:val="18"/>
                <w:szCs w:val="18"/>
                <w:color w:val="auto"/>
              </w:rPr>
            </w:pPr>
          </w:p>
        </w:tc>
        <w:tc>
          <w:tcPr>
            <w:tcW w:w="110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5,000</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5,000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00" w:type="dxa"/>
            <w:vAlign w:val="bottom"/>
          </w:tcPr>
          <w:p>
            <w:pPr>
              <w:spacing w:after="0"/>
              <w:rPr>
                <w:sz w:val="18"/>
                <w:szCs w:val="18"/>
                <w:color w:val="auto"/>
              </w:rPr>
            </w:pPr>
          </w:p>
        </w:tc>
        <w:tc>
          <w:tcPr>
            <w:tcW w:w="110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34,281</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34,281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Prepaids and other current assets: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100" w:type="dxa"/>
            <w:vAlign w:val="bottom"/>
          </w:tcPr>
          <w:p>
            <w:pPr>
              <w:spacing w:after="0"/>
              <w:rPr>
                <w:sz w:val="18"/>
                <w:szCs w:val="18"/>
                <w:color w:val="auto"/>
              </w:rPr>
            </w:pPr>
          </w:p>
        </w:tc>
        <w:tc>
          <w:tcPr>
            <w:tcW w:w="110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80" w:type="dxa"/>
            <w:vAlign w:val="bottom"/>
            <w:gridSpan w:val="2"/>
          </w:tcPr>
          <w:p>
            <w:pPr>
              <w:ind w:left="320"/>
              <w:spacing w:after="0"/>
              <w:rPr>
                <w:sz w:val="20"/>
                <w:szCs w:val="20"/>
                <w:color w:val="auto"/>
              </w:rPr>
            </w:pPr>
            <w:r>
              <w:rPr>
                <w:rFonts w:ascii="Arial" w:cs="Arial" w:eastAsia="Arial" w:hAnsi="Arial"/>
                <w:sz w:val="18"/>
                <w:szCs w:val="18"/>
                <w:color w:val="auto"/>
              </w:rPr>
              <w:t>830</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830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6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100" w:type="dxa"/>
            <w:vAlign w:val="bottom"/>
          </w:tcPr>
          <w:p>
            <w:pPr>
              <w:spacing w:after="0"/>
              <w:rPr>
                <w:sz w:val="18"/>
                <w:szCs w:val="18"/>
                <w:color w:val="auto"/>
              </w:rPr>
            </w:pP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9,156</w:t>
            </w:r>
          </w:p>
        </w:tc>
        <w:tc>
          <w:tcPr>
            <w:tcW w:w="100" w:type="dxa"/>
            <w:vAlign w:val="bottom"/>
          </w:tcPr>
          <w:p>
            <w:pPr>
              <w:spacing w:after="0"/>
              <w:rPr>
                <w:sz w:val="18"/>
                <w:szCs w:val="18"/>
                <w:color w:val="auto"/>
              </w:rPr>
            </w:pPr>
          </w:p>
        </w:tc>
        <w:tc>
          <w:tcPr>
            <w:tcW w:w="980" w:type="dxa"/>
            <w:vAlign w:val="bottom"/>
            <w:gridSpan w:val="2"/>
          </w:tcPr>
          <w:p>
            <w:pPr>
              <w:jc w:val="right"/>
              <w:ind w:right="400"/>
              <w:spacing w:after="0"/>
              <w:rPr>
                <w:sz w:val="20"/>
                <w:szCs w:val="20"/>
                <w:color w:val="auto"/>
              </w:rPr>
            </w:pPr>
            <w:r>
              <w:rPr>
                <w:rFonts w:ascii="Arial" w:cs="Arial" w:eastAsia="Arial" w:hAnsi="Arial"/>
                <w:sz w:val="18"/>
                <w:szCs w:val="18"/>
                <w:color w:val="auto"/>
              </w:rPr>
              <w:t>48,105</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57,261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0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02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4"/>
              </w:rPr>
              <w:t>1,114,854</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9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6"/>
              </w:rPr>
              <w:t>281,404</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39,281</w:t>
            </w:r>
          </w:p>
        </w:tc>
        <w:tc>
          <w:tcPr>
            <w:tcW w:w="5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w w:val="99"/>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1,435,539</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0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tables summarize the change in fair value for Level 3 items during the three months ended May 1, 2010 and May 2, 2009 (in thousands):</w:t>
      </w:r>
    </w:p>
    <w:p>
      <w:pPr>
        <w:spacing w:after="0" w:line="230"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8900" w:type="dxa"/>
            <w:vAlign w:val="bottom"/>
          </w:tcPr>
          <w:p>
            <w:pPr>
              <w:spacing w:after="0"/>
              <w:rPr>
                <w:sz w:val="14"/>
                <w:szCs w:val="14"/>
                <w:color w:val="auto"/>
              </w:rPr>
            </w:pPr>
          </w:p>
        </w:tc>
        <w:tc>
          <w:tcPr>
            <w:tcW w:w="68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rPr>
              <w:t>Level 3</w:t>
            </w:r>
          </w:p>
        </w:tc>
      </w:tr>
      <w:tr>
        <w:trPr>
          <w:trHeight w:val="210"/>
        </w:trPr>
        <w:tc>
          <w:tcPr>
            <w:tcW w:w="89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Changes in fair value during the three months ended May 1, 2010 (pre-tax):</w:t>
            </w:r>
          </w:p>
        </w:tc>
        <w:tc>
          <w:tcPr>
            <w:tcW w:w="58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8900" w:type="dxa"/>
            <w:vAlign w:val="bottom"/>
          </w:tcPr>
          <w:p>
            <w:pPr>
              <w:spacing w:after="0"/>
              <w:rPr>
                <w:sz w:val="20"/>
                <w:szCs w:val="20"/>
                <w:color w:val="auto"/>
              </w:rPr>
            </w:pPr>
            <w:r>
              <w:rPr>
                <w:rFonts w:ascii="Arial" w:cs="Arial" w:eastAsia="Arial" w:hAnsi="Arial"/>
                <w:sz w:val="18"/>
                <w:szCs w:val="18"/>
                <w:color w:val="auto"/>
              </w:rPr>
              <w:t>Beginning balance at January 31, 2010</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$39,281</w:t>
            </w:r>
          </w:p>
        </w:tc>
        <w:tc>
          <w:tcPr>
            <w:tcW w:w="100" w:type="dxa"/>
            <w:vAlign w:val="bottom"/>
          </w:tcPr>
          <w:p>
            <w:pPr>
              <w:spacing w:after="0"/>
              <w:rPr>
                <w:sz w:val="18"/>
                <w:szCs w:val="18"/>
                <w:color w:val="auto"/>
              </w:rPr>
            </w:pPr>
          </w:p>
        </w:tc>
      </w:tr>
      <w:tr>
        <w:trPr>
          <w:trHeight w:val="216"/>
        </w:trPr>
        <w:tc>
          <w:tcPr>
            <w:tcW w:w="8900" w:type="dxa"/>
            <w:vAlign w:val="bottom"/>
            <w:shd w:val="clear" w:color="auto" w:fill="CCEEFF"/>
          </w:tcPr>
          <w:p>
            <w:pPr>
              <w:spacing w:after="0"/>
              <w:rPr>
                <w:sz w:val="20"/>
                <w:szCs w:val="20"/>
                <w:color w:val="auto"/>
              </w:rPr>
            </w:pPr>
            <w:r>
              <w:rPr>
                <w:rFonts w:ascii="Arial" w:cs="Arial" w:eastAsia="Arial" w:hAnsi="Arial"/>
                <w:sz w:val="18"/>
                <w:szCs w:val="18"/>
                <w:color w:val="auto"/>
              </w:rPr>
              <w:t>Purchases</w:t>
            </w:r>
          </w:p>
        </w:tc>
        <w:tc>
          <w:tcPr>
            <w:tcW w:w="6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8900" w:type="dxa"/>
            <w:vAlign w:val="bottom"/>
          </w:tcPr>
          <w:p>
            <w:pPr>
              <w:spacing w:after="0"/>
              <w:rPr>
                <w:sz w:val="20"/>
                <w:szCs w:val="20"/>
                <w:color w:val="auto"/>
              </w:rPr>
            </w:pPr>
            <w:r>
              <w:rPr>
                <w:rFonts w:ascii="Arial" w:cs="Arial" w:eastAsia="Arial" w:hAnsi="Arial"/>
                <w:sz w:val="18"/>
                <w:szCs w:val="18"/>
                <w:color w:val="auto"/>
              </w:rPr>
              <w:t>Sales and redemption</w:t>
            </w: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(50)</w:t>
            </w:r>
          </w:p>
        </w:tc>
      </w:tr>
      <w:tr>
        <w:trPr>
          <w:trHeight w:val="216"/>
        </w:trPr>
        <w:tc>
          <w:tcPr>
            <w:tcW w:w="890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included in other comprehensive loss</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w:t>
            </w:r>
          </w:p>
        </w:tc>
        <w:tc>
          <w:tcPr>
            <w:tcW w:w="100" w:type="dxa"/>
            <w:vAlign w:val="bottom"/>
            <w:shd w:val="clear" w:color="auto" w:fill="CCEEFF"/>
          </w:tcPr>
          <w:p>
            <w:pPr>
              <w:spacing w:after="0"/>
              <w:rPr>
                <w:sz w:val="18"/>
                <w:szCs w:val="18"/>
                <w:color w:val="auto"/>
              </w:rPr>
            </w:pPr>
          </w:p>
        </w:tc>
      </w:tr>
      <w:tr>
        <w:trPr>
          <w:trHeight w:val="222"/>
        </w:trPr>
        <w:tc>
          <w:tcPr>
            <w:tcW w:w="8900" w:type="dxa"/>
            <w:vAlign w:val="bottom"/>
          </w:tcPr>
          <w:p>
            <w:pPr>
              <w:spacing w:after="0"/>
              <w:rPr>
                <w:sz w:val="20"/>
                <w:szCs w:val="20"/>
                <w:color w:val="auto"/>
              </w:rPr>
            </w:pPr>
            <w:r>
              <w:rPr>
                <w:rFonts w:ascii="Arial" w:cs="Arial" w:eastAsia="Arial" w:hAnsi="Arial"/>
                <w:sz w:val="18"/>
                <w:szCs w:val="18"/>
                <w:color w:val="auto"/>
              </w:rPr>
              <w:t>Ending balance at May 1, 2010</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39,235</w:t>
            </w:r>
          </w:p>
        </w:tc>
        <w:tc>
          <w:tcPr>
            <w:tcW w:w="100" w:type="dxa"/>
            <w:vAlign w:val="bottom"/>
          </w:tcPr>
          <w:p>
            <w:pPr>
              <w:spacing w:after="0"/>
              <w:rPr>
                <w:sz w:val="19"/>
                <w:szCs w:val="19"/>
                <w:color w:val="auto"/>
              </w:rPr>
            </w:pPr>
          </w:p>
        </w:tc>
      </w:tr>
      <w:tr>
        <w:trPr>
          <w:trHeight w:val="20"/>
        </w:trPr>
        <w:tc>
          <w:tcPr>
            <w:tcW w:w="890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54" w:lineRule="exact"/>
        <w:rPr>
          <w:sz w:val="20"/>
          <w:szCs w:val="20"/>
          <w:color w:val="auto"/>
        </w:rPr>
      </w:pPr>
    </w:p>
    <w:p>
      <w:pPr>
        <w:sectPr>
          <w:pgSz w:w="11900" w:h="16838" w:orient="portrait"/>
          <w:cols w:equalWidth="0" w:num="1">
            <w:col w:w="11120"/>
          </w:cols>
          <w:pgMar w:left="240" w:top="459" w:right="539" w:bottom="1440" w:gutter="0" w:footer="0" w:header="0"/>
        </w:sectPr>
      </w:pPr>
    </w:p>
    <w:p>
      <w:pPr>
        <w:jc w:val="center"/>
        <w:ind w:right="-299"/>
        <w:spacing w:after="0"/>
        <w:rPr>
          <w:sz w:val="20"/>
          <w:szCs w:val="20"/>
          <w:color w:val="auto"/>
        </w:rPr>
      </w:pPr>
      <w:r>
        <w:rPr>
          <w:rFonts w:ascii="Arial" w:cs="Arial" w:eastAsia="Arial" w:hAnsi="Arial"/>
          <w:sz w:val="16"/>
          <w:szCs w:val="16"/>
          <w:color w:val="auto"/>
        </w:rPr>
        <w:t>15</w:t>
      </w:r>
    </w:p>
    <w:p>
      <w:pPr>
        <w:sectPr>
          <w:pgSz w:w="11900" w:h="16838" w:orient="portrait"/>
          <w:cols w:equalWidth="0" w:num="1">
            <w:col w:w="11120"/>
          </w:cols>
          <w:pgMar w:left="240" w:top="459" w:right="539" w:bottom="1440" w:gutter="0" w:footer="0" w:header="0"/>
          <w:type w:val="continuous"/>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5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0" w:type="dxa"/>
            <w:vAlign w:val="bottom"/>
          </w:tcPr>
          <w:p>
            <w:pPr>
              <w:spacing w:after="0"/>
              <w:rPr>
                <w:sz w:val="14"/>
                <w:szCs w:val="14"/>
                <w:color w:val="auto"/>
              </w:rPr>
            </w:pPr>
          </w:p>
        </w:tc>
        <w:tc>
          <w:tcPr>
            <w:tcW w:w="3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gridSpan w:val="4"/>
          </w:tcPr>
          <w:p>
            <w:pPr>
              <w:jc w:val="right"/>
              <w:ind w:right="320"/>
              <w:spacing w:after="0"/>
              <w:rPr>
                <w:sz w:val="20"/>
                <w:szCs w:val="20"/>
                <w:color w:val="auto"/>
              </w:rPr>
            </w:pPr>
            <w:r>
              <w:rPr>
                <w:rFonts w:ascii="Arial" w:cs="Arial" w:eastAsia="Arial" w:hAnsi="Arial"/>
                <w:sz w:val="14"/>
                <w:szCs w:val="14"/>
                <w:b w:val="1"/>
                <w:bCs w:val="1"/>
                <w:color w:val="auto"/>
              </w:rPr>
              <w:t>Level 3</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5680" w:type="dxa"/>
            <w:vAlign w:val="bottom"/>
            <w:gridSpan w:val="6"/>
            <w:shd w:val="clear" w:color="auto" w:fill="CCEEFF"/>
          </w:tcPr>
          <w:p>
            <w:pPr>
              <w:spacing w:after="0"/>
              <w:rPr>
                <w:sz w:val="20"/>
                <w:szCs w:val="20"/>
                <w:color w:val="auto"/>
              </w:rPr>
            </w:pPr>
            <w:r>
              <w:rPr>
                <w:rFonts w:ascii="Arial" w:cs="Arial" w:eastAsia="Arial" w:hAnsi="Arial"/>
                <w:sz w:val="18"/>
                <w:szCs w:val="18"/>
                <w:b w:val="1"/>
                <w:bCs w:val="1"/>
                <w:color w:val="auto"/>
                <w:w w:val="88"/>
              </w:rPr>
              <w:t>Changes in fair value during the three months ended May 2, 2009 (pre-tax):</w:t>
            </w:r>
          </w:p>
        </w:tc>
        <w:tc>
          <w:tcPr>
            <w:tcW w:w="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740" w:type="dxa"/>
            <w:vAlign w:val="bottom"/>
          </w:tcPr>
          <w:p>
            <w:pPr>
              <w:spacing w:after="0"/>
              <w:rPr>
                <w:sz w:val="20"/>
                <w:szCs w:val="20"/>
                <w:color w:val="auto"/>
              </w:rPr>
            </w:pPr>
            <w:r>
              <w:rPr>
                <w:rFonts w:ascii="Arial" w:cs="Arial" w:eastAsia="Arial" w:hAnsi="Arial"/>
                <w:sz w:val="18"/>
                <w:szCs w:val="18"/>
                <w:color w:val="auto"/>
              </w:rPr>
              <w:t>Beginning balance at February 1, 2009</w:t>
            </w:r>
          </w:p>
        </w:tc>
        <w:tc>
          <w:tcPr>
            <w:tcW w:w="7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940" w:type="dxa"/>
            <w:vAlign w:val="bottom"/>
            <w:gridSpan w:val="4"/>
          </w:tcPr>
          <w:p>
            <w:pPr>
              <w:jc w:val="right"/>
              <w:ind w:right="20"/>
              <w:spacing w:after="0"/>
              <w:rPr>
                <w:sz w:val="20"/>
                <w:szCs w:val="20"/>
                <w:color w:val="auto"/>
              </w:rPr>
            </w:pPr>
            <w:r>
              <w:rPr>
                <w:rFonts w:ascii="Arial" w:cs="Arial" w:eastAsia="Arial" w:hAnsi="Arial"/>
                <w:sz w:val="18"/>
                <w:szCs w:val="18"/>
                <w:color w:val="auto"/>
              </w:rPr>
              <w:t>$40,541</w:t>
            </w: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Purchases</w:t>
            </w:r>
          </w:p>
        </w:tc>
        <w:tc>
          <w:tcPr>
            <w:tcW w:w="7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3740" w:type="dxa"/>
            <w:vAlign w:val="bottom"/>
          </w:tcPr>
          <w:p>
            <w:pPr>
              <w:spacing w:after="0"/>
              <w:rPr>
                <w:sz w:val="20"/>
                <w:szCs w:val="20"/>
                <w:color w:val="auto"/>
              </w:rPr>
            </w:pPr>
            <w:r>
              <w:rPr>
                <w:rFonts w:ascii="Arial" w:cs="Arial" w:eastAsia="Arial" w:hAnsi="Arial"/>
                <w:sz w:val="18"/>
                <w:szCs w:val="18"/>
                <w:color w:val="auto"/>
              </w:rPr>
              <w:t>Sales and redemption</w:t>
            </w:r>
          </w:p>
        </w:tc>
        <w:tc>
          <w:tcPr>
            <w:tcW w:w="7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70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Unrealized gain included in other comprehensive loss</w:t>
            </w: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40" w:type="dxa"/>
            <w:vAlign w:val="bottom"/>
            <w:gridSpan w:val="2"/>
            <w:shd w:val="clear" w:color="auto" w:fill="CCEEFF"/>
          </w:tcPr>
          <w:p>
            <w:pPr>
              <w:spacing w:after="0"/>
              <w:rPr>
                <w:sz w:val="18"/>
                <w:szCs w:val="18"/>
                <w:color w:val="auto"/>
              </w:rPr>
            </w:pPr>
          </w:p>
        </w:tc>
        <w:tc>
          <w:tcPr>
            <w:tcW w:w="6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(886)</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740" w:type="dxa"/>
            <w:vAlign w:val="bottom"/>
            <w:vMerge w:val="restart"/>
          </w:tcPr>
          <w:p>
            <w:pPr>
              <w:spacing w:after="0"/>
              <w:rPr>
                <w:sz w:val="20"/>
                <w:szCs w:val="20"/>
                <w:color w:val="auto"/>
              </w:rPr>
            </w:pPr>
            <w:r>
              <w:rPr>
                <w:rFonts w:ascii="Arial" w:cs="Arial" w:eastAsia="Arial" w:hAnsi="Arial"/>
                <w:sz w:val="18"/>
                <w:szCs w:val="18"/>
                <w:color w:val="auto"/>
              </w:rPr>
              <w:t>Ending balance at May 2, 2009</w:t>
            </w:r>
          </w:p>
        </w:tc>
        <w:tc>
          <w:tcPr>
            <w:tcW w:w="7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920" w:type="dxa"/>
            <w:vAlign w:val="bottom"/>
          </w:tcPr>
          <w:p>
            <w:pPr>
              <w:spacing w:after="0"/>
              <w:rPr>
                <w:sz w:val="19"/>
                <w:szCs w:val="19"/>
                <w:color w:val="auto"/>
              </w:rPr>
            </w:pPr>
          </w:p>
        </w:tc>
        <w:tc>
          <w:tcPr>
            <w:tcW w:w="3740" w:type="dxa"/>
            <w:vAlign w:val="bottom"/>
            <w:vMerge w:val="continue"/>
          </w:tcPr>
          <w:p>
            <w:pPr>
              <w:spacing w:after="0"/>
              <w:rPr>
                <w:sz w:val="19"/>
                <w:szCs w:val="19"/>
                <w:color w:val="auto"/>
              </w:rPr>
            </w:pPr>
          </w:p>
        </w:tc>
        <w:tc>
          <w:tcPr>
            <w:tcW w:w="7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940" w:type="dxa"/>
            <w:vAlign w:val="bottom"/>
            <w:gridSpan w:val="4"/>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39,655</w:t>
            </w:r>
          </w:p>
        </w:tc>
        <w:tc>
          <w:tcPr>
            <w:tcW w:w="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660" w:type="dxa"/>
            <w:vAlign w:val="bottom"/>
            <w:gridSpan w:val="2"/>
            <w:vMerge w:val="restart"/>
          </w:tcPr>
          <w:p>
            <w:pPr>
              <w:spacing w:after="0"/>
              <w:rPr>
                <w:sz w:val="20"/>
                <w:szCs w:val="20"/>
                <w:color w:val="auto"/>
              </w:rPr>
            </w:pPr>
            <w:r>
              <w:rPr>
                <w:rFonts w:ascii="Arial" w:cs="Arial" w:eastAsia="Arial" w:hAnsi="Arial"/>
                <w:sz w:val="18"/>
                <w:szCs w:val="18"/>
                <w:b w:val="1"/>
                <w:bCs w:val="1"/>
                <w:color w:val="auto"/>
                <w:w w:val="99"/>
              </w:rPr>
              <w:t>Note 7. Acquired Intangible Assets, Net (in thousands)</w:t>
            </w:r>
          </w:p>
        </w:tc>
        <w:tc>
          <w:tcPr>
            <w:tcW w:w="7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4660" w:type="dxa"/>
            <w:vAlign w:val="bottom"/>
            <w:gridSpan w:val="2"/>
            <w:vMerge w:val="continue"/>
          </w:tcPr>
          <w:p>
            <w:pPr>
              <w:spacing w:after="0"/>
              <w:rPr>
                <w:sz w:val="24"/>
                <w:szCs w:val="24"/>
                <w:color w:val="auto"/>
              </w:rPr>
            </w:pPr>
          </w:p>
        </w:tc>
        <w:tc>
          <w:tcPr>
            <w:tcW w:w="7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920" w:type="dxa"/>
            <w:vAlign w:val="bottom"/>
          </w:tcPr>
          <w:p>
            <w:pPr>
              <w:spacing w:after="0"/>
              <w:rPr>
                <w:sz w:val="24"/>
                <w:szCs w:val="24"/>
                <w:color w:val="auto"/>
              </w:rPr>
            </w:pPr>
          </w:p>
        </w:tc>
        <w:tc>
          <w:tcPr>
            <w:tcW w:w="37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68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980" w:type="dxa"/>
            <w:vAlign w:val="bottom"/>
            <w:tcBorders>
              <w:bottom w:val="single" w:sz="8" w:color="auto"/>
            </w:tcBorders>
            <w:gridSpan w:val="2"/>
          </w:tcPr>
          <w:p>
            <w:pPr>
              <w:jc w:val="center"/>
              <w:ind w:right="200"/>
              <w:spacing w:after="0"/>
              <w:rPr>
                <w:sz w:val="20"/>
                <w:szCs w:val="20"/>
                <w:color w:val="auto"/>
              </w:rPr>
            </w:pPr>
            <w:r>
              <w:rPr>
                <w:rFonts w:ascii="Arial" w:cs="Arial" w:eastAsia="Arial" w:hAnsi="Arial"/>
                <w:sz w:val="14"/>
                <w:szCs w:val="14"/>
                <w:b w:val="1"/>
                <w:bCs w:val="1"/>
                <w:color w:val="auto"/>
                <w:w w:val="89"/>
              </w:rPr>
              <w:t>May 1, 2010</w:t>
            </w:r>
          </w:p>
        </w:tc>
        <w:tc>
          <w:tcPr>
            <w:tcW w:w="140" w:type="dxa"/>
            <w:vAlign w:val="bottom"/>
            <w:tcBorders>
              <w:bottom w:val="single" w:sz="8" w:color="auto"/>
            </w:tcBorders>
          </w:tcPr>
          <w:p>
            <w:pPr>
              <w:spacing w:after="0"/>
              <w:rPr>
                <w:sz w:val="24"/>
                <w:szCs w:val="24"/>
                <w:color w:val="auto"/>
              </w:rPr>
            </w:pPr>
          </w:p>
        </w:tc>
        <w:tc>
          <w:tcPr>
            <w:tcW w:w="660" w:type="dxa"/>
            <w:vAlign w:val="bottom"/>
            <w:tcBorders>
              <w:bottom w:val="single" w:sz="8" w:color="auto"/>
            </w:tcBorders>
          </w:tcPr>
          <w:p>
            <w:pPr>
              <w:spacing w:after="0"/>
              <w:rPr>
                <w:sz w:val="24"/>
                <w:szCs w:val="24"/>
                <w:color w:val="auto"/>
              </w:rPr>
            </w:pPr>
          </w:p>
        </w:tc>
        <w:tc>
          <w:tcPr>
            <w:tcW w:w="220" w:type="dxa"/>
            <w:vAlign w:val="bottom"/>
          </w:tcPr>
          <w:p>
            <w:pPr>
              <w:spacing w:after="0"/>
              <w:rPr>
                <w:sz w:val="24"/>
                <w:szCs w:val="24"/>
                <w:color w:val="auto"/>
              </w:rPr>
            </w:pPr>
          </w:p>
        </w:tc>
        <w:tc>
          <w:tcPr>
            <w:tcW w:w="8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160" w:type="dxa"/>
            <w:vAlign w:val="bottom"/>
            <w:tcBorders>
              <w:bottom w:val="single" w:sz="8" w:color="auto"/>
            </w:tcBorders>
            <w:gridSpan w:val="6"/>
          </w:tcPr>
          <w:p>
            <w:pPr>
              <w:jc w:val="center"/>
              <w:ind w:right="80"/>
              <w:spacing w:after="0"/>
              <w:rPr>
                <w:sz w:val="20"/>
                <w:szCs w:val="20"/>
                <w:color w:val="auto"/>
              </w:rPr>
            </w:pPr>
            <w:r>
              <w:rPr>
                <w:rFonts w:ascii="Arial" w:cs="Arial" w:eastAsia="Arial" w:hAnsi="Arial"/>
                <w:sz w:val="14"/>
                <w:szCs w:val="14"/>
                <w:b w:val="1"/>
                <w:bCs w:val="1"/>
                <w:color w:val="auto"/>
                <w:w w:val="89"/>
              </w:rPr>
              <w:t>January 30, 2010</w:t>
            </w:r>
          </w:p>
        </w:tc>
        <w:tc>
          <w:tcPr>
            <w:tcW w:w="1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920" w:type="dxa"/>
            <w:vAlign w:val="bottom"/>
          </w:tcPr>
          <w:p>
            <w:pPr>
              <w:spacing w:after="0"/>
              <w:rPr>
                <w:sz w:val="11"/>
                <w:szCs w:val="11"/>
                <w:color w:val="auto"/>
              </w:rPr>
            </w:pPr>
          </w:p>
        </w:tc>
        <w:tc>
          <w:tcPr>
            <w:tcW w:w="3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80" w:type="dxa"/>
            <w:vAlign w:val="bottom"/>
            <w:gridSpan w:val="2"/>
          </w:tcPr>
          <w:p>
            <w:pPr>
              <w:jc w:val="center"/>
              <w:ind w:right="18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00" w:type="dxa"/>
            <w:vAlign w:val="bottom"/>
            <w:gridSpan w:val="5"/>
          </w:tcPr>
          <w:p>
            <w:pPr>
              <w:jc w:val="center"/>
              <w:ind w:right="220"/>
              <w:spacing w:after="0" w:line="129" w:lineRule="exact"/>
              <w:rPr>
                <w:sz w:val="20"/>
                <w:szCs w:val="20"/>
                <w:color w:val="auto"/>
              </w:rPr>
            </w:pPr>
            <w:r>
              <w:rPr>
                <w:rFonts w:ascii="Arial" w:cs="Arial" w:eastAsia="Arial" w:hAnsi="Arial"/>
                <w:sz w:val="14"/>
                <w:szCs w:val="14"/>
                <w:b w:val="1"/>
                <w:bCs w:val="1"/>
                <w:color w:val="auto"/>
                <w:w w:val="88"/>
              </w:rPr>
              <w:t>Accumulated</w:t>
            </w: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920" w:type="dxa"/>
            <w:vAlign w:val="bottom"/>
          </w:tcPr>
          <w:p>
            <w:pPr>
              <w:spacing w:after="0"/>
              <w:rPr>
                <w:sz w:val="12"/>
                <w:szCs w:val="12"/>
                <w:color w:val="auto"/>
              </w:rPr>
            </w:pPr>
          </w:p>
        </w:tc>
        <w:tc>
          <w:tcPr>
            <w:tcW w:w="3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8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3"/>
              </w:rPr>
              <w:t>Gross</w:t>
            </w:r>
          </w:p>
        </w:tc>
        <w:tc>
          <w:tcPr>
            <w:tcW w:w="20" w:type="dxa"/>
            <w:vAlign w:val="bottom"/>
          </w:tcPr>
          <w:p>
            <w:pPr>
              <w:spacing w:after="0"/>
              <w:rPr>
                <w:sz w:val="12"/>
                <w:szCs w:val="12"/>
                <w:color w:val="auto"/>
              </w:rPr>
            </w:pPr>
          </w:p>
        </w:tc>
        <w:tc>
          <w:tcPr>
            <w:tcW w:w="98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8"/>
              </w:rPr>
              <w:t>Amortization</w:t>
            </w:r>
          </w:p>
        </w:tc>
        <w:tc>
          <w:tcPr>
            <w:tcW w:w="140" w:type="dxa"/>
            <w:vAlign w:val="bottom"/>
          </w:tcPr>
          <w:p>
            <w:pPr>
              <w:spacing w:after="0"/>
              <w:rPr>
                <w:sz w:val="12"/>
                <w:szCs w:val="12"/>
                <w:color w:val="auto"/>
              </w:rPr>
            </w:pPr>
          </w:p>
        </w:tc>
        <w:tc>
          <w:tcPr>
            <w:tcW w:w="6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7"/>
              </w:rPr>
              <w:t>Net</w:t>
            </w:r>
          </w:p>
        </w:tc>
        <w:tc>
          <w:tcPr>
            <w:tcW w:w="220" w:type="dxa"/>
            <w:vAlign w:val="bottom"/>
          </w:tcPr>
          <w:p>
            <w:pPr>
              <w:spacing w:after="0"/>
              <w:rPr>
                <w:sz w:val="12"/>
                <w:szCs w:val="12"/>
                <w:color w:val="auto"/>
              </w:rPr>
            </w:pPr>
          </w:p>
        </w:tc>
        <w:tc>
          <w:tcPr>
            <w:tcW w:w="86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rPr>
              <w:t>Gross</w:t>
            </w:r>
          </w:p>
        </w:tc>
        <w:tc>
          <w:tcPr>
            <w:tcW w:w="160" w:type="dxa"/>
            <w:vAlign w:val="bottom"/>
          </w:tcPr>
          <w:p>
            <w:pPr>
              <w:spacing w:after="0"/>
              <w:rPr>
                <w:sz w:val="12"/>
                <w:szCs w:val="12"/>
                <w:color w:val="auto"/>
              </w:rPr>
            </w:pPr>
          </w:p>
        </w:tc>
        <w:tc>
          <w:tcPr>
            <w:tcW w:w="1000" w:type="dxa"/>
            <w:vAlign w:val="bottom"/>
            <w:gridSpan w:val="5"/>
          </w:tcPr>
          <w:p>
            <w:pPr>
              <w:jc w:val="center"/>
              <w:ind w:right="22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920" w:type="dxa"/>
            <w:vAlign w:val="bottom"/>
          </w:tcPr>
          <w:p>
            <w:pPr>
              <w:spacing w:after="0"/>
              <w:rPr>
                <w:sz w:val="12"/>
                <w:szCs w:val="12"/>
                <w:color w:val="auto"/>
              </w:rPr>
            </w:pPr>
          </w:p>
        </w:tc>
        <w:tc>
          <w:tcPr>
            <w:tcW w:w="3740" w:type="dxa"/>
            <w:vAlign w:val="bottom"/>
          </w:tcPr>
          <w:p>
            <w:pPr>
              <w:spacing w:after="0"/>
              <w:rPr>
                <w:sz w:val="12"/>
                <w:szCs w:val="12"/>
                <w:color w:val="auto"/>
              </w:rPr>
            </w:pPr>
          </w:p>
        </w:tc>
        <w:tc>
          <w:tcPr>
            <w:tcW w:w="9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6"/>
              </w:rPr>
              <w:t>Range of</w:t>
            </w:r>
          </w:p>
        </w:tc>
        <w:tc>
          <w:tcPr>
            <w:tcW w:w="100" w:type="dxa"/>
            <w:vAlign w:val="bottom"/>
          </w:tcPr>
          <w:p>
            <w:pPr>
              <w:spacing w:after="0"/>
              <w:rPr>
                <w:sz w:val="12"/>
                <w:szCs w:val="12"/>
                <w:color w:val="auto"/>
              </w:rPr>
            </w:pPr>
          </w:p>
        </w:tc>
        <w:tc>
          <w:tcPr>
            <w:tcW w:w="88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3"/>
              </w:rPr>
              <w:t>Carrying</w:t>
            </w:r>
          </w:p>
        </w:tc>
        <w:tc>
          <w:tcPr>
            <w:tcW w:w="20" w:type="dxa"/>
            <w:vAlign w:val="bottom"/>
          </w:tcPr>
          <w:p>
            <w:pPr>
              <w:spacing w:after="0"/>
              <w:rPr>
                <w:sz w:val="12"/>
                <w:szCs w:val="12"/>
                <w:color w:val="auto"/>
              </w:rPr>
            </w:pPr>
          </w:p>
        </w:tc>
        <w:tc>
          <w:tcPr>
            <w:tcW w:w="9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and</w:t>
            </w:r>
          </w:p>
        </w:tc>
        <w:tc>
          <w:tcPr>
            <w:tcW w:w="140" w:type="dxa"/>
            <w:vAlign w:val="bottom"/>
          </w:tcPr>
          <w:p>
            <w:pPr>
              <w:spacing w:after="0"/>
              <w:rPr>
                <w:sz w:val="12"/>
                <w:szCs w:val="12"/>
                <w:color w:val="auto"/>
              </w:rPr>
            </w:pPr>
          </w:p>
        </w:tc>
        <w:tc>
          <w:tcPr>
            <w:tcW w:w="6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Carrying</w:t>
            </w:r>
          </w:p>
        </w:tc>
        <w:tc>
          <w:tcPr>
            <w:tcW w:w="220" w:type="dxa"/>
            <w:vAlign w:val="bottom"/>
          </w:tcPr>
          <w:p>
            <w:pPr>
              <w:spacing w:after="0"/>
              <w:rPr>
                <w:sz w:val="12"/>
                <w:szCs w:val="12"/>
                <w:color w:val="auto"/>
              </w:rPr>
            </w:pPr>
          </w:p>
        </w:tc>
        <w:tc>
          <w:tcPr>
            <w:tcW w:w="860" w:type="dxa"/>
            <w:vAlign w:val="bottom"/>
            <w:gridSpan w:val="2"/>
          </w:tcPr>
          <w:p>
            <w:pPr>
              <w:jc w:val="right"/>
              <w:ind w:right="200"/>
              <w:spacing w:after="0" w:line="149" w:lineRule="exact"/>
              <w:rPr>
                <w:sz w:val="20"/>
                <w:szCs w:val="20"/>
                <w:color w:val="auto"/>
              </w:rPr>
            </w:pPr>
            <w:r>
              <w:rPr>
                <w:rFonts w:ascii="Arial" w:cs="Arial" w:eastAsia="Arial" w:hAnsi="Arial"/>
                <w:sz w:val="14"/>
                <w:szCs w:val="14"/>
                <w:b w:val="1"/>
                <w:bCs w:val="1"/>
                <w:color w:val="auto"/>
              </w:rPr>
              <w:t>Carrying</w:t>
            </w:r>
          </w:p>
        </w:tc>
        <w:tc>
          <w:tcPr>
            <w:tcW w:w="1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20" w:type="dxa"/>
            <w:vAlign w:val="bottom"/>
            <w:gridSpan w:val="4"/>
          </w:tcPr>
          <w:p>
            <w:pPr>
              <w:jc w:val="center"/>
              <w:ind w:right="400"/>
              <w:spacing w:after="0" w:line="149" w:lineRule="exact"/>
              <w:rPr>
                <w:sz w:val="20"/>
                <w:szCs w:val="20"/>
                <w:color w:val="auto"/>
              </w:rPr>
            </w:pPr>
            <w:r>
              <w:rPr>
                <w:rFonts w:ascii="Arial" w:cs="Arial" w:eastAsia="Arial" w:hAnsi="Arial"/>
                <w:sz w:val="14"/>
                <w:szCs w:val="14"/>
                <w:b w:val="1"/>
                <w:bCs w:val="1"/>
                <w:color w:val="auto"/>
                <w:w w:val="88"/>
              </w:rPr>
              <w:t>and</w:t>
            </w:r>
          </w:p>
        </w:tc>
        <w:tc>
          <w:tcPr>
            <w:tcW w:w="100" w:type="dxa"/>
            <w:vAlign w:val="bottom"/>
          </w:tcPr>
          <w:p>
            <w:pPr>
              <w:spacing w:after="0"/>
              <w:rPr>
                <w:sz w:val="12"/>
                <w:szCs w:val="12"/>
                <w:color w:val="auto"/>
              </w:rPr>
            </w:pPr>
          </w:p>
        </w:tc>
        <w:tc>
          <w:tcPr>
            <w:tcW w:w="70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90"/>
              </w:rPr>
              <w:t>Carrying</w:t>
            </w: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3740" w:type="dxa"/>
            <w:vAlign w:val="bottom"/>
          </w:tcPr>
          <w:p>
            <w:pPr>
              <w:spacing w:after="0"/>
              <w:rPr>
                <w:sz w:val="14"/>
                <w:szCs w:val="14"/>
                <w:color w:val="auto"/>
              </w:rPr>
            </w:pPr>
          </w:p>
        </w:tc>
        <w:tc>
          <w:tcPr>
            <w:tcW w:w="7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4"/>
              </w:rPr>
              <w:t>Useful Lives</w:t>
            </w:r>
          </w:p>
        </w:tc>
        <w:tc>
          <w:tcPr>
            <w:tcW w:w="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center"/>
              <w:ind w:right="19"/>
              <w:spacing w:after="0"/>
              <w:rPr>
                <w:sz w:val="20"/>
                <w:szCs w:val="20"/>
                <w:color w:val="auto"/>
              </w:rPr>
            </w:pPr>
            <w:r>
              <w:rPr>
                <w:rFonts w:ascii="Arial" w:cs="Arial" w:eastAsia="Arial" w:hAnsi="Arial"/>
                <w:sz w:val="14"/>
                <w:szCs w:val="14"/>
                <w:b w:val="1"/>
                <w:bCs w:val="1"/>
                <w:color w:val="auto"/>
                <w:w w:val="88"/>
              </w:rPr>
              <w:t>Amounts</w:t>
            </w: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Write-Offs</w:t>
            </w:r>
          </w:p>
        </w:tc>
        <w:tc>
          <w:tcPr>
            <w:tcW w:w="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6"/>
              </w:rPr>
              <w:t>Amount</w:t>
            </w:r>
          </w:p>
        </w:tc>
        <w:tc>
          <w:tcPr>
            <w:tcW w:w="220" w:type="dxa"/>
            <w:vAlign w:val="bottom"/>
          </w:tcPr>
          <w:p>
            <w:pPr>
              <w:spacing w:after="0"/>
              <w:rPr>
                <w:sz w:val="14"/>
                <w:szCs w:val="14"/>
                <w:color w:val="auto"/>
              </w:rPr>
            </w:pPr>
          </w:p>
        </w:tc>
        <w:tc>
          <w:tcPr>
            <w:tcW w:w="800" w:type="dxa"/>
            <w:vAlign w:val="bottom"/>
            <w:tcBorders>
              <w:bottom w:val="single" w:sz="8" w:color="auto"/>
            </w:tcBorders>
          </w:tcPr>
          <w:p>
            <w:pPr>
              <w:jc w:val="right"/>
              <w:ind w:right="72"/>
              <w:spacing w:after="0"/>
              <w:rPr>
                <w:sz w:val="20"/>
                <w:szCs w:val="20"/>
                <w:color w:val="auto"/>
              </w:rPr>
            </w:pPr>
            <w:r>
              <w:rPr>
                <w:rFonts w:ascii="Arial" w:cs="Arial" w:eastAsia="Arial" w:hAnsi="Arial"/>
                <w:sz w:val="14"/>
                <w:szCs w:val="14"/>
                <w:b w:val="1"/>
                <w:bCs w:val="1"/>
                <w:color w:val="auto"/>
              </w:rPr>
              <w:t>Amounts</w:t>
            </w: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8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91"/>
              </w:rPr>
              <w:t>Write-Offs</w:t>
            </w:r>
          </w:p>
        </w:tc>
        <w:tc>
          <w:tcPr>
            <w:tcW w:w="220" w:type="dxa"/>
            <w:vAlign w:val="bottom"/>
            <w:gridSpan w:val="2"/>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17"/>
              <w:spacing w:after="0"/>
              <w:rPr>
                <w:sz w:val="20"/>
                <w:szCs w:val="20"/>
                <w:color w:val="auto"/>
              </w:rPr>
            </w:pPr>
            <w:r>
              <w:rPr>
                <w:rFonts w:ascii="Arial" w:cs="Arial" w:eastAsia="Arial" w:hAnsi="Arial"/>
                <w:sz w:val="14"/>
                <w:szCs w:val="14"/>
                <w:b w:val="1"/>
                <w:bCs w:val="1"/>
                <w:color w:val="auto"/>
                <w:w w:val="90"/>
              </w:rPr>
              <w:t>Amount</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Purchased technology</w:t>
            </w:r>
          </w:p>
        </w:tc>
        <w:tc>
          <w:tcPr>
            <w:tcW w:w="96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86"/>
              </w:rPr>
              <w:t>1 - 7 years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714,640</w:t>
            </w:r>
          </w:p>
        </w:tc>
        <w:tc>
          <w:tcPr>
            <w:tcW w:w="20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w w:val="91"/>
              </w:rPr>
              <w:t>$ (675,800)</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$ 38,840</w:t>
            </w:r>
          </w:p>
        </w:tc>
        <w:tc>
          <w:tcPr>
            <w:tcW w:w="10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  714,640</w:t>
            </w:r>
          </w:p>
        </w:tc>
        <w:tc>
          <w:tcPr>
            <w:tcW w:w="1020" w:type="dxa"/>
            <w:vAlign w:val="bottom"/>
            <w:gridSpan w:val="5"/>
            <w:shd w:val="clear" w:color="auto" w:fill="CCEEFF"/>
          </w:tcPr>
          <w:p>
            <w:pPr>
              <w:jc w:val="right"/>
              <w:ind w:right="20"/>
              <w:spacing w:after="0"/>
              <w:rPr>
                <w:sz w:val="20"/>
                <w:szCs w:val="20"/>
                <w:color w:val="auto"/>
              </w:rPr>
            </w:pPr>
            <w:r>
              <w:rPr>
                <w:rFonts w:ascii="Arial" w:cs="Arial" w:eastAsia="Arial" w:hAnsi="Arial"/>
                <w:sz w:val="18"/>
                <w:szCs w:val="18"/>
                <w:color w:val="auto"/>
              </w:rPr>
              <w:t>$ (665,010)</w:t>
            </w:r>
          </w:p>
        </w:tc>
        <w:tc>
          <w:tcPr>
            <w:tcW w:w="14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49,630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60" w:type="dxa"/>
            <w:vAlign w:val="bottom"/>
            <w:gridSpan w:val="2"/>
          </w:tcPr>
          <w:p>
            <w:pPr>
              <w:spacing w:after="0"/>
              <w:rPr>
                <w:sz w:val="20"/>
                <w:szCs w:val="20"/>
                <w:color w:val="auto"/>
              </w:rPr>
            </w:pPr>
            <w:r>
              <w:rPr>
                <w:rFonts w:ascii="Arial" w:cs="Arial" w:eastAsia="Arial" w:hAnsi="Arial"/>
                <w:sz w:val="18"/>
                <w:szCs w:val="18"/>
                <w:color w:val="auto"/>
              </w:rPr>
              <w:t>Core technology</w:t>
            </w:r>
          </w:p>
        </w:tc>
        <w:tc>
          <w:tcPr>
            <w:tcW w:w="960" w:type="dxa"/>
            <w:vAlign w:val="bottom"/>
            <w:gridSpan w:val="2"/>
          </w:tcPr>
          <w:p>
            <w:pPr>
              <w:jc w:val="center"/>
              <w:ind w:right="220"/>
              <w:spacing w:after="0"/>
              <w:rPr>
                <w:sz w:val="20"/>
                <w:szCs w:val="20"/>
                <w:color w:val="auto"/>
              </w:rPr>
            </w:pPr>
            <w:r>
              <w:rPr>
                <w:rFonts w:ascii="Arial" w:cs="Arial" w:eastAsia="Arial" w:hAnsi="Arial"/>
                <w:sz w:val="18"/>
                <w:szCs w:val="18"/>
                <w:color w:val="auto"/>
                <w:w w:val="86"/>
              </w:rPr>
              <w:t>1 - 8 years</w:t>
            </w: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212,650</w:t>
            </w:r>
          </w:p>
        </w:tc>
        <w:tc>
          <w:tcPr>
            <w:tcW w:w="200" w:type="dxa"/>
            <w:vAlign w:val="bottom"/>
          </w:tcPr>
          <w:p>
            <w:pPr>
              <w:spacing w:after="0"/>
              <w:rPr>
                <w:sz w:val="18"/>
                <w:szCs w:val="18"/>
                <w:color w:val="auto"/>
              </w:rPr>
            </w:pPr>
          </w:p>
        </w:tc>
        <w:tc>
          <w:tcPr>
            <w:tcW w:w="1000" w:type="dxa"/>
            <w:vAlign w:val="bottom"/>
            <w:gridSpan w:val="3"/>
          </w:tcPr>
          <w:p>
            <w:pPr>
              <w:jc w:val="right"/>
              <w:ind w:right="140"/>
              <w:spacing w:after="0"/>
              <w:rPr>
                <w:sz w:val="20"/>
                <w:szCs w:val="20"/>
                <w:color w:val="auto"/>
              </w:rPr>
            </w:pPr>
            <w:r>
              <w:rPr>
                <w:rFonts w:ascii="Arial" w:cs="Arial" w:eastAsia="Arial" w:hAnsi="Arial"/>
                <w:sz w:val="18"/>
                <w:szCs w:val="18"/>
                <w:color w:val="auto"/>
              </w:rPr>
              <w:t>(136,277)</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76,373</w:t>
            </w:r>
          </w:p>
        </w:tc>
        <w:tc>
          <w:tcPr>
            <w:tcW w:w="1080" w:type="dxa"/>
            <w:vAlign w:val="bottom"/>
            <w:gridSpan w:val="3"/>
          </w:tcPr>
          <w:p>
            <w:pPr>
              <w:jc w:val="right"/>
              <w:ind w:right="60"/>
              <w:spacing w:after="0"/>
              <w:rPr>
                <w:sz w:val="20"/>
                <w:szCs w:val="20"/>
                <w:color w:val="auto"/>
              </w:rPr>
            </w:pPr>
            <w:r>
              <w:rPr>
                <w:rFonts w:ascii="Arial" w:cs="Arial" w:eastAsia="Arial" w:hAnsi="Arial"/>
                <w:sz w:val="18"/>
                <w:szCs w:val="18"/>
                <w:color w:val="auto"/>
              </w:rPr>
              <w:t>212,650</w:t>
            </w:r>
          </w:p>
        </w:tc>
        <w:tc>
          <w:tcPr>
            <w:tcW w:w="1020" w:type="dxa"/>
            <w:vAlign w:val="bottom"/>
            <w:gridSpan w:val="5"/>
          </w:tcPr>
          <w:p>
            <w:pPr>
              <w:jc w:val="right"/>
              <w:ind w:right="20"/>
              <w:spacing w:after="0"/>
              <w:rPr>
                <w:sz w:val="20"/>
                <w:szCs w:val="20"/>
                <w:color w:val="auto"/>
              </w:rPr>
            </w:pPr>
            <w:r>
              <w:rPr>
                <w:rFonts w:ascii="Arial" w:cs="Arial" w:eastAsia="Arial" w:hAnsi="Arial"/>
                <w:sz w:val="18"/>
                <w:szCs w:val="18"/>
                <w:color w:val="auto"/>
              </w:rPr>
              <w:t>(129,478)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83,172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Trade name</w:t>
            </w:r>
          </w:p>
        </w:tc>
        <w:tc>
          <w:tcPr>
            <w:tcW w:w="96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86"/>
              </w:rPr>
              <w:t>1 - 5 years</w:t>
            </w: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20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(269)</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81</w:t>
            </w:r>
          </w:p>
        </w:tc>
        <w:tc>
          <w:tcPr>
            <w:tcW w:w="10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350</w:t>
            </w:r>
          </w:p>
        </w:tc>
        <w:tc>
          <w:tcPr>
            <w:tcW w:w="1020" w:type="dxa"/>
            <w:vAlign w:val="bottom"/>
            <w:gridSpan w:val="5"/>
            <w:shd w:val="clear" w:color="auto" w:fill="CCEEFF"/>
          </w:tcPr>
          <w:p>
            <w:pPr>
              <w:jc w:val="right"/>
              <w:ind w:right="20"/>
              <w:spacing w:after="0"/>
              <w:rPr>
                <w:sz w:val="20"/>
                <w:szCs w:val="20"/>
                <w:color w:val="auto"/>
              </w:rPr>
            </w:pPr>
            <w:r>
              <w:rPr>
                <w:rFonts w:ascii="Arial" w:cs="Arial" w:eastAsia="Arial" w:hAnsi="Arial"/>
                <w:sz w:val="18"/>
                <w:szCs w:val="18"/>
                <w:color w:val="auto"/>
              </w:rPr>
              <w:t>(259)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60" w:type="dxa"/>
            <w:vAlign w:val="bottom"/>
            <w:gridSpan w:val="2"/>
          </w:tcPr>
          <w:p>
            <w:pPr>
              <w:spacing w:after="0"/>
              <w:rPr>
                <w:sz w:val="20"/>
                <w:szCs w:val="20"/>
                <w:color w:val="auto"/>
              </w:rPr>
            </w:pPr>
            <w:r>
              <w:rPr>
                <w:rFonts w:ascii="Arial" w:cs="Arial" w:eastAsia="Arial" w:hAnsi="Arial"/>
                <w:sz w:val="18"/>
                <w:szCs w:val="18"/>
                <w:color w:val="auto"/>
              </w:rPr>
              <w:t>Customer contracts</w:t>
            </w:r>
          </w:p>
        </w:tc>
        <w:tc>
          <w:tcPr>
            <w:tcW w:w="960" w:type="dxa"/>
            <w:vAlign w:val="bottom"/>
            <w:gridSpan w:val="2"/>
          </w:tcPr>
          <w:p>
            <w:pPr>
              <w:jc w:val="center"/>
              <w:ind w:right="220"/>
              <w:spacing w:after="0"/>
              <w:rPr>
                <w:sz w:val="20"/>
                <w:szCs w:val="20"/>
                <w:color w:val="auto"/>
              </w:rPr>
            </w:pPr>
            <w:r>
              <w:rPr>
                <w:rFonts w:ascii="Arial" w:cs="Arial" w:eastAsia="Arial" w:hAnsi="Arial"/>
                <w:sz w:val="18"/>
                <w:szCs w:val="18"/>
                <w:color w:val="auto"/>
                <w:w w:val="86"/>
              </w:rPr>
              <w:t>4 - 7 years</w:t>
            </w: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183,300</w:t>
            </w:r>
          </w:p>
        </w:tc>
        <w:tc>
          <w:tcPr>
            <w:tcW w:w="200" w:type="dxa"/>
            <w:vAlign w:val="bottom"/>
          </w:tcPr>
          <w:p>
            <w:pPr>
              <w:spacing w:after="0"/>
              <w:rPr>
                <w:sz w:val="18"/>
                <w:szCs w:val="18"/>
                <w:color w:val="auto"/>
              </w:rPr>
            </w:pPr>
          </w:p>
        </w:tc>
        <w:tc>
          <w:tcPr>
            <w:tcW w:w="1000" w:type="dxa"/>
            <w:vAlign w:val="bottom"/>
            <w:gridSpan w:val="3"/>
          </w:tcPr>
          <w:p>
            <w:pPr>
              <w:jc w:val="right"/>
              <w:ind w:right="140"/>
              <w:spacing w:after="0"/>
              <w:rPr>
                <w:sz w:val="20"/>
                <w:szCs w:val="20"/>
                <w:color w:val="auto"/>
              </w:rPr>
            </w:pPr>
            <w:r>
              <w:rPr>
                <w:rFonts w:ascii="Arial" w:cs="Arial" w:eastAsia="Arial" w:hAnsi="Arial"/>
                <w:sz w:val="18"/>
                <w:szCs w:val="18"/>
                <w:color w:val="auto"/>
              </w:rPr>
              <w:t>(142,025)</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41,275</w:t>
            </w:r>
          </w:p>
        </w:tc>
        <w:tc>
          <w:tcPr>
            <w:tcW w:w="1080" w:type="dxa"/>
            <w:vAlign w:val="bottom"/>
            <w:gridSpan w:val="3"/>
          </w:tcPr>
          <w:p>
            <w:pPr>
              <w:jc w:val="right"/>
              <w:ind w:right="60"/>
              <w:spacing w:after="0"/>
              <w:rPr>
                <w:sz w:val="20"/>
                <w:szCs w:val="20"/>
                <w:color w:val="auto"/>
              </w:rPr>
            </w:pPr>
            <w:r>
              <w:rPr>
                <w:rFonts w:ascii="Arial" w:cs="Arial" w:eastAsia="Arial" w:hAnsi="Arial"/>
                <w:sz w:val="18"/>
                <w:szCs w:val="18"/>
                <w:color w:val="auto"/>
              </w:rPr>
              <w:t>183,300</w:t>
            </w:r>
          </w:p>
        </w:tc>
        <w:tc>
          <w:tcPr>
            <w:tcW w:w="1020" w:type="dxa"/>
            <w:vAlign w:val="bottom"/>
            <w:gridSpan w:val="5"/>
          </w:tcPr>
          <w:p>
            <w:pPr>
              <w:jc w:val="right"/>
              <w:ind w:right="20"/>
              <w:spacing w:after="0"/>
              <w:rPr>
                <w:sz w:val="20"/>
                <w:szCs w:val="20"/>
                <w:color w:val="auto"/>
              </w:rPr>
            </w:pPr>
            <w:r>
              <w:rPr>
                <w:rFonts w:ascii="Arial" w:cs="Arial" w:eastAsia="Arial" w:hAnsi="Arial"/>
                <w:sz w:val="18"/>
                <w:szCs w:val="18"/>
                <w:color w:val="auto"/>
              </w:rPr>
              <w:t>(137,163)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46,137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Non-compete agreements</w:t>
            </w:r>
          </w:p>
        </w:tc>
        <w:tc>
          <w:tcPr>
            <w:tcW w:w="96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84"/>
              </w:rPr>
              <w:t>3 years</w:t>
            </w: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(687)</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10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700</w:t>
            </w:r>
          </w:p>
        </w:tc>
        <w:tc>
          <w:tcPr>
            <w:tcW w:w="1020" w:type="dxa"/>
            <w:vAlign w:val="bottom"/>
            <w:gridSpan w:val="5"/>
            <w:shd w:val="clear" w:color="auto" w:fill="CCEEFF"/>
          </w:tcPr>
          <w:p>
            <w:pPr>
              <w:jc w:val="right"/>
              <w:ind w:right="20"/>
              <w:spacing w:after="0"/>
              <w:rPr>
                <w:sz w:val="20"/>
                <w:szCs w:val="20"/>
                <w:color w:val="auto"/>
              </w:rPr>
            </w:pPr>
            <w:r>
              <w:rPr>
                <w:rFonts w:ascii="Arial" w:cs="Arial" w:eastAsia="Arial" w:hAnsi="Arial"/>
                <w:sz w:val="18"/>
                <w:szCs w:val="18"/>
                <w:color w:val="auto"/>
              </w:rPr>
              <w:t>(629)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60" w:type="dxa"/>
            <w:vAlign w:val="bottom"/>
            <w:gridSpan w:val="2"/>
            <w:vMerge w:val="restart"/>
          </w:tcPr>
          <w:p>
            <w:pPr>
              <w:ind w:left="440"/>
              <w:spacing w:after="0"/>
              <w:rPr>
                <w:sz w:val="20"/>
                <w:szCs w:val="20"/>
                <w:color w:val="auto"/>
              </w:rPr>
            </w:pPr>
            <w:r>
              <w:rPr>
                <w:rFonts w:ascii="Arial" w:cs="Arial" w:eastAsia="Arial" w:hAnsi="Arial"/>
                <w:sz w:val="18"/>
                <w:szCs w:val="18"/>
                <w:color w:val="auto"/>
              </w:rPr>
              <w:t>Total intangible assets, net</w:t>
            </w:r>
          </w:p>
        </w:tc>
        <w:tc>
          <w:tcPr>
            <w:tcW w:w="7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80" w:type="dxa"/>
            <w:vAlign w:val="bottom"/>
            <w:gridSpan w:val="3"/>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660" w:type="dxa"/>
            <w:vAlign w:val="bottom"/>
            <w:gridSpan w:val="2"/>
            <w:vMerge w:val="continue"/>
          </w:tcPr>
          <w:p>
            <w:pPr>
              <w:spacing w:after="0"/>
              <w:rPr>
                <w:sz w:val="19"/>
                <w:szCs w:val="19"/>
                <w:color w:val="auto"/>
              </w:rPr>
            </w:pPr>
          </w:p>
        </w:tc>
        <w:tc>
          <w:tcPr>
            <w:tcW w:w="7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680" w:type="dxa"/>
            <w:vAlign w:val="bottom"/>
          </w:tcPr>
          <w:p>
            <w:pPr>
              <w:jc w:val="right"/>
              <w:spacing w:after="0"/>
              <w:rPr>
                <w:sz w:val="20"/>
                <w:szCs w:val="20"/>
                <w:color w:val="auto"/>
              </w:rPr>
            </w:pPr>
            <w:r>
              <w:rPr>
                <w:rFonts w:ascii="Arial" w:cs="Arial" w:eastAsia="Arial" w:hAnsi="Arial"/>
                <w:sz w:val="18"/>
                <w:szCs w:val="18"/>
                <w:color w:val="auto"/>
                <w:w w:val="82"/>
              </w:rPr>
              <w:t>1,111,640</w:t>
            </w:r>
          </w:p>
        </w:tc>
        <w:tc>
          <w:tcPr>
            <w:tcW w:w="2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980" w:type="dxa"/>
            <w:vAlign w:val="bottom"/>
            <w:gridSpan w:val="2"/>
          </w:tcPr>
          <w:p>
            <w:pPr>
              <w:jc w:val="right"/>
              <w:ind w:right="140"/>
              <w:spacing w:after="0"/>
              <w:rPr>
                <w:sz w:val="20"/>
                <w:szCs w:val="20"/>
                <w:color w:val="auto"/>
              </w:rPr>
            </w:pPr>
            <w:r>
              <w:rPr>
                <w:rFonts w:ascii="Arial" w:cs="Arial" w:eastAsia="Arial" w:hAnsi="Arial"/>
                <w:sz w:val="18"/>
                <w:szCs w:val="18"/>
                <w:color w:val="auto"/>
                <w:w w:val="89"/>
              </w:rPr>
              <w:t>$ (955,058)</w:t>
            </w:r>
          </w:p>
        </w:tc>
        <w:tc>
          <w:tcPr>
            <w:tcW w:w="8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156,582</w:t>
            </w:r>
          </w:p>
        </w:tc>
        <w:tc>
          <w:tcPr>
            <w:tcW w:w="1080" w:type="dxa"/>
            <w:vAlign w:val="bottom"/>
            <w:gridSpan w:val="3"/>
          </w:tcPr>
          <w:p>
            <w:pPr>
              <w:jc w:val="right"/>
              <w:ind w:right="6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 xml:space="preserve"> 1,111,640</w:t>
            </w:r>
          </w:p>
        </w:tc>
        <w:tc>
          <w:tcPr>
            <w:tcW w:w="1020" w:type="dxa"/>
            <w:vAlign w:val="bottom"/>
            <w:gridSpan w:val="5"/>
          </w:tcPr>
          <w:p>
            <w:pPr>
              <w:jc w:val="right"/>
              <w:ind w:right="20"/>
              <w:spacing w:after="0"/>
              <w:rPr>
                <w:sz w:val="20"/>
                <w:szCs w:val="20"/>
                <w:color w:val="auto"/>
              </w:rPr>
            </w:pPr>
            <w:r>
              <w:rPr>
                <w:rFonts w:ascii="Arial" w:cs="Arial" w:eastAsia="Arial" w:hAnsi="Arial"/>
                <w:sz w:val="18"/>
                <w:szCs w:val="18"/>
                <w:color w:val="auto"/>
              </w:rPr>
              <w:t>$ (932,539)</w:t>
            </w:r>
          </w:p>
        </w:tc>
        <w:tc>
          <w:tcPr>
            <w:tcW w:w="140" w:type="dxa"/>
            <w:vAlign w:val="bottom"/>
          </w:tcPr>
          <w:p>
            <w:pPr>
              <w:spacing w:after="0"/>
              <w:rPr>
                <w:sz w:val="19"/>
                <w:szCs w:val="19"/>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179,101</w:t>
            </w: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Based on the identified intangible assets recorded at May 1, 2010, the future amortization expense of identified intangibles for the next five fiscal years is as follows (in thousands):</w:t>
      </w:r>
    </w:p>
    <w:p>
      <w:pPr>
        <w:spacing w:after="0" w:line="16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2740" w:type="dxa"/>
            <w:vAlign w:val="bottom"/>
            <w:gridSpan w:val="3"/>
          </w:tcPr>
          <w:p>
            <w:pPr>
              <w:spacing w:after="0"/>
              <w:rPr>
                <w:sz w:val="20"/>
                <w:szCs w:val="20"/>
                <w:color w:val="auto"/>
              </w:rPr>
            </w:pPr>
            <w:r>
              <w:rPr>
                <w:rFonts w:ascii="Arial" w:cs="Arial" w:eastAsia="Arial" w:hAnsi="Arial"/>
                <w:sz w:val="14"/>
                <w:szCs w:val="14"/>
                <w:b w:val="1"/>
                <w:bCs w:val="1"/>
                <w:color w:val="auto"/>
              </w:rPr>
              <w:t>Fiscal year</w:t>
            </w:r>
          </w:p>
        </w:tc>
        <w:tc>
          <w:tcPr>
            <w:tcW w:w="4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jc w:val="right"/>
              <w:ind w:right="35"/>
              <w:spacing w:after="0"/>
              <w:rPr>
                <w:sz w:val="20"/>
                <w:szCs w:val="20"/>
                <w:color w:val="auto"/>
              </w:rPr>
            </w:pPr>
            <w:r>
              <w:rPr>
                <w:rFonts w:ascii="Arial" w:cs="Arial" w:eastAsia="Arial" w:hAnsi="Arial"/>
                <w:sz w:val="14"/>
                <w:szCs w:val="14"/>
                <w:b w:val="1"/>
                <w:bCs w:val="1"/>
                <w:color w:val="auto"/>
                <w:w w:val="86"/>
              </w:rPr>
              <w:t>Amount</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2080" w:type="dxa"/>
            <w:vAlign w:val="bottom"/>
          </w:tcPr>
          <w:p>
            <w:pPr>
              <w:spacing w:after="0" w:line="20" w:lineRule="exact"/>
              <w:rPr>
                <w:sz w:val="1"/>
                <w:szCs w:val="1"/>
                <w:color w:val="auto"/>
              </w:rPr>
            </w:pPr>
          </w:p>
        </w:tc>
        <w:tc>
          <w:tcPr>
            <w:tcW w:w="43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27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Reminder of fiscal 2011</w:t>
            </w:r>
          </w:p>
        </w:tc>
        <w:tc>
          <w:tcPr>
            <w:tcW w:w="4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55,643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Arial" w:cs="Arial" w:eastAsia="Arial" w:hAnsi="Arial"/>
                <w:sz w:val="18"/>
                <w:szCs w:val="18"/>
                <w:color w:val="auto"/>
              </w:rPr>
              <w:t>2012</w:t>
            </w:r>
          </w:p>
        </w:tc>
        <w:tc>
          <w:tcPr>
            <w:tcW w:w="2080" w:type="dxa"/>
            <w:vAlign w:val="bottom"/>
          </w:tcPr>
          <w:p>
            <w:pPr>
              <w:spacing w:after="0"/>
              <w:rPr>
                <w:sz w:val="18"/>
                <w:szCs w:val="18"/>
                <w:color w:val="auto"/>
              </w:rPr>
            </w:pPr>
          </w:p>
        </w:tc>
        <w:tc>
          <w:tcPr>
            <w:tcW w:w="4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42,150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Arial" w:cs="Arial" w:eastAsia="Arial" w:hAnsi="Arial"/>
                <w:sz w:val="18"/>
                <w:szCs w:val="18"/>
                <w:color w:val="auto"/>
              </w:rPr>
              <w:t>2013</w:t>
            </w:r>
          </w:p>
        </w:tc>
        <w:tc>
          <w:tcPr>
            <w:tcW w:w="2080" w:type="dxa"/>
            <w:vAlign w:val="bottom"/>
            <w:shd w:val="clear" w:color="auto" w:fill="CCEEFF"/>
          </w:tcPr>
          <w:p>
            <w:pPr>
              <w:spacing w:after="0"/>
              <w:rPr>
                <w:sz w:val="18"/>
                <w:szCs w:val="18"/>
                <w:color w:val="auto"/>
              </w:rPr>
            </w:pPr>
          </w:p>
        </w:tc>
        <w:tc>
          <w:tcPr>
            <w:tcW w:w="4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35,416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Arial" w:cs="Arial" w:eastAsia="Arial" w:hAnsi="Arial"/>
                <w:sz w:val="18"/>
                <w:szCs w:val="18"/>
                <w:color w:val="auto"/>
              </w:rPr>
              <w:t>2014</w:t>
            </w:r>
          </w:p>
        </w:tc>
        <w:tc>
          <w:tcPr>
            <w:tcW w:w="2080" w:type="dxa"/>
            <w:vAlign w:val="bottom"/>
          </w:tcPr>
          <w:p>
            <w:pPr>
              <w:spacing w:after="0"/>
              <w:rPr>
                <w:sz w:val="18"/>
                <w:szCs w:val="18"/>
                <w:color w:val="auto"/>
              </w:rPr>
            </w:pPr>
          </w:p>
        </w:tc>
        <w:tc>
          <w:tcPr>
            <w:tcW w:w="4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22,292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Arial" w:cs="Arial" w:eastAsia="Arial" w:hAnsi="Arial"/>
                <w:sz w:val="18"/>
                <w:szCs w:val="18"/>
                <w:color w:val="auto"/>
              </w:rPr>
              <w:t>2015</w:t>
            </w:r>
          </w:p>
        </w:tc>
        <w:tc>
          <w:tcPr>
            <w:tcW w:w="2080" w:type="dxa"/>
            <w:vAlign w:val="bottom"/>
            <w:shd w:val="clear" w:color="auto" w:fill="CCEEFF"/>
          </w:tcPr>
          <w:p>
            <w:pPr>
              <w:spacing w:after="0"/>
              <w:rPr>
                <w:sz w:val="18"/>
                <w:szCs w:val="18"/>
                <w:color w:val="auto"/>
              </w:rPr>
            </w:pPr>
          </w:p>
        </w:tc>
        <w:tc>
          <w:tcPr>
            <w:tcW w:w="4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272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43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ind w:right="15"/>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080" w:type="dxa"/>
            <w:vAlign w:val="bottom"/>
            <w:shd w:val="clear" w:color="auto" w:fill="CCEEFF"/>
          </w:tcPr>
          <w:p>
            <w:pPr>
              <w:spacing w:after="0"/>
              <w:rPr>
                <w:sz w:val="18"/>
                <w:szCs w:val="18"/>
                <w:color w:val="auto"/>
              </w:rPr>
            </w:pPr>
          </w:p>
        </w:tc>
        <w:tc>
          <w:tcPr>
            <w:tcW w:w="44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156,582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080" w:type="dxa"/>
            <w:vAlign w:val="bottom"/>
          </w:tcPr>
          <w:p>
            <w:pPr>
              <w:spacing w:after="0" w:line="20" w:lineRule="exact"/>
              <w:rPr>
                <w:sz w:val="1"/>
                <w:szCs w:val="1"/>
                <w:color w:val="auto"/>
              </w:rPr>
            </w:pPr>
          </w:p>
        </w:tc>
        <w:tc>
          <w:tcPr>
            <w:tcW w:w="4340" w:type="dxa"/>
            <w:vAlign w:val="bottom"/>
            <w:vMerge w:val="restart"/>
          </w:tcPr>
          <w:p>
            <w:pPr>
              <w:jc w:val="right"/>
              <w:ind w:right="3032"/>
              <w:spacing w:after="0"/>
              <w:rPr>
                <w:sz w:val="20"/>
                <w:szCs w:val="20"/>
                <w:color w:val="auto"/>
              </w:rPr>
            </w:pPr>
            <w:r>
              <w:rPr>
                <w:rFonts w:ascii="Arial" w:cs="Arial" w:eastAsia="Arial" w:hAnsi="Arial"/>
                <w:sz w:val="18"/>
                <w:szCs w:val="18"/>
                <w:color w:val="auto"/>
              </w:rPr>
              <w:t>16</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80" w:type="dxa"/>
            <w:vAlign w:val="bottom"/>
          </w:tcPr>
          <w:p>
            <w:pPr>
              <w:spacing w:after="0"/>
              <w:rPr>
                <w:sz w:val="24"/>
                <w:szCs w:val="24"/>
                <w:color w:val="auto"/>
              </w:rPr>
            </w:pPr>
          </w:p>
        </w:tc>
        <w:tc>
          <w:tcPr>
            <w:tcW w:w="434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Restructuring</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During the three months ended May 1, 2010, the Company subleased one of its reserved facilities and thus recorded an adjustment to the restructuring liabilities. In addition, the Company continued to make payments and incur on-going operating expenses from its reserved facilities. During the three months ended May 2, 2009, in response to the challenging economic environment, the Company implemented certain cost reduction measures that included reductions in workforce in all functions of the organization worldwide. As a result, a restructuring charge of $8.3 million was recorded, which consisted of $7.4 million of severance and related employee benefits to approximately 300 terminated employees and $0.9 million of equipment and other related charges.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sets forth an analysis of the components of the restructuring charges and the payments made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1780" w:type="dxa"/>
            <w:vAlign w:val="bottom"/>
            <w:gridSpan w:val="6"/>
          </w:tcPr>
          <w:p>
            <w:pPr>
              <w:jc w:val="right"/>
              <w:ind w:right="340"/>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20" w:type="dxa"/>
            <w:vAlign w:val="bottom"/>
          </w:tcPr>
          <w:p>
            <w:pPr>
              <w:spacing w:after="0"/>
              <w:rPr>
                <w:sz w:val="11"/>
                <w:szCs w:val="11"/>
                <w:color w:val="auto"/>
              </w:rPr>
            </w:pPr>
          </w:p>
        </w:tc>
        <w:tc>
          <w:tcPr>
            <w:tcW w:w="500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820" w:type="dxa"/>
            <w:vAlign w:val="bottom"/>
            <w:tcBorders>
              <w:top w:val="single" w:sz="8" w:color="auto"/>
            </w:tcBorders>
            <w:gridSpan w:val="2"/>
          </w:tcPr>
          <w:p>
            <w:pPr>
              <w:jc w:val="right"/>
              <w:ind w:right="380"/>
              <w:spacing w:after="0" w:line="129" w:lineRule="exact"/>
              <w:rPr>
                <w:sz w:val="20"/>
                <w:szCs w:val="20"/>
                <w:color w:val="auto"/>
              </w:rPr>
            </w:pPr>
            <w:r>
              <w:rPr>
                <w:rFonts w:ascii="Arial" w:cs="Arial" w:eastAsia="Arial" w:hAnsi="Arial"/>
                <w:sz w:val="14"/>
                <w:szCs w:val="14"/>
                <w:b w:val="1"/>
                <w:bCs w:val="1"/>
                <w:color w:val="auto"/>
                <w:w w:val="98"/>
              </w:rPr>
              <w:t>May 1,</w:t>
            </w:r>
          </w:p>
        </w:tc>
        <w:tc>
          <w:tcPr>
            <w:tcW w:w="26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480" w:type="dxa"/>
            <w:vAlign w:val="bottom"/>
            <w:tcBorders>
              <w:top w:val="single" w:sz="8" w:color="auto"/>
            </w:tcBorders>
          </w:tcPr>
          <w:p>
            <w:pPr>
              <w:jc w:val="right"/>
              <w:ind w:right="17"/>
              <w:spacing w:after="0" w:line="129" w:lineRule="exact"/>
              <w:rPr>
                <w:sz w:val="20"/>
                <w:szCs w:val="20"/>
                <w:color w:val="auto"/>
              </w:rPr>
            </w:pPr>
            <w:r>
              <w:rPr>
                <w:rFonts w:ascii="Arial" w:cs="Arial" w:eastAsia="Arial" w:hAnsi="Arial"/>
                <w:sz w:val="14"/>
                <w:szCs w:val="14"/>
                <w:b w:val="1"/>
                <w:bCs w:val="1"/>
                <w:color w:val="auto"/>
                <w:w w:val="84"/>
              </w:rPr>
              <w:t>May 2,</w:t>
            </w:r>
          </w:p>
        </w:tc>
        <w:tc>
          <w:tcPr>
            <w:tcW w:w="120" w:type="dxa"/>
            <w:vAlign w:val="bottom"/>
          </w:tcPr>
          <w:p>
            <w:pPr>
              <w:spacing w:after="0"/>
              <w:rPr>
                <w:sz w:val="11"/>
                <w:szCs w:val="11"/>
                <w:color w:val="auto"/>
              </w:rPr>
            </w:pPr>
          </w:p>
        </w:tc>
      </w:t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500" w:type="dxa"/>
            <w:vAlign w:val="bottom"/>
            <w:tcBorders>
              <w:bottom w:val="single" w:sz="8" w:color="auto"/>
            </w:tcBorders>
          </w:tcPr>
          <w:p>
            <w:pPr>
              <w:jc w:val="right"/>
              <w:ind w:right="42"/>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7"/>
              <w:spacing w:after="0"/>
              <w:rPr>
                <w:sz w:val="20"/>
                <w:szCs w:val="20"/>
                <w:color w:val="auto"/>
              </w:rPr>
            </w:pPr>
            <w:r>
              <w:rPr>
                <w:rFonts w:ascii="Arial" w:cs="Arial" w:eastAsia="Arial" w:hAnsi="Arial"/>
                <w:sz w:val="14"/>
                <w:szCs w:val="14"/>
                <w:b w:val="1"/>
                <w:bCs w:val="1"/>
                <w:color w:val="auto"/>
                <w:w w:val="96"/>
              </w:rPr>
              <w:t>2009</w:t>
            </w:r>
          </w:p>
        </w:tc>
        <w:tc>
          <w:tcPr>
            <w:tcW w:w="120" w:type="dxa"/>
            <w:vAlign w:val="bottom"/>
          </w:tcPr>
          <w:p>
            <w:pPr>
              <w:spacing w:after="0"/>
              <w:rPr>
                <w:sz w:val="14"/>
                <w:szCs w:val="14"/>
                <w:color w:val="auto"/>
              </w:rPr>
            </w:pPr>
          </w:p>
        </w:tc>
      </w:tr>
      <w:tr>
        <w:trPr>
          <w:trHeight w:val="210"/>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Restructuring liabilities, beginning of period</w:t>
            </w:r>
          </w:p>
        </w:tc>
        <w:tc>
          <w:tcPr>
            <w:tcW w:w="2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$5,397</w:t>
            </w:r>
          </w:p>
        </w:tc>
        <w:tc>
          <w:tcPr>
            <w:tcW w:w="320" w:type="dxa"/>
            <w:vAlign w:val="bottom"/>
            <w:shd w:val="clear" w:color="auto" w:fill="CCEEFF"/>
          </w:tcPr>
          <w:p>
            <w:pPr>
              <w:spacing w:after="0"/>
              <w:rPr>
                <w:sz w:val="18"/>
                <w:szCs w:val="18"/>
                <w:color w:val="auto"/>
              </w:rPr>
            </w:pPr>
          </w:p>
        </w:tc>
        <w:tc>
          <w:tcPr>
            <w:tcW w:w="3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7,685</w:t>
            </w:r>
          </w:p>
        </w:tc>
        <w:tc>
          <w:tcPr>
            <w:tcW w:w="12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Severance and related charges:</w:t>
            </w:r>
          </w:p>
        </w:tc>
        <w:tc>
          <w:tcPr>
            <w:tcW w:w="18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Equipment and other related charges</w:t>
            </w:r>
          </w:p>
        </w:tc>
        <w:tc>
          <w:tcPr>
            <w:tcW w:w="18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916</w:t>
            </w:r>
          </w:p>
        </w:tc>
        <w:tc>
          <w:tcPr>
            <w:tcW w:w="12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Workforce reduction</w:t>
            </w:r>
          </w:p>
        </w:tc>
        <w:tc>
          <w:tcPr>
            <w:tcW w:w="1880" w:type="dxa"/>
            <w:vAlign w:val="bottom"/>
          </w:tcPr>
          <w:p>
            <w:pPr>
              <w:spacing w:after="0"/>
              <w:rPr>
                <w:sz w:val="18"/>
                <w:szCs w:val="18"/>
                <w:color w:val="auto"/>
              </w:rPr>
            </w:pPr>
          </w:p>
        </w:tc>
        <w:tc>
          <w:tcPr>
            <w:tcW w:w="8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7,420</w:t>
            </w:r>
          </w:p>
        </w:tc>
        <w:tc>
          <w:tcPr>
            <w:tcW w:w="1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Net cash payments</w:t>
            </w:r>
          </w:p>
        </w:tc>
        <w:tc>
          <w:tcPr>
            <w:tcW w:w="270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(651)</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1"/>
              </w:rPr>
              <w:t>(8,654)</w:t>
            </w:r>
          </w:p>
        </w:tc>
      </w:tr>
      <w:tr>
        <w:trPr>
          <w:trHeight w:val="223"/>
        </w:trPr>
        <w:tc>
          <w:tcPr>
            <w:tcW w:w="20" w:type="dxa"/>
            <w:vAlign w:val="bottom"/>
          </w:tcPr>
          <w:p>
            <w:pPr>
              <w:spacing w:after="0"/>
              <w:rPr>
                <w:sz w:val="19"/>
                <w:szCs w:val="19"/>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Adjustments to previous assumptions</w:t>
            </w:r>
          </w:p>
        </w:tc>
        <w:tc>
          <w:tcPr>
            <w:tcW w:w="1880" w:type="dxa"/>
            <w:vAlign w:val="bottom"/>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218</w:t>
            </w:r>
          </w:p>
        </w:tc>
        <w:tc>
          <w:tcPr>
            <w:tcW w:w="3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Restructuring liabilities, end of period</w:t>
            </w:r>
          </w:p>
        </w:tc>
        <w:tc>
          <w:tcPr>
            <w:tcW w:w="23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4,964</w:t>
            </w:r>
          </w:p>
        </w:tc>
        <w:tc>
          <w:tcPr>
            <w:tcW w:w="320" w:type="dxa"/>
            <w:vAlign w:val="bottom"/>
            <w:shd w:val="clear" w:color="auto" w:fill="CCEEFF"/>
          </w:tcPr>
          <w:p>
            <w:pPr>
              <w:spacing w:after="0"/>
              <w:rPr>
                <w:sz w:val="18"/>
                <w:szCs w:val="18"/>
                <w:color w:val="auto"/>
              </w:rPr>
            </w:pPr>
          </w:p>
        </w:tc>
        <w:tc>
          <w:tcPr>
            <w:tcW w:w="3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7,367</w:t>
            </w:r>
          </w:p>
        </w:tc>
        <w:tc>
          <w:tcPr>
            <w:tcW w:w="12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188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restructuring charges by functional line item (in thousands):</w:t>
      </w:r>
    </w:p>
    <w:p>
      <w:pPr>
        <w:spacing w:after="0" w:line="288"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7220" w:type="dxa"/>
            <w:vAlign w:val="bottom"/>
          </w:tcPr>
          <w:p>
            <w:pPr>
              <w:spacing w:after="0"/>
              <w:rPr>
                <w:sz w:val="14"/>
                <w:szCs w:val="14"/>
                <w:color w:val="auto"/>
              </w:rPr>
            </w:pPr>
          </w:p>
        </w:tc>
        <w:tc>
          <w:tcPr>
            <w:tcW w:w="1460" w:type="dxa"/>
            <w:vAlign w:val="bottom"/>
            <w:gridSpan w:val="8"/>
          </w:tcPr>
          <w:p>
            <w:pPr>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72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Borders>
              <w:top w:val="single" w:sz="8" w:color="auto"/>
            </w:tcBorders>
            <w:gridSpan w:val="3"/>
          </w:tcPr>
          <w:p>
            <w:pPr>
              <w:jc w:val="right"/>
              <w:ind w:right="260"/>
              <w:spacing w:after="0" w:line="129" w:lineRule="exact"/>
              <w:rPr>
                <w:sz w:val="20"/>
                <w:szCs w:val="20"/>
                <w:color w:val="auto"/>
              </w:rPr>
            </w:pPr>
            <w:r>
              <w:rPr>
                <w:rFonts w:ascii="Arial" w:cs="Arial" w:eastAsia="Arial" w:hAnsi="Arial"/>
                <w:sz w:val="14"/>
                <w:szCs w:val="14"/>
                <w:b w:val="1"/>
                <w:bCs w:val="1"/>
                <w:color w:val="auto"/>
                <w:w w:val="93"/>
              </w:rPr>
              <w:t>May 1,</w:t>
            </w:r>
          </w:p>
        </w:tc>
        <w:tc>
          <w:tcPr>
            <w:tcW w:w="16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320" w:type="dxa"/>
            <w:vAlign w:val="bottom"/>
            <w:tcBorders>
              <w:top w:val="single" w:sz="8" w:color="auto"/>
            </w:tcBorders>
          </w:tcPr>
          <w:p>
            <w:pPr>
              <w:ind w:left="20"/>
              <w:spacing w:after="0" w:line="129" w:lineRule="exact"/>
              <w:rPr>
                <w:sz w:val="20"/>
                <w:szCs w:val="20"/>
                <w:color w:val="auto"/>
              </w:rPr>
            </w:pPr>
            <w:r>
              <w:rPr>
                <w:rFonts w:ascii="Arial" w:cs="Arial" w:eastAsia="Arial" w:hAnsi="Arial"/>
                <w:sz w:val="14"/>
                <w:szCs w:val="14"/>
                <w:b w:val="1"/>
                <w:bCs w:val="1"/>
                <w:color w:val="auto"/>
              </w:rPr>
              <w:t>May</w:t>
            </w:r>
          </w:p>
        </w:tc>
        <w:tc>
          <w:tcPr>
            <w:tcW w:w="200" w:type="dxa"/>
            <w:vAlign w:val="bottom"/>
          </w:tcPr>
          <w:p>
            <w:pPr>
              <w:jc w:val="right"/>
              <w:ind w:right="38"/>
              <w:spacing w:after="0" w:line="129" w:lineRule="exact"/>
              <w:rPr>
                <w:sz w:val="20"/>
                <w:szCs w:val="20"/>
                <w:color w:val="auto"/>
              </w:rPr>
            </w:pPr>
            <w:r>
              <w:rPr>
                <w:rFonts w:ascii="Arial" w:cs="Arial" w:eastAsia="Arial" w:hAnsi="Arial"/>
                <w:sz w:val="12"/>
                <w:szCs w:val="12"/>
                <w:b w:val="1"/>
                <w:bCs w:val="1"/>
                <w:color w:val="auto"/>
                <w:w w:val="79"/>
              </w:rPr>
              <w:t>2,</w:t>
            </w:r>
          </w:p>
        </w:tc>
      </w:tr>
      <w:tr>
        <w:trPr>
          <w:trHeight w:val="161"/>
        </w:trPr>
        <w:tc>
          <w:tcPr>
            <w:tcW w:w="7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jc w:val="right"/>
              <w:ind w:right="36"/>
              <w:spacing w:after="0"/>
              <w:rPr>
                <w:sz w:val="20"/>
                <w:szCs w:val="20"/>
                <w:color w:val="auto"/>
              </w:rPr>
            </w:pPr>
            <w:r>
              <w:rPr>
                <w:rFonts w:ascii="Arial" w:cs="Arial" w:eastAsia="Arial" w:hAnsi="Arial"/>
                <w:sz w:val="14"/>
                <w:szCs w:val="14"/>
                <w:b w:val="1"/>
                <w:bCs w:val="1"/>
                <w:color w:val="auto"/>
                <w:w w:val="83"/>
              </w:rPr>
              <w:t>2010</w:t>
            </w: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gridSpan w:val="2"/>
          </w:tcPr>
          <w:p>
            <w:pPr>
              <w:jc w:val="right"/>
              <w:ind w:right="118"/>
              <w:spacing w:after="0"/>
              <w:rPr>
                <w:sz w:val="20"/>
                <w:szCs w:val="20"/>
                <w:color w:val="auto"/>
              </w:rPr>
            </w:pPr>
            <w:r>
              <w:rPr>
                <w:rFonts w:ascii="Arial" w:cs="Arial" w:eastAsia="Arial" w:hAnsi="Arial"/>
                <w:sz w:val="14"/>
                <w:szCs w:val="14"/>
                <w:b w:val="1"/>
                <w:bCs w:val="1"/>
                <w:color w:val="auto"/>
              </w:rPr>
              <w:t>2009</w:t>
            </w:r>
          </w:p>
        </w:tc>
      </w:tr>
      <w:tr>
        <w:trPr>
          <w:trHeight w:val="210"/>
        </w:trPr>
        <w:tc>
          <w:tcPr>
            <w:tcW w:w="722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9"/>
              </w:rPr>
              <w:t>(100)</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5,840</w:t>
            </w:r>
          </w:p>
        </w:tc>
      </w:tr>
      <w:tr>
        <w:trPr>
          <w:trHeight w:val="216"/>
        </w:trPr>
        <w:tc>
          <w:tcPr>
            <w:tcW w:w="7220" w:type="dxa"/>
            <w:vAlign w:val="bottom"/>
          </w:tcPr>
          <w:p>
            <w:pPr>
              <w:spacing w:after="0"/>
              <w:rPr>
                <w:sz w:val="20"/>
                <w:szCs w:val="20"/>
                <w:color w:val="auto"/>
              </w:rPr>
            </w:pPr>
            <w:r>
              <w:rPr>
                <w:rFonts w:ascii="Arial" w:cs="Arial" w:eastAsia="Arial" w:hAnsi="Arial"/>
                <w:sz w:val="18"/>
                <w:szCs w:val="18"/>
                <w:color w:val="auto"/>
              </w:rPr>
              <w:t>Selling and marketing</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1,264</w:t>
            </w:r>
          </w:p>
        </w:tc>
      </w:tr>
      <w:tr>
        <w:trPr>
          <w:trHeight w:val="216"/>
        </w:trPr>
        <w:tc>
          <w:tcPr>
            <w:tcW w:w="722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4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318</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1,232</w:t>
            </w:r>
          </w:p>
        </w:tc>
      </w:tr>
      <w:tr>
        <w:trPr>
          <w:trHeight w:val="222"/>
        </w:trPr>
        <w:tc>
          <w:tcPr>
            <w:tcW w:w="7220" w:type="dxa"/>
            <w:vAlign w:val="bottom"/>
          </w:tcPr>
          <w:p>
            <w:pPr>
              <w:spacing w:after="0"/>
              <w:rPr>
                <w:sz w:val="19"/>
                <w:szCs w:val="19"/>
                <w:color w:val="auto"/>
              </w:rPr>
            </w:pPr>
          </w:p>
        </w:tc>
        <w:tc>
          <w:tcPr>
            <w:tcW w:w="100" w:type="dxa"/>
            <w:vAlign w:val="bottom"/>
            <w:gridSpan w:val="2"/>
          </w:tcPr>
          <w:p>
            <w:pPr>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218</w:t>
            </w:r>
          </w:p>
        </w:tc>
        <w:tc>
          <w:tcPr>
            <w:tcW w:w="200" w:type="dxa"/>
            <w:vAlign w:val="bottom"/>
          </w:tcPr>
          <w:p>
            <w:pPr>
              <w:spacing w:after="0"/>
              <w:rPr>
                <w:sz w:val="19"/>
                <w:szCs w:val="19"/>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8,336</w:t>
            </w:r>
          </w:p>
        </w:tc>
      </w:tr>
      <w:tr>
        <w:trPr>
          <w:trHeight w:val="20"/>
        </w:trPr>
        <w:tc>
          <w:tcPr>
            <w:tcW w:w="722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remaining facility lease charges included in the restructuring liabilities will be paid out through fiscal 2018.</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Commitments and Contingencies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Warranty obligations</w:t>
      </w:r>
    </w:p>
    <w:p>
      <w:pPr>
        <w:spacing w:after="0" w:line="90"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The following table presents changes in the warranty accrual included in accrued liabilities during the three months ended May 1, 2010 and May 2, 2009 (in thousands):</w:t>
      </w:r>
    </w:p>
    <w:p>
      <w:pPr>
        <w:spacing w:after="0" w:line="156"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02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78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98"/>
              </w:rPr>
              <w:t>May 1,</w:t>
            </w:r>
          </w:p>
        </w:tc>
        <w:tc>
          <w:tcPr>
            <w:tcW w:w="220" w:type="dxa"/>
            <w:vAlign w:val="bottom"/>
          </w:tcPr>
          <w:p>
            <w:pPr>
              <w:spacing w:after="0"/>
              <w:rPr>
                <w:sz w:val="14"/>
                <w:szCs w:val="14"/>
                <w:color w:val="auto"/>
              </w:rPr>
            </w:pPr>
          </w:p>
        </w:tc>
        <w:tc>
          <w:tcPr>
            <w:tcW w:w="620" w:type="dxa"/>
            <w:vAlign w:val="bottom"/>
            <w:gridSpan w:val="2"/>
          </w:tcPr>
          <w:p>
            <w:pPr>
              <w:jc w:val="right"/>
              <w:ind w:right="160"/>
              <w:spacing w:after="0"/>
              <w:rPr>
                <w:sz w:val="20"/>
                <w:szCs w:val="20"/>
                <w:color w:val="auto"/>
              </w:rPr>
            </w:pPr>
            <w:r>
              <w:rPr>
                <w:rFonts w:ascii="Arial" w:cs="Arial" w:eastAsia="Arial" w:hAnsi="Arial"/>
                <w:sz w:val="14"/>
                <w:szCs w:val="14"/>
                <w:b w:val="1"/>
                <w:bCs w:val="1"/>
                <w:color w:val="auto"/>
              </w:rPr>
              <w:t>May 2,</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02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500" w:type="dxa"/>
            <w:vAlign w:val="bottom"/>
            <w:tcBorders>
              <w:bottom w:val="single" w:sz="8" w:color="auto"/>
            </w:tcBorders>
          </w:tcPr>
          <w:p>
            <w:pPr>
              <w:jc w:val="right"/>
              <w:ind w:right="46"/>
              <w:spacing w:after="0"/>
              <w:rPr>
                <w:sz w:val="20"/>
                <w:szCs w:val="20"/>
                <w:color w:val="auto"/>
              </w:rPr>
            </w:pPr>
            <w:r>
              <w:rPr>
                <w:rFonts w:ascii="Arial" w:cs="Arial" w:eastAsia="Arial" w:hAnsi="Arial"/>
                <w:sz w:val="14"/>
                <w:szCs w:val="14"/>
                <w:b w:val="1"/>
                <w:bCs w:val="1"/>
                <w:color w:val="auto"/>
              </w:rPr>
              <w:t>2010</w:t>
            </w:r>
          </w:p>
        </w:tc>
        <w:tc>
          <w:tcPr>
            <w:tcW w:w="2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00" w:type="dxa"/>
            <w:vAlign w:val="bottom"/>
            <w:tcBorders>
              <w:bottom w:val="single" w:sz="8" w:color="auto"/>
            </w:tcBorders>
          </w:tcPr>
          <w:p>
            <w:pPr>
              <w:jc w:val="right"/>
              <w:ind w:right="46"/>
              <w:spacing w:after="0"/>
              <w:rPr>
                <w:sz w:val="20"/>
                <w:szCs w:val="20"/>
                <w:color w:val="auto"/>
              </w:rPr>
            </w:pPr>
            <w:r>
              <w:rPr>
                <w:rFonts w:ascii="Arial" w:cs="Arial" w:eastAsia="Arial" w:hAnsi="Arial"/>
                <w:sz w:val="14"/>
                <w:szCs w:val="14"/>
                <w:b w:val="1"/>
                <w:bCs w:val="1"/>
                <w:color w:val="auto"/>
              </w:rPr>
              <w:t>2009</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020" w:type="dxa"/>
            <w:vAlign w:val="bottom"/>
            <w:shd w:val="clear" w:color="auto" w:fill="CCEEFF"/>
          </w:tcPr>
          <w:p>
            <w:pPr>
              <w:spacing w:after="0"/>
              <w:rPr>
                <w:sz w:val="20"/>
                <w:szCs w:val="20"/>
                <w:color w:val="auto"/>
              </w:rPr>
            </w:pPr>
            <w:r>
              <w:rPr>
                <w:rFonts w:ascii="Arial" w:cs="Arial" w:eastAsia="Arial" w:hAnsi="Arial"/>
                <w:sz w:val="18"/>
                <w:szCs w:val="18"/>
                <w:color w:val="auto"/>
              </w:rPr>
              <w:t>Beginning balance</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$1,966</w:t>
            </w:r>
          </w:p>
        </w:tc>
        <w:tc>
          <w:tcPr>
            <w:tcW w:w="2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$2,094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20" w:type="dxa"/>
            <w:vAlign w:val="bottom"/>
          </w:tcPr>
          <w:p>
            <w:pPr>
              <w:ind w:left="420"/>
              <w:spacing w:after="0"/>
              <w:rPr>
                <w:sz w:val="20"/>
                <w:szCs w:val="20"/>
                <w:color w:val="auto"/>
              </w:rPr>
            </w:pPr>
            <w:r>
              <w:rPr>
                <w:rFonts w:ascii="Arial" w:cs="Arial" w:eastAsia="Arial" w:hAnsi="Arial"/>
                <w:sz w:val="18"/>
                <w:szCs w:val="18"/>
                <w:color w:val="auto"/>
              </w:rPr>
              <w:t>Warranties issued</w:t>
            </w:r>
          </w:p>
        </w:tc>
        <w:tc>
          <w:tcPr>
            <w:tcW w:w="1520" w:type="dxa"/>
            <w:vAlign w:val="bottom"/>
            <w:gridSpan w:val="2"/>
          </w:tcPr>
          <w:p>
            <w:pPr>
              <w:jc w:val="right"/>
              <w:spacing w:after="0"/>
              <w:rPr>
                <w:sz w:val="20"/>
                <w:szCs w:val="20"/>
                <w:color w:val="auto"/>
              </w:rPr>
            </w:pPr>
            <w:r>
              <w:rPr>
                <w:rFonts w:ascii="Arial" w:cs="Arial" w:eastAsia="Arial" w:hAnsi="Arial"/>
                <w:sz w:val="18"/>
                <w:szCs w:val="18"/>
                <w:color w:val="auto"/>
              </w:rPr>
              <w:t>859</w:t>
            </w:r>
          </w:p>
        </w:tc>
        <w:tc>
          <w:tcPr>
            <w:tcW w:w="280" w:type="dxa"/>
            <w:vAlign w:val="bottom"/>
          </w:tcPr>
          <w:p>
            <w:pPr>
              <w:spacing w:after="0"/>
              <w:rPr>
                <w:sz w:val="18"/>
                <w:szCs w:val="18"/>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2,523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Reduction for payments or product replacements</w:t>
            </w:r>
          </w:p>
        </w:tc>
        <w:tc>
          <w:tcPr>
            <w:tcW w:w="180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(429)</w:t>
            </w:r>
          </w:p>
        </w:tc>
        <w:tc>
          <w:tcPr>
            <w:tcW w:w="84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(412)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20" w:type="dxa"/>
            <w:vAlign w:val="bottom"/>
          </w:tcPr>
          <w:p>
            <w:pPr>
              <w:ind w:left="420"/>
              <w:spacing w:after="0"/>
              <w:rPr>
                <w:sz w:val="20"/>
                <w:szCs w:val="20"/>
                <w:color w:val="auto"/>
              </w:rPr>
            </w:pPr>
            <w:r>
              <w:rPr>
                <w:rFonts w:ascii="Arial" w:cs="Arial" w:eastAsia="Arial" w:hAnsi="Arial"/>
                <w:sz w:val="18"/>
                <w:szCs w:val="18"/>
                <w:color w:val="auto"/>
              </w:rPr>
              <w:t>Adjustments related to changes in estimates of existing exposures</w:t>
            </w:r>
          </w:p>
        </w:tc>
        <w:tc>
          <w:tcPr>
            <w:tcW w:w="1020" w:type="dxa"/>
            <w:vAlign w:val="bottom"/>
          </w:tcPr>
          <w:p>
            <w:pPr>
              <w:spacing w:after="0"/>
              <w:rPr>
                <w:sz w:val="18"/>
                <w:szCs w:val="18"/>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8"/>
                <w:szCs w:val="18"/>
                <w:color w:val="auto"/>
              </w:rPr>
              <w:t>(794)</w:t>
            </w:r>
          </w:p>
        </w:tc>
        <w:tc>
          <w:tcPr>
            <w:tcW w:w="220" w:type="dxa"/>
            <w:vAlign w:val="bottom"/>
          </w:tcPr>
          <w:p>
            <w:pPr>
              <w:spacing w:after="0"/>
              <w:rPr>
                <w:sz w:val="18"/>
                <w:szCs w:val="18"/>
                <w:color w:val="auto"/>
              </w:rPr>
            </w:pPr>
          </w:p>
        </w:tc>
        <w:tc>
          <w:tcPr>
            <w:tcW w:w="6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0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20" w:type="dxa"/>
            <w:vAlign w:val="bottom"/>
            <w:shd w:val="clear" w:color="auto" w:fill="CCEEFF"/>
          </w:tcPr>
          <w:p>
            <w:pPr>
              <w:spacing w:after="0"/>
              <w:rPr>
                <w:sz w:val="20"/>
                <w:szCs w:val="20"/>
                <w:color w:val="auto"/>
              </w:rPr>
            </w:pPr>
            <w:r>
              <w:rPr>
                <w:rFonts w:ascii="Arial" w:cs="Arial" w:eastAsia="Arial" w:hAnsi="Arial"/>
                <w:sz w:val="18"/>
                <w:szCs w:val="18"/>
                <w:color w:val="auto"/>
              </w:rPr>
              <w:t>Ending balance</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1,602</w:t>
            </w:r>
          </w:p>
        </w:tc>
        <w:tc>
          <w:tcPr>
            <w:tcW w:w="28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4,205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040" w:type="dxa"/>
            <w:vAlign w:val="bottom"/>
            <w:gridSpan w:val="2"/>
            <w:vMerge w:val="restart"/>
          </w:tcPr>
          <w:p>
            <w:pPr>
              <w:jc w:val="right"/>
              <w:ind w:right="1532"/>
              <w:spacing w:after="0"/>
              <w:rPr>
                <w:sz w:val="20"/>
                <w:szCs w:val="20"/>
                <w:color w:val="auto"/>
              </w:rPr>
            </w:pPr>
            <w:r>
              <w:rPr>
                <w:rFonts w:ascii="Arial" w:cs="Arial" w:eastAsia="Arial" w:hAnsi="Arial"/>
                <w:sz w:val="18"/>
                <w:szCs w:val="18"/>
                <w:color w:val="auto"/>
              </w:rPr>
              <w:t>17</w:t>
            </w:r>
          </w:p>
        </w:tc>
        <w:tc>
          <w:tcPr>
            <w:tcW w:w="102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6040" w:type="dxa"/>
            <w:vAlign w:val="bottom"/>
            <w:gridSpan w:val="2"/>
            <w:vMerge w:val="continue"/>
          </w:tcPr>
          <w:p>
            <w:pPr>
              <w:spacing w:after="0"/>
              <w:rPr>
                <w:sz w:val="24"/>
                <w:szCs w:val="24"/>
                <w:color w:val="auto"/>
              </w:rPr>
            </w:pPr>
          </w:p>
        </w:tc>
        <w:tc>
          <w:tcPr>
            <w:tcW w:w="10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60"/>
          </w:cols>
          <w:pgMar w:left="240" w:top="459" w:right="29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customer’s attorneys’ fees and costs. The Company’s indemnification obligations generally do not expire after termination or expiration of the agreement containing the indemnification obligation. In certain cases,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right="700" w:firstLine="456"/>
        <w:spacing w:after="0" w:line="259" w:lineRule="auto"/>
        <w:rPr>
          <w:sz w:val="20"/>
          <w:szCs w:val="20"/>
          <w:color w:val="auto"/>
        </w:rPr>
      </w:pPr>
      <w:r>
        <w:rPr>
          <w:rFonts w:ascii="Arial" w:cs="Arial" w:eastAsia="Arial" w:hAnsi="Arial"/>
          <w:sz w:val="18"/>
          <w:szCs w:val="18"/>
          <w:color w:val="auto"/>
        </w:rPr>
        <w:t>Under the Company’s manufacturing relationships with all other foundries, cancellation of all outstanding purchase orders are allowed but require repayment of all expenses incurred through the date of cancellation. As of May 1, 2010, these foundries had incurred approximately $302.2 million of manufacturing expenses on the Company’s outstanding purchase orders.</w:t>
      </w:r>
    </w:p>
    <w:p>
      <w:pPr>
        <w:spacing w:after="0" w:line="140"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On February 28, 2005 and as amended on March 31, 2005, the Company entered into an agreement with a foundry to reserve and secure foundry fabrication capacity for a fixed number of wafers at agreed upon prices for a period of five and a half years beginning on October 1, 2005. In return, the Company agreed to pay the foundry $174.2 million over a period of eighteen months. The amendment extends the term of the agreement and the agreed upon pricing terms. As of May 1, 2010, all payments (included in prepaid expenses and other current assets and other non-current assets) had been made and approximately $161.7 million of the prepayment had been utilized. At May 1, 2010, there were no outstanding commitments under the agreement.</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As of May 1, 2010, the Company had approximately $40.5 million of other outstanding non-cancelable purchase orders for capital purchase obligations.</w:t>
      </w:r>
    </w:p>
    <w:p>
      <w:pPr>
        <w:spacing w:after="0" w:line="275"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right="20" w:firstLine="456"/>
        <w:spacing w:after="0" w:line="284" w:lineRule="auto"/>
        <w:rPr>
          <w:sz w:val="20"/>
          <w:szCs w:val="20"/>
          <w:color w:val="auto"/>
        </w:rPr>
      </w:pPr>
      <w:r>
        <w:rPr>
          <w:rFonts w:ascii="Arial" w:cs="Arial" w:eastAsia="Arial" w:hAnsi="Arial"/>
          <w:sz w:val="16"/>
          <w:szCs w:val="16"/>
          <w:i w:val="1"/>
          <w:iCs w:val="1"/>
          <w:color w:val="auto"/>
        </w:rPr>
        <w:t>IPO Securities Litigation</w:t>
      </w:r>
      <w:r>
        <w:rPr>
          <w:rFonts w:ascii="Arial" w:cs="Arial" w:eastAsia="Arial" w:hAnsi="Arial"/>
          <w:sz w:val="16"/>
          <w:szCs w:val="16"/>
          <w:color w:val="auto"/>
        </w:rPr>
        <w:t>. On July 31, 2001, a putative class action suit was filed against two investment banks that participated in the underwriting of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Company’s initial public offering (the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as amended (the “Exchange Act”).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plaintiffs allege that the defendants violated various provisions of the Securities Act of 1933, as amended, and the Exchange Act. In both actions, plaintiffs seek, among other items, unspecified damages, pre-judgment interest and reimbursement of attorneys’ and experts’ fees. These two actions have been consolidated and coordinated with hundreds of other lawsuits filed by plaintiffs against approximately 40 underwriters and approximately 300 issuers across the United States. Defendants in the coordinated proceedings moved to dismiss the actions. In February 2003, the trial court granted the motions in part and denied them in part, thus allowing the case to proceed against the Company and the underwriters. Claims against the individual officers have been voluntarily dismissed with prejudice by agreement with plaintiffs. In June 2004, a stipulation of settlement and release of claims against the issuer defendants, including the Company, was submitted to the Court for approval. On August 31, 2005, the Court preliminarily approved the settlement. In December 2006, the appellate court overturned the certification of classes in the six focus cases that were selected by the underwriter defendants and plaintiffs in the coordinated proceedings (the action involving the Company is not one of the six cases). Because class certification was a condition of the settlement, it was unlikely that the settlement would receive final Court approval. On June 25, 2007, the Court entered an order terminating the proposed settlement based upon a stipulation among the parties to the settlement. Plaintiffs filed amended master allegations and amended complaints in the six focus cases. Defendants’ motions to dismiss those new complaints were denied in part and granted in part.</w:t>
      </w:r>
    </w:p>
    <w:p>
      <w:pPr>
        <w:spacing w:after="0" w:line="133" w:lineRule="exact"/>
        <w:rPr>
          <w:sz w:val="20"/>
          <w:szCs w:val="20"/>
          <w:color w:val="auto"/>
        </w:rPr>
      </w:pPr>
    </w:p>
    <w:p>
      <w:pPr>
        <w:ind w:right="180" w:firstLine="456"/>
        <w:spacing w:after="0" w:line="318" w:lineRule="auto"/>
        <w:rPr>
          <w:sz w:val="20"/>
          <w:szCs w:val="20"/>
          <w:color w:val="auto"/>
        </w:rPr>
      </w:pPr>
      <w:r>
        <w:rPr>
          <w:rFonts w:ascii="Arial" w:cs="Arial" w:eastAsia="Arial" w:hAnsi="Arial"/>
          <w:sz w:val="15"/>
          <w:szCs w:val="15"/>
          <w:color w:val="auto"/>
        </w:rPr>
        <w:t>The parties have reached a global settlement of the coordinated litigation. Under the settlement, the insurers will pay the full amount of settlement share allocated to the Company, and the Company will bear no financial liability. The Company, as well as the officer and director defendants who were previously dismissed from the action pursuant to tolling agreements, will receive complete dismissals from the case. On October 5, 2009, the Court issued an order of final approval of the settlement. Certain objectors have appealed the Court’s October 5, 2009 final order to the Second Circuit Court of Appeals. If for any reason the settlement does not become effective, the Company believes it has meritorious defenses to the claims against it and intends to defend the action vigorously.</w:t>
      </w:r>
    </w:p>
    <w:p>
      <w:pPr>
        <w:spacing w:after="0" w:line="10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Section 16(b) Litigation</w:t>
      </w:r>
      <w:r>
        <w:rPr>
          <w:rFonts w:ascii="Arial" w:cs="Arial" w:eastAsia="Arial" w:hAnsi="Arial"/>
          <w:sz w:val="16"/>
          <w:szCs w:val="16"/>
          <w:color w:val="auto"/>
        </w:rPr>
        <w:t>. On October 9, 2007, a purported shareholder of the Company filed a complaint for violation of Section 16(b) of the Exchange Act,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which prohibits short swing trading, against the Company’s IPO underwriters. The complaint </w:t>
      </w:r>
      <w:r>
        <w:rPr>
          <w:rFonts w:ascii="Arial" w:cs="Arial" w:eastAsia="Arial" w:hAnsi="Arial"/>
          <w:sz w:val="16"/>
          <w:szCs w:val="16"/>
          <w:i w:val="1"/>
          <w:iCs w:val="1"/>
          <w:color w:val="auto"/>
        </w:rPr>
        <w:t>Vanessa Simmonds v. The Goldman Sachs Group, et al.</w:t>
      </w:r>
      <w:r>
        <w:rPr>
          <w:rFonts w:ascii="Arial" w:cs="Arial" w:eastAsia="Arial" w:hAnsi="Arial"/>
          <w:sz w:val="16"/>
          <w:szCs w:val="16"/>
          <w:color w:val="auto"/>
        </w:rPr>
        <w:t>, Case</w:t>
      </w:r>
    </w:p>
    <w:p>
      <w:pPr>
        <w:ind w:right="460"/>
        <w:spacing w:after="0" w:line="261" w:lineRule="auto"/>
        <w:rPr>
          <w:sz w:val="20"/>
          <w:szCs w:val="20"/>
          <w:color w:val="auto"/>
        </w:rPr>
      </w:pPr>
      <w:r>
        <w:rPr>
          <w:rFonts w:ascii="Arial" w:cs="Arial" w:eastAsia="Arial" w:hAnsi="Arial"/>
          <w:sz w:val="18"/>
          <w:szCs w:val="18"/>
          <w:color w:val="auto"/>
        </w:rPr>
        <w:t>No. C07-1632 filed in District Court for the Western District of Washington, seeks the recovery of short swing profits. The Company is named as a nominal defendant. No recovery is sought from the Company. Numerous similar suits were filed by</w:t>
      </w:r>
    </w:p>
    <w:p>
      <w:pPr>
        <w:sectPr>
          <w:pgSz w:w="11900" w:h="16838" w:orient="portrait"/>
          <w:cols w:equalWidth="0" w:num="1">
            <w:col w:w="11420"/>
          </w:cols>
          <w:pgMar w:left="240" w:top="459" w:right="239" w:bottom="1440" w:gutter="0" w:footer="0" w:header="0"/>
        </w:sectPr>
      </w:pP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18</w:t>
      </w:r>
    </w:p>
    <w:p>
      <w:pPr>
        <w:sectPr>
          <w:pgSz w:w="11900" w:h="16838" w:orient="portrait"/>
          <w:cols w:equalWidth="0" w:num="1">
            <w:col w:w="11420"/>
          </w:cols>
          <w:pgMar w:left="240" w:top="459" w:right="239" w:bottom="1440" w:gutter="0" w:footer="0" w:header="0"/>
          <w:type w:val="continuous"/>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140"/>
        <w:spacing w:after="0" w:line="289" w:lineRule="auto"/>
        <w:rPr>
          <w:sz w:val="20"/>
          <w:szCs w:val="20"/>
          <w:color w:val="auto"/>
        </w:rPr>
      </w:pPr>
      <w:r>
        <w:rPr>
          <w:rFonts w:ascii="Arial" w:cs="Arial" w:eastAsia="Arial" w:hAnsi="Arial"/>
          <w:sz w:val="16"/>
          <w:szCs w:val="16"/>
          <w:color w:val="auto"/>
        </w:rPr>
        <w:t>the same plaintiff against other underwriters relating to other issuers. The underwriter defendants and some of the issuer defendants (excluding the Company) filed a motion to dismiss, and on March 12, 2009, the district court ordered dismissal of all claims against the moving issuer defendants without prejudice. The court also ordered dismissal of all claims against the underwriter defendants with prejudice. On April 10, 2009, the plaintiffs filed their notice of appeal to those dismissal orders. In accordance with the briefing schedule set by the Ninth Circuit Court of Appeals on August 18, 2009, plaintiff filed her opening brief on August 26, 2009. On October 2, 2009, the underwriter defendants/appellees/cross-appellants filed their answering brief, and the moving issuers/appellees filed their principal brief as well. Plaintiff/appellant/cross-appellee filed her response and reply briefs on November 2, 2009. The underwriter defendants/appellees/cross-appellants filed their reply brief on November 17, 2009. The Ninth Circuit Court of Appeals has not set a hearing date. No discovery has taken place.</w:t>
      </w:r>
    </w:p>
    <w:p>
      <w:pPr>
        <w:spacing w:after="0" w:line="118"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i w:val="1"/>
          <w:iCs w:val="1"/>
          <w:color w:val="auto"/>
        </w:rPr>
        <w:t>Jasmine Networks Litigation</w:t>
      </w:r>
      <w:r>
        <w:rPr>
          <w:rFonts w:ascii="Arial" w:cs="Arial" w:eastAsia="Arial" w:hAnsi="Arial"/>
          <w:sz w:val="16"/>
          <w:szCs w:val="16"/>
          <w:color w:val="auto"/>
        </w:rPr>
        <w:t>. 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the Company and three of its officers for allegedly improperly obtaining and using information and technologies during the course of the negotiations with its personnel regarding the potential acquisition of certain Jasmine assets by the Company. The lawsuit claims that the Company’s officers used such information and technologies after the Company signed a nondisclosure agreement with Jasmine. The Company believes the claims asserted against its officers and the Company are without merit and the Company intends to defend all claims vigorously.</w:t>
      </w:r>
    </w:p>
    <w:p>
      <w:pPr>
        <w:spacing w:after="0" w:line="116"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On June 21, 2005, the Company filed a cross complaint in the above disclosed action in the Santa Clara County Superior Court asserting claims against Jasmine and unnamed Jasmine officers and employees. The cross complaint was later amended to name two individual officers of Jasmine and a second amended cross complaint was filed in May 2007 adding additional causes of action for declaratory relief against Jasmine. The second amended cross complaint alleges that Jasmine and its personnel engaged in fraud in connection with their effort to sell the Company technology that Jasmine and its personnel wrongfully obtained from a third party in violation of such third party’s rights, and that such technology does not constitute trade secrets or property of Jasmine. The cross complaint seeks a declaratory judgment that the Company’s technology does not incorporate any of Jasmine’s alleged technology. The cross complaint seeks further a declaratory judgment that Jasmine and its personnel misappropriated certain aspects of Jasmine’s allegedly proprietary technology. The Company defeated Jasmine’s demurrer to certain of the causes of action in the cross complaint and Jasmine filed its answer. The Company thereafter filed its motion for summary adjudication on its fifth and sixth causes of action for declaratory relief seeking, among other things, a determination that Jasmine held no proprietary interest in the “JSLIP” algorithm, which was one of the core technologies Jasmine asserts was misappropriated by the Company. The motion was denied on November 14, 2007. However, in its opposition, Jasmine admitted that JSLIP had been taken from the work of a third party and is embodied in patents held by the University of California and Cisco Systems. These admissions are significant with respect to both Jasmine’s assertion of trade secret rights and any damages claimed by Jasmine.</w:t>
      </w:r>
    </w:p>
    <w:p>
      <w:pPr>
        <w:spacing w:after="0" w:line="121"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 xml:space="preserve">In addition, on December 28, 2001 and January 7, 2002, the trial court issued a preliminary injunction precluding Jasmine from using, disclosing or disseminating the contents of a privileged communication between certain officers of the Company and its counsel. The order granting injunctive relief was reversed by the California Court of Appeal, but review was granted by the California Supreme Court on a “grant and hold” basis pending the Court’s decision on a case involving closely related issues, </w:t>
      </w:r>
      <w:r>
        <w:rPr>
          <w:rFonts w:ascii="Arial" w:cs="Arial" w:eastAsia="Arial" w:hAnsi="Arial"/>
          <w:sz w:val="16"/>
          <w:szCs w:val="16"/>
          <w:i w:val="1"/>
          <w:iCs w:val="1"/>
          <w:color w:val="auto"/>
        </w:rPr>
        <w:t>Rico v. Mitsubishi Motors Corp</w:t>
      </w:r>
      <w:r>
        <w:rPr>
          <w:rFonts w:ascii="Arial" w:cs="Arial" w:eastAsia="Arial" w:hAnsi="Arial"/>
          <w:sz w:val="16"/>
          <w:szCs w:val="16"/>
          <w:color w:val="auto"/>
        </w:rPr>
        <w:t xml:space="preserve">. (2004) 116 Cal.App.4th 51. The effect of the California Supreme Court’s grant of review was to depublish the Court of Appeal’s decision. On December 13, 2007, the California Supreme Court ruled in the </w:t>
      </w:r>
      <w:r>
        <w:rPr>
          <w:rFonts w:ascii="Arial" w:cs="Arial" w:eastAsia="Arial" w:hAnsi="Arial"/>
          <w:sz w:val="16"/>
          <w:szCs w:val="16"/>
          <w:i w:val="1"/>
          <w:iCs w:val="1"/>
          <w:color w:val="auto"/>
        </w:rPr>
        <w:t>Rico v. Mitsubishi</w:t>
      </w:r>
      <w:r>
        <w:rPr>
          <w:rFonts w:ascii="Arial" w:cs="Arial" w:eastAsia="Arial" w:hAnsi="Arial"/>
          <w:sz w:val="16"/>
          <w:szCs w:val="16"/>
          <w:color w:val="auto"/>
        </w:rPr>
        <w:t xml:space="preserve"> case in a manner consistent with the position asserted by the Company that attorney work product and attorney-client privileges are not waived by inadvertent disclosure of a privileged communication, and that any party receiving such information (i) is required to notify opposing counsel immediately; and (ii) may not read such document more closely than is necessary to determine it is privileged. </w:t>
      </w:r>
      <w:r>
        <w:rPr>
          <w:rFonts w:ascii="Arial" w:cs="Arial" w:eastAsia="Arial" w:hAnsi="Arial"/>
          <w:sz w:val="16"/>
          <w:szCs w:val="16"/>
          <w:i w:val="1"/>
          <w:iCs w:val="1"/>
          <w:color w:val="auto"/>
        </w:rPr>
        <w:t>Rico v. Mitsubishi Motors Corp.</w:t>
      </w:r>
      <w:r>
        <w:rPr>
          <w:rFonts w:ascii="Arial" w:cs="Arial" w:eastAsia="Arial" w:hAnsi="Arial"/>
          <w:sz w:val="16"/>
          <w:szCs w:val="16"/>
          <w:color w:val="auto"/>
        </w:rPr>
        <w:t xml:space="preserve"> (2007) 42 Cal.4</w:t>
      </w:r>
      <w:r>
        <w:rPr>
          <w:rFonts w:ascii="Arial" w:cs="Arial" w:eastAsia="Arial" w:hAnsi="Arial"/>
          <w:sz w:val="10"/>
          <w:szCs w:val="10"/>
          <w:color w:val="auto"/>
        </w:rPr>
        <w:t>th</w:t>
      </w:r>
      <w:r>
        <w:rPr>
          <w:rFonts w:ascii="Arial" w:cs="Arial" w:eastAsia="Arial" w:hAnsi="Arial"/>
          <w:sz w:val="16"/>
          <w:szCs w:val="16"/>
          <w:color w:val="auto"/>
        </w:rPr>
        <w:t xml:space="preserve"> 807. Following its decision in </w:t>
      </w:r>
      <w:r>
        <w:rPr>
          <w:rFonts w:ascii="Arial" w:cs="Arial" w:eastAsia="Arial" w:hAnsi="Arial"/>
          <w:sz w:val="16"/>
          <w:szCs w:val="16"/>
          <w:i w:val="1"/>
          <w:iCs w:val="1"/>
          <w:color w:val="auto"/>
        </w:rPr>
        <w:t>Rico v. Mitsubishi</w:t>
      </w:r>
      <w:r>
        <w:rPr>
          <w:rFonts w:ascii="Arial" w:cs="Arial" w:eastAsia="Arial" w:hAnsi="Arial"/>
          <w:sz w:val="16"/>
          <w:szCs w:val="16"/>
          <w:color w:val="auto"/>
        </w:rPr>
        <w:t>, on April 23, 2008, the California Supreme Court issued an order dismissing the Company’s petition for review. As a result the decision of the Court of Appeal, which remains unpublished, became final.</w:t>
      </w:r>
    </w:p>
    <w:p>
      <w:pPr>
        <w:spacing w:after="0" w:line="123"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case then proceeded in the trial court. On January 13, 2009, the Court granted a motion disqualifying the Company’s counsel and the Company engaged new counsel. The trial date was continued from March 2, 2009 to May 4, 2009. The claims against the three Company officers were dropped. The parties engaged in extensive discovery. Motions for summary judgment and/or summary adjudication filed by the parties were heard on February 3, 2009 and were all denied except for Jasmine’s motions directed to the Company’s declaratory judgment claims, which were granted. On June 3, 2009, the Court granted the Company’s motion to dismiss Jasmine’s Second Amended Complaint in its entirety with prejudice, for lack of standing. On December 29, 2009, the Court of Appeal, Sixth Appellate District reversed that dismissal with directions to proceed in the trial court. On February 10, 2010, the California Supreme Court declined to review that decision. In April 2010, the trial court set a new trial date for September 20, 2010.</w:t>
      </w:r>
    </w:p>
    <w:p>
      <w:pPr>
        <w:spacing w:after="0" w:line="118" w:lineRule="exact"/>
        <w:rPr>
          <w:sz w:val="20"/>
          <w:szCs w:val="20"/>
          <w:color w:val="auto"/>
        </w:rPr>
      </w:pPr>
    </w:p>
    <w:p>
      <w:pPr>
        <w:ind w:right="40" w:firstLine="395"/>
        <w:spacing w:after="0" w:line="291" w:lineRule="auto"/>
        <w:rPr>
          <w:sz w:val="20"/>
          <w:szCs w:val="20"/>
          <w:color w:val="auto"/>
        </w:rPr>
      </w:pPr>
      <w:r>
        <w:rPr>
          <w:rFonts w:ascii="Arial" w:cs="Arial" w:eastAsia="Arial" w:hAnsi="Arial"/>
          <w:sz w:val="16"/>
          <w:szCs w:val="16"/>
          <w:i w:val="1"/>
          <w:iCs w:val="1"/>
          <w:color w:val="auto"/>
        </w:rPr>
        <w:t>CSIRO Litigation</w:t>
      </w:r>
      <w:r>
        <w:rPr>
          <w:rFonts w:ascii="Arial" w:cs="Arial" w:eastAsia="Arial" w:hAnsi="Arial"/>
          <w:sz w:val="16"/>
          <w:szCs w:val="16"/>
          <w:color w:val="auto"/>
        </w:rPr>
        <w:t>. As of January 2007, Australia’s Commonwealth Scientific and Industrial Research Organisation (“CSIRO”) has been and continues to be</w:t>
      </w:r>
      <w:r>
        <w:rPr>
          <w:rFonts w:ascii="Arial" w:cs="Arial" w:eastAsia="Arial" w:hAnsi="Arial"/>
          <w:sz w:val="16"/>
          <w:szCs w:val="16"/>
          <w:i w:val="1"/>
          <w:iCs w:val="1"/>
          <w:color w:val="auto"/>
        </w:rPr>
        <w:t xml:space="preserve"> </w:t>
      </w:r>
      <w:r>
        <w:rPr>
          <w:rFonts w:ascii="Arial" w:cs="Arial" w:eastAsia="Arial" w:hAnsi="Arial"/>
          <w:sz w:val="16"/>
          <w:szCs w:val="16"/>
          <w:color w:val="auto"/>
        </w:rPr>
        <w:t>involved in several patent litigations in the Eastern District of Texas, in which it has accused a number of wireless LAN system manufacturers, including some of the Company’s customers, of infringing CSIRO’s patent, U.S. Patent No. 5,487,069 (the “069 Patent”). CSIRO’s claims of infringement relate to wireless standards known as IEEE 802.11a, 802.11g and 802.11n. As a result of CSIRO’s claims for patent infringement, a number of the Company’s customers have sought or may in the future seek, indemnification from the Company. In response to these demands for indemnification, the Company has acknowledged certain of the demands and incurred costs in response to them.</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00"/>
          </w:cols>
          <w:pgMar w:left="240" w:top="459" w:right="2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On May 4, 2007, Marvell Semiconductor, Inc., (“MSI”), Marvell Asia Pte., Ltd. (“MAPL”), and Marvell International Ltd. (“MIL”) (collectively, the “Company’s Subsidiaries”) filed an action in the United States District Court for the Eastern District of Texas (the “Marvell CSIRO Litigation”) seeking a declaratory judgment against CSIRO that the ‘069 Patent is invalid and unenforceable and that the Company’s Subsidiaries and the Company’s customers do not infringe the ‘069 Patent. The complaint also seeks damages and a license that also covers the Company’s customers on reasonable and non-discriminatory terms in the event the Company’s 802.11a/g/n wireless LAN products are found to infringe and the ‘069 Patent is found to be valid and enforceable.</w:t>
      </w:r>
    </w:p>
    <w:p>
      <w:pPr>
        <w:spacing w:after="0" w:line="11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On December 5, 2007, CSIRO filed its answer to the complaint filed by the Company’s Subsidiaries, as well as counterclaims for willful and deliberate infringement of the ‘069 Patent. CSIRO’s counterclaims included a claim for monetary damages, including treble damages based on its allegation of willful and deliberate infringement, attorneys’ fees and injunctive relief. On April 10, 2008, the Company’s Subsidiaries filed a First Amended Complaint and First Amended Reply to CSIRO’s Answer and Counterclaims. On April 23, 2008, CSIRO filed its Answer and Counterclaims to the First Amended Complaint. On May 12, 2008, the Company’s Subsidiaries filed a Reply and Affirmative Defenses to CSIRO’s amended counterclaims.</w:t>
      </w:r>
    </w:p>
    <w:p>
      <w:pPr>
        <w:spacing w:after="0" w:line="116" w:lineRule="exact"/>
        <w:rPr>
          <w:sz w:val="20"/>
          <w:szCs w:val="20"/>
          <w:color w:val="auto"/>
        </w:rPr>
      </w:pPr>
    </w:p>
    <w:p>
      <w:pPr>
        <w:jc w:val="both"/>
        <w:ind w:firstLine="456"/>
        <w:spacing w:after="0" w:line="306" w:lineRule="auto"/>
        <w:rPr>
          <w:sz w:val="20"/>
          <w:szCs w:val="20"/>
          <w:color w:val="auto"/>
        </w:rPr>
      </w:pPr>
      <w:r>
        <w:rPr>
          <w:rFonts w:ascii="Arial" w:cs="Arial" w:eastAsia="Arial" w:hAnsi="Arial"/>
          <w:sz w:val="16"/>
          <w:szCs w:val="16"/>
          <w:color w:val="auto"/>
        </w:rPr>
        <w:t>The trial for the Marvell CSIRO Litigation was scheduled to commence on May 10, 2010. The pretrial conference was held on April 22, 2010. On April 27, 2010, the Court issued a supplemental claim construction ruling. On April 30, 2010, the parties reached a tentative settlement which has been accounted for in the results for the three months ended May 1, 2010. The amounts were allocated between past and anticipated future shipments.</w:t>
      </w:r>
    </w:p>
    <w:p>
      <w:pPr>
        <w:spacing w:after="0" w:line="107"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i w:val="1"/>
          <w:iCs w:val="1"/>
          <w:color w:val="auto"/>
        </w:rPr>
        <w:t xml:space="preserve">Wi-LAN Litigation. </w:t>
      </w:r>
      <w:r>
        <w:rPr>
          <w:rFonts w:ascii="Arial" w:cs="Arial" w:eastAsia="Arial" w:hAnsi="Arial"/>
          <w:sz w:val="16"/>
          <w:szCs w:val="16"/>
          <w:color w:val="auto"/>
        </w:rPr>
        <w:t>On October 31, 2007, Wi-LAN, Inc. (“Wi-LAN”) sued two groups of system and chip manufacturers in the United States District Court</w:t>
      </w:r>
      <w:r>
        <w:rPr>
          <w:rFonts w:ascii="Arial" w:cs="Arial" w:eastAsia="Arial" w:hAnsi="Arial"/>
          <w:sz w:val="16"/>
          <w:szCs w:val="16"/>
          <w:i w:val="1"/>
          <w:iCs w:val="1"/>
          <w:color w:val="auto"/>
        </w:rPr>
        <w:t xml:space="preserve"> </w:t>
      </w:r>
      <w:r>
        <w:rPr>
          <w:rFonts w:ascii="Arial" w:cs="Arial" w:eastAsia="Arial" w:hAnsi="Arial"/>
          <w:sz w:val="16"/>
          <w:szCs w:val="16"/>
          <w:color w:val="auto"/>
        </w:rPr>
        <w:t>for the Eastern District of Texas, in both cases naming MSI as a defendant and alleging patent infringement. The complaints seek unspecified damages and an injunction. In the first case, Wi-LAN alleges that defendants infringe U.S. Patent Nos. 5,282,222 and RE 37,802 (the “’222 and ’802 patents”) that allegedly relate to the 802.11 wireless standards. In the second case, Wi-LAN alleges that defendants infringe the same ’222 and ’802 patents, and in addition Wi-LAN alleges that some of the defendants in the second case infringe a third patent that allegedly relates to Asymmetric Digital Subscriber Line (“ADSL”) technology. In the second case, MSI is not accused of infringing the ADSL patent.</w:t>
      </w:r>
    </w:p>
    <w:p>
      <w:pPr>
        <w:spacing w:after="0" w:line="120"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On September 10, 2008, the Court granted the defendant’s motion to consolidate both actions but denied as premature having the defendant suppliers’ case proceed first. On February 3, 2009, the Court granted Wi-LAN’s motion to add an additional patent, U.S. Patent No. 6,549,759 (the “‘759 Patent”). The claim construction hearing for the ‘222 and ‘802 patents was held on March 11, 2010, and a ruling was issued on May 11, 2010. The claim construction hearing for the ‘759 patent is scheduled for September 1, 2010. The trial for all three patents is presently scheduled for January 4, 2011. MSI believes it does not infringe any valid and enforceable claims of the asserted Wi-LAN patents and will vigorously defend itself in these matters.</w:t>
      </w:r>
    </w:p>
    <w:p>
      <w:pPr>
        <w:spacing w:after="0" w:line="11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i w:val="1"/>
          <w:iCs w:val="1"/>
          <w:color w:val="auto"/>
        </w:rPr>
        <w:t xml:space="preserve">Carnegie Mellon Litigation. </w:t>
      </w:r>
      <w:r>
        <w:rPr>
          <w:rFonts w:ascii="Arial" w:cs="Arial" w:eastAsia="Arial" w:hAnsi="Arial"/>
          <w:sz w:val="16"/>
          <w:szCs w:val="16"/>
          <w:color w:val="auto"/>
        </w:rPr>
        <w:t>On March 6, 2009, Carnegie Mellon University (“CMU”) filed a complaint in the United States District Court for the Western</w:t>
      </w:r>
      <w:r>
        <w:rPr>
          <w:rFonts w:ascii="Arial" w:cs="Arial" w:eastAsia="Arial" w:hAnsi="Arial"/>
          <w:sz w:val="16"/>
          <w:szCs w:val="16"/>
          <w:i w:val="1"/>
          <w:iCs w:val="1"/>
          <w:color w:val="auto"/>
        </w:rPr>
        <w:t xml:space="preserve"> </w:t>
      </w:r>
      <w:r>
        <w:rPr>
          <w:rFonts w:ascii="Arial" w:cs="Arial" w:eastAsia="Arial" w:hAnsi="Arial"/>
          <w:sz w:val="16"/>
          <w:szCs w:val="16"/>
          <w:color w:val="auto"/>
        </w:rPr>
        <w:t>District of Pennsylvania naming MSI and the Company as defendants and alleging patent infringement. CMU has asserted two patents (U.S. Patent Nos. 6,201,839 and 6,438,180) purportedly relating to read-channel integrated circuit devices and the hard disk drive products incorporating such devices. The complaint seeks unspecified damages and an injunction. On June 1, 2009, MSI and the Company filed their answers and MSI filed counterclaims to the complaint seeking declaratory judgments of non-infringement and invalidity as to both of the asserted patents. The claim construction hearing was held on April 12 and 13, 2010. On April 29, 2010, MSI and the Company filed their amended answers and counterclaims. The Court has not yet scheduled a trial date. MSI and the Company believe that they do not infringe any valid and enforceable claims of the asserted CMU patents and intend to contest this action vigorously.</w:t>
      </w:r>
    </w:p>
    <w:p>
      <w:pPr>
        <w:spacing w:after="0" w:line="118" w:lineRule="exact"/>
        <w:rPr>
          <w:sz w:val="20"/>
          <w:szCs w:val="20"/>
          <w:color w:val="auto"/>
        </w:rPr>
      </w:pPr>
    </w:p>
    <w:p>
      <w:pPr>
        <w:ind w:right="20" w:firstLine="456"/>
        <w:spacing w:after="0" w:line="283" w:lineRule="auto"/>
        <w:rPr>
          <w:sz w:val="20"/>
          <w:szCs w:val="20"/>
          <w:color w:val="auto"/>
        </w:rPr>
      </w:pPr>
      <w:r>
        <w:rPr>
          <w:rFonts w:ascii="Arial" w:cs="Arial" w:eastAsia="Arial" w:hAnsi="Arial"/>
          <w:sz w:val="16"/>
          <w:szCs w:val="16"/>
          <w:i w:val="1"/>
          <w:iCs w:val="1"/>
          <w:color w:val="auto"/>
        </w:rPr>
        <w:t xml:space="preserve">PACid Patent Litigation. </w:t>
      </w:r>
      <w:r>
        <w:rPr>
          <w:rFonts w:ascii="Arial" w:cs="Arial" w:eastAsia="Arial" w:hAnsi="Arial"/>
          <w:sz w:val="16"/>
          <w:szCs w:val="16"/>
          <w:color w:val="auto"/>
        </w:rPr>
        <w:t>On March 30, 2009, The PACid Group, LLC filed a complaint in the United States District Court for the Eastern District of Texas,</w:t>
      </w:r>
      <w:r>
        <w:rPr>
          <w:rFonts w:ascii="Arial" w:cs="Arial" w:eastAsia="Arial" w:hAnsi="Arial"/>
          <w:sz w:val="16"/>
          <w:szCs w:val="16"/>
          <w:i w:val="1"/>
          <w:iCs w:val="1"/>
          <w:color w:val="auto"/>
        </w:rPr>
        <w:t xml:space="preserve"> </w:t>
      </w:r>
      <w:r>
        <w:rPr>
          <w:rFonts w:ascii="Arial" w:cs="Arial" w:eastAsia="Arial" w:hAnsi="Arial"/>
          <w:sz w:val="16"/>
          <w:szCs w:val="16"/>
          <w:color w:val="auto"/>
        </w:rPr>
        <w:t>case no. 6:09-cv-00143 LED, which named MSI, Marvell Technology, Inc. (“MTI”), Marvell Semiconductor, Ltd. (“MSL”), the Company and 15 other companies as defendants. The complaint alleged infringement of two patents purportedly relating to encryption: U.S. Patent Nos. 5,963,646 and 6,049,612. The complaint seeks unspecified damages and an injunction. On May 22, 2009, MSI filed its answer and counterclaims to the complaint. On June 1, 2009, MTI, MSL and the Company were dismissed without prejudice. The claim construction hearing was held on March 25, 2010, and a provisional ruling was issued on</w:t>
      </w:r>
    </w:p>
    <w:p>
      <w:pPr>
        <w:spacing w:after="0" w:line="2" w:lineRule="exact"/>
        <w:rPr>
          <w:sz w:val="20"/>
          <w:szCs w:val="20"/>
          <w:color w:val="auto"/>
        </w:rPr>
      </w:pPr>
    </w:p>
    <w:p>
      <w:pPr>
        <w:ind w:right="160"/>
        <w:spacing w:after="0" w:line="261" w:lineRule="auto"/>
        <w:rPr>
          <w:sz w:val="20"/>
          <w:szCs w:val="20"/>
          <w:color w:val="auto"/>
        </w:rPr>
      </w:pPr>
      <w:r>
        <w:rPr>
          <w:rFonts w:ascii="Arial" w:cs="Arial" w:eastAsia="Arial" w:hAnsi="Arial"/>
          <w:sz w:val="18"/>
          <w:szCs w:val="18"/>
          <w:color w:val="auto"/>
        </w:rPr>
        <w:t>April 21, 2010. Trial is presently scheduled for February 14, 2011. MSI believes that it does not infringe any valid and enforceable claims of the asserted PACid patents and intends to contest this action vigorously.</w:t>
      </w:r>
    </w:p>
    <w:p>
      <w:pPr>
        <w:spacing w:after="0" w:line="138"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i w:val="1"/>
          <w:iCs w:val="1"/>
          <w:color w:val="auto"/>
        </w:rPr>
        <w:t>Xpoint Patent Litigation</w:t>
      </w:r>
      <w:r>
        <w:rPr>
          <w:rFonts w:ascii="Arial" w:cs="Arial" w:eastAsia="Arial" w:hAnsi="Arial"/>
          <w:sz w:val="16"/>
          <w:szCs w:val="16"/>
          <w:color w:val="auto"/>
        </w:rPr>
        <w:t>. On August 21, 2009, Xpoint Technologies, Inc. filed a complaint in the United States District of Delaware, which names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 MSI and thirty-six other companies as defendants. The complaint alleged infringement of U.S. Patent No. 5,913,028 which purportedly relates to data traffic delivery. The complaint seeks unspecified damages and an injunction. On September 18, 2009 an amended complaint was filed. On October 28, 2009, the Company was dismissed from the lawsuit, although MSI remains a defendant. MSI filed its answers and counterclaims on December 18, 2009. The Court has scheduled a claim construction hearing for January 13, 2012, and trial for May 7, 2012. MSI intends to contest this action vigorously. Because this action is in the early stages, the Company is unable to predict the outcome of this litigation at this time.</w:t>
      </w:r>
    </w:p>
    <w:p>
      <w:pPr>
        <w:spacing w:after="0" w:line="12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 xml:space="preserve">Intravisual Patent Litigation. </w:t>
      </w:r>
      <w:r>
        <w:rPr>
          <w:rFonts w:ascii="Arial" w:cs="Arial" w:eastAsia="Arial" w:hAnsi="Arial"/>
          <w:sz w:val="16"/>
          <w:szCs w:val="16"/>
          <w:color w:val="auto"/>
        </w:rPr>
        <w:t>On March 15, 2010, Intravisual, Inc. filed a Complaint in the United States District Court in the Eastern District of Texas.</w:t>
      </w:r>
      <w:r>
        <w:rPr>
          <w:rFonts w:ascii="Arial" w:cs="Arial" w:eastAsia="Arial" w:hAnsi="Arial"/>
          <w:sz w:val="16"/>
          <w:szCs w:val="16"/>
          <w:i w:val="1"/>
          <w:iCs w:val="1"/>
          <w:color w:val="auto"/>
        </w:rPr>
        <w:t xml:space="preserve"> </w:t>
      </w:r>
      <w:r>
        <w:rPr>
          <w:rFonts w:ascii="Arial" w:cs="Arial" w:eastAsia="Arial" w:hAnsi="Arial"/>
          <w:sz w:val="16"/>
          <w:szCs w:val="16"/>
          <w:color w:val="auto"/>
        </w:rPr>
        <w:t>The Complaint names MSI and eight other Defendants, and alleges infringement of United States Patent No. 6,614,845 (the “’845 patent”). The ’845 patent is purportedly directed to a method and apparatus for differential macroblock encoding in video coders and decoders. The Complaint seeks unspecified damages and a permanent injunction. MSI filed its answer and counterclaims on May 10, 2010. At this time, the Court has not set a schedule for the case. MSI intends to vigorously defend this action. Because this action is in the very early stages, the Company is unable to predict the outcome of this litigation at this time.</w:t>
      </w:r>
    </w:p>
    <w:p>
      <w:pPr>
        <w:sectPr>
          <w:pgSz w:w="11900" w:h="16838" w:orient="portrait"/>
          <w:cols w:equalWidth="0" w:num="1">
            <w:col w:w="11420"/>
          </w:cols>
          <w:pgMar w:left="240" w:top="459" w:right="239" w:bottom="1440" w:gutter="0" w:footer="0" w:header="0"/>
        </w:sectPr>
      </w:pP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20</w:t>
      </w:r>
    </w:p>
    <w:p>
      <w:pPr>
        <w:sectPr>
          <w:pgSz w:w="11900" w:h="16838" w:orient="portrait"/>
          <w:cols w:equalWidth="0" w:num="1">
            <w:col w:w="11420"/>
          </w:cols>
          <w:pgMar w:left="240" w:top="459" w:right="239" w:bottom="1440" w:gutter="0" w:footer="0" w:header="0"/>
          <w:type w:val="continuous"/>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i w:val="1"/>
          <w:iCs w:val="1"/>
          <w:color w:val="auto"/>
        </w:rPr>
        <w:t>USEI Litigation</w:t>
      </w:r>
      <w:r>
        <w:rPr>
          <w:rFonts w:ascii="Arial" w:cs="Arial" w:eastAsia="Arial" w:hAnsi="Arial"/>
          <w:sz w:val="18"/>
          <w:szCs w:val="18"/>
          <w:color w:val="auto"/>
        </w:rPr>
        <w:t>. On October 9, 2009, U.S. Ethernet Innovations, LLC (“USEI”) filed a complaint in the Eastern District of Texas, in which USEI has</w:t>
      </w:r>
      <w:r>
        <w:rPr>
          <w:rFonts w:ascii="Arial" w:cs="Arial" w:eastAsia="Arial" w:hAnsi="Arial"/>
          <w:sz w:val="18"/>
          <w:szCs w:val="18"/>
          <w:i w:val="1"/>
          <w:iCs w:val="1"/>
          <w:color w:val="auto"/>
        </w:rPr>
        <w:t xml:space="preserve"> </w:t>
      </w:r>
      <w:r>
        <w:rPr>
          <w:rFonts w:ascii="Arial" w:cs="Arial" w:eastAsia="Arial" w:hAnsi="Arial"/>
          <w:sz w:val="18"/>
          <w:szCs w:val="18"/>
          <w:color w:val="auto"/>
        </w:rPr>
        <w:t>accused a number of system manufacturers, including Company’s customers, of patent infringement (the “USEI litigation”). Specifically, USEI has asserted that these customers infringe U.S. Patent Nos. 5,307,459, 5,434,872, 5,732,094, and 5,299,313 (collectively, the “USEI patents in suit”), which purportedly relate to Ethernet technologies. The complaint seeks unspecified damages and an injunction. The Court has scheduled a Markman hearing date of January 13, 2011, and a trial date of September 12, 2011.</w:t>
      </w:r>
    </w:p>
    <w:p>
      <w:pPr>
        <w:spacing w:after="0" w:line="143"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On May 4, 2010, MSI filed motion to intervene in the USEI litigation, which was granted on May 19, 2010. MSI believes that it does not infringe any valid and enforceable claim of the USEI patents in suit, and intends to litigate this action vigorously.</w:t>
      </w:r>
    </w:p>
    <w:p>
      <w:pPr>
        <w:spacing w:after="0" w:line="132"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 xml:space="preserve">General. </w:t>
      </w:r>
      <w:r>
        <w:rPr>
          <w:rFonts w:ascii="Arial" w:cs="Arial" w:eastAsia="Arial" w:hAnsi="Arial"/>
          <w:sz w:val="16"/>
          <w:szCs w:val="16"/>
          <w:color w:val="auto"/>
        </w:rPr>
        <w:t>The Company is also party to other legal proceedings and claims arising in the normal course of business. The legal proceedings and claims</w:t>
      </w:r>
      <w:r>
        <w:rPr>
          <w:rFonts w:ascii="Arial" w:cs="Arial" w:eastAsia="Arial" w:hAnsi="Arial"/>
          <w:sz w:val="16"/>
          <w:szCs w:val="16"/>
          <w:i w:val="1"/>
          <w:iCs w:val="1"/>
          <w:color w:val="auto"/>
        </w:rPr>
        <w:t xml:space="preserve"> </w:t>
      </w:r>
      <w:r>
        <w:rPr>
          <w:rFonts w:ascii="Arial" w:cs="Arial" w:eastAsia="Arial" w:hAnsi="Arial"/>
          <w:sz w:val="16"/>
          <w:szCs w:val="16"/>
          <w:color w:val="auto"/>
        </w:rPr>
        <w:t>described above could result in substantial costs and could divert the attention and resources of the Company’s management. Although the legal responsibility and financial impact with respect to these proceedings and claims cannot currently be ascertained, an unfavorable outcome in such actions could have a material adverse effect on the Company’s cash flows. Litigation is subject to inherent uncertainties and unfavorable rulings could occur. An unfavorable ruling in litigation could require the Company to pay damages or one-time license fees or royalty payments, which could adversely impact gross margins in future periods, or could prevent the Company from manufacturing or selling some of its products or limit or restrict the type of work that employees involved in such litigation may perform for the Company. There can be no assurance that these matters will be resolved in a manner that is not adverse to the Company’s business, financial condition, results of operations or cash flows.</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Indemnities, Commitments and Guarantees</w:t>
      </w:r>
    </w:p>
    <w:p>
      <w:pPr>
        <w:spacing w:after="0" w:line="90"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include intellectual property indemnities to the Company’s customers in connection with the sales of its products, indemnities for liabilities associated with the infringement of other parties’ technology based upon the Company’s products,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The majority of these indemnities, commitments and guarantees do not provide for any limitation of the maximum potential future payments that the Company could be obligated to make. The Company has not recorded any liability for these indemnities, commitments and guarantees in the accompanying unaudited condensed consolidated balance sheets. The Company does, however, accrue for losses for any known contingent liability, including those that may arise from indemnification provisions, when future payment is probable.</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Stock-Based Compensation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stock-based compensation expenses by functional line item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54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420" w:type="dxa"/>
            <w:vAlign w:val="bottom"/>
            <w:tcBorders>
              <w:bottom w:val="single" w:sz="8" w:color="auto"/>
            </w:tcBorders>
            <w:gridSpan w:val="4"/>
          </w:tcPr>
          <w:p>
            <w:pPr>
              <w:jc w:val="right"/>
              <w:ind w:right="56"/>
              <w:spacing w:after="0"/>
              <w:rPr>
                <w:sz w:val="20"/>
                <w:szCs w:val="20"/>
                <w:color w:val="auto"/>
              </w:rPr>
            </w:pPr>
            <w:r>
              <w:rPr>
                <w:rFonts w:ascii="Arial" w:cs="Arial" w:eastAsia="Arial" w:hAnsi="Arial"/>
                <w:sz w:val="14"/>
                <w:szCs w:val="14"/>
                <w:b w:val="1"/>
                <w:bCs w:val="1"/>
                <w:color w:val="auto"/>
                <w:w w:val="90"/>
              </w:rPr>
              <w:t>Three Months Ended</w:t>
            </w:r>
          </w:p>
        </w:tc>
      </w:tr>
      <w:tr>
        <w:trPr>
          <w:trHeight w:val="129"/>
        </w:trPr>
        <w:tc>
          <w:tcPr>
            <w:tcW w:w="4540" w:type="dxa"/>
            <w:vAlign w:val="bottom"/>
          </w:tcPr>
          <w:p>
            <w:pPr>
              <w:spacing w:after="0"/>
              <w:rPr>
                <w:sz w:val="11"/>
                <w:szCs w:val="11"/>
                <w:color w:val="auto"/>
              </w:rPr>
            </w:pPr>
          </w:p>
        </w:tc>
        <w:tc>
          <w:tcPr>
            <w:tcW w:w="26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00" w:type="dxa"/>
            <w:vAlign w:val="bottom"/>
          </w:tcPr>
          <w:p>
            <w:pPr>
              <w:jc w:val="right"/>
              <w:ind w:right="20"/>
              <w:spacing w:after="0" w:line="129" w:lineRule="exact"/>
              <w:rPr>
                <w:sz w:val="20"/>
                <w:szCs w:val="20"/>
                <w:color w:val="auto"/>
              </w:rPr>
            </w:pPr>
            <w:r>
              <w:rPr>
                <w:rFonts w:ascii="Arial" w:cs="Arial" w:eastAsia="Arial" w:hAnsi="Arial"/>
                <w:sz w:val="14"/>
                <w:szCs w:val="14"/>
                <w:b w:val="1"/>
                <w:bCs w:val="1"/>
                <w:color w:val="auto"/>
                <w:w w:val="88"/>
              </w:rPr>
              <w:t>May 1,</w:t>
            </w:r>
          </w:p>
        </w:tc>
        <w:tc>
          <w:tcPr>
            <w:tcW w:w="340" w:type="dxa"/>
            <w:vAlign w:val="bottom"/>
          </w:tcPr>
          <w:p>
            <w:pPr>
              <w:spacing w:after="0"/>
              <w:rPr>
                <w:sz w:val="11"/>
                <w:szCs w:val="11"/>
                <w:color w:val="auto"/>
              </w:rPr>
            </w:pPr>
          </w:p>
        </w:tc>
        <w:tc>
          <w:tcPr>
            <w:tcW w:w="58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rPr>
              <w:t>May 2,</w:t>
            </w:r>
          </w:p>
        </w:tc>
      </w:tr>
      <w:tr>
        <w:trPr>
          <w:trHeight w:val="161"/>
        </w:trPr>
        <w:tc>
          <w:tcPr>
            <w:tcW w:w="454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80"/>
              <w:spacing w:after="0"/>
              <w:rPr>
                <w:sz w:val="20"/>
                <w:szCs w:val="20"/>
                <w:color w:val="auto"/>
              </w:rPr>
            </w:pPr>
            <w:r>
              <w:rPr>
                <w:rFonts w:ascii="Arial" w:cs="Arial" w:eastAsia="Arial" w:hAnsi="Arial"/>
                <w:sz w:val="14"/>
                <w:szCs w:val="14"/>
                <w:b w:val="1"/>
                <w:bCs w:val="1"/>
                <w:color w:val="auto"/>
              </w:rPr>
              <w:t>2010</w:t>
            </w:r>
          </w:p>
        </w:tc>
        <w:tc>
          <w:tcPr>
            <w:tcW w:w="3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6"/>
              <w:spacing w:after="0"/>
              <w:rPr>
                <w:sz w:val="20"/>
                <w:szCs w:val="20"/>
                <w:color w:val="auto"/>
              </w:rPr>
            </w:pPr>
            <w:r>
              <w:rPr>
                <w:rFonts w:ascii="Arial" w:cs="Arial" w:eastAsia="Arial" w:hAnsi="Arial"/>
                <w:sz w:val="14"/>
                <w:szCs w:val="14"/>
                <w:b w:val="1"/>
                <w:bCs w:val="1"/>
                <w:color w:val="auto"/>
              </w:rPr>
              <w:t>2009</w:t>
            </w:r>
          </w:p>
        </w:tc>
      </w:tr>
      <w:tr>
        <w:trPr>
          <w:trHeight w:val="210"/>
        </w:trPr>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2,236</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4,116</w:t>
            </w:r>
          </w:p>
        </w:tc>
      </w:tr>
      <w:tr>
        <w:trPr>
          <w:trHeight w:val="216"/>
        </w:trPr>
        <w:tc>
          <w:tcPr>
            <w:tcW w:w="454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6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18,851</w:t>
            </w:r>
          </w:p>
        </w:tc>
        <w:tc>
          <w:tcPr>
            <w:tcW w:w="3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3"/>
              </w:rPr>
              <w:t>21,737</w:t>
            </w:r>
          </w:p>
        </w:tc>
      </w:tr>
      <w:tr>
        <w:trPr>
          <w:trHeight w:val="216"/>
        </w:trPr>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3,173</w:t>
            </w:r>
          </w:p>
        </w:tc>
        <w:tc>
          <w:tcPr>
            <w:tcW w:w="3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3,711</w:t>
            </w:r>
          </w:p>
        </w:tc>
      </w:tr>
      <w:tr>
        <w:trPr>
          <w:trHeight w:val="223"/>
        </w:trPr>
        <w:tc>
          <w:tcPr>
            <w:tcW w:w="454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6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2,636</w:t>
            </w:r>
          </w:p>
        </w:tc>
        <w:tc>
          <w:tcPr>
            <w:tcW w:w="3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2,084</w:t>
            </w:r>
          </w:p>
        </w:tc>
      </w:tr>
      <w:tr>
        <w:trPr>
          <w:trHeight w:val="216"/>
        </w:trPr>
        <w:tc>
          <w:tcPr>
            <w:tcW w:w="4540" w:type="dxa"/>
            <w:vAlign w:val="bottom"/>
            <w:shd w:val="clear" w:color="auto" w:fill="CCEEFF"/>
          </w:tcPr>
          <w:p>
            <w:pPr>
              <w:spacing w:after="0"/>
              <w:rPr>
                <w:sz w:val="18"/>
                <w:szCs w:val="18"/>
                <w:color w:val="auto"/>
              </w:rPr>
            </w:pPr>
          </w:p>
        </w:tc>
        <w:tc>
          <w:tcPr>
            <w:tcW w:w="27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26,896</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31,648</w:t>
            </w:r>
          </w:p>
        </w:tc>
      </w:tr>
      <w:tr>
        <w:trPr>
          <w:trHeight w:val="20"/>
        </w:trPr>
        <w:tc>
          <w:tcPr>
            <w:tcW w:w="4540" w:type="dxa"/>
            <w:vAlign w:val="bottom"/>
          </w:tcPr>
          <w:p>
            <w:pPr>
              <w:spacing w:after="0" w:line="20" w:lineRule="exact"/>
              <w:rPr>
                <w:sz w:val="1"/>
                <w:szCs w:val="1"/>
                <w:color w:val="auto"/>
              </w:rPr>
            </w:pPr>
          </w:p>
        </w:tc>
        <w:tc>
          <w:tcPr>
            <w:tcW w:w="26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r>
    </w:tbl>
    <w:p>
      <w:pPr>
        <w:spacing w:after="0" w:line="167" w:lineRule="exact"/>
        <w:rPr>
          <w:sz w:val="20"/>
          <w:szCs w:val="20"/>
          <w:color w:val="auto"/>
        </w:rPr>
      </w:pPr>
    </w:p>
    <w:p>
      <w:pPr>
        <w:jc w:val="center"/>
        <w:ind w:right="480"/>
        <w:spacing w:after="0" w:line="440" w:lineRule="auto"/>
        <w:rPr>
          <w:sz w:val="20"/>
          <w:szCs w:val="20"/>
          <w:color w:val="auto"/>
        </w:rPr>
      </w:pPr>
      <w:r>
        <w:rPr>
          <w:rFonts w:ascii="Arial" w:cs="Arial" w:eastAsia="Arial" w:hAnsi="Arial"/>
          <w:sz w:val="18"/>
          <w:szCs w:val="18"/>
          <w:color w:val="auto"/>
        </w:rPr>
        <w:t>Stock-based compensation of $1.2 million and $1.6 million was capitalized in inventory as of May 1, 2010 and January 30, 2010, respectively. 21</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380" w:firstLine="456"/>
        <w:spacing w:after="0" w:line="268" w:lineRule="auto"/>
        <w:rPr>
          <w:sz w:val="20"/>
          <w:szCs w:val="20"/>
          <w:color w:val="auto"/>
        </w:rPr>
      </w:pPr>
      <w:r>
        <w:rPr>
          <w:rFonts w:ascii="Arial" w:cs="Arial" w:eastAsia="Arial" w:hAnsi="Arial"/>
          <w:sz w:val="18"/>
          <w:szCs w:val="18"/>
          <w:color w:val="auto"/>
        </w:rPr>
        <w:t>The following assumptions were used for each respective period to calculate the weighted average fair value of each option award on the date of grant using the Black-Scholes option pricing model:</w:t>
      </w:r>
    </w:p>
    <w:p>
      <w:pPr>
        <w:sectPr>
          <w:pgSz w:w="11900" w:h="16838" w:orient="portrait"/>
          <w:cols w:equalWidth="0" w:num="1">
            <w:col w:w="11400"/>
          </w:cols>
          <w:pgMar w:left="240" w:top="459" w:right="259" w:bottom="1440" w:gutter="0" w:footer="0" w:header="0"/>
        </w:sectPr>
      </w:pPr>
    </w:p>
    <w:p>
      <w:pPr>
        <w:spacing w:after="0" w:line="168" w:lineRule="exact"/>
        <w:rPr>
          <w:sz w:val="20"/>
          <w:szCs w:val="20"/>
          <w:color w:val="auto"/>
        </w:rPr>
      </w:pPr>
    </w:p>
    <w:p>
      <w:pPr>
        <w:jc w:val="center"/>
        <w:ind w:left="6680"/>
        <w:spacing w:after="0"/>
        <w:rPr>
          <w:sz w:val="20"/>
          <w:szCs w:val="20"/>
          <w:color w:val="auto"/>
        </w:rPr>
      </w:pPr>
      <w:r>
        <w:rPr>
          <w:rFonts w:ascii="Arial" w:cs="Arial" w:eastAsia="Arial" w:hAnsi="Arial"/>
          <w:sz w:val="14"/>
          <w:szCs w:val="14"/>
          <w:b w:val="1"/>
          <w:bCs w:val="1"/>
          <w:color w:val="auto"/>
        </w:rPr>
        <w:t>Stock Option Plans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4241800</wp:posOffset>
            </wp:positionH>
            <wp:positionV relativeFrom="paragraph">
              <wp:posOffset>0</wp:posOffset>
            </wp:positionV>
            <wp:extent cx="107188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071880" cy="8890"/>
                    </a:xfrm>
                    <a:prstGeom prst="rect">
                      <a:avLst/>
                    </a:prstGeom>
                    <a:noFill/>
                  </pic:spPr>
                </pic:pic>
              </a:graphicData>
            </a:graphic>
          </wp:anchor>
        </w:drawing>
      </w:r>
    </w:p>
    <w:p>
      <w:pPr>
        <w:jc w:val="center"/>
        <w:ind w:left="6680"/>
        <w:spacing w:after="0"/>
        <w:rPr>
          <w:sz w:val="20"/>
          <w:szCs w:val="20"/>
          <w:color w:val="auto"/>
        </w:rPr>
      </w:pPr>
      <w:r>
        <w:rPr>
          <w:rFonts w:ascii="Arial" w:cs="Arial" w:eastAsia="Arial" w:hAnsi="Arial"/>
          <w:sz w:val="14"/>
          <w:szCs w:val="14"/>
          <w:b w:val="1"/>
          <w:bCs w:val="1"/>
          <w:color w:val="auto"/>
        </w:rPr>
        <w:t>Three Months Ended</w:t>
      </w:r>
    </w:p>
    <w:tbl>
      <w:tblPr>
        <w:tblLayout w:type="fixed"/>
        <w:tblInd w:w="6680" w:type="dxa"/>
        <w:tblCellMar>
          <w:top w:w="0" w:type="dxa"/>
          <w:left w:w="0" w:type="dxa"/>
          <w:bottom w:w="0" w:type="dxa"/>
          <w:right w:w="0" w:type="dxa"/>
        </w:tblCellMar>
      </w:tblPr>
      <w:tr>
        <w:trPr>
          <w:trHeight w:val="129"/>
        </w:trPr>
        <w:tc>
          <w:tcPr>
            <w:tcW w:w="840" w:type="dxa"/>
            <w:vAlign w:val="bottom"/>
            <w:tcBorders>
              <w:top w:val="single" w:sz="8" w:color="auto"/>
            </w:tcBorders>
          </w:tcPr>
          <w:p>
            <w:pPr>
              <w:jc w:val="center"/>
              <w:ind w:right="312"/>
              <w:spacing w:after="0" w:line="129" w:lineRule="exact"/>
              <w:rPr>
                <w:sz w:val="20"/>
                <w:szCs w:val="20"/>
                <w:color w:val="auto"/>
              </w:rPr>
            </w:pPr>
            <w:r>
              <w:rPr>
                <w:rFonts w:ascii="Arial" w:cs="Arial" w:eastAsia="Arial" w:hAnsi="Arial"/>
                <w:sz w:val="14"/>
                <w:szCs w:val="14"/>
                <w:b w:val="1"/>
                <w:bCs w:val="1"/>
                <w:color w:val="auto"/>
                <w:w w:val="88"/>
              </w:rPr>
              <w:t>May 1,</w:t>
            </w:r>
          </w:p>
        </w:tc>
        <w:tc>
          <w:tcPr>
            <w:tcW w:w="840" w:type="dxa"/>
            <w:vAlign w:val="bottom"/>
            <w:tcBorders>
              <w:top w:val="single" w:sz="8" w:color="auto"/>
            </w:tcBorders>
          </w:tcPr>
          <w:p>
            <w:pPr>
              <w:jc w:val="center"/>
              <w:ind w:left="292"/>
              <w:spacing w:after="0" w:line="129" w:lineRule="exact"/>
              <w:rPr>
                <w:sz w:val="20"/>
                <w:szCs w:val="20"/>
                <w:color w:val="auto"/>
              </w:rPr>
            </w:pPr>
            <w:r>
              <w:rPr>
                <w:rFonts w:ascii="Arial" w:cs="Arial" w:eastAsia="Arial" w:hAnsi="Arial"/>
                <w:sz w:val="14"/>
                <w:szCs w:val="14"/>
                <w:b w:val="1"/>
                <w:bCs w:val="1"/>
                <w:color w:val="auto"/>
                <w:w w:val="93"/>
              </w:rPr>
              <w:t>May 2,</w:t>
            </w:r>
          </w:p>
        </w:tc>
      </w:tr>
      <w:tr>
        <w:trPr>
          <w:trHeight w:val="161"/>
        </w:trPr>
        <w:tc>
          <w:tcPr>
            <w:tcW w:w="840" w:type="dxa"/>
            <w:vAlign w:val="bottom"/>
          </w:tcPr>
          <w:p>
            <w:pPr>
              <w:jc w:val="right"/>
              <w:ind w:right="412"/>
              <w:spacing w:after="0"/>
              <w:rPr>
                <w:sz w:val="20"/>
                <w:szCs w:val="20"/>
                <w:color w:val="auto"/>
              </w:rPr>
            </w:pPr>
            <w:r>
              <w:rPr>
                <w:rFonts w:ascii="Arial" w:cs="Arial" w:eastAsia="Arial" w:hAnsi="Arial"/>
                <w:sz w:val="14"/>
                <w:szCs w:val="14"/>
                <w:b w:val="1"/>
                <w:bCs w:val="1"/>
                <w:color w:val="auto"/>
              </w:rPr>
              <w:t>2010</w:t>
            </w:r>
          </w:p>
        </w:tc>
        <w:tc>
          <w:tcPr>
            <w:tcW w:w="840" w:type="dxa"/>
            <w:vAlign w:val="bottom"/>
          </w:tcPr>
          <w:p>
            <w:pPr>
              <w:jc w:val="right"/>
              <w:ind w:right="32"/>
              <w:spacing w:after="0"/>
              <w:rPr>
                <w:sz w:val="20"/>
                <w:szCs w:val="20"/>
                <w:color w:val="auto"/>
              </w:rPr>
            </w:pPr>
            <w:r>
              <w:rPr>
                <w:rFonts w:ascii="Arial" w:cs="Arial" w:eastAsia="Arial" w:hAnsi="Arial"/>
                <w:sz w:val="14"/>
                <w:szCs w:val="14"/>
                <w:b w:val="1"/>
                <w:bCs w:val="1"/>
                <w:color w:val="auto"/>
              </w:rPr>
              <w:t>2009</w:t>
            </w:r>
          </w:p>
        </w:tc>
      </w:tr>
    </w:tbl>
    <w:p>
      <w:pPr>
        <w:spacing w:after="0" w:line="20" w:lineRule="exact"/>
        <w:rPr>
          <w:sz w:val="20"/>
          <w:szCs w:val="20"/>
          <w:color w:val="auto"/>
        </w:rPr>
      </w:pPr>
      <w:r>
        <w:rPr>
          <w:sz w:val="20"/>
          <w:szCs w:val="20"/>
          <w:color w:val="auto"/>
        </w:rPr>
        <w:br w:type="column"/>
      </w:r>
    </w:p>
    <w:p>
      <w:pPr>
        <w:spacing w:after="0" w:line="148" w:lineRule="exact"/>
        <w:rPr>
          <w:sz w:val="20"/>
          <w:szCs w:val="20"/>
          <w:color w:val="auto"/>
        </w:rPr>
      </w:pPr>
    </w:p>
    <w:p>
      <w:pPr>
        <w:jc w:val="center"/>
        <w:ind w:right="660"/>
        <w:spacing w:after="0"/>
        <w:rPr>
          <w:sz w:val="20"/>
          <w:szCs w:val="20"/>
          <w:color w:val="auto"/>
        </w:rPr>
      </w:pPr>
      <w:r>
        <w:rPr>
          <w:rFonts w:ascii="Arial" w:cs="Arial" w:eastAsia="Arial" w:hAnsi="Arial"/>
          <w:sz w:val="14"/>
          <w:szCs w:val="14"/>
          <w:b w:val="1"/>
          <w:bCs w:val="1"/>
          <w:color w:val="auto"/>
        </w:rPr>
        <w:t>ESPP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0</wp:posOffset>
            </wp:positionV>
            <wp:extent cx="107188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071880" cy="8890"/>
                    </a:xfrm>
                    <a:prstGeom prst="rect">
                      <a:avLst/>
                    </a:prstGeom>
                    <a:noFill/>
                  </pic:spPr>
                </pic:pic>
              </a:graphicData>
            </a:graphic>
          </wp:anchor>
        </w:drawing>
      </w:r>
    </w:p>
    <w:p>
      <w:pPr>
        <w:jc w:val="center"/>
        <w:ind w:right="660"/>
        <w:spacing w:after="0"/>
        <w:rPr>
          <w:sz w:val="20"/>
          <w:szCs w:val="20"/>
          <w:color w:val="auto"/>
        </w:rPr>
      </w:pPr>
      <w:r>
        <w:rPr>
          <w:rFonts w:ascii="Arial" w:cs="Arial" w:eastAsia="Arial" w:hAnsi="Arial"/>
          <w:sz w:val="14"/>
          <w:szCs w:val="14"/>
          <w:b w:val="1"/>
          <w:bCs w:val="1"/>
          <w:color w:val="auto"/>
        </w:rPr>
        <w:t>Three Months Ended</w:t>
      </w:r>
    </w:p>
    <w:tbl>
      <w:tblPr>
        <w:tblLayout w:type="fixed"/>
        <w:tblInd w:w="0" w:type="dxa"/>
        <w:tblCellMar>
          <w:top w:w="0" w:type="dxa"/>
          <w:left w:w="0" w:type="dxa"/>
          <w:bottom w:w="0" w:type="dxa"/>
          <w:right w:w="0" w:type="dxa"/>
        </w:tblCellMar>
      </w:tblPr>
      <w:tr>
        <w:trPr>
          <w:trHeight w:val="129"/>
        </w:trPr>
        <w:tc>
          <w:tcPr>
            <w:tcW w:w="820" w:type="dxa"/>
            <w:vAlign w:val="bottom"/>
            <w:tcBorders>
              <w:top w:val="single" w:sz="8" w:color="auto"/>
            </w:tcBorders>
          </w:tcPr>
          <w:p>
            <w:pPr>
              <w:jc w:val="center"/>
              <w:ind w:right="312"/>
              <w:spacing w:after="0" w:line="129" w:lineRule="exact"/>
              <w:rPr>
                <w:sz w:val="20"/>
                <w:szCs w:val="20"/>
                <w:color w:val="auto"/>
              </w:rPr>
            </w:pPr>
            <w:r>
              <w:rPr>
                <w:rFonts w:ascii="Arial" w:cs="Arial" w:eastAsia="Arial" w:hAnsi="Arial"/>
                <w:sz w:val="14"/>
                <w:szCs w:val="14"/>
                <w:b w:val="1"/>
                <w:bCs w:val="1"/>
                <w:color w:val="auto"/>
                <w:w w:val="93"/>
              </w:rPr>
              <w:t>May 1,</w:t>
            </w:r>
          </w:p>
        </w:tc>
        <w:tc>
          <w:tcPr>
            <w:tcW w:w="860" w:type="dxa"/>
            <w:vAlign w:val="bottom"/>
            <w:tcBorders>
              <w:top w:val="single" w:sz="8" w:color="auto"/>
            </w:tcBorders>
          </w:tcPr>
          <w:p>
            <w:pPr>
              <w:jc w:val="center"/>
              <w:ind w:left="272"/>
              <w:spacing w:after="0" w:line="129" w:lineRule="exact"/>
              <w:rPr>
                <w:sz w:val="20"/>
                <w:szCs w:val="20"/>
                <w:color w:val="auto"/>
              </w:rPr>
            </w:pPr>
            <w:r>
              <w:rPr>
                <w:rFonts w:ascii="Arial" w:cs="Arial" w:eastAsia="Arial" w:hAnsi="Arial"/>
                <w:sz w:val="14"/>
                <w:szCs w:val="14"/>
                <w:b w:val="1"/>
                <w:bCs w:val="1"/>
                <w:color w:val="auto"/>
                <w:w w:val="93"/>
              </w:rPr>
              <w:t>May 2,</w:t>
            </w:r>
          </w:p>
        </w:tc>
      </w:tr>
      <w:tr>
        <w:trPr>
          <w:trHeight w:val="161"/>
        </w:trPr>
        <w:tc>
          <w:tcPr>
            <w:tcW w:w="820" w:type="dxa"/>
            <w:vAlign w:val="bottom"/>
          </w:tcPr>
          <w:p>
            <w:pPr>
              <w:jc w:val="right"/>
              <w:ind w:right="392"/>
              <w:spacing w:after="0"/>
              <w:rPr>
                <w:sz w:val="20"/>
                <w:szCs w:val="20"/>
                <w:color w:val="auto"/>
              </w:rPr>
            </w:pPr>
            <w:r>
              <w:rPr>
                <w:rFonts w:ascii="Arial" w:cs="Arial" w:eastAsia="Arial" w:hAnsi="Arial"/>
                <w:sz w:val="14"/>
                <w:szCs w:val="14"/>
                <w:b w:val="1"/>
                <w:bCs w:val="1"/>
                <w:color w:val="auto"/>
              </w:rPr>
              <w:t>2010</w:t>
            </w:r>
          </w:p>
        </w:tc>
        <w:tc>
          <w:tcPr>
            <w:tcW w:w="860" w:type="dxa"/>
            <w:vAlign w:val="bottom"/>
          </w:tcPr>
          <w:p>
            <w:pPr>
              <w:jc w:val="right"/>
              <w:ind w:right="52"/>
              <w:spacing w:after="0"/>
              <w:rPr>
                <w:sz w:val="20"/>
                <w:szCs w:val="20"/>
                <w:color w:val="auto"/>
              </w:rPr>
            </w:pPr>
            <w:r>
              <w:rPr>
                <w:rFonts w:ascii="Arial" w:cs="Arial" w:eastAsia="Arial" w:hAnsi="Arial"/>
                <w:sz w:val="14"/>
                <w:szCs w:val="14"/>
                <w:b w:val="1"/>
                <w:bCs w:val="1"/>
                <w:color w:val="auto"/>
              </w:rPr>
              <w:t>2009</w:t>
            </w:r>
          </w:p>
        </w:tc>
      </w:tr>
    </w:tbl>
    <w:p>
      <w:pPr>
        <w:spacing w:after="0" w:line="20" w:lineRule="exact"/>
        <w:rPr>
          <w:sz w:val="20"/>
          <w:szCs w:val="20"/>
          <w:color w:val="auto"/>
        </w:rPr>
      </w:pPr>
    </w:p>
    <w:p>
      <w:pPr>
        <w:sectPr>
          <w:pgSz w:w="11900" w:h="16838" w:orient="portrait"/>
          <w:cols w:equalWidth="0" w:num="2">
            <w:col w:w="8360" w:space="720"/>
            <w:col w:w="2320"/>
          </w:cols>
          <w:pgMar w:left="240" w:top="459" w:right="259" w:bottom="1440" w:gutter="0" w:footer="0" w:header="0"/>
          <w:type w:val="continuous"/>
        </w:sectPr>
      </w:pPr>
    </w:p>
    <w:tbl>
      <w:tblPr>
        <w:tblLayout w:type="fixed"/>
        <w:tblInd w:w="460" w:type="dxa"/>
        <w:tblCellMar>
          <w:top w:w="0" w:type="dxa"/>
          <w:left w:w="0" w:type="dxa"/>
          <w:bottom w:w="0" w:type="dxa"/>
          <w:right w:w="0" w:type="dxa"/>
        </w:tblCellMar>
      </w:tblPr>
      <w:tr>
        <w:trPr>
          <w:trHeight w:val="20"/>
        </w:trPr>
        <w:tc>
          <w:tcPr>
            <w:tcW w:w="3980" w:type="dxa"/>
            <w:vAlign w:val="bottom"/>
          </w:tcPr>
          <w:p>
            <w:pPr>
              <w:spacing w:after="0" w:line="20" w:lineRule="exact"/>
              <w:rPr>
                <w:sz w:val="1"/>
                <w:szCs w:val="1"/>
                <w:color w:val="auto"/>
              </w:rPr>
            </w:pPr>
          </w:p>
        </w:tc>
        <w:tc>
          <w:tcPr>
            <w:tcW w:w="224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r>
      <w:tr>
        <w:trPr>
          <w:trHeight w:val="190"/>
        </w:trPr>
        <w:tc>
          <w:tcPr>
            <w:tcW w:w="3980" w:type="dxa"/>
            <w:vAlign w:val="bottom"/>
            <w:shd w:val="clear" w:color="auto" w:fill="CCEEFF"/>
          </w:tcPr>
          <w:p>
            <w:pPr>
              <w:spacing w:after="0" w:line="189" w:lineRule="exact"/>
              <w:rPr>
                <w:sz w:val="20"/>
                <w:szCs w:val="20"/>
                <w:color w:val="auto"/>
              </w:rPr>
            </w:pPr>
            <w:r>
              <w:rPr>
                <w:rFonts w:ascii="Arial" w:cs="Arial" w:eastAsia="Arial" w:hAnsi="Arial"/>
                <w:sz w:val="18"/>
                <w:szCs w:val="18"/>
                <w:color w:val="auto"/>
              </w:rPr>
              <w:t>Estimated fair value</w:t>
            </w:r>
          </w:p>
        </w:tc>
        <w:tc>
          <w:tcPr>
            <w:tcW w:w="2700" w:type="dxa"/>
            <w:vAlign w:val="bottom"/>
            <w:gridSpan w:val="2"/>
            <w:shd w:val="clear" w:color="auto" w:fill="CCEEFF"/>
          </w:tcPr>
          <w:p>
            <w:pPr>
              <w:jc w:val="right"/>
              <w:spacing w:after="0" w:line="189" w:lineRule="exact"/>
              <w:rPr>
                <w:sz w:val="20"/>
                <w:szCs w:val="20"/>
                <w:color w:val="auto"/>
              </w:rPr>
            </w:pPr>
            <w:r>
              <w:rPr>
                <w:rFonts w:ascii="Arial" w:cs="Arial" w:eastAsia="Arial" w:hAnsi="Arial"/>
                <w:sz w:val="18"/>
                <w:szCs w:val="18"/>
                <w:color w:val="auto"/>
              </w:rPr>
              <w:t>$ 9.65</w:t>
            </w:r>
          </w:p>
        </w:tc>
        <w:tc>
          <w:tcPr>
            <w:tcW w:w="440" w:type="dxa"/>
            <w:vAlign w:val="bottom"/>
            <w:shd w:val="clear" w:color="auto" w:fill="CCEEFF"/>
          </w:tcPr>
          <w:p>
            <w:pPr>
              <w:spacing w:after="0"/>
              <w:rPr>
                <w:sz w:val="16"/>
                <w:szCs w:val="16"/>
                <w:color w:val="auto"/>
              </w:rPr>
            </w:pPr>
          </w:p>
        </w:tc>
        <w:tc>
          <w:tcPr>
            <w:tcW w:w="1220" w:type="dxa"/>
            <w:vAlign w:val="bottom"/>
            <w:gridSpan w:val="3"/>
            <w:shd w:val="clear" w:color="auto" w:fill="CCEEFF"/>
          </w:tcPr>
          <w:p>
            <w:pPr>
              <w:jc w:val="right"/>
              <w:ind w:right="440"/>
              <w:spacing w:after="0" w:line="189" w:lineRule="exact"/>
              <w:rPr>
                <w:sz w:val="20"/>
                <w:szCs w:val="20"/>
                <w:color w:val="auto"/>
              </w:rPr>
            </w:pPr>
            <w:r>
              <w:rPr>
                <w:rFonts w:ascii="Arial" w:cs="Arial" w:eastAsia="Arial" w:hAnsi="Arial"/>
                <w:sz w:val="18"/>
                <w:szCs w:val="18"/>
                <w:color w:val="auto"/>
              </w:rPr>
              <w:t>$ 3.90</w:t>
            </w:r>
          </w:p>
        </w:tc>
        <w:tc>
          <w:tcPr>
            <w:tcW w:w="720" w:type="dxa"/>
            <w:vAlign w:val="bottom"/>
            <w:gridSpan w:val="2"/>
            <w:shd w:val="clear" w:color="auto" w:fill="CCEEFF"/>
          </w:tcPr>
          <w:p>
            <w:pPr>
              <w:jc w:val="right"/>
              <w:spacing w:after="0" w:line="189" w:lineRule="exact"/>
              <w:rPr>
                <w:sz w:val="20"/>
                <w:szCs w:val="20"/>
                <w:color w:val="auto"/>
              </w:rPr>
            </w:pPr>
            <w:r>
              <w:rPr>
                <w:rFonts w:ascii="Arial" w:cs="Arial" w:eastAsia="Arial" w:hAnsi="Arial"/>
                <w:sz w:val="18"/>
                <w:szCs w:val="18"/>
                <w:color w:val="auto"/>
              </w:rPr>
              <w:t>$ 4.34</w:t>
            </w:r>
          </w:p>
        </w:tc>
        <w:tc>
          <w:tcPr>
            <w:tcW w:w="740" w:type="dxa"/>
            <w:vAlign w:val="bottom"/>
            <w:shd w:val="clear" w:color="auto" w:fill="CCEEFF"/>
          </w:tcPr>
          <w:p>
            <w:pPr>
              <w:spacing w:after="0"/>
              <w:rPr>
                <w:sz w:val="16"/>
                <w:szCs w:val="16"/>
                <w:color w:val="auto"/>
              </w:rPr>
            </w:pPr>
          </w:p>
        </w:tc>
        <w:tc>
          <w:tcPr>
            <w:tcW w:w="500" w:type="dxa"/>
            <w:vAlign w:val="bottom"/>
            <w:shd w:val="clear" w:color="auto" w:fill="CCEEFF"/>
          </w:tcPr>
          <w:p>
            <w:pPr>
              <w:jc w:val="right"/>
              <w:spacing w:after="0" w:line="189" w:lineRule="exact"/>
              <w:rPr>
                <w:sz w:val="20"/>
                <w:szCs w:val="20"/>
                <w:color w:val="auto"/>
              </w:rPr>
            </w:pPr>
            <w:r>
              <w:rPr>
                <w:rFonts w:ascii="Arial" w:cs="Arial" w:eastAsia="Arial" w:hAnsi="Arial"/>
                <w:sz w:val="18"/>
                <w:szCs w:val="18"/>
                <w:color w:val="auto"/>
                <w:w w:val="95"/>
              </w:rPr>
              <w:t>$ 5.39</w:t>
            </w:r>
          </w:p>
        </w:tc>
        <w:tc>
          <w:tcPr>
            <w:tcW w:w="200" w:type="dxa"/>
            <w:vAlign w:val="bottom"/>
            <w:shd w:val="clear" w:color="auto" w:fill="CCEEFF"/>
          </w:tcPr>
          <w:p>
            <w:pPr>
              <w:spacing w:after="0"/>
              <w:rPr>
                <w:sz w:val="16"/>
                <w:szCs w:val="16"/>
                <w:color w:val="auto"/>
              </w:rPr>
            </w:pPr>
          </w:p>
        </w:tc>
      </w:tr>
      <w:tr>
        <w:trPr>
          <w:trHeight w:val="216"/>
        </w:trPr>
        <w:tc>
          <w:tcPr>
            <w:tcW w:w="3980" w:type="dxa"/>
            <w:vAlign w:val="bottom"/>
          </w:tcPr>
          <w:p>
            <w:pPr>
              <w:spacing w:after="0"/>
              <w:rPr>
                <w:sz w:val="20"/>
                <w:szCs w:val="20"/>
                <w:color w:val="auto"/>
              </w:rPr>
            </w:pPr>
            <w:r>
              <w:rPr>
                <w:rFonts w:ascii="Arial" w:cs="Arial" w:eastAsia="Arial" w:hAnsi="Arial"/>
                <w:sz w:val="18"/>
                <w:szCs w:val="18"/>
                <w:color w:val="auto"/>
              </w:rPr>
              <w:t>Volatility</w:t>
            </w:r>
          </w:p>
        </w:tc>
        <w:tc>
          <w:tcPr>
            <w:tcW w:w="3140" w:type="dxa"/>
            <w:vAlign w:val="bottom"/>
            <w:gridSpan w:val="3"/>
          </w:tcPr>
          <w:p>
            <w:pPr>
              <w:jc w:val="right"/>
              <w:ind w:right="300"/>
              <w:spacing w:after="0"/>
              <w:rPr>
                <w:sz w:val="20"/>
                <w:szCs w:val="20"/>
                <w:color w:val="auto"/>
              </w:rPr>
            </w:pPr>
            <w:r>
              <w:rPr>
                <w:rFonts w:ascii="Arial" w:cs="Arial" w:eastAsia="Arial" w:hAnsi="Arial"/>
                <w:sz w:val="18"/>
                <w:szCs w:val="18"/>
                <w:color w:val="auto"/>
              </w:rPr>
              <w:t>53%</w:t>
            </w:r>
          </w:p>
        </w:tc>
        <w:tc>
          <w:tcPr>
            <w:tcW w:w="1220" w:type="dxa"/>
            <w:vAlign w:val="bottom"/>
            <w:gridSpan w:val="3"/>
          </w:tcPr>
          <w:p>
            <w:pPr>
              <w:jc w:val="right"/>
              <w:ind w:right="280"/>
              <w:spacing w:after="0"/>
              <w:rPr>
                <w:sz w:val="20"/>
                <w:szCs w:val="20"/>
                <w:color w:val="auto"/>
              </w:rPr>
            </w:pPr>
            <w:r>
              <w:rPr>
                <w:rFonts w:ascii="Arial" w:cs="Arial" w:eastAsia="Arial" w:hAnsi="Arial"/>
                <w:sz w:val="18"/>
                <w:szCs w:val="18"/>
                <w:color w:val="auto"/>
              </w:rPr>
              <w:t>51%</w:t>
            </w:r>
          </w:p>
        </w:tc>
        <w:tc>
          <w:tcPr>
            <w:tcW w:w="1460" w:type="dxa"/>
            <w:vAlign w:val="bottom"/>
            <w:gridSpan w:val="3"/>
          </w:tcPr>
          <w:p>
            <w:pPr>
              <w:jc w:val="right"/>
              <w:ind w:right="580"/>
              <w:spacing w:after="0"/>
              <w:rPr>
                <w:sz w:val="20"/>
                <w:szCs w:val="20"/>
                <w:color w:val="auto"/>
              </w:rPr>
            </w:pPr>
            <w:r>
              <w:rPr>
                <w:rFonts w:ascii="Arial" w:cs="Arial" w:eastAsia="Arial" w:hAnsi="Arial"/>
                <w:sz w:val="18"/>
                <w:szCs w:val="18"/>
                <w:color w:val="auto"/>
              </w:rPr>
              <w:t>51%</w:t>
            </w: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rPr>
              <w:t>45%</w:t>
            </w:r>
          </w:p>
        </w:tc>
      </w:tr>
      <w:tr>
        <w:trPr>
          <w:trHeight w:val="216"/>
        </w:trPr>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Expected term (in years)</w:t>
            </w:r>
          </w:p>
        </w:tc>
        <w:tc>
          <w:tcPr>
            <w:tcW w:w="2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440" w:type="dxa"/>
            <w:vAlign w:val="bottom"/>
            <w:shd w:val="clear" w:color="auto" w:fill="CCEEFF"/>
          </w:tcPr>
          <w:p>
            <w:pPr>
              <w:spacing w:after="0"/>
              <w:rPr>
                <w:sz w:val="18"/>
                <w:szCs w:val="18"/>
                <w:color w:val="auto"/>
              </w:rPr>
            </w:pPr>
          </w:p>
        </w:tc>
        <w:tc>
          <w:tcPr>
            <w:tcW w:w="122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4.6</w:t>
            </w: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74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200" w:type="dxa"/>
            <w:vAlign w:val="bottom"/>
            <w:shd w:val="clear" w:color="auto" w:fill="CCEEFF"/>
          </w:tcPr>
          <w:p>
            <w:pPr>
              <w:spacing w:after="0"/>
              <w:rPr>
                <w:sz w:val="18"/>
                <w:szCs w:val="18"/>
                <w:color w:val="auto"/>
              </w:rPr>
            </w:pPr>
          </w:p>
        </w:tc>
      </w:tr>
      <w:tr>
        <w:trPr>
          <w:trHeight w:val="216"/>
        </w:trPr>
        <w:tc>
          <w:tcPr>
            <w:tcW w:w="3980" w:type="dxa"/>
            <w:vAlign w:val="bottom"/>
          </w:tcPr>
          <w:p>
            <w:pPr>
              <w:spacing w:after="0"/>
              <w:rPr>
                <w:sz w:val="20"/>
                <w:szCs w:val="20"/>
                <w:color w:val="auto"/>
              </w:rPr>
            </w:pPr>
            <w:r>
              <w:rPr>
                <w:rFonts w:ascii="Arial" w:cs="Arial" w:eastAsia="Arial" w:hAnsi="Arial"/>
                <w:sz w:val="18"/>
                <w:szCs w:val="18"/>
                <w:color w:val="auto"/>
              </w:rPr>
              <w:t>Risk-free interest rate</w:t>
            </w:r>
          </w:p>
        </w:tc>
        <w:tc>
          <w:tcPr>
            <w:tcW w:w="3140" w:type="dxa"/>
            <w:vAlign w:val="bottom"/>
            <w:gridSpan w:val="3"/>
          </w:tcPr>
          <w:p>
            <w:pPr>
              <w:jc w:val="right"/>
              <w:ind w:right="300"/>
              <w:spacing w:after="0"/>
              <w:rPr>
                <w:sz w:val="20"/>
                <w:szCs w:val="20"/>
                <w:color w:val="auto"/>
              </w:rPr>
            </w:pPr>
            <w:r>
              <w:rPr>
                <w:rFonts w:ascii="Arial" w:cs="Arial" w:eastAsia="Arial" w:hAnsi="Arial"/>
                <w:sz w:val="18"/>
                <w:szCs w:val="18"/>
                <w:color w:val="auto"/>
              </w:rPr>
              <w:t>2.2%</w:t>
            </w:r>
          </w:p>
        </w:tc>
        <w:tc>
          <w:tcPr>
            <w:tcW w:w="1220" w:type="dxa"/>
            <w:vAlign w:val="bottom"/>
            <w:gridSpan w:val="3"/>
          </w:tcPr>
          <w:p>
            <w:pPr>
              <w:jc w:val="right"/>
              <w:ind w:right="280"/>
              <w:spacing w:after="0"/>
              <w:rPr>
                <w:sz w:val="20"/>
                <w:szCs w:val="20"/>
                <w:color w:val="auto"/>
              </w:rPr>
            </w:pPr>
            <w:r>
              <w:rPr>
                <w:rFonts w:ascii="Arial" w:cs="Arial" w:eastAsia="Arial" w:hAnsi="Arial"/>
                <w:sz w:val="18"/>
                <w:szCs w:val="18"/>
                <w:color w:val="auto"/>
              </w:rPr>
              <w:t>1.7%</w:t>
            </w:r>
          </w:p>
        </w:tc>
        <w:tc>
          <w:tcPr>
            <w:tcW w:w="1460" w:type="dxa"/>
            <w:vAlign w:val="bottom"/>
            <w:gridSpan w:val="3"/>
          </w:tcPr>
          <w:p>
            <w:pPr>
              <w:jc w:val="right"/>
              <w:ind w:right="580"/>
              <w:spacing w:after="0"/>
              <w:rPr>
                <w:sz w:val="20"/>
                <w:szCs w:val="20"/>
                <w:color w:val="auto"/>
              </w:rPr>
            </w:pPr>
            <w:r>
              <w:rPr>
                <w:rFonts w:ascii="Arial" w:cs="Arial" w:eastAsia="Arial" w:hAnsi="Arial"/>
                <w:sz w:val="18"/>
                <w:szCs w:val="18"/>
                <w:color w:val="auto"/>
              </w:rPr>
              <w:t>0.6%</w:t>
            </w: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rPr>
              <w:t>1.8%</w:t>
            </w:r>
          </w:p>
        </w:tc>
      </w:tr>
      <w:tr>
        <w:trPr>
          <w:trHeight w:val="216"/>
        </w:trPr>
        <w:tc>
          <w:tcPr>
            <w:tcW w:w="3980" w:type="dxa"/>
            <w:vAlign w:val="bottom"/>
            <w:shd w:val="clear" w:color="auto" w:fill="CCEEFF"/>
          </w:tcPr>
          <w:p>
            <w:pPr>
              <w:spacing w:after="0"/>
              <w:rPr>
                <w:sz w:val="20"/>
                <w:szCs w:val="20"/>
                <w:color w:val="auto"/>
              </w:rPr>
            </w:pPr>
            <w:r>
              <w:rPr>
                <w:rFonts w:ascii="Arial" w:cs="Arial" w:eastAsia="Arial" w:hAnsi="Arial"/>
                <w:sz w:val="18"/>
                <w:szCs w:val="18"/>
                <w:color w:val="auto"/>
              </w:rPr>
              <w:t>Dividend yield</w:t>
            </w:r>
          </w:p>
        </w:tc>
        <w:tc>
          <w:tcPr>
            <w:tcW w:w="224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82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r>
    </w:tbl>
    <w:p>
      <w:pPr>
        <w:spacing w:after="0" w:line="154"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color w:val="auto"/>
        </w:rPr>
        <w:t>The Company established the expected term for employee options and awards, as well as expected forfeiture rates, based on the historical settlement experience and after giving consideration to vesting schedules. Expected volatility was developed based on the average of the Company’s historical daily stock price volatility. The risk-free interest rate assumption is based on observed interest rates appropriate for the expected terms of the Company’s stock options. Forfeitures were estimated at the time of grant and revised, if necessary, in subsequent periods if actual forfeitures differ from initial estimates.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Shareholders’ Equity</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Stock plans</w:t>
      </w:r>
    </w:p>
    <w:p>
      <w:pPr>
        <w:spacing w:after="0" w:line="90"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In April 1995, the Company adopted the 1995 Stock Option Plan (the “Option Plan”). The Option Plan, as amended, had 383.4 million common shares reserved for issuance thereunder as of May 1, 2010. 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generally vest 20% one year after the vesting commencement date, and the remaining shares vest one-sixtieth per month over the remaining 48 months. Options granted under the Option Plan subsequent to March 1, 2000 may only be exercised upon or after vesting.</w:t>
      </w:r>
    </w:p>
    <w:p>
      <w:pPr>
        <w:spacing w:after="0" w:line="118" w:lineRule="exact"/>
        <w:rPr>
          <w:sz w:val="20"/>
          <w:szCs w:val="20"/>
          <w:color w:val="auto"/>
        </w:rPr>
      </w:pPr>
    </w:p>
    <w:p>
      <w:pPr>
        <w:ind w:right="220" w:firstLine="456"/>
        <w:spacing w:after="0" w:line="291" w:lineRule="auto"/>
        <w:rPr>
          <w:sz w:val="20"/>
          <w:szCs w:val="20"/>
          <w:color w:val="auto"/>
        </w:rPr>
      </w:pPr>
      <w:r>
        <w:rPr>
          <w:rFonts w:ascii="Arial" w:cs="Arial" w:eastAsia="Arial" w:hAnsi="Arial"/>
          <w:sz w:val="16"/>
          <w:szCs w:val="16"/>
          <w:color w:val="auto"/>
        </w:rPr>
        <w:t>In August 1997, the Company adopted the 1997 Directors’ Stock Option Plan (the “1997 Directors’ Plan”). Under the 1997 Directors’ Plan, an outside director was granted an option to purchase 30,000 common shares upon appointment to the Company’s Board of Directors. These options vested 20% one year after the vesting commencement date and remaining shares vest one-sixtieth per month over the remaining 48 months. An outside director was also granted an option to purchase 6,000 common shares on the date of each annual meeting of the shareholders. These options vested one-twelfth per month over 12 months after the fourth anniversary of the vesting commencement date. Options granted under the 1997 Directors’ Plan could be exercised prior to vesting. The 1997 Directors’ Plan was terminated in October 2007.</w:t>
      </w:r>
    </w:p>
    <w:p>
      <w:pPr>
        <w:spacing w:after="0" w:line="120"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In October 2007, the Company adopted the 2007 Directors’ Stock Incentive Plan (the “2007 Directors’ Plan”). The 2007 Directors’ Plan had 750,000 common shares reserved for issuance thereunder as of May 1, 2010. Under the 2007 Directors’ Plan, an outside director is granted an option to purchase 50,000 common shares upon appointment to the Company’s Board of Directors. These options vest one-third on the one year anniversary of the date of grant and one-third of the shares on each anniversary thereafter. An outside director who has served on the Company’s Board of Directors for the prior six months is also granted an option to purchase 12,000 common shares on the date of each annual meeting of the Company’s shareholders. These options vest 100% on the earlier of the date of the next annual general meeting of shareholders or the one year anniversary of the date of grant.</w:t>
      </w:r>
    </w:p>
    <w:p>
      <w:pPr>
        <w:spacing w:after="0" w:line="120"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Under the Option Plan and the 2007 Directors’ Plan, the Company may also grant restricted stock awards, which may be subject to vesting, and stock unit awards, which are denominated in shares of stock, but may be settled in cash or tradable shares of the Company’s common shares upon vesting, as determined by the Company at the time of grant.</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90" w:lineRule="exact"/>
        <w:rPr>
          <w:sz w:val="20"/>
          <w:szCs w:val="20"/>
          <w:color w:val="auto"/>
        </w:rPr>
      </w:pPr>
    </w:p>
    <w:p>
      <w:pPr>
        <w:ind w:firstLine="395"/>
        <w:spacing w:after="0" w:line="286" w:lineRule="auto"/>
        <w:rPr>
          <w:sz w:val="20"/>
          <w:szCs w:val="20"/>
          <w:color w:val="auto"/>
        </w:rPr>
      </w:pPr>
      <w:r>
        <w:rPr>
          <w:rFonts w:ascii="Arial" w:cs="Arial" w:eastAsia="Arial" w:hAnsi="Arial"/>
          <w:sz w:val="16"/>
          <w:szCs w:val="16"/>
          <w:color w:val="auto"/>
        </w:rPr>
        <w:t>In June 2000, the Company adopted the 2000 Employee Stock Purchase Plan (the “Purchase Plan”), and on October 22, 2009, the Purchase Plan was amended and restated (the “Restated Purchase Plan”). The Restated Purchase Plan had 34.1 million common shares reserved for issuance thereunder as of May 1, 2010. Pursuant to the terms of the Restated Purchase Plan, the “look-back” period for the stock purchase price was changed from 24 months to six months. This change was effective for new participants who enroll in the Restated Purchase Plan in December 2009 and is applicable for each successive offering period thereafter. Offering and purchase periods will continue to begin on December 8 and June 8 of each year. New participants will be granted the right to purchase common shares at a price per share that is 85% of the lesser of the fair market value of the Company’s common shares at the beginning or the end of each six-month period. The existing two-year offering periods will be phased out and any currently enrolled participant in a current 24-month offering period will continue in the current offering period until the earlier of the end of the offering period or in the event the current offering period is reset. A reset occurs if the fair market value of Marvell common shares on any purchase date is less than it was on the first day of the offering period. Currently enrolled participants were granted the right to purchase common shares at a price per share that is 85% of the lesser of the fair market value of the shares at (i) the participant’s entry date into the two-year offering period or (ii) the end of each six-month purchase period within the offering period.</w:t>
      </w:r>
    </w:p>
    <w:p>
      <w:pPr>
        <w:sectPr>
          <w:pgSz w:w="11900" w:h="16838" w:orient="portrait"/>
          <w:cols w:equalWidth="0" w:num="1">
            <w:col w:w="11400"/>
          </w:cols>
          <w:pgMar w:left="240" w:top="459" w:right="259" w:bottom="1440" w:gutter="0" w:footer="0" w:header="0"/>
          <w:type w:val="continuous"/>
        </w:sectPr>
      </w:pP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22</w:t>
      </w:r>
    </w:p>
    <w:p>
      <w:pPr>
        <w:sectPr>
          <w:pgSz w:w="11900" w:h="16838" w:orient="portrait"/>
          <w:cols w:equalWidth="0" w:num="1">
            <w:col w:w="11400"/>
          </w:cols>
          <w:pgMar w:left="240" w:top="459" w:right="259" w:bottom="1440" w:gutter="0" w:footer="0" w:header="0"/>
          <w:type w:val="continuous"/>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Participants who will enroll under the Restated Purchase Plan will no longer be subject to a share limitation on the number of shares that may be purchased in the event that the market price of Company’s common shares decreases by more than 25% from one purchase date to the next. Participants may purchase no more than 7,500 shares per six-month offering period. Participants purchase stock using payroll deductions, which may not exceed 15% of their total cash compensation.</w:t>
      </w:r>
    </w:p>
    <w:p>
      <w:pPr>
        <w:spacing w:after="0" w:line="143" w:lineRule="exact"/>
        <w:rPr>
          <w:sz w:val="20"/>
          <w:szCs w:val="20"/>
          <w:color w:val="auto"/>
        </w:rPr>
      </w:pPr>
    </w:p>
    <w:p>
      <w:pPr>
        <w:ind w:right="340" w:firstLine="456"/>
        <w:spacing w:after="0" w:line="259" w:lineRule="auto"/>
        <w:rPr>
          <w:sz w:val="20"/>
          <w:szCs w:val="20"/>
          <w:color w:val="auto"/>
        </w:rPr>
      </w:pPr>
      <w:r>
        <w:rPr>
          <w:rFonts w:ascii="Arial" w:cs="Arial" w:eastAsia="Arial" w:hAnsi="Arial"/>
          <w:sz w:val="18"/>
          <w:szCs w:val="18"/>
          <w:color w:val="auto"/>
        </w:rPr>
        <w:t>For the three months ended May 1, 2010, the Company recognized $4.8 million stock-based compensation expense related to the activity under the Restated Purchase Plan. The Company did not issue any shares under the Restated Purchase Plan in the three months ended May 1, 2010. As of May 1, 2010, there was $5.7 million of unrecognized compensation cost related to the Restated Purchase Plan.</w:t>
      </w:r>
    </w:p>
    <w:p>
      <w:pPr>
        <w:spacing w:after="0" w:line="14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Stock option activity under the Company’s stock option plans for the three months ended May 1, 2010 is summarized below (in thousands, except per share amounts):</w:t>
      </w:r>
    </w:p>
    <w:p>
      <w:pPr>
        <w:spacing w:after="0" w:line="156"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8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1160" w:type="dxa"/>
            <w:vAlign w:val="bottom"/>
            <w:gridSpan w:val="2"/>
          </w:tcPr>
          <w:p>
            <w:pPr>
              <w:jc w:val="right"/>
              <w:ind w:right="580"/>
              <w:spacing w:after="0"/>
              <w:rPr>
                <w:sz w:val="20"/>
                <w:szCs w:val="20"/>
                <w:color w:val="auto"/>
              </w:rPr>
            </w:pPr>
            <w:r>
              <w:rPr>
                <w:rFonts w:ascii="Arial" w:cs="Arial" w:eastAsia="Arial" w:hAnsi="Arial"/>
                <w:sz w:val="14"/>
                <w:szCs w:val="14"/>
                <w:b w:val="1"/>
                <w:bCs w:val="1"/>
                <w:color w:val="auto"/>
              </w:rPr>
              <w:t>Options</w:t>
            </w:r>
          </w:p>
        </w:tc>
        <w:tc>
          <w:tcPr>
            <w:tcW w:w="1460" w:type="dxa"/>
            <w:vAlign w:val="bottom"/>
            <w:gridSpan w:val="3"/>
          </w:tcPr>
          <w:p>
            <w:pPr>
              <w:ind w:left="400"/>
              <w:spacing w:after="0"/>
              <w:rPr>
                <w:sz w:val="20"/>
                <w:szCs w:val="20"/>
                <w:color w:val="auto"/>
              </w:rPr>
            </w:pPr>
            <w:r>
              <w:rPr>
                <w:rFonts w:ascii="Arial" w:cs="Arial" w:eastAsia="Arial" w:hAnsi="Arial"/>
                <w:sz w:val="14"/>
                <w:szCs w:val="14"/>
                <w:b w:val="1"/>
                <w:bCs w:val="1"/>
                <w:color w:val="auto"/>
                <w:w w:val="85"/>
              </w:rPr>
              <w:t>Weighted Average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80" w:type="dxa"/>
            <w:vAlign w:val="bottom"/>
          </w:tcPr>
          <w:p>
            <w:pPr>
              <w:spacing w:after="0"/>
              <w:rPr>
                <w:sz w:val="14"/>
                <w:szCs w:val="14"/>
                <w:color w:val="auto"/>
              </w:rPr>
            </w:pPr>
          </w:p>
        </w:tc>
        <w:tc>
          <w:tcPr>
            <w:tcW w:w="2720" w:type="dxa"/>
            <w:vAlign w:val="bottom"/>
            <w:gridSpan w:val="3"/>
          </w:tcPr>
          <w:p>
            <w:pPr>
              <w:jc w:val="right"/>
              <w:ind w:right="440"/>
              <w:spacing w:after="0"/>
              <w:rPr>
                <w:sz w:val="20"/>
                <w:szCs w:val="20"/>
                <w:color w:val="auto"/>
              </w:rPr>
            </w:pPr>
            <w:r>
              <w:rPr>
                <w:rFonts w:ascii="Arial" w:cs="Arial" w:eastAsia="Arial" w:hAnsi="Arial"/>
                <w:sz w:val="14"/>
                <w:szCs w:val="14"/>
                <w:b w:val="1"/>
                <w:bCs w:val="1"/>
                <w:color w:val="auto"/>
              </w:rPr>
              <w:t>Outstanding</w:t>
            </w: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tcPr>
          <w:p>
            <w:pPr>
              <w:jc w:val="right"/>
              <w:ind w:right="35"/>
              <w:spacing w:after="0"/>
              <w:rPr>
                <w:sz w:val="20"/>
                <w:szCs w:val="20"/>
                <w:color w:val="auto"/>
              </w:rPr>
            </w:pPr>
            <w:r>
              <w:rPr>
                <w:rFonts w:ascii="Arial" w:cs="Arial" w:eastAsia="Arial" w:hAnsi="Arial"/>
                <w:sz w:val="14"/>
                <w:szCs w:val="14"/>
                <w:b w:val="1"/>
                <w:bCs w:val="1"/>
                <w:color w:val="auto"/>
                <w:w w:val="85"/>
              </w:rPr>
              <w:t>Exercise Price</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9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48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30, 2010</w:t>
            </w:r>
          </w:p>
        </w:tc>
        <w:tc>
          <w:tcPr>
            <w:tcW w:w="156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70,966</w:t>
            </w:r>
          </w:p>
        </w:tc>
        <w:tc>
          <w:tcPr>
            <w:tcW w:w="440" w:type="dxa"/>
            <w:vAlign w:val="bottom"/>
            <w:shd w:val="clear" w:color="auto" w:fill="CCEEFF"/>
          </w:tcPr>
          <w:p>
            <w:pPr>
              <w:spacing w:after="0"/>
              <w:rPr>
                <w:sz w:val="18"/>
                <w:szCs w:val="18"/>
                <w:color w:val="auto"/>
              </w:rPr>
            </w:pPr>
          </w:p>
        </w:tc>
        <w:tc>
          <w:tcPr>
            <w:tcW w:w="5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ind w:left="420"/>
              <w:spacing w:after="0"/>
              <w:rPr>
                <w:sz w:val="20"/>
                <w:szCs w:val="20"/>
                <w:color w:val="auto"/>
              </w:rPr>
            </w:pPr>
            <w:r>
              <w:rPr>
                <w:rFonts w:ascii="Arial" w:cs="Arial" w:eastAsia="Arial" w:hAnsi="Arial"/>
                <w:sz w:val="18"/>
                <w:szCs w:val="18"/>
                <w:color w:val="auto"/>
              </w:rPr>
              <w:t>Granted</w:t>
            </w:r>
          </w:p>
        </w:tc>
        <w:tc>
          <w:tcPr>
            <w:tcW w:w="2280" w:type="dxa"/>
            <w:vAlign w:val="bottom"/>
            <w:gridSpan w:val="2"/>
          </w:tcPr>
          <w:p>
            <w:pPr>
              <w:jc w:val="right"/>
              <w:spacing w:after="0"/>
              <w:rPr>
                <w:sz w:val="20"/>
                <w:szCs w:val="20"/>
                <w:color w:val="auto"/>
              </w:rPr>
            </w:pPr>
            <w:r>
              <w:rPr>
                <w:rFonts w:ascii="Arial" w:cs="Arial" w:eastAsia="Arial" w:hAnsi="Arial"/>
                <w:sz w:val="18"/>
                <w:szCs w:val="18"/>
                <w:color w:val="auto"/>
              </w:rPr>
              <w:t>1,470</w:t>
            </w:r>
          </w:p>
        </w:tc>
        <w:tc>
          <w:tcPr>
            <w:tcW w:w="440" w:type="dxa"/>
            <w:vAlign w:val="bottom"/>
          </w:tcPr>
          <w:p>
            <w:pPr>
              <w:spacing w:after="0"/>
              <w:rPr>
                <w:sz w:val="18"/>
                <w:szCs w:val="18"/>
                <w:color w:val="auto"/>
              </w:rPr>
            </w:pPr>
          </w:p>
        </w:tc>
        <w:tc>
          <w:tcPr>
            <w:tcW w:w="500" w:type="dxa"/>
            <w:vAlign w:val="bottom"/>
            <w:gridSpan w:val="2"/>
          </w:tcPr>
          <w:p>
            <w:pPr>
              <w:ind w:left="400"/>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20.87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Canceled/Forfeited/Expired</w:t>
            </w:r>
          </w:p>
        </w:tc>
        <w:tc>
          <w:tcPr>
            <w:tcW w:w="272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(1,439)</w:t>
            </w:r>
          </w:p>
        </w:tc>
        <w:tc>
          <w:tcPr>
            <w:tcW w:w="5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22.27</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480" w:type="dxa"/>
            <w:vAlign w:val="bottom"/>
          </w:tcPr>
          <w:p>
            <w:pPr>
              <w:ind w:left="420"/>
              <w:spacing w:after="0"/>
              <w:rPr>
                <w:sz w:val="20"/>
                <w:szCs w:val="20"/>
                <w:color w:val="auto"/>
              </w:rPr>
            </w:pPr>
            <w:r>
              <w:rPr>
                <w:rFonts w:ascii="Arial" w:cs="Arial" w:eastAsia="Arial" w:hAnsi="Arial"/>
                <w:sz w:val="18"/>
                <w:szCs w:val="18"/>
                <w:color w:val="auto"/>
              </w:rPr>
              <w:t>Exercised or issued</w:t>
            </w:r>
          </w:p>
        </w:tc>
        <w:tc>
          <w:tcPr>
            <w:tcW w:w="1560" w:type="dxa"/>
            <w:vAlign w:val="bottom"/>
          </w:tcPr>
          <w:p>
            <w:pPr>
              <w:spacing w:after="0"/>
              <w:rPr>
                <w:sz w:val="19"/>
                <w:szCs w:val="19"/>
                <w:color w:val="auto"/>
              </w:rPr>
            </w:pPr>
          </w:p>
        </w:tc>
        <w:tc>
          <w:tcPr>
            <w:tcW w:w="1160" w:type="dxa"/>
            <w:vAlign w:val="bottom"/>
            <w:gridSpan w:val="2"/>
          </w:tcPr>
          <w:p>
            <w:pPr>
              <w:jc w:val="right"/>
              <w:ind w:right="380"/>
              <w:spacing w:after="0"/>
              <w:rPr>
                <w:sz w:val="20"/>
                <w:szCs w:val="20"/>
                <w:color w:val="auto"/>
              </w:rPr>
            </w:pPr>
            <w:r>
              <w:rPr>
                <w:rFonts w:ascii="Arial" w:cs="Arial" w:eastAsia="Arial" w:hAnsi="Arial"/>
                <w:sz w:val="18"/>
                <w:szCs w:val="18"/>
                <w:color w:val="auto"/>
              </w:rPr>
              <w:t>(5,777)</w:t>
            </w:r>
          </w:p>
        </w:tc>
        <w:tc>
          <w:tcPr>
            <w:tcW w:w="500" w:type="dxa"/>
            <w:vAlign w:val="bottom"/>
            <w:gridSpan w:val="2"/>
          </w:tcPr>
          <w:p>
            <w:pPr>
              <w:ind w:left="400"/>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8.92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CCEEFF"/>
          </w:tcPr>
          <w:p>
            <w:pPr>
              <w:spacing w:after="0"/>
              <w:rPr>
                <w:sz w:val="20"/>
                <w:szCs w:val="20"/>
                <w:color w:val="auto"/>
              </w:rPr>
            </w:pPr>
            <w:r>
              <w:rPr>
                <w:rFonts w:ascii="Arial" w:cs="Arial" w:eastAsia="Arial" w:hAnsi="Arial"/>
                <w:sz w:val="18"/>
                <w:szCs w:val="18"/>
                <w:color w:val="auto"/>
              </w:rPr>
              <w:t>Balance at May 1, 2010</w:t>
            </w:r>
          </w:p>
        </w:tc>
        <w:tc>
          <w:tcPr>
            <w:tcW w:w="1560" w:type="dxa"/>
            <w:vAlign w:val="bottom"/>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65,220</w:t>
            </w:r>
          </w:p>
        </w:tc>
        <w:tc>
          <w:tcPr>
            <w:tcW w:w="440" w:type="dxa"/>
            <w:vAlign w:val="bottom"/>
            <w:shd w:val="clear" w:color="auto" w:fill="CCEEFF"/>
          </w:tcPr>
          <w:p>
            <w:pPr>
              <w:spacing w:after="0"/>
              <w:rPr>
                <w:sz w:val="18"/>
                <w:szCs w:val="18"/>
                <w:color w:val="auto"/>
              </w:rPr>
            </w:pPr>
          </w:p>
        </w:tc>
        <w:tc>
          <w:tcPr>
            <w:tcW w:w="5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11.47</w:t>
            </w:r>
          </w:p>
        </w:tc>
        <w:tc>
          <w:tcPr>
            <w:tcW w:w="0" w:type="dxa"/>
            <w:vAlign w:val="bottom"/>
          </w:tcPr>
          <w:p>
            <w:pPr>
              <w:spacing w:after="0"/>
              <w:rPr>
                <w:sz w:val="1"/>
                <w:szCs w:val="1"/>
                <w:color w:val="auto"/>
              </w:rPr>
            </w:pPr>
          </w:p>
        </w:tc>
      </w:tr>
      <w:tr>
        <w:trPr>
          <w:trHeight w:val="20"/>
        </w:trPr>
        <w:tc>
          <w:tcPr>
            <w:tcW w:w="450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May 1, 2010</w:t>
            </w:r>
          </w:p>
        </w:tc>
        <w:tc>
          <w:tcPr>
            <w:tcW w:w="156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00" w:type="dxa"/>
            <w:vAlign w:val="bottom"/>
            <w:gridSpan w:val="2"/>
            <w:vMerge w:val="restart"/>
          </w:tcPr>
          <w:p>
            <w:pPr>
              <w:ind w:left="400"/>
              <w:spacing w:after="0"/>
              <w:rPr>
                <w:sz w:val="20"/>
                <w:szCs w:val="20"/>
                <w:color w:val="auto"/>
              </w:rPr>
            </w:pPr>
            <w:r>
              <w:rPr>
                <w:rFonts w:ascii="Arial" w:cs="Arial" w:eastAsia="Arial" w:hAnsi="Arial"/>
                <w:sz w:val="18"/>
                <w:szCs w:val="18"/>
                <w:color w:val="auto"/>
                <w:w w:val="79"/>
              </w:rPr>
              <w:t>$</w:t>
            </w:r>
          </w:p>
        </w:tc>
        <w:tc>
          <w:tcPr>
            <w:tcW w:w="960" w:type="dxa"/>
            <w:vAlign w:val="bottom"/>
            <w:vMerge w:val="restart"/>
          </w:tcPr>
          <w:p>
            <w:pPr>
              <w:jc w:val="right"/>
              <w:spacing w:after="0"/>
              <w:rPr>
                <w:sz w:val="20"/>
                <w:szCs w:val="20"/>
                <w:color w:val="auto"/>
              </w:rPr>
            </w:pPr>
            <w:r>
              <w:rPr>
                <w:rFonts w:ascii="Arial" w:cs="Arial" w:eastAsia="Arial" w:hAnsi="Arial"/>
                <w:sz w:val="18"/>
                <w:szCs w:val="18"/>
                <w:color w:val="auto"/>
              </w:rPr>
              <w:t>11.47</w:t>
            </w:r>
          </w:p>
        </w:tc>
        <w:tc>
          <w:tcPr>
            <w:tcW w:w="0" w:type="dxa"/>
            <w:vAlign w:val="bottom"/>
          </w:tcPr>
          <w:p>
            <w:pPr>
              <w:spacing w:after="0" w:line="20" w:lineRule="exact"/>
              <w:rPr>
                <w:sz w:val="1"/>
                <w:szCs w:val="1"/>
                <w:color w:val="auto"/>
              </w:rPr>
            </w:pPr>
          </w:p>
        </w:tc>
      </w:tr>
      <w:tr>
        <w:trPr>
          <w:trHeight w:val="209"/>
        </w:trPr>
        <w:tc>
          <w:tcPr>
            <w:tcW w:w="4500" w:type="dxa"/>
            <w:vAlign w:val="bottom"/>
            <w:gridSpan w:val="2"/>
            <w:vMerge w:val="continue"/>
          </w:tcPr>
          <w:p>
            <w:pPr>
              <w:spacing w:after="0"/>
              <w:rPr>
                <w:sz w:val="18"/>
                <w:szCs w:val="18"/>
                <w:color w:val="auto"/>
              </w:rPr>
            </w:pPr>
          </w:p>
        </w:tc>
        <w:tc>
          <w:tcPr>
            <w:tcW w:w="2280" w:type="dxa"/>
            <w:vAlign w:val="bottom"/>
            <w:gridSpan w:val="2"/>
          </w:tcPr>
          <w:p>
            <w:pPr>
              <w:jc w:val="right"/>
              <w:spacing w:after="0"/>
              <w:rPr>
                <w:sz w:val="20"/>
                <w:szCs w:val="20"/>
                <w:color w:val="auto"/>
              </w:rPr>
            </w:pPr>
            <w:r>
              <w:rPr>
                <w:rFonts w:ascii="Arial" w:cs="Arial" w:eastAsia="Arial" w:hAnsi="Arial"/>
                <w:sz w:val="18"/>
                <w:szCs w:val="18"/>
                <w:color w:val="auto"/>
              </w:rPr>
              <w:t>62,926</w:t>
            </w:r>
          </w:p>
        </w:tc>
        <w:tc>
          <w:tcPr>
            <w:tcW w:w="440" w:type="dxa"/>
            <w:vAlign w:val="bottom"/>
          </w:tcPr>
          <w:p>
            <w:pPr>
              <w:spacing w:after="0"/>
              <w:rPr>
                <w:sz w:val="18"/>
                <w:szCs w:val="18"/>
                <w:color w:val="auto"/>
              </w:rPr>
            </w:pPr>
          </w:p>
        </w:tc>
        <w:tc>
          <w:tcPr>
            <w:tcW w:w="500" w:type="dxa"/>
            <w:vAlign w:val="bottom"/>
            <w:gridSpan w:val="2"/>
            <w:vMerge w:val="continue"/>
          </w:tcPr>
          <w:p>
            <w:pPr>
              <w:spacing w:after="0"/>
              <w:rPr>
                <w:sz w:val="18"/>
                <w:szCs w:val="18"/>
                <w:color w:val="auto"/>
              </w:rPr>
            </w:pPr>
          </w:p>
        </w:tc>
        <w:tc>
          <w:tcPr>
            <w:tcW w:w="96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8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48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May 1, 2010</w:t>
            </w:r>
          </w:p>
        </w:tc>
        <w:tc>
          <w:tcPr>
            <w:tcW w:w="1560" w:type="dxa"/>
            <w:vAlign w:val="bottom"/>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43,081</w:t>
            </w:r>
          </w:p>
        </w:tc>
        <w:tc>
          <w:tcPr>
            <w:tcW w:w="440" w:type="dxa"/>
            <w:vAlign w:val="bottom"/>
            <w:shd w:val="clear" w:color="auto" w:fill="CCEEFF"/>
          </w:tcPr>
          <w:p>
            <w:pPr>
              <w:spacing w:after="0"/>
              <w:rPr>
                <w:sz w:val="18"/>
                <w:szCs w:val="18"/>
                <w:color w:val="auto"/>
              </w:rPr>
            </w:pPr>
          </w:p>
        </w:tc>
        <w:tc>
          <w:tcPr>
            <w:tcW w:w="5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11.35</w:t>
            </w:r>
          </w:p>
        </w:tc>
        <w:tc>
          <w:tcPr>
            <w:tcW w:w="0" w:type="dxa"/>
            <w:vAlign w:val="bottom"/>
          </w:tcPr>
          <w:p>
            <w:pPr>
              <w:spacing w:after="0"/>
              <w:rPr>
                <w:sz w:val="1"/>
                <w:szCs w:val="1"/>
                <w:color w:val="auto"/>
              </w:rPr>
            </w:pPr>
          </w:p>
        </w:tc>
      </w:tr>
    </w:tbl>
    <w:p>
      <w:pPr>
        <w:spacing w:after="0" w:line="167"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Included in the preceding table are options for 918,000 common shares granted to certain officers at exercise prices ranging between $6.84 and $17.66 that will become exercisable only upon the achievement of specified annual earnings per share targets or achievement of certain operating performance criteria through fiscal 2014.</w:t>
      </w:r>
    </w:p>
    <w:p>
      <w:pPr>
        <w:spacing w:after="0" w:line="140" w:lineRule="exact"/>
        <w:rPr>
          <w:sz w:val="20"/>
          <w:szCs w:val="20"/>
          <w:color w:val="auto"/>
        </w:rPr>
      </w:pPr>
    </w:p>
    <w:p>
      <w:pPr>
        <w:ind w:right="180" w:firstLine="456"/>
        <w:spacing w:after="0" w:line="256" w:lineRule="auto"/>
        <w:rPr>
          <w:sz w:val="20"/>
          <w:szCs w:val="20"/>
          <w:color w:val="auto"/>
        </w:rPr>
      </w:pPr>
      <w:r>
        <w:rPr>
          <w:rFonts w:ascii="Arial" w:cs="Arial" w:eastAsia="Arial" w:hAnsi="Arial"/>
          <w:sz w:val="18"/>
          <w:szCs w:val="18"/>
          <w:color w:val="auto"/>
        </w:rPr>
        <w:t>The aggregate intrinsic value and weighted average remaining contractual term of options vested and expected to vest at May 1, 2010 was $602.9 million and 5.5 years, respectively. The aggregate intrinsic value and weighted average remaining contractual term of options exercisable at May 1, 2010 was $423.8 million and 4.2 years, respectively. The aggregate intrinsic value is calculated based on the Company’s closing stock price for all in-the-money options as of April 30, 2010.</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Included in the table below is activity related to restricted stock units (in thousands, except per share amounts):</w:t>
      </w:r>
    </w:p>
    <w:p>
      <w:pPr>
        <w:spacing w:after="0" w:line="195"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84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500" w:type="dxa"/>
            <w:vAlign w:val="bottom"/>
            <w:gridSpan w:val="3"/>
          </w:tcPr>
          <w:p>
            <w:pPr>
              <w:ind w:left="440"/>
              <w:spacing w:after="0"/>
              <w:rPr>
                <w:sz w:val="20"/>
                <w:szCs w:val="20"/>
                <w:color w:val="auto"/>
              </w:rPr>
            </w:pPr>
            <w:r>
              <w:rPr>
                <w:rFonts w:ascii="Arial" w:cs="Arial" w:eastAsia="Arial" w:hAnsi="Arial"/>
                <w:sz w:val="14"/>
                <w:szCs w:val="14"/>
                <w:b w:val="1"/>
                <w:bCs w:val="1"/>
                <w:color w:val="auto"/>
                <w:w w:val="85"/>
              </w:rPr>
              <w:t>Weighted Average</w:t>
            </w:r>
          </w:p>
        </w:tc>
      </w:tr>
      <w:tr>
        <w:trPr>
          <w:trHeight w:val="149"/>
        </w:trPr>
        <w:tc>
          <w:tcPr>
            <w:tcW w:w="20" w:type="dxa"/>
            <w:vAlign w:val="bottom"/>
          </w:tcPr>
          <w:p>
            <w:pPr>
              <w:spacing w:after="0"/>
              <w:rPr>
                <w:sz w:val="12"/>
                <w:szCs w:val="12"/>
                <w:color w:val="auto"/>
              </w:rPr>
            </w:pPr>
          </w:p>
        </w:tc>
        <w:tc>
          <w:tcPr>
            <w:tcW w:w="3840" w:type="dxa"/>
            <w:vAlign w:val="bottom"/>
          </w:tcPr>
          <w:p>
            <w:pPr>
              <w:spacing w:after="0"/>
              <w:rPr>
                <w:sz w:val="12"/>
                <w:szCs w:val="12"/>
                <w:color w:val="auto"/>
              </w:rPr>
            </w:pPr>
          </w:p>
        </w:tc>
        <w:tc>
          <w:tcPr>
            <w:tcW w:w="3320" w:type="dxa"/>
            <w:vAlign w:val="bottom"/>
            <w:gridSpan w:val="3"/>
          </w:tcPr>
          <w:p>
            <w:pPr>
              <w:jc w:val="right"/>
              <w:ind w:right="500"/>
              <w:spacing w:after="0" w:line="149" w:lineRule="exact"/>
              <w:rPr>
                <w:sz w:val="20"/>
                <w:szCs w:val="20"/>
                <w:color w:val="auto"/>
              </w:rPr>
            </w:pPr>
            <w:r>
              <w:rPr>
                <w:rFonts w:ascii="Arial" w:cs="Arial" w:eastAsia="Arial" w:hAnsi="Arial"/>
                <w:sz w:val="14"/>
                <w:szCs w:val="14"/>
                <w:b w:val="1"/>
                <w:bCs w:val="1"/>
                <w:color w:val="auto"/>
              </w:rPr>
              <w:t>Restricted Stock</w:t>
            </w:r>
          </w:p>
        </w:tc>
        <w:tc>
          <w:tcPr>
            <w:tcW w:w="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20" w:type="dxa"/>
            <w:vAlign w:val="bottom"/>
          </w:tcPr>
          <w:p>
            <w:pPr>
              <w:jc w:val="right"/>
              <w:ind w:right="138"/>
              <w:spacing w:after="0" w:line="149" w:lineRule="exact"/>
              <w:rPr>
                <w:sz w:val="20"/>
                <w:szCs w:val="20"/>
                <w:color w:val="auto"/>
              </w:rPr>
            </w:pPr>
            <w:r>
              <w:rPr>
                <w:rFonts w:ascii="Arial" w:cs="Arial" w:eastAsia="Arial" w:hAnsi="Arial"/>
                <w:sz w:val="14"/>
                <w:szCs w:val="14"/>
                <w:b w:val="1"/>
                <w:bCs w:val="1"/>
                <w:color w:val="auto"/>
                <w:w w:val="94"/>
              </w:rPr>
              <w:t>Grant Date</w:t>
            </w:r>
          </w:p>
        </w:tc>
      </w:tr>
      <w:tr>
        <w:trPr>
          <w:trHeight w:val="161"/>
        </w:trPr>
        <w:tc>
          <w:tcPr>
            <w:tcW w:w="20" w:type="dxa"/>
            <w:vAlign w:val="bottom"/>
          </w:tcPr>
          <w:p>
            <w:pPr>
              <w:spacing w:after="0"/>
              <w:rPr>
                <w:sz w:val="14"/>
                <w:szCs w:val="14"/>
                <w:color w:val="auto"/>
              </w:rPr>
            </w:pPr>
          </w:p>
        </w:tc>
        <w:tc>
          <w:tcPr>
            <w:tcW w:w="384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960" w:type="dxa"/>
            <w:vAlign w:val="bottom"/>
            <w:tcBorders>
              <w:bottom w:val="single" w:sz="8" w:color="auto"/>
            </w:tcBorders>
          </w:tcPr>
          <w:p>
            <w:pPr>
              <w:jc w:val="right"/>
              <w:ind w:right="59"/>
              <w:spacing w:after="0"/>
              <w:rPr>
                <w:sz w:val="20"/>
                <w:szCs w:val="20"/>
                <w:color w:val="auto"/>
              </w:rPr>
            </w:pPr>
            <w:r>
              <w:rPr>
                <w:rFonts w:ascii="Arial" w:cs="Arial" w:eastAsia="Arial" w:hAnsi="Arial"/>
                <w:sz w:val="14"/>
                <w:szCs w:val="14"/>
                <w:b w:val="1"/>
                <w:bCs w:val="1"/>
                <w:color w:val="auto"/>
                <w:w w:val="96"/>
              </w:rPr>
              <w:t>Outstanding</w:t>
            </w:r>
          </w:p>
        </w:tc>
        <w:tc>
          <w:tcPr>
            <w:tcW w:w="4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right"/>
              <w:ind w:right="158"/>
              <w:spacing w:after="0"/>
              <w:rPr>
                <w:sz w:val="20"/>
                <w:szCs w:val="20"/>
                <w:color w:val="auto"/>
              </w:rPr>
            </w:pPr>
            <w:r>
              <w:rPr>
                <w:rFonts w:ascii="Arial" w:cs="Arial" w:eastAsia="Arial" w:hAnsi="Arial"/>
                <w:sz w:val="14"/>
                <w:szCs w:val="14"/>
                <w:b w:val="1"/>
                <w:bCs w:val="1"/>
                <w:color w:val="auto"/>
                <w:w w:val="98"/>
              </w:rPr>
              <w:t>Fair Value</w:t>
            </w:r>
          </w:p>
        </w:tc>
      </w:tr>
      <w:tr>
        <w:trPr>
          <w:trHeight w:val="210"/>
        </w:trPr>
        <w:tc>
          <w:tcPr>
            <w:tcW w:w="20" w:type="dxa"/>
            <w:vAlign w:val="bottom"/>
          </w:tcPr>
          <w:p>
            <w:pPr>
              <w:spacing w:after="0"/>
              <w:rPr>
                <w:sz w:val="18"/>
                <w:szCs w:val="18"/>
                <w:color w:val="auto"/>
              </w:rPr>
            </w:pPr>
          </w:p>
        </w:tc>
        <w:tc>
          <w:tcPr>
            <w:tcW w:w="384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30, 2010</w:t>
            </w:r>
          </w:p>
        </w:tc>
        <w:tc>
          <w:tcPr>
            <w:tcW w:w="2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2,746</w:t>
            </w:r>
          </w:p>
        </w:tc>
        <w:tc>
          <w:tcPr>
            <w:tcW w:w="4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8.99</w:t>
            </w:r>
          </w:p>
        </w:tc>
      </w:tr>
      <w:tr>
        <w:trPr>
          <w:trHeight w:val="216"/>
        </w:trPr>
        <w:tc>
          <w:tcPr>
            <w:tcW w:w="20" w:type="dxa"/>
            <w:vAlign w:val="bottom"/>
          </w:tcPr>
          <w:p>
            <w:pPr>
              <w:spacing w:after="0"/>
              <w:rPr>
                <w:sz w:val="18"/>
                <w:szCs w:val="18"/>
                <w:color w:val="auto"/>
              </w:rPr>
            </w:pPr>
          </w:p>
        </w:tc>
        <w:tc>
          <w:tcPr>
            <w:tcW w:w="3840" w:type="dxa"/>
            <w:vAlign w:val="bottom"/>
          </w:tcPr>
          <w:p>
            <w:pPr>
              <w:ind w:left="420"/>
              <w:spacing w:after="0"/>
              <w:rPr>
                <w:sz w:val="20"/>
                <w:szCs w:val="20"/>
                <w:color w:val="auto"/>
              </w:rPr>
            </w:pPr>
            <w:r>
              <w:rPr>
                <w:rFonts w:ascii="Arial" w:cs="Arial" w:eastAsia="Arial" w:hAnsi="Arial"/>
                <w:sz w:val="18"/>
                <w:szCs w:val="18"/>
                <w:color w:val="auto"/>
              </w:rPr>
              <w:t>Granted</w:t>
            </w:r>
          </w:p>
        </w:tc>
        <w:tc>
          <w:tcPr>
            <w:tcW w:w="2840" w:type="dxa"/>
            <w:vAlign w:val="bottom"/>
            <w:gridSpan w:val="2"/>
          </w:tcPr>
          <w:p>
            <w:pPr>
              <w:jc w:val="right"/>
              <w:spacing w:after="0"/>
              <w:rPr>
                <w:sz w:val="20"/>
                <w:szCs w:val="20"/>
                <w:color w:val="auto"/>
              </w:rPr>
            </w:pPr>
            <w:r>
              <w:rPr>
                <w:rFonts w:ascii="Arial" w:cs="Arial" w:eastAsia="Arial" w:hAnsi="Arial"/>
                <w:sz w:val="18"/>
                <w:szCs w:val="18"/>
                <w:color w:val="auto"/>
              </w:rPr>
              <w:t>4,178</w:t>
            </w:r>
          </w:p>
        </w:tc>
        <w:tc>
          <w:tcPr>
            <w:tcW w:w="480" w:type="dxa"/>
            <w:vAlign w:val="bottom"/>
          </w:tcPr>
          <w:p>
            <w:pPr>
              <w:spacing w:after="0"/>
              <w:rPr>
                <w:sz w:val="18"/>
                <w:szCs w:val="18"/>
                <w:color w:val="auto"/>
              </w:rPr>
            </w:pP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21.13</w:t>
            </w:r>
          </w:p>
        </w:tc>
      </w:tr>
      <w:tr>
        <w:trPr>
          <w:trHeight w:val="216"/>
        </w:trPr>
        <w:tc>
          <w:tcPr>
            <w:tcW w:w="20" w:type="dxa"/>
            <w:vAlign w:val="bottom"/>
          </w:tcPr>
          <w:p>
            <w:pPr>
              <w:spacing w:after="0"/>
              <w:rPr>
                <w:sz w:val="18"/>
                <w:szCs w:val="18"/>
                <w:color w:val="auto"/>
              </w:rPr>
            </w:pPr>
          </w:p>
        </w:tc>
        <w:tc>
          <w:tcPr>
            <w:tcW w:w="3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332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(432)</w:t>
            </w:r>
          </w:p>
        </w:tc>
        <w:tc>
          <w:tcPr>
            <w:tcW w:w="5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12.36</w:t>
            </w:r>
          </w:p>
        </w:tc>
      </w:tr>
      <w:tr>
        <w:trPr>
          <w:trHeight w:val="223"/>
        </w:trPr>
        <w:tc>
          <w:tcPr>
            <w:tcW w:w="20" w:type="dxa"/>
            <w:vAlign w:val="bottom"/>
          </w:tcPr>
          <w:p>
            <w:pPr>
              <w:spacing w:after="0"/>
              <w:rPr>
                <w:sz w:val="19"/>
                <w:szCs w:val="19"/>
                <w:color w:val="auto"/>
              </w:rPr>
            </w:pPr>
          </w:p>
        </w:tc>
        <w:tc>
          <w:tcPr>
            <w:tcW w:w="384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880" w:type="dxa"/>
            <w:vAlign w:val="bottom"/>
          </w:tcPr>
          <w:p>
            <w:pPr>
              <w:spacing w:after="0"/>
              <w:rPr>
                <w:sz w:val="19"/>
                <w:szCs w:val="19"/>
                <w:color w:val="auto"/>
              </w:rPr>
            </w:pPr>
          </w:p>
        </w:tc>
        <w:tc>
          <w:tcPr>
            <w:tcW w:w="1440" w:type="dxa"/>
            <w:vAlign w:val="bottom"/>
            <w:gridSpan w:val="2"/>
          </w:tcPr>
          <w:p>
            <w:pPr>
              <w:jc w:val="right"/>
              <w:ind w:right="440"/>
              <w:spacing w:after="0"/>
              <w:rPr>
                <w:sz w:val="20"/>
                <w:szCs w:val="20"/>
                <w:color w:val="auto"/>
              </w:rPr>
            </w:pPr>
            <w:r>
              <w:rPr>
                <w:rFonts w:ascii="Arial" w:cs="Arial" w:eastAsia="Arial" w:hAnsi="Arial"/>
                <w:sz w:val="18"/>
                <w:szCs w:val="18"/>
                <w:color w:val="auto"/>
              </w:rPr>
              <w:t>(74)</w:t>
            </w:r>
          </w:p>
        </w:tc>
        <w:tc>
          <w:tcPr>
            <w:tcW w:w="58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9.19</w:t>
            </w:r>
          </w:p>
        </w:tc>
      </w:tr>
      <w:tr>
        <w:trPr>
          <w:trHeight w:val="216"/>
        </w:trPr>
        <w:tc>
          <w:tcPr>
            <w:tcW w:w="20" w:type="dxa"/>
            <w:vAlign w:val="bottom"/>
          </w:tcPr>
          <w:p>
            <w:pPr>
              <w:spacing w:after="0"/>
              <w:rPr>
                <w:sz w:val="18"/>
                <w:szCs w:val="18"/>
                <w:color w:val="auto"/>
              </w:rPr>
            </w:pPr>
          </w:p>
        </w:tc>
        <w:tc>
          <w:tcPr>
            <w:tcW w:w="3840" w:type="dxa"/>
            <w:vAlign w:val="bottom"/>
            <w:shd w:val="clear" w:color="auto" w:fill="CCEEFF"/>
          </w:tcPr>
          <w:p>
            <w:pPr>
              <w:spacing w:after="0"/>
              <w:rPr>
                <w:sz w:val="20"/>
                <w:szCs w:val="20"/>
                <w:color w:val="auto"/>
              </w:rPr>
            </w:pPr>
            <w:r>
              <w:rPr>
                <w:rFonts w:ascii="Arial" w:cs="Arial" w:eastAsia="Arial" w:hAnsi="Arial"/>
                <w:sz w:val="18"/>
                <w:szCs w:val="18"/>
                <w:color w:val="auto"/>
              </w:rPr>
              <w:t>Balance at May 1, 2010</w:t>
            </w:r>
          </w:p>
        </w:tc>
        <w:tc>
          <w:tcPr>
            <w:tcW w:w="1880" w:type="dxa"/>
            <w:vAlign w:val="bottom"/>
            <w:shd w:val="clear" w:color="auto" w:fill="CCEEFF"/>
          </w:tcPr>
          <w:p>
            <w:pPr>
              <w:spacing w:after="0"/>
              <w:rPr>
                <w:sz w:val="18"/>
                <w:szCs w:val="18"/>
                <w:color w:val="auto"/>
              </w:rPr>
            </w:pP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6,418</w:t>
            </w:r>
          </w:p>
        </w:tc>
        <w:tc>
          <w:tcPr>
            <w:tcW w:w="4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16.68</w:t>
            </w:r>
          </w:p>
        </w:tc>
      </w:tr>
      <w:tr>
        <w:trPr>
          <w:trHeight w:val="20"/>
        </w:trPr>
        <w:tc>
          <w:tcPr>
            <w:tcW w:w="20" w:type="dxa"/>
            <w:vAlign w:val="bottom"/>
          </w:tcPr>
          <w:p>
            <w:pPr>
              <w:spacing w:after="0" w:line="20" w:lineRule="exact"/>
              <w:rPr>
                <w:sz w:val="1"/>
                <w:szCs w:val="1"/>
                <w:color w:val="auto"/>
              </w:rPr>
            </w:pPr>
          </w:p>
        </w:tc>
        <w:tc>
          <w:tcPr>
            <w:tcW w:w="3840" w:type="dxa"/>
            <w:vAlign w:val="bottom"/>
          </w:tcPr>
          <w:p>
            <w:pPr>
              <w:spacing w:after="0" w:line="20" w:lineRule="exact"/>
              <w:rPr>
                <w:sz w:val="1"/>
                <w:szCs w:val="1"/>
                <w:color w:val="auto"/>
              </w:rPr>
            </w:pPr>
          </w:p>
        </w:tc>
        <w:tc>
          <w:tcPr>
            <w:tcW w:w="1880" w:type="dxa"/>
            <w:vAlign w:val="bottom"/>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r>
    </w:tbl>
    <w:p>
      <w:pPr>
        <w:spacing w:after="0" w:line="167"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Included in the preceding table are 557,000 restricted stock units granted to certain officers that will become exercisable only upon the achievement of certain revenue growth and/or operating performance criteria through fiscal 2012. The aggregate intrinsic value and weighted average remaining contractual term of restricted stock units vested and expected to vest as of May 1, 2010 was $114.5 million and 1.8 years, respectively.</w:t>
      </w:r>
    </w:p>
    <w:p>
      <w:pPr>
        <w:spacing w:after="0" w:line="10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Company’s current practice is to issue new shares to satisfy share option exercises. As of May 1, 2010, compensation costs related to nonvested awards not yet recognized amounted to $232.9 million. The unamortized compensation expense for stock options and restricted stock units will be amortized on a straight-line basis, except for performance-based awards which are amortized on an accelerated basis and is expected to be recognized over a weighted-average period of 2.3 years and 2.9 years, respectively.</w:t>
      </w:r>
    </w:p>
    <w:p>
      <w:pPr>
        <w:spacing w:after="0" w:line="143" w:lineRule="exact"/>
        <w:rPr>
          <w:sz w:val="20"/>
          <w:szCs w:val="20"/>
          <w:color w:val="auto"/>
        </w:rPr>
      </w:pPr>
    </w:p>
    <w:p>
      <w:pPr>
        <w:jc w:val="both"/>
        <w:ind w:right="520" w:firstLine="456"/>
        <w:spacing w:after="0" w:line="335" w:lineRule="auto"/>
        <w:rPr>
          <w:sz w:val="20"/>
          <w:szCs w:val="20"/>
          <w:color w:val="auto"/>
        </w:rPr>
      </w:pPr>
      <w:r>
        <w:rPr>
          <w:rFonts w:ascii="Arial" w:cs="Arial" w:eastAsia="Arial" w:hAnsi="Arial"/>
          <w:sz w:val="15"/>
          <w:szCs w:val="15"/>
          <w:color w:val="auto"/>
        </w:rPr>
        <w:t>The total tax benefit attributable to options exercised for the three months ended May 1, 2010 was $185,000 as reported on the unaudited condensed consolidated statements of cash flows in financing activities. Such excess tax benefits represent the reduction in income taxes otherwise payable during the period, attributable to the actual gross tax benefits in excess of the expected tax benefits for options exercised in current and prior periods.</w:t>
      </w:r>
    </w:p>
    <w:p>
      <w:pPr>
        <w:spacing w:after="0" w:line="7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45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Income Taxes</w:t>
      </w:r>
    </w:p>
    <w:p>
      <w:pPr>
        <w:spacing w:after="0" w:line="96"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For the three months ended May 1, 2010 and May 2, 2009, the Company’s effective tax rate was an income tax benefit of 0.6% and an income tax expense of 1.8%, respectively. The income tax provision for these periods was affected by non-tax-deductible expenses such as stock-based compensation expense, amortization of acquired intangibles and accrual of unrecognized tax benefits, and interest and penalties associated with unrecognized tax positions. For the three months ended May 1, 2010, the effective tax rate was impacted by a reduction of unrecognized tax benefits of approximately $6.5 million due to the expiration of the statute of limitation in multiple jurisdictions.</w:t>
      </w:r>
    </w:p>
    <w:p>
      <w:pPr>
        <w:spacing w:after="0" w:line="143"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The Company’s total unrecognized tax benefits as of May 1, 2010 and January 30, 2010 were $103.1 million and $103.3 million, respectively. The Company’s liability for potential interest and penalties as of May 1, 2010 and January 30, 2010 was $29.8 million and $29.9 million, respectively. If recognized, all of the liabilities recorded to date, except the portion attributable to the foreign exchange gains and losses, will impact the effective tax rate.</w:t>
      </w:r>
    </w:p>
    <w:p>
      <w:pPr>
        <w:spacing w:after="0" w:line="10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conducts business globally and, as a result, one or more of its subsidiaries file income tax returns in the U.S. federal jurisdiction and various state and foreign jurisdictions. The Company is subject to examination by tax authorities throughout the world, including such major jurisdictions as China, Israel, Japan, Singapore, Switzerland and the United States. The Company is subject to non-U.S. and U.S. income tax examinations for years beginning with fiscal year 2002 and fiscal year 2007, respectively.</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Related Party Transactions</w:t>
      </w:r>
    </w:p>
    <w:p>
      <w:pPr>
        <w:spacing w:after="0" w:line="96" w:lineRule="exact"/>
        <w:rPr>
          <w:sz w:val="20"/>
          <w:szCs w:val="20"/>
          <w:color w:val="auto"/>
        </w:rPr>
      </w:pPr>
    </w:p>
    <w:p>
      <w:pPr>
        <w:ind w:right="80" w:firstLine="456"/>
        <w:spacing w:after="0" w:line="288" w:lineRule="auto"/>
        <w:rPr>
          <w:sz w:val="20"/>
          <w:szCs w:val="20"/>
          <w:color w:val="auto"/>
        </w:rPr>
      </w:pPr>
      <w:r>
        <w:rPr>
          <w:rFonts w:ascii="Arial" w:cs="Arial" w:eastAsia="Arial" w:hAnsi="Arial"/>
          <w:sz w:val="16"/>
          <w:szCs w:val="16"/>
          <w:color w:val="auto"/>
        </w:rPr>
        <w:t>In August, 2005, through its subsidiaries MSI and MIL, the Company entered into a License and Manufacturing Services Agreement with C2 Microsystems, Inc. (“C2Micro License Agreement”). The C2Micro License Agreement has substantially similar terms as other license and manufacturing services agreements of the Company with other third parties for similar technology. The Company recognized no revenue under the C2Micro License Agreement during the three months ended May 1, 2010 and May 2, 2009. Dr. Sehat Sutardja, the Company’s President and Chief Executive Officer, and Weili Dai, the Vice President of Sales for Communications and Consumer Business of MSI and Vice President and General Manager of Communications and Computing Business Unit of MSI, through their ownership and control of Estopia LLC, are indirect shareholders of C2 Microsystems. Dr. Sehat Sutardja and Weili Dai are husband and wife. Kuo Wei (Herbert) Chang, a member of the Company’s Board of Directors, is also an indirect shareholder of C2 Microsystems as a partner of entities who have invested in C2 Microsystems. Dr. Pantas Sutardja, the Company’s Vice President, Chief Technology Officer and Chief Research and Development Officer, is also a shareholder of C2 Microsystems.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January 2007, the Company, through MIL, entered into a Library/IP/Software Evaluation License Agreement (the “Evaluation License Agreement”)</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with VeriSilicon Holdings Co., Ltd. (“VeriSilicon”). The Evaluation License Agreement has no consideration. The Company incurred $0 and $2,000 of royalty</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expense from VeriSilicon under a core license agreement assumed from its acquisition of the semiconductor business of UTStarcom, Inc. during the three months</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ended May 1, 2010 and May 2, 2009, respectively. This core license agreement had been assumed by VeriSilicon after its acquisition of certain assets from LSI</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Corporation. In March 2009, the Company entered into an addendum to this core license agreement with VeriSilicon. The Company recorded a license fee of</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$500,000 and maintenance fees of $80,000. In June 2009, the Company entered into a second addendum to this technology license agreement with VeriSilicon for</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VeriSilicon to perform services for a fee of $40,000. In December 2009, the Company entered into a third addendum to this technology agreement with</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VeriSilicon to license additional technology for a license fee of $275,000 with an annual support fee of $47,500. In March 2010, the Company entered into a</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fourth addendum to this technology agreement with VeriSilicon to license additional technology for a license fee of $2.5 million with an annual support fee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$120,000. No amounts were paid to Verisilicon during the three months ended May 1, 2010 and May 2, 2009. Weili Dai’s brother (and Dr. Sehat Sutardja’s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brother-in-law) is the Chairman, President and Chief Executive Officer of VeriSilicon. Ms. Dai is also a shareholder of VeriSilicon.</w:t>
      </w:r>
    </w:p>
    <w:p>
      <w:pPr>
        <w:spacing w:after="0" w:line="165" w:lineRule="exact"/>
        <w:rPr>
          <w:sz w:val="20"/>
          <w:szCs w:val="20"/>
          <w:color w:val="auto"/>
        </w:rPr>
      </w:pPr>
    </w:p>
    <w:p>
      <w:pPr>
        <w:ind w:right="20" w:firstLine="395"/>
        <w:spacing w:after="0" w:line="285" w:lineRule="auto"/>
        <w:rPr>
          <w:sz w:val="20"/>
          <w:szCs w:val="20"/>
          <w:color w:val="auto"/>
        </w:rPr>
      </w:pPr>
      <w:r>
        <w:rPr>
          <w:rFonts w:ascii="Arial" w:cs="Arial" w:eastAsia="Arial" w:hAnsi="Arial"/>
          <w:sz w:val="16"/>
          <w:szCs w:val="16"/>
          <w:color w:val="auto"/>
        </w:rPr>
        <w:t>In October 2007, the Company entered into a License Agreement with Vivante Corporation (the “Vivante Agreement”). The Vivante Agreement has substantially similar terms as the Company would expect to obtain for license agreements with other third parties for similar technology. In August 2008, the Company entered into a Technology License Agreement with Vivante. This Technology License Agreement, as amended, also has substantially similar terms as the Company would expect to obtain for license agreements with other third parties for similar technology. The Company recorded $2.0 million for the license fee and $200,000 of maintenance during the year ended January 31, 2009 in connection with this Technology License Agreement. In January 2009, the Company entered into an agreement with Vivante to disclose certain cell libraries to Vivante at no additional cost. In April 2009, the Company entered into an amendment to the Technology License Agreement with Vivante. The Company recorded $1.0 million for the license fee and $70,000 of maintenance during the three months ended May 2, 2009 in connection with the amendment to the Technology License Agreement. In June 2009, the Company entered into the second amendment to the Technology License Agreement with Vivante. The Company recorded $500,000 for the license fee and $50,000 of maintenance during the three months ended August 1, 2009. In December 2009, the Company entered into an Amended and Restated Technology License Agreement with Vivante for additional license technology and recorded $12.0 million for the license fee (paid over three years) and $350,000 of maintenance. During the three months ended May 1, 2010, the Company paid Vivante $1.8 million of license fees and $350,000 for maintenance. No amounts were paid to Vivante during the three months ended May 2, 2009. The Company incurred $7,600 and $0 of royalty expense from Vivante under the Technology License Agreement during the three months ended May 1, 2010 and May 2, 2009, respectively. Dr. Sehat Sutardja and Weili Dai, through their ownership and control of Estopia LLC, are indirect shareholders of Vivante. In addition, Dr. Sehat Sutardja is also a direct shareholder and Chairman of the board of directors of Vivante. Weili Dai’s brother (and Dr. Sehat Sutardja’s brother-in-law) is the Chief Executive Officer of Vivante. Kuo Wei (Herbert) Chang, a member of the Company’s Board of Directors, is also an indirect shareholder of Vivante as a partner of entities who have invested in Vivante.</w:t>
      </w:r>
    </w:p>
    <w:p>
      <w:pPr>
        <w:sectPr>
          <w:pgSz w:w="11900" w:h="16838" w:orient="portrait"/>
          <w:cols w:equalWidth="0" w:num="1">
            <w:col w:w="11420"/>
          </w:cols>
          <w:pgMar w:left="240" w:top="459" w:right="239" w:bottom="1440" w:gutter="0" w:footer="0" w:header="0"/>
        </w:sectPr>
      </w:pPr>
    </w:p>
    <w:p>
      <w:pPr>
        <w:spacing w:after="0" w:line="108"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24</w:t>
      </w:r>
    </w:p>
    <w:p>
      <w:pPr>
        <w:sectPr>
          <w:pgSz w:w="11900" w:h="16838" w:orient="portrait"/>
          <w:cols w:equalWidth="0" w:num="1">
            <w:col w:w="11420"/>
          </w:cols>
          <w:pgMar w:left="240" w:top="459" w:right="239" w:bottom="1440" w:gutter="0" w:footer="0" w:header="0"/>
          <w:type w:val="continuous"/>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5"/>
          <w:szCs w:val="15"/>
          <w:b w:val="1"/>
          <w:bCs w:val="1"/>
          <w:color w:val="auto"/>
        </w:rPr>
        <w:t>Management’s Discussion and Analysis of Financial Condition and Results of Operations</w:t>
      </w:r>
    </w:p>
    <w:p>
      <w:pPr>
        <w:spacing w:after="0" w:line="96" w:lineRule="exact"/>
        <w:rPr>
          <w:sz w:val="20"/>
          <w:szCs w:val="20"/>
          <w:color w:val="auto"/>
        </w:rPr>
      </w:pPr>
    </w:p>
    <w:p>
      <w:pPr>
        <w:ind w:firstLine="456"/>
        <w:spacing w:after="0" w:line="283" w:lineRule="auto"/>
        <w:rPr>
          <w:sz w:val="20"/>
          <w:szCs w:val="20"/>
          <w:color w:val="auto"/>
        </w:rPr>
      </w:pPr>
      <w:r>
        <w:rPr>
          <w:rFonts w:ascii="Arial" w:cs="Arial" w:eastAsia="Arial" w:hAnsi="Arial"/>
          <w:sz w:val="16"/>
          <w:szCs w:val="16"/>
          <w:i w:val="1"/>
          <w:iCs w:val="1"/>
          <w:color w:val="auto"/>
        </w:rPr>
        <w:t>This Quarterly Report on Form 10-Q contains forward-looking statements that involve risks and uncertainties. These statements include, without limitation, statements regarding our expectations, beliefs, intentions or strategies regarding the future. These statements involve known and unknown risks, uncertainties and other factors, which may cause our actual results to differ materially from those implied by the forward-looking statements. Words such as “anticipates,” “expects,” “intends,” “plans,” “believes,” “seeks,” “estimates,” “can,” and similar expressions identify such forward-looking statements. These are statements that relate to future periods and include statements relating to our anticipation that the rate of new orders and shipments will vary significantly from quarter to quarter; our expectations regarding industry trends; our anticipation that the total amount of sales through distributors will increase in future periods; our expectations regarding our inventory levels; our expectations regarding competition; our expectations relating to the protection of our intellectual property; our expectations regarding the amount of customer concentration in the future; our expectations regarding the amount of our future sales in Asia; our plans and expectations regarding our auction rate securities; our expectations regarding acquisitions, investments, strategic alliances and joint ventures; our expectations regarding results, cash flows and expense for the second quarter ending July 31, 2010 compared with the first quarter ended May 1, 2010; our expectations regarding the impact of legal proceedings and claims; our expectations regarding the adequacy of our capital resources, capital expenditures, investment requirements and commitments to meet our capital needs for the next 12 months; our ability to attract and retain highly skilled personnel; our expectations regarding the growth in business and operations; our plan regarding forward exchange contracts and the effect of foreign exchange rates; the effect of recent accounting pronouncements and changes in taxation rules; our expectation regarding the effectiveness of our hedges of foreign currency exposures; our expectations that quarterly operating results will fluctuate from quarter to quarter; our expectations regarding the current economic environment; our expectations regarding arrangements with suppliers; our expectations regarding market acceptance of our products; our expectations regarding pricing; our expectations regarding demand for our products; our expectations regarding the implementation and improvement of operational and financial systems, as well as the implementation of additional procedures and other internal management systems; our expectations regarding gross margin and the events that may cause gross margin to fluctuate; our expectations to transition our semiconductor products to increasingly smaller line width geometries; our expectations regarding the portion of our operations and sales outside of the United States; our expectations regarding the adequacy of our internal control over financial reporting; our expectations regarding future impairment review of our goodwill and intangible assets; the anticipated features and benefits of our technology solutions; and our expectations regarding unrecognized tax benefits.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the worldwide financial crisis; the impact of international conflict and continued economic volatility in either domestic or foreign markets; our dependence upon the hard disk drive and wireless and cellular industry which is highly cyclical; our ability to scale our operations in response to changes in demand for existing or new products and services; our maintenance of an effective system of internal controls; our dependence on a small number of customers; our ability and our customers’ ability to develop new and enhanced products; our success in integrating businesses we acquire and the impact such acquisitions may have on our operating results; our ability to estimate customer demand and future sales accurately; the success of our strategic relationships;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our ability to compete in the wired and wireless communications markets; the impact of lengthy and expensive product sales cycles; and the outcome of pending or future litigation and legal proceedings. 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Overview</w:t>
      </w:r>
    </w:p>
    <w:p>
      <w:pPr>
        <w:spacing w:after="0" w:line="90"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We are a leading global semiconductor provider of high-performance application-specific standard products. Our core strength of expertise is the development of complex system-on-a-chip devices leveraging our extensive technology portfolio of intellectual property in the areas of analog, mixed-signal, digital signal processing and embedded ARM-based microprocessor integrated circuits. Our broad product portfolio includes devices for data storage, enterprise-class Ethernet data switching, Ethernet physical-layer transceiver (“PHY”), handheld cellular, Ethernet-based wireless networking, personal area networking, Ethernet-based PC connectivity, control plane communications controllers, video-image processing and power management solutions. Our products serve diverse applications used in carrier, metropolitan, enterprise and PC-client data communications and storage systems. Additionally, we serve the consumer electronics market for the convergence of voice, video and data applications. We are a fabless integrated circuit company, which means that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ectPr>
          <w:pgSz w:w="11900" w:h="16838" w:orient="portrait"/>
          <w:cols w:equalWidth="0" w:num="1">
            <w:col w:w="11400"/>
          </w:cols>
          <w:pgMar w:left="240" w:top="459" w:right="259" w:bottom="1440" w:gutter="0" w:footer="0" w:header="0"/>
        </w:sectPr>
      </w:pPr>
    </w:p>
    <w:bookmarkStart w:id="25" w:name="page26"/>
    <w:bookmarkEnd w:id="25"/>
    <w:p>
      <w:pPr>
        <w:ind w:firstLine="456"/>
        <w:spacing w:after="0" w:line="323" w:lineRule="auto"/>
        <w:rPr>
          <w:sz w:val="20"/>
          <w:szCs w:val="20"/>
          <w:color w:val="auto"/>
        </w:rPr>
      </w:pPr>
      <w:r>
        <w:rPr>
          <w:rFonts w:ascii="Arial" w:cs="Arial" w:eastAsia="Arial" w:hAnsi="Arial"/>
          <w:sz w:val="15"/>
          <w:szCs w:val="15"/>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8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131"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2011 and fiscal 2010 are comprised of a 52-week period. In this Quarterly Report on Form 10-Q, we refer to the fiscal year ended January 31, 2009 as fiscal 2009, the fiscal year ended January 30, 2010 as fiscal 2010, and the fiscal year ending January 29, 2011 as fiscal 2011.</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Critical Accounting Policies and Estimates</w:t>
      </w:r>
    </w:p>
    <w:p>
      <w:pPr>
        <w:spacing w:after="0" w:line="90"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January 30, 2010. There have been no material changes in any of our critical accounting policies during fiscal 2011.</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Results of Operations</w:t>
      </w:r>
    </w:p>
    <w:p>
      <w:pPr>
        <w:spacing w:after="0" w:line="90"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Through one quarter of fiscal 2011, we have begun to see the benefits of many of the investments made in the last few years as several of our new products are ramping in volumes at key customers. We are also benefitting from the new cost and expense structure we modified during the economic downturn, which is allowing us to deliver strong results. Although we are cautious about some of the recent economic developments in Europe and other regions and the impact of the capacity constraints in the supply chain, we believe our business prospects are strong. As a result, we have begun and will continue to selectively add headcount in certain key areas to ensure we are able to support growing our business.</w:t>
      </w:r>
    </w:p>
    <w:p>
      <w:pPr>
        <w:spacing w:after="0" w:line="116"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8" w:lineRule="exact"/>
        <w:rPr>
          <w:sz w:val="20"/>
          <w:szCs w:val="20"/>
          <w:color w:val="auto"/>
        </w:rPr>
      </w:pPr>
    </w:p>
    <w:tbl>
      <w:tblPr>
        <w:tblLayout w:type="fixed"/>
        <w:tblInd w:w="240" w:type="dxa"/>
        <w:tblCellMar>
          <w:top w:w="0" w:type="dxa"/>
          <w:left w:w="0" w:type="dxa"/>
          <w:bottom w:w="0" w:type="dxa"/>
          <w:right w:w="0" w:type="dxa"/>
        </w:tblCellMar>
      </w:tblPr>
      <w:tr>
        <w:trPr>
          <w:trHeight w:val="161"/>
        </w:trPr>
        <w:tc>
          <w:tcPr>
            <w:tcW w:w="6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3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760" w:type="dxa"/>
            <w:vAlign w:val="bottom"/>
            <w:gridSpan w:val="7"/>
          </w:tcPr>
          <w:p>
            <w:pPr>
              <w:jc w:val="right"/>
              <w:ind w:right="300"/>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3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680" w:type="dxa"/>
            <w:vAlign w:val="bottom"/>
            <w:tcBorders>
              <w:top w:val="single" w:sz="8" w:color="auto"/>
            </w:tcBorders>
            <w:gridSpan w:val="3"/>
          </w:tcPr>
          <w:p>
            <w:pPr>
              <w:jc w:val="right"/>
              <w:ind w:right="260"/>
              <w:spacing w:after="0" w:line="129" w:lineRule="exact"/>
              <w:rPr>
                <w:sz w:val="20"/>
                <w:szCs w:val="20"/>
                <w:color w:val="auto"/>
              </w:rPr>
            </w:pPr>
            <w:r>
              <w:rPr>
                <w:rFonts w:ascii="Arial" w:cs="Arial" w:eastAsia="Arial" w:hAnsi="Arial"/>
                <w:sz w:val="14"/>
                <w:szCs w:val="14"/>
                <w:b w:val="1"/>
                <w:bCs w:val="1"/>
                <w:color w:val="auto"/>
                <w:w w:val="93"/>
              </w:rPr>
              <w:t>May 1,</w:t>
            </w:r>
          </w:p>
        </w:tc>
        <w:tc>
          <w:tcPr>
            <w:tcW w:w="540" w:type="dxa"/>
            <w:vAlign w:val="bottom"/>
            <w:tcBorders>
              <w:top w:val="single" w:sz="8" w:color="auto"/>
            </w:tcBorders>
          </w:tcPr>
          <w:p>
            <w:pPr>
              <w:spacing w:after="0"/>
              <w:rPr>
                <w:sz w:val="11"/>
                <w:szCs w:val="11"/>
                <w:color w:val="auto"/>
              </w:rPr>
            </w:pPr>
          </w:p>
        </w:tc>
        <w:tc>
          <w:tcPr>
            <w:tcW w:w="480" w:type="dxa"/>
            <w:vAlign w:val="bottom"/>
            <w:tcBorders>
              <w:top w:val="single" w:sz="8" w:color="auto"/>
            </w:tcBorders>
            <w:gridSpan w:val="2"/>
          </w:tcPr>
          <w:p>
            <w:pPr>
              <w:jc w:val="right"/>
              <w:ind w:right="60"/>
              <w:spacing w:after="0" w:line="129" w:lineRule="exact"/>
              <w:rPr>
                <w:sz w:val="20"/>
                <w:szCs w:val="20"/>
                <w:color w:val="auto"/>
              </w:rPr>
            </w:pPr>
            <w:r>
              <w:rPr>
                <w:rFonts w:ascii="Arial" w:cs="Arial" w:eastAsia="Arial" w:hAnsi="Arial"/>
                <w:sz w:val="14"/>
                <w:szCs w:val="14"/>
                <w:b w:val="1"/>
                <w:bCs w:val="1"/>
                <w:color w:val="auto"/>
                <w:w w:val="93"/>
              </w:rPr>
              <w:t>May 2,</w:t>
            </w:r>
          </w:p>
        </w:tc>
        <w:tc>
          <w:tcPr>
            <w:tcW w:w="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3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80" w:type="dxa"/>
            <w:vAlign w:val="bottom"/>
            <w:tcBorders>
              <w:bottom w:val="single" w:sz="8" w:color="auto"/>
            </w:tcBorders>
            <w:gridSpan w:val="2"/>
          </w:tcPr>
          <w:p>
            <w:pPr>
              <w:jc w:val="right"/>
              <w:ind w:right="120"/>
              <w:spacing w:after="0"/>
              <w:rPr>
                <w:sz w:val="20"/>
                <w:szCs w:val="20"/>
                <w:color w:val="auto"/>
              </w:rPr>
            </w:pPr>
            <w:r>
              <w:rPr>
                <w:rFonts w:ascii="Arial" w:cs="Arial" w:eastAsia="Arial" w:hAnsi="Arial"/>
                <w:sz w:val="14"/>
                <w:szCs w:val="14"/>
                <w:b w:val="1"/>
                <w:bCs w:val="1"/>
                <w:color w:val="auto"/>
              </w:rPr>
              <w:t>2010</w:t>
            </w:r>
          </w:p>
        </w:tc>
        <w:tc>
          <w:tcPr>
            <w:tcW w:w="2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80" w:type="dxa"/>
            <w:vAlign w:val="bottom"/>
            <w:tcBorders>
              <w:bottom w:val="single" w:sz="8" w:color="auto"/>
            </w:tcBorders>
            <w:gridSpan w:val="2"/>
          </w:tcPr>
          <w:p>
            <w:pPr>
              <w:jc w:val="right"/>
              <w:ind w:right="120"/>
              <w:spacing w:after="0"/>
              <w:rPr>
                <w:sz w:val="20"/>
                <w:szCs w:val="20"/>
                <w:color w:val="auto"/>
              </w:rPr>
            </w:pPr>
            <w:r>
              <w:rPr>
                <w:rFonts w:ascii="Arial" w:cs="Arial" w:eastAsia="Arial" w:hAnsi="Arial"/>
                <w:sz w:val="14"/>
                <w:szCs w:val="14"/>
                <w:b w:val="1"/>
                <w:bCs w:val="1"/>
                <w:color w:val="auto"/>
              </w:rPr>
              <w:t>2009</w:t>
            </w:r>
          </w:p>
        </w:tc>
        <w:tc>
          <w:tcPr>
            <w:tcW w:w="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080" w:type="dxa"/>
            <w:vAlign w:val="bottom"/>
            <w:gridSpan w:val="4"/>
            <w:shd w:val="clear" w:color="auto" w:fill="CCEEFF"/>
          </w:tcPr>
          <w:p>
            <w:pPr>
              <w:jc w:val="right"/>
              <w:ind w:right="80"/>
              <w:spacing w:after="0"/>
              <w:rPr>
                <w:sz w:val="20"/>
                <w:szCs w:val="20"/>
                <w:color w:val="auto"/>
              </w:rPr>
            </w:pPr>
            <w:r>
              <w:rPr>
                <w:rFonts w:ascii="Arial" w:cs="Arial" w:eastAsia="Arial" w:hAnsi="Arial"/>
                <w:sz w:val="18"/>
                <w:szCs w:val="18"/>
                <w:color w:val="auto"/>
              </w:rPr>
              <w:t>100.0%</w:t>
            </w:r>
          </w:p>
        </w:tc>
        <w:tc>
          <w:tcPr>
            <w:tcW w:w="1280" w:type="dxa"/>
            <w:vAlign w:val="bottom"/>
            <w:gridSpan w:val="5"/>
            <w:shd w:val="clear" w:color="auto" w:fill="CCEEFF"/>
          </w:tcPr>
          <w:p>
            <w:pPr>
              <w:jc w:val="right"/>
              <w:ind w:right="46"/>
              <w:spacing w:after="0"/>
              <w:rPr>
                <w:sz w:val="20"/>
                <w:szCs w:val="20"/>
                <w:color w:val="auto"/>
              </w:rPr>
            </w:pPr>
            <w:r>
              <w:rPr>
                <w:rFonts w:ascii="Arial" w:cs="Arial" w:eastAsia="Arial" w:hAnsi="Arial"/>
                <w:sz w:val="18"/>
                <w:szCs w:val="18"/>
                <w:color w:val="auto"/>
              </w:rPr>
              <w:t>100.0%</w:t>
            </w: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32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4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Cost of goods sold</w:t>
            </w:r>
          </w:p>
        </w:tc>
        <w:tc>
          <w:tcPr>
            <w:tcW w:w="8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40.2</w:t>
            </w:r>
          </w:p>
        </w:tc>
        <w:tc>
          <w:tcPr>
            <w:tcW w:w="200" w:type="dxa"/>
            <w:vAlign w:val="bottom"/>
            <w:shd w:val="clear" w:color="auto" w:fill="CCEEFF"/>
          </w:tcPr>
          <w:p>
            <w:pPr>
              <w:spacing w:after="0"/>
              <w:rPr>
                <w:sz w:val="18"/>
                <w:szCs w:val="18"/>
                <w:color w:val="auto"/>
              </w:rPr>
            </w:pPr>
          </w:p>
        </w:tc>
        <w:tc>
          <w:tcPr>
            <w:tcW w:w="10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49.4</w:t>
            </w:r>
          </w:p>
        </w:tc>
        <w:tc>
          <w:tcPr>
            <w:tcW w:w="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320" w:type="dxa"/>
            <w:vAlign w:val="bottom"/>
          </w:tcPr>
          <w:p>
            <w:pPr>
              <w:ind w:left="440"/>
              <w:spacing w:after="0"/>
              <w:rPr>
                <w:sz w:val="20"/>
                <w:szCs w:val="20"/>
                <w:color w:val="auto"/>
              </w:rPr>
            </w:pPr>
            <w:r>
              <w:rPr>
                <w:rFonts w:ascii="Arial" w:cs="Arial" w:eastAsia="Arial" w:hAnsi="Arial"/>
                <w:sz w:val="18"/>
                <w:szCs w:val="18"/>
                <w:color w:val="auto"/>
              </w:rPr>
              <w:t>Research and development</w:t>
            </w:r>
          </w:p>
        </w:tc>
        <w:tc>
          <w:tcPr>
            <w:tcW w:w="880" w:type="dxa"/>
            <w:vAlign w:val="bottom"/>
            <w:gridSpan w:val="3"/>
          </w:tcPr>
          <w:p>
            <w:pPr>
              <w:jc w:val="right"/>
              <w:ind w:right="20"/>
              <w:spacing w:after="0"/>
              <w:rPr>
                <w:sz w:val="20"/>
                <w:szCs w:val="20"/>
                <w:color w:val="auto"/>
              </w:rPr>
            </w:pPr>
            <w:r>
              <w:rPr>
                <w:rFonts w:ascii="Arial" w:cs="Arial" w:eastAsia="Arial" w:hAnsi="Arial"/>
                <w:sz w:val="18"/>
                <w:szCs w:val="18"/>
                <w:color w:val="auto"/>
              </w:rPr>
              <w:t>25.6</w:t>
            </w:r>
          </w:p>
        </w:tc>
        <w:tc>
          <w:tcPr>
            <w:tcW w:w="200" w:type="dxa"/>
            <w:vAlign w:val="bottom"/>
          </w:tcPr>
          <w:p>
            <w:pPr>
              <w:spacing w:after="0"/>
              <w:rPr>
                <w:sz w:val="18"/>
                <w:szCs w:val="18"/>
                <w:color w:val="auto"/>
              </w:rPr>
            </w:pP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39.6</w:t>
            </w:r>
          </w:p>
        </w:tc>
        <w:tc>
          <w:tcPr>
            <w:tcW w:w="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Selling and marketing</w:t>
            </w:r>
          </w:p>
        </w:tc>
        <w:tc>
          <w:tcPr>
            <w:tcW w:w="8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4.5</w:t>
            </w:r>
          </w:p>
        </w:tc>
        <w:tc>
          <w:tcPr>
            <w:tcW w:w="200" w:type="dxa"/>
            <w:vAlign w:val="bottom"/>
            <w:shd w:val="clear" w:color="auto" w:fill="CCEEFF"/>
          </w:tcPr>
          <w:p>
            <w:pPr>
              <w:spacing w:after="0"/>
              <w:rPr>
                <w:sz w:val="18"/>
                <w:szCs w:val="18"/>
                <w:color w:val="auto"/>
              </w:rPr>
            </w:pPr>
          </w:p>
        </w:tc>
        <w:tc>
          <w:tcPr>
            <w:tcW w:w="10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6.5</w:t>
            </w:r>
          </w:p>
        </w:tc>
        <w:tc>
          <w:tcPr>
            <w:tcW w:w="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320" w:type="dxa"/>
            <w:vAlign w:val="bottom"/>
          </w:tcPr>
          <w:p>
            <w:pPr>
              <w:ind w:left="440"/>
              <w:spacing w:after="0"/>
              <w:rPr>
                <w:sz w:val="20"/>
                <w:szCs w:val="20"/>
                <w:color w:val="auto"/>
              </w:rPr>
            </w:pPr>
            <w:r>
              <w:rPr>
                <w:rFonts w:ascii="Arial" w:cs="Arial" w:eastAsia="Arial" w:hAnsi="Arial"/>
                <w:sz w:val="18"/>
                <w:szCs w:val="18"/>
                <w:color w:val="auto"/>
              </w:rPr>
              <w:t>General and administrative</w:t>
            </w:r>
          </w:p>
        </w:tc>
        <w:tc>
          <w:tcPr>
            <w:tcW w:w="880" w:type="dxa"/>
            <w:vAlign w:val="bottom"/>
            <w:gridSpan w:val="3"/>
          </w:tcPr>
          <w:p>
            <w:pPr>
              <w:jc w:val="right"/>
              <w:ind w:right="20"/>
              <w:spacing w:after="0"/>
              <w:rPr>
                <w:sz w:val="20"/>
                <w:szCs w:val="20"/>
                <w:color w:val="auto"/>
              </w:rPr>
            </w:pPr>
            <w:r>
              <w:rPr>
                <w:rFonts w:ascii="Arial" w:cs="Arial" w:eastAsia="Arial" w:hAnsi="Arial"/>
                <w:sz w:val="18"/>
                <w:szCs w:val="18"/>
                <w:color w:val="auto"/>
              </w:rPr>
              <w:t>2.7</w:t>
            </w:r>
          </w:p>
        </w:tc>
        <w:tc>
          <w:tcPr>
            <w:tcW w:w="200" w:type="dxa"/>
            <w:vAlign w:val="bottom"/>
          </w:tcPr>
          <w:p>
            <w:pPr>
              <w:spacing w:after="0"/>
              <w:rPr>
                <w:sz w:val="18"/>
                <w:szCs w:val="18"/>
                <w:color w:val="auto"/>
              </w:rPr>
            </w:pP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19.7</w:t>
            </w:r>
          </w:p>
        </w:tc>
        <w:tc>
          <w:tcPr>
            <w:tcW w:w="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Amortization and write-off of acquired intangible assets</w:t>
            </w:r>
          </w:p>
        </w:tc>
        <w:tc>
          <w:tcPr>
            <w:tcW w:w="400" w:type="dxa"/>
            <w:vAlign w:val="bottom"/>
            <w:shd w:val="clear" w:color="auto" w:fill="CCEEFF"/>
          </w:tcPr>
          <w:p>
            <w:pPr>
              <w:spacing w:after="0"/>
              <w:rPr>
                <w:sz w:val="18"/>
                <w:szCs w:val="18"/>
                <w:color w:val="auto"/>
              </w:rPr>
            </w:pPr>
          </w:p>
        </w:tc>
        <w:tc>
          <w:tcPr>
            <w:tcW w:w="480" w:type="dxa"/>
            <w:vAlign w:val="bottom"/>
            <w:tcBorders>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2.6</w:t>
            </w: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5.8</w:t>
            </w:r>
          </w:p>
        </w:tc>
        <w:tc>
          <w:tcPr>
            <w:tcW w:w="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68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632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400" w:type="dxa"/>
            <w:vAlign w:val="bottom"/>
          </w:tcPr>
          <w:p>
            <w:pPr>
              <w:spacing w:after="0"/>
              <w:rPr>
                <w:sz w:val="20"/>
                <w:szCs w:val="20"/>
                <w:color w:val="auto"/>
              </w:rPr>
            </w:pPr>
          </w:p>
        </w:tc>
        <w:tc>
          <w:tcPr>
            <w:tcW w:w="48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75.6</w:t>
            </w:r>
          </w:p>
        </w:tc>
        <w:tc>
          <w:tcPr>
            <w:tcW w:w="2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4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121.0</w:t>
            </w:r>
          </w:p>
        </w:tc>
        <w:tc>
          <w:tcPr>
            <w:tcW w:w="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6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8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24.4</w:t>
            </w:r>
          </w:p>
        </w:tc>
        <w:tc>
          <w:tcPr>
            <w:tcW w:w="200" w:type="dxa"/>
            <w:vAlign w:val="bottom"/>
            <w:shd w:val="clear" w:color="auto" w:fill="CCEEFF"/>
          </w:tcPr>
          <w:p>
            <w:pPr>
              <w:spacing w:after="0"/>
              <w:rPr>
                <w:sz w:val="18"/>
                <w:szCs w:val="18"/>
                <w:color w:val="auto"/>
              </w:rPr>
            </w:pPr>
          </w:p>
        </w:tc>
        <w:tc>
          <w:tcPr>
            <w:tcW w:w="10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(21.0)</w:t>
            </w:r>
          </w:p>
        </w:tc>
        <w:tc>
          <w:tcPr>
            <w:tcW w:w="200" w:type="dxa"/>
            <w:vAlign w:val="bottom"/>
            <w:shd w:val="clear" w:color="auto" w:fill="CCEEFF"/>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320" w:type="dxa"/>
            <w:vAlign w:val="bottom"/>
          </w:tcPr>
          <w:p>
            <w:pPr>
              <w:spacing w:after="0"/>
              <w:rPr>
                <w:sz w:val="20"/>
                <w:szCs w:val="20"/>
                <w:color w:val="auto"/>
              </w:rPr>
            </w:pPr>
            <w:r>
              <w:rPr>
                <w:rFonts w:ascii="Arial" w:cs="Arial" w:eastAsia="Arial" w:hAnsi="Arial"/>
                <w:sz w:val="18"/>
                <w:szCs w:val="18"/>
                <w:color w:val="auto"/>
              </w:rPr>
              <w:t>Interest and other expense, net</w:t>
            </w:r>
          </w:p>
        </w:tc>
        <w:tc>
          <w:tcPr>
            <w:tcW w:w="1080" w:type="dxa"/>
            <w:vAlign w:val="bottom"/>
            <w:gridSpan w:val="4"/>
          </w:tcPr>
          <w:p>
            <w:pPr>
              <w:jc w:val="right"/>
              <w:ind w:right="160"/>
              <w:spacing w:after="0"/>
              <w:rPr>
                <w:sz w:val="20"/>
                <w:szCs w:val="20"/>
                <w:color w:val="auto"/>
              </w:rPr>
            </w:pPr>
            <w:r>
              <w:rPr>
                <w:rFonts w:ascii="Arial" w:cs="Arial" w:eastAsia="Arial" w:hAnsi="Arial"/>
                <w:sz w:val="18"/>
                <w:szCs w:val="18"/>
                <w:color w:val="auto"/>
              </w:rPr>
              <w:t>(0.4)</w:t>
            </w: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0.0</w:t>
            </w:r>
          </w:p>
        </w:tc>
        <w:tc>
          <w:tcPr>
            <w:tcW w:w="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400" w:type="dxa"/>
            <w:vAlign w:val="bottom"/>
            <w:shd w:val="clear" w:color="auto" w:fill="CCEEFF"/>
          </w:tcPr>
          <w:p>
            <w:pPr>
              <w:spacing w:after="0"/>
              <w:rPr>
                <w:sz w:val="18"/>
                <w:szCs w:val="18"/>
                <w:color w:val="auto"/>
              </w:rPr>
            </w:pPr>
          </w:p>
        </w:tc>
        <w:tc>
          <w:tcPr>
            <w:tcW w:w="480" w:type="dxa"/>
            <w:vAlign w:val="bottom"/>
            <w:tcBorders>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0.0</w:t>
            </w:r>
          </w:p>
        </w:tc>
        <w:tc>
          <w:tcPr>
            <w:tcW w:w="20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0.0</w:t>
            </w:r>
          </w:p>
        </w:tc>
        <w:tc>
          <w:tcPr>
            <w:tcW w:w="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680" w:type="dxa"/>
            <w:vAlign w:val="bottom"/>
          </w:tcPr>
          <w:p>
            <w:pPr>
              <w:spacing w:after="0"/>
              <w:rPr>
                <w:sz w:val="19"/>
                <w:szCs w:val="19"/>
                <w:color w:val="auto"/>
              </w:rPr>
            </w:pPr>
          </w:p>
        </w:tc>
        <w:tc>
          <w:tcPr>
            <w:tcW w:w="6780" w:type="dxa"/>
            <w:vAlign w:val="bottom"/>
            <w:gridSpan w:val="2"/>
          </w:tcPr>
          <w:p>
            <w:pPr>
              <w:ind w:left="460"/>
              <w:spacing w:after="0"/>
              <w:rPr>
                <w:sz w:val="20"/>
                <w:szCs w:val="20"/>
                <w:color w:val="auto"/>
              </w:rPr>
            </w:pPr>
            <w:r>
              <w:rPr>
                <w:rFonts w:ascii="Arial" w:cs="Arial" w:eastAsia="Arial" w:hAnsi="Arial"/>
                <w:sz w:val="18"/>
                <w:szCs w:val="18"/>
                <w:color w:val="auto"/>
              </w:rPr>
              <w:t>Income (loss) before income taxes</w:t>
            </w:r>
          </w:p>
        </w:tc>
        <w:tc>
          <w:tcPr>
            <w:tcW w:w="880" w:type="dxa"/>
            <w:vAlign w:val="bottom"/>
            <w:gridSpan w:val="3"/>
          </w:tcPr>
          <w:p>
            <w:pPr>
              <w:jc w:val="right"/>
              <w:ind w:right="20"/>
              <w:spacing w:after="0"/>
              <w:rPr>
                <w:sz w:val="20"/>
                <w:szCs w:val="20"/>
                <w:color w:val="auto"/>
              </w:rPr>
            </w:pPr>
            <w:r>
              <w:rPr>
                <w:rFonts w:ascii="Arial" w:cs="Arial" w:eastAsia="Arial" w:hAnsi="Arial"/>
                <w:sz w:val="18"/>
                <w:szCs w:val="18"/>
                <w:color w:val="auto"/>
              </w:rPr>
              <w:t>24.0</w:t>
            </w:r>
          </w:p>
        </w:tc>
        <w:tc>
          <w:tcPr>
            <w:tcW w:w="200" w:type="dxa"/>
            <w:vAlign w:val="bottom"/>
          </w:tcPr>
          <w:p>
            <w:pPr>
              <w:spacing w:after="0"/>
              <w:rPr>
                <w:sz w:val="19"/>
                <w:szCs w:val="19"/>
                <w:color w:val="auto"/>
              </w:rPr>
            </w:pPr>
          </w:p>
        </w:tc>
        <w:tc>
          <w:tcPr>
            <w:tcW w:w="1080" w:type="dxa"/>
            <w:vAlign w:val="bottom"/>
            <w:gridSpan w:val="4"/>
          </w:tcPr>
          <w:p>
            <w:pPr>
              <w:jc w:val="right"/>
              <w:spacing w:after="0"/>
              <w:rPr>
                <w:sz w:val="20"/>
                <w:szCs w:val="20"/>
                <w:color w:val="auto"/>
              </w:rPr>
            </w:pPr>
            <w:r>
              <w:rPr>
                <w:rFonts w:ascii="Arial" w:cs="Arial" w:eastAsia="Arial" w:hAnsi="Arial"/>
                <w:sz w:val="18"/>
                <w:szCs w:val="18"/>
                <w:color w:val="auto"/>
              </w:rPr>
              <w:t>(21.0)</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6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40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(0.1)</w:t>
            </w:r>
          </w:p>
        </w:tc>
        <w:tc>
          <w:tcPr>
            <w:tcW w:w="10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0.4</w:t>
            </w:r>
          </w:p>
        </w:tc>
        <w:tc>
          <w:tcPr>
            <w:tcW w:w="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80" w:type="dxa"/>
            <w:vAlign w:val="bottom"/>
          </w:tcPr>
          <w:p>
            <w:pPr>
              <w:spacing w:after="0" w:line="20" w:lineRule="exact"/>
              <w:rPr>
                <w:sz w:val="1"/>
                <w:szCs w:val="1"/>
                <w:color w:val="auto"/>
              </w:rPr>
            </w:pPr>
          </w:p>
        </w:tc>
        <w:tc>
          <w:tcPr>
            <w:tcW w:w="6780" w:type="dxa"/>
            <w:vAlign w:val="bottom"/>
            <w:gridSpan w:val="2"/>
            <w:vMerge w:val="restart"/>
          </w:tcPr>
          <w:p>
            <w:pPr>
              <w:ind w:left="460"/>
              <w:spacing w:after="0"/>
              <w:rPr>
                <w:sz w:val="20"/>
                <w:szCs w:val="20"/>
                <w:color w:val="auto"/>
              </w:rPr>
            </w:pPr>
            <w:r>
              <w:rPr>
                <w:rFonts w:ascii="Arial" w:cs="Arial" w:eastAsia="Arial" w:hAnsi="Arial"/>
                <w:sz w:val="18"/>
                <w:szCs w:val="18"/>
                <w:color w:val="auto"/>
              </w:rPr>
              <w:t>Net income (loss)</w:t>
            </w:r>
          </w:p>
        </w:tc>
        <w:tc>
          <w:tcPr>
            <w:tcW w:w="40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260" w:type="dxa"/>
            <w:vAlign w:val="bottom"/>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680" w:type="dxa"/>
            <w:vAlign w:val="bottom"/>
          </w:tcPr>
          <w:p>
            <w:pPr>
              <w:spacing w:after="0"/>
              <w:rPr>
                <w:sz w:val="19"/>
                <w:szCs w:val="19"/>
                <w:color w:val="auto"/>
              </w:rPr>
            </w:pPr>
          </w:p>
        </w:tc>
        <w:tc>
          <w:tcPr>
            <w:tcW w:w="6780" w:type="dxa"/>
            <w:vAlign w:val="bottom"/>
            <w:gridSpan w:val="2"/>
            <w:vMerge w:val="continue"/>
          </w:tcPr>
          <w:p>
            <w:pPr>
              <w:spacing w:after="0"/>
              <w:rPr>
                <w:sz w:val="19"/>
                <w:szCs w:val="19"/>
                <w:color w:val="auto"/>
              </w:rPr>
            </w:pPr>
          </w:p>
        </w:tc>
        <w:tc>
          <w:tcPr>
            <w:tcW w:w="400" w:type="dxa"/>
            <w:vAlign w:val="bottom"/>
          </w:tcPr>
          <w:p>
            <w:pPr>
              <w:spacing w:after="0"/>
              <w:rPr>
                <w:sz w:val="19"/>
                <w:szCs w:val="19"/>
                <w:color w:val="auto"/>
              </w:rPr>
            </w:pPr>
          </w:p>
        </w:tc>
        <w:tc>
          <w:tcPr>
            <w:tcW w:w="680" w:type="dxa"/>
            <w:vAlign w:val="bottom"/>
            <w:gridSpan w:val="3"/>
          </w:tcPr>
          <w:p>
            <w:pPr>
              <w:jc w:val="right"/>
              <w:ind w:right="80"/>
              <w:spacing w:after="0"/>
              <w:rPr>
                <w:sz w:val="20"/>
                <w:szCs w:val="20"/>
                <w:color w:val="auto"/>
              </w:rPr>
            </w:pPr>
            <w:r>
              <w:rPr>
                <w:rFonts w:ascii="Arial" w:cs="Arial" w:eastAsia="Arial" w:hAnsi="Arial"/>
                <w:sz w:val="18"/>
                <w:szCs w:val="18"/>
                <w:color w:val="auto"/>
              </w:rPr>
              <w:t>24.1%</w:t>
            </w:r>
          </w:p>
        </w:tc>
        <w:tc>
          <w:tcPr>
            <w:tcW w:w="1280" w:type="dxa"/>
            <w:vAlign w:val="bottom"/>
            <w:gridSpan w:val="5"/>
          </w:tcPr>
          <w:p>
            <w:pPr>
              <w:jc w:val="right"/>
              <w:spacing w:after="0"/>
              <w:rPr>
                <w:sz w:val="20"/>
                <w:szCs w:val="20"/>
                <w:color w:val="auto"/>
              </w:rPr>
            </w:pPr>
            <w:r>
              <w:rPr>
                <w:rFonts w:ascii="Arial" w:cs="Arial" w:eastAsia="Arial" w:hAnsi="Arial"/>
                <w:sz w:val="18"/>
                <w:szCs w:val="18"/>
                <w:color w:val="auto"/>
              </w:rPr>
              <w:t>(21.4)%</w:t>
            </w: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7460" w:type="dxa"/>
            <w:vAlign w:val="bottom"/>
            <w:gridSpan w:val="3"/>
            <w:vMerge w:val="restart"/>
          </w:tcPr>
          <w:p>
            <w:pPr>
              <w:spacing w:after="0"/>
              <w:rPr>
                <w:sz w:val="20"/>
                <w:szCs w:val="20"/>
                <w:color w:val="auto"/>
              </w:rPr>
            </w:pPr>
            <w:r>
              <w:rPr>
                <w:rFonts w:ascii="Arial" w:cs="Arial" w:eastAsia="Arial" w:hAnsi="Arial"/>
                <w:sz w:val="18"/>
                <w:szCs w:val="18"/>
                <w:b w:val="1"/>
                <w:bCs w:val="1"/>
                <w:i w:val="1"/>
                <w:iCs w:val="1"/>
                <w:color w:val="auto"/>
              </w:rPr>
              <w:t>Three Months Ended May 1, 2010 and May 2, 2009</w:t>
            </w:r>
          </w:p>
        </w:tc>
        <w:tc>
          <w:tcPr>
            <w:tcW w:w="40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7460" w:type="dxa"/>
            <w:vAlign w:val="bottom"/>
            <w:gridSpan w:val="3"/>
            <w:vMerge w:val="continue"/>
          </w:tcPr>
          <w:p>
            <w:pPr>
              <w:spacing w:after="0"/>
              <w:rPr>
                <w:sz w:val="24"/>
                <w:szCs w:val="24"/>
                <w:color w:val="auto"/>
              </w:rPr>
            </w:pPr>
          </w:p>
        </w:tc>
        <w:tc>
          <w:tcPr>
            <w:tcW w:w="4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7460" w:type="dxa"/>
            <w:vAlign w:val="bottom"/>
            <w:gridSpan w:val="3"/>
          </w:tcPr>
          <w:p>
            <w:pPr>
              <w:spacing w:after="0"/>
              <w:rPr>
                <w:sz w:val="20"/>
                <w:szCs w:val="20"/>
                <w:color w:val="auto"/>
              </w:rPr>
            </w:pPr>
            <w:r>
              <w:rPr>
                <w:rFonts w:ascii="Arial" w:cs="Arial" w:eastAsia="Arial" w:hAnsi="Arial"/>
                <w:sz w:val="18"/>
                <w:szCs w:val="18"/>
                <w:i w:val="1"/>
                <w:iCs w:val="1"/>
                <w:color w:val="auto"/>
              </w:rPr>
              <w:t>Net Revenue</w:t>
            </w:r>
          </w:p>
        </w:tc>
        <w:tc>
          <w:tcPr>
            <w:tcW w:w="4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6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320" w:type="dxa"/>
            <w:vAlign w:val="bottom"/>
          </w:tcPr>
          <w:p>
            <w:pPr>
              <w:spacing w:after="0"/>
              <w:rPr>
                <w:sz w:val="24"/>
                <w:szCs w:val="24"/>
                <w:color w:val="auto"/>
              </w:rPr>
            </w:pPr>
          </w:p>
        </w:tc>
        <w:tc>
          <w:tcPr>
            <w:tcW w:w="2160" w:type="dxa"/>
            <w:vAlign w:val="bottom"/>
            <w:gridSpan w:val="8"/>
          </w:tcPr>
          <w:p>
            <w:pPr>
              <w:jc w:val="right"/>
              <w:ind w:right="66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320" w:type="dxa"/>
            <w:vAlign w:val="bottom"/>
          </w:tcPr>
          <w:p>
            <w:pPr>
              <w:spacing w:after="0"/>
              <w:rPr>
                <w:sz w:val="11"/>
                <w:szCs w:val="11"/>
                <w:color w:val="auto"/>
              </w:rPr>
            </w:pPr>
          </w:p>
        </w:tc>
        <w:tc>
          <w:tcPr>
            <w:tcW w:w="1080" w:type="dxa"/>
            <w:vAlign w:val="bottom"/>
            <w:tcBorders>
              <w:top w:val="single" w:sz="8" w:color="auto"/>
            </w:tcBorders>
            <w:gridSpan w:val="4"/>
          </w:tcPr>
          <w:p>
            <w:pPr>
              <w:jc w:val="right"/>
              <w:ind w:right="540"/>
              <w:spacing w:after="0" w:line="129" w:lineRule="exact"/>
              <w:rPr>
                <w:sz w:val="20"/>
                <w:szCs w:val="20"/>
                <w:color w:val="auto"/>
              </w:rPr>
            </w:pPr>
            <w:r>
              <w:rPr>
                <w:rFonts w:ascii="Arial" w:cs="Arial" w:eastAsia="Arial" w:hAnsi="Arial"/>
                <w:sz w:val="14"/>
                <w:szCs w:val="14"/>
                <w:b w:val="1"/>
                <w:bCs w:val="1"/>
                <w:color w:val="auto"/>
              </w:rPr>
              <w:t>May 1,</w:t>
            </w:r>
          </w:p>
        </w:tc>
        <w:tc>
          <w:tcPr>
            <w:tcW w:w="70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8"/>
              </w:rPr>
              <w:t>May 2,</w:t>
            </w:r>
          </w:p>
        </w:tc>
        <w:tc>
          <w:tcPr>
            <w:tcW w:w="380" w:type="dxa"/>
            <w:vAlign w:val="bottom"/>
            <w:gridSpan w:val="2"/>
          </w:tcPr>
          <w:p>
            <w:pPr>
              <w:spacing w:after="0"/>
              <w:rPr>
                <w:sz w:val="11"/>
                <w:szCs w:val="11"/>
                <w:color w:val="auto"/>
              </w:rPr>
            </w:pPr>
          </w:p>
        </w:tc>
        <w:tc>
          <w:tcPr>
            <w:tcW w:w="440" w:type="dxa"/>
            <w:vAlign w:val="bottom"/>
            <w:gridSpan w:val="2"/>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6320" w:type="dxa"/>
            <w:vAlign w:val="bottom"/>
          </w:tcPr>
          <w:p>
            <w:pPr>
              <w:spacing w:after="0"/>
              <w:rPr>
                <w:sz w:val="14"/>
                <w:szCs w:val="14"/>
                <w:color w:val="auto"/>
              </w:rPr>
            </w:pPr>
          </w:p>
        </w:tc>
        <w:tc>
          <w:tcPr>
            <w:tcW w:w="700" w:type="dxa"/>
            <w:vAlign w:val="bottom"/>
            <w:tcBorders>
              <w:bottom w:val="single" w:sz="8" w:color="auto"/>
            </w:tcBorders>
            <w:gridSpan w:val="2"/>
          </w:tcPr>
          <w:p>
            <w:pPr>
              <w:jc w:val="right"/>
              <w:ind w:right="140"/>
              <w:spacing w:after="0"/>
              <w:rPr>
                <w:sz w:val="20"/>
                <w:szCs w:val="20"/>
                <w:color w:val="auto"/>
              </w:rPr>
            </w:pPr>
            <w:r>
              <w:rPr>
                <w:rFonts w:ascii="Arial" w:cs="Arial" w:eastAsia="Arial" w:hAnsi="Arial"/>
                <w:sz w:val="14"/>
                <w:szCs w:val="14"/>
                <w:b w:val="1"/>
                <w:bCs w:val="1"/>
                <w:color w:val="auto"/>
              </w:rPr>
              <w:t>2010</w:t>
            </w:r>
          </w:p>
        </w:tc>
        <w:tc>
          <w:tcPr>
            <w:tcW w:w="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40" w:type="dxa"/>
            <w:vAlign w:val="bottom"/>
            <w:tcBorders>
              <w:bottom w:val="single" w:sz="8" w:color="auto"/>
            </w:tcBorders>
          </w:tcPr>
          <w:p>
            <w:pPr>
              <w:jc w:val="center"/>
              <w:ind w:left="75"/>
              <w:spacing w:after="0"/>
              <w:rPr>
                <w:sz w:val="20"/>
                <w:szCs w:val="20"/>
                <w:color w:val="auto"/>
              </w:rPr>
            </w:pPr>
            <w:r>
              <w:rPr>
                <w:rFonts w:ascii="Arial" w:cs="Arial" w:eastAsia="Arial" w:hAnsi="Arial"/>
                <w:sz w:val="14"/>
                <w:szCs w:val="14"/>
                <w:b w:val="1"/>
                <w:bCs w:val="1"/>
                <w:color w:val="auto"/>
                <w:w w:val="83"/>
              </w:rPr>
              <w:t>2009</w:t>
            </w:r>
          </w:p>
        </w:tc>
        <w:tc>
          <w:tcPr>
            <w:tcW w:w="160" w:type="dxa"/>
            <w:vAlign w:val="bottom"/>
            <w:tcBorders>
              <w:bottom w:val="single" w:sz="8" w:color="auto"/>
            </w:tcBorders>
          </w:tcPr>
          <w:p>
            <w:pPr>
              <w:spacing w:after="0"/>
              <w:rPr>
                <w:sz w:val="14"/>
                <w:szCs w:val="14"/>
                <w:color w:val="auto"/>
              </w:rPr>
            </w:pPr>
          </w:p>
        </w:tc>
        <w:tc>
          <w:tcPr>
            <w:tcW w:w="3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4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81"/>
              </w:rPr>
              <w:t>Change</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6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6320" w:type="dxa"/>
            <w:vAlign w:val="bottom"/>
          </w:tcPr>
          <w:p>
            <w:pPr>
              <w:spacing w:after="0"/>
              <w:rPr>
                <w:sz w:val="12"/>
                <w:szCs w:val="12"/>
                <w:color w:val="auto"/>
              </w:rPr>
            </w:pPr>
          </w:p>
        </w:tc>
        <w:tc>
          <w:tcPr>
            <w:tcW w:w="2160" w:type="dxa"/>
            <w:vAlign w:val="bottom"/>
            <w:gridSpan w:val="8"/>
          </w:tcPr>
          <w:p>
            <w:pPr>
              <w:jc w:val="right"/>
              <w:spacing w:after="0" w:line="142" w:lineRule="exact"/>
              <w:rPr>
                <w:sz w:val="20"/>
                <w:szCs w:val="20"/>
                <w:color w:val="auto"/>
              </w:rPr>
            </w:pPr>
            <w:r>
              <w:rPr>
                <w:rFonts w:ascii="Arial" w:cs="Arial" w:eastAsia="Arial" w:hAnsi="Arial"/>
                <w:sz w:val="14"/>
                <w:szCs w:val="14"/>
                <w:b w:val="1"/>
                <w:bCs w:val="1"/>
                <w:color w:val="auto"/>
                <w:w w:val="94"/>
              </w:rPr>
              <w:t>(in thousands, except percentage)</w:t>
            </w:r>
          </w:p>
        </w:tc>
        <w:tc>
          <w:tcPr>
            <w:tcW w:w="440" w:type="dxa"/>
            <w:vAlign w:val="bottom"/>
            <w:gridSpan w:val="2"/>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80" w:type="dxa"/>
            <w:vAlign w:val="bottom"/>
          </w:tcPr>
          <w:p>
            <w:pPr>
              <w:spacing w:after="0"/>
              <w:rPr>
                <w:sz w:val="18"/>
                <w:szCs w:val="18"/>
                <w:color w:val="auto"/>
              </w:rPr>
            </w:pPr>
          </w:p>
        </w:tc>
        <w:tc>
          <w:tcPr>
            <w:tcW w:w="67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4"/>
              </w:rPr>
              <w:t>$ 855,579</w:t>
            </w: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20" w:type="dxa"/>
            <w:vAlign w:val="bottom"/>
            <w:gridSpan w:val="3"/>
            <w:shd w:val="clear" w:color="auto" w:fill="CCEEFF"/>
          </w:tcPr>
          <w:p>
            <w:pPr>
              <w:jc w:val="center"/>
              <w:ind w:right="320"/>
              <w:spacing w:after="0"/>
              <w:rPr>
                <w:sz w:val="20"/>
                <w:szCs w:val="20"/>
                <w:color w:val="auto"/>
              </w:rPr>
            </w:pPr>
            <w:r>
              <w:rPr>
                <w:rFonts w:ascii="Arial" w:cs="Arial" w:eastAsia="Arial" w:hAnsi="Arial"/>
                <w:sz w:val="18"/>
                <w:szCs w:val="18"/>
                <w:color w:val="auto"/>
                <w:w w:val="87"/>
              </w:rPr>
              <w:t>$ 521,434</w:t>
            </w:r>
          </w:p>
        </w:tc>
        <w:tc>
          <w:tcPr>
            <w:tcW w:w="60" w:type="dxa"/>
            <w:vAlign w:val="bottom"/>
            <w:shd w:val="clear" w:color="auto" w:fill="CCEEFF"/>
          </w:tcPr>
          <w:p>
            <w:pPr>
              <w:spacing w:after="0"/>
              <w:rPr>
                <w:sz w:val="18"/>
                <w:szCs w:val="18"/>
                <w:color w:val="auto"/>
              </w:rPr>
            </w:pPr>
          </w:p>
        </w:tc>
        <w:tc>
          <w:tcPr>
            <w:tcW w:w="640" w:type="dxa"/>
            <w:vAlign w:val="bottom"/>
            <w:gridSpan w:val="3"/>
            <w:shd w:val="clear" w:color="auto" w:fill="CCEEFF"/>
          </w:tcPr>
          <w:p>
            <w:pPr>
              <w:ind w:left="140"/>
              <w:spacing w:after="0"/>
              <w:rPr>
                <w:sz w:val="20"/>
                <w:szCs w:val="20"/>
                <w:color w:val="auto"/>
              </w:rPr>
            </w:pPr>
            <w:r>
              <w:rPr>
                <w:rFonts w:ascii="Arial" w:cs="Arial" w:eastAsia="Arial" w:hAnsi="Arial"/>
                <w:sz w:val="18"/>
                <w:szCs w:val="18"/>
                <w:color w:val="auto"/>
                <w:w w:val="93"/>
              </w:rPr>
              <w:t>64.1%</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increase in net revenue for the three months ended May 1, 2010 compared to the three months ended May 2, 2009 reflected the improvement in overall economic conditions as well as the ramp of new products, new programs, and in certain cases, new customers. Greater than 50% of our new product revenue was the result of continued strong demand for our 3G communications processors and over 25% was due to demand for our new WiFi products, primarily our .11n Avastar ™ products. Our recent and planned future growth represented the benefits of</w:t>
      </w:r>
    </w:p>
    <w:p>
      <w:pPr>
        <w:spacing w:after="0" w:line="9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00"/>
          </w:cols>
          <w:pgMar w:left="240" w:top="459" w:right="2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90" w:lineRule="auto"/>
        <w:rPr>
          <w:sz w:val="20"/>
          <w:szCs w:val="20"/>
          <w:color w:val="auto"/>
        </w:rPr>
      </w:pPr>
      <w:r>
        <w:rPr>
          <w:rFonts w:ascii="Arial" w:cs="Arial" w:eastAsia="Arial" w:hAnsi="Arial"/>
          <w:sz w:val="16"/>
          <w:szCs w:val="16"/>
          <w:color w:val="auto"/>
        </w:rPr>
        <w:t>the significant efforts on new product and design wins over the past two years. Our storage business grew 59% in the three months ended May 1, 2010 compared to the three months ended May 2, 2009 contributing to more than half of our revenue. Within our mobile and wireless business, demand for our application and communication processors increased, helping the mobile and wireless business to grow 94% in the three months ended May 1, 2010 compared to the three months ended May 2, 2009. Our networking business represented approximately 20% of our business and grew by 49% in the three months ended May 1, 2010 compared to the three months ended May 2, 2009 as our enterprise switching and PHY products ramped up, offsetting declines in system controllers. We currently expect that revenue for the three months ended July 31, 2010 will increase moderately from the level of revenue that we reported for the three months ended May 1, 2010 as several of our new products continue to ramp.</w:t>
      </w:r>
    </w:p>
    <w:p>
      <w:pPr>
        <w:spacing w:after="0" w:line="118"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revenue. For the three months ended May 1, 2010, three customers each represented more than 10% of our net revenue, and totaled 48% of our net revenue. For the three months ended May 2, 2009, three customers represented more than 10% of our net revenue, with a total of 50% of our net revenue. No distributors accounted for more than 10% of our net revenue for the three months ended May 1, 2010 and May 2, 2009.</w:t>
      </w:r>
    </w:p>
    <w:p>
      <w:pPr>
        <w:spacing w:after="0" w:line="14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Because we sell our products to many OEM manufacturers who have manufacturing operations located in Asia, a significant percentage of our sales are made to customers located outside of the United States. Sales to customers located in Asia represented 85% and 88% of our net revenue for the three months ended May 1, 2010 and May 2, 2009, respectively. The rest of our sales are to customers located in the United States and other geographic regions. We expect that a significant portion of our revenue will continue to be represented by sales to our customers in Asia.</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260" w:type="dxa"/>
            <w:vAlign w:val="bottom"/>
          </w:tcPr>
          <w:p>
            <w:pPr>
              <w:spacing w:after="0"/>
              <w:rPr>
                <w:sz w:val="14"/>
                <w:szCs w:val="14"/>
                <w:color w:val="auto"/>
              </w:rPr>
            </w:pPr>
          </w:p>
        </w:tc>
        <w:tc>
          <w:tcPr>
            <w:tcW w:w="2680" w:type="dxa"/>
            <w:vAlign w:val="bottom"/>
            <w:gridSpan w:val="4"/>
          </w:tcPr>
          <w:p>
            <w:pPr>
              <w:jc w:val="right"/>
              <w:ind w:right="104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ind w:left="14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260" w:type="dxa"/>
            <w:vAlign w:val="bottom"/>
          </w:tcPr>
          <w:p>
            <w:pPr>
              <w:spacing w:after="0"/>
              <w:rPr>
                <w:sz w:val="11"/>
                <w:szCs w:val="11"/>
                <w:color w:val="auto"/>
              </w:rPr>
            </w:pPr>
          </w:p>
        </w:tc>
        <w:tc>
          <w:tcPr>
            <w:tcW w:w="1340" w:type="dxa"/>
            <w:vAlign w:val="bottom"/>
            <w:tcBorders>
              <w:top w:val="single" w:sz="8" w:color="auto"/>
            </w:tcBorders>
            <w:gridSpan w:val="2"/>
          </w:tcPr>
          <w:p>
            <w:pPr>
              <w:jc w:val="right"/>
              <w:ind w:right="780"/>
              <w:spacing w:after="0" w:line="129" w:lineRule="exact"/>
              <w:rPr>
                <w:sz w:val="20"/>
                <w:szCs w:val="20"/>
                <w:color w:val="auto"/>
              </w:rPr>
            </w:pPr>
            <w:r>
              <w:rPr>
                <w:rFonts w:ascii="Arial" w:cs="Arial" w:eastAsia="Arial" w:hAnsi="Arial"/>
                <w:sz w:val="14"/>
                <w:szCs w:val="14"/>
                <w:b w:val="1"/>
                <w:bCs w:val="1"/>
                <w:color w:val="auto"/>
              </w:rPr>
              <w:t>May 1,</w:t>
            </w:r>
          </w:p>
        </w:tc>
        <w:tc>
          <w:tcPr>
            <w:tcW w:w="720" w:type="dxa"/>
            <w:vAlign w:val="bottom"/>
            <w:tcBorders>
              <w:top w:val="single" w:sz="8" w:color="auto"/>
            </w:tcBorders>
          </w:tcPr>
          <w:p>
            <w:pPr>
              <w:jc w:val="right"/>
              <w:ind w:right="82"/>
              <w:spacing w:after="0" w:line="129" w:lineRule="exact"/>
              <w:rPr>
                <w:sz w:val="20"/>
                <w:szCs w:val="20"/>
                <w:color w:val="auto"/>
              </w:rPr>
            </w:pPr>
            <w:r>
              <w:rPr>
                <w:rFonts w:ascii="Arial" w:cs="Arial" w:eastAsia="Arial" w:hAnsi="Arial"/>
                <w:sz w:val="14"/>
                <w:szCs w:val="14"/>
                <w:b w:val="1"/>
                <w:bCs w:val="1"/>
                <w:color w:val="auto"/>
              </w:rPr>
              <w:t>May 2,</w:t>
            </w:r>
          </w:p>
        </w:tc>
        <w:tc>
          <w:tcPr>
            <w:tcW w:w="62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260" w:type="dxa"/>
            <w:vAlign w:val="bottom"/>
          </w:tcPr>
          <w:p>
            <w:pPr>
              <w:spacing w:after="0"/>
              <w:rPr>
                <w:sz w:val="14"/>
                <w:szCs w:val="14"/>
                <w:color w:val="auto"/>
              </w:rPr>
            </w:pPr>
          </w:p>
        </w:tc>
        <w:tc>
          <w:tcPr>
            <w:tcW w:w="720" w:type="dxa"/>
            <w:vAlign w:val="bottom"/>
            <w:tcBorders>
              <w:bottom w:val="single" w:sz="8" w:color="auto"/>
            </w:tcBorders>
          </w:tcPr>
          <w:p>
            <w:pPr>
              <w:jc w:val="right"/>
              <w:ind w:right="146"/>
              <w:spacing w:after="0"/>
              <w:rPr>
                <w:sz w:val="20"/>
                <w:szCs w:val="20"/>
                <w:color w:val="auto"/>
              </w:rPr>
            </w:pPr>
            <w:r>
              <w:rPr>
                <w:rFonts w:ascii="Arial" w:cs="Arial" w:eastAsia="Arial" w:hAnsi="Arial"/>
                <w:sz w:val="14"/>
                <w:szCs w:val="14"/>
                <w:b w:val="1"/>
                <w:bCs w:val="1"/>
                <w:color w:val="auto"/>
              </w:rPr>
              <w:t>2010</w:t>
            </w:r>
          </w:p>
        </w:tc>
        <w:tc>
          <w:tcPr>
            <w:tcW w:w="620" w:type="dxa"/>
            <w:vAlign w:val="bottom"/>
          </w:tcPr>
          <w:p>
            <w:pPr>
              <w:spacing w:after="0"/>
              <w:rPr>
                <w:sz w:val="14"/>
                <w:szCs w:val="14"/>
                <w:color w:val="auto"/>
              </w:rPr>
            </w:pPr>
          </w:p>
        </w:tc>
        <w:tc>
          <w:tcPr>
            <w:tcW w:w="720" w:type="dxa"/>
            <w:vAlign w:val="bottom"/>
            <w:tcBorders>
              <w:bottom w:val="single" w:sz="8" w:color="auto"/>
            </w:tcBorders>
          </w:tcPr>
          <w:p>
            <w:pPr>
              <w:jc w:val="right"/>
              <w:ind w:right="162"/>
              <w:spacing w:after="0"/>
              <w:rPr>
                <w:sz w:val="20"/>
                <w:szCs w:val="20"/>
                <w:color w:val="auto"/>
              </w:rPr>
            </w:pPr>
            <w:r>
              <w:rPr>
                <w:rFonts w:ascii="Arial" w:cs="Arial" w:eastAsia="Arial" w:hAnsi="Arial"/>
                <w:sz w:val="14"/>
                <w:szCs w:val="14"/>
                <w:b w:val="1"/>
                <w:bCs w:val="1"/>
                <w:color w:val="auto"/>
              </w:rPr>
              <w:t>2009</w:t>
            </w:r>
          </w:p>
        </w:tc>
        <w:tc>
          <w:tcPr>
            <w:tcW w:w="620" w:type="dxa"/>
            <w:vAlign w:val="bottom"/>
          </w:tcPr>
          <w:p>
            <w:pPr>
              <w:spacing w:after="0"/>
              <w:rPr>
                <w:sz w:val="14"/>
                <w:szCs w:val="14"/>
                <w:color w:val="auto"/>
              </w:rPr>
            </w:pPr>
          </w:p>
        </w:tc>
        <w:tc>
          <w:tcPr>
            <w:tcW w:w="4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1"/>
              </w:rPr>
              <w:t>Change</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6260" w:type="dxa"/>
            <w:vAlign w:val="bottom"/>
          </w:tcPr>
          <w:p>
            <w:pPr>
              <w:spacing w:after="0"/>
              <w:rPr>
                <w:sz w:val="12"/>
                <w:szCs w:val="12"/>
                <w:color w:val="auto"/>
              </w:rPr>
            </w:pPr>
          </w:p>
        </w:tc>
        <w:tc>
          <w:tcPr>
            <w:tcW w:w="2680" w:type="dxa"/>
            <w:vAlign w:val="bottom"/>
            <w:gridSpan w:val="4"/>
          </w:tcPr>
          <w:p>
            <w:pPr>
              <w:jc w:val="right"/>
              <w:ind w:right="16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$ 343,985</w:t>
            </w:r>
          </w:p>
        </w:tc>
        <w:tc>
          <w:tcPr>
            <w:tcW w:w="6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w w:val="87"/>
              </w:rPr>
              <w:t>$ 257,630</w:t>
            </w:r>
          </w:p>
        </w:tc>
        <w:tc>
          <w:tcPr>
            <w:tcW w:w="64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w w:val="93"/>
              </w:rPr>
              <w:t>33.5%</w:t>
            </w:r>
          </w:p>
        </w:tc>
        <w:tc>
          <w:tcPr>
            <w:tcW w:w="0" w:type="dxa"/>
            <w:vAlign w:val="bottom"/>
          </w:tcPr>
          <w:p>
            <w:pPr>
              <w:spacing w:after="0"/>
              <w:rPr>
                <w:sz w:val="1"/>
                <w:szCs w:val="1"/>
                <w:color w:val="auto"/>
              </w:rPr>
            </w:pPr>
          </w:p>
        </w:tc>
      </w:tr>
      <w:tr>
        <w:trPr>
          <w:trHeight w:val="222"/>
        </w:trPr>
        <w:tc>
          <w:tcPr>
            <w:tcW w:w="6260" w:type="dxa"/>
            <w:vAlign w:val="bottom"/>
          </w:tcPr>
          <w:p>
            <w:pPr>
              <w:spacing w:after="0"/>
              <w:rPr>
                <w:sz w:val="20"/>
                <w:szCs w:val="20"/>
                <w:color w:val="auto"/>
              </w:rPr>
            </w:pPr>
            <w:r>
              <w:rPr>
                <w:rFonts w:ascii="Arial" w:cs="Arial" w:eastAsia="Arial" w:hAnsi="Arial"/>
                <w:sz w:val="18"/>
                <w:szCs w:val="18"/>
                <w:color w:val="auto"/>
              </w:rPr>
              <w:t>% of net revenue</w:t>
            </w:r>
          </w:p>
        </w:tc>
        <w:tc>
          <w:tcPr>
            <w:tcW w:w="1340" w:type="dxa"/>
            <w:vAlign w:val="bottom"/>
            <w:gridSpan w:val="2"/>
          </w:tcPr>
          <w:p>
            <w:pPr>
              <w:jc w:val="right"/>
              <w:ind w:right="480"/>
              <w:spacing w:after="0"/>
              <w:rPr>
                <w:sz w:val="20"/>
                <w:szCs w:val="20"/>
                <w:color w:val="auto"/>
              </w:rPr>
            </w:pPr>
            <w:r>
              <w:rPr>
                <w:rFonts w:ascii="Arial" w:cs="Arial" w:eastAsia="Arial" w:hAnsi="Arial"/>
                <w:sz w:val="18"/>
                <w:szCs w:val="18"/>
                <w:color w:val="auto"/>
              </w:rPr>
              <w:t>40.2%</w:t>
            </w:r>
          </w:p>
        </w:tc>
        <w:tc>
          <w:tcPr>
            <w:tcW w:w="1340" w:type="dxa"/>
            <w:vAlign w:val="bottom"/>
            <w:gridSpan w:val="2"/>
          </w:tcPr>
          <w:p>
            <w:pPr>
              <w:jc w:val="right"/>
              <w:ind w:right="480"/>
              <w:spacing w:after="0"/>
              <w:rPr>
                <w:sz w:val="20"/>
                <w:szCs w:val="20"/>
                <w:color w:val="auto"/>
              </w:rPr>
            </w:pPr>
            <w:r>
              <w:rPr>
                <w:rFonts w:ascii="Arial" w:cs="Arial" w:eastAsia="Arial" w:hAnsi="Arial"/>
                <w:sz w:val="18"/>
                <w:szCs w:val="18"/>
                <w:color w:val="auto"/>
              </w:rPr>
              <w:t>49.4%</w:t>
            </w:r>
          </w:p>
        </w:tc>
        <w:tc>
          <w:tcPr>
            <w:tcW w:w="4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310" w:lineRule="auto"/>
        <w:rPr>
          <w:sz w:val="20"/>
          <w:szCs w:val="20"/>
          <w:color w:val="auto"/>
        </w:rPr>
      </w:pPr>
      <w:r>
        <w:rPr>
          <w:rFonts w:ascii="Arial" w:cs="Arial" w:eastAsia="Arial" w:hAnsi="Arial"/>
          <w:sz w:val="15"/>
          <w:szCs w:val="15"/>
          <w:color w:val="auto"/>
        </w:rPr>
        <w:t>The decrease in cost of goods sold as a percentage of revenue for the three months ended May 1, 2010 compared to the three months ended May 2, 2009 of $86 million was primarily driven by the improved cost structure of our newer products as we have continued to benefit from cost reduction efforts with our key manufacturing partners, continued focus on efficiency and yield improvements, and lower inventory reserves. We also benefited in the three months ended May 1, 2010 by the sales of previously written down inventory. Our cost of goods sold as a percentage of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the introduction of new products with lower margins and product warranty costs. We currently expect cost of goods sold as a percentage of revenues to increase slightly in the three months ended July 31, 2010 due to the ramp of some newer products with lower gross margins.</w:t>
      </w:r>
    </w:p>
    <w:p>
      <w:pPr>
        <w:spacing w:after="0" w:line="18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08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2700" w:type="dxa"/>
            <w:vAlign w:val="bottom"/>
            <w:gridSpan w:val="5"/>
          </w:tcPr>
          <w:p>
            <w:pPr>
              <w:jc w:val="right"/>
              <w:ind w:right="108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080" w:type="dxa"/>
            <w:vAlign w:val="bottom"/>
          </w:tcPr>
          <w:p>
            <w:pPr>
              <w:spacing w:after="0"/>
              <w:rPr>
                <w:sz w:val="11"/>
                <w:szCs w:val="11"/>
                <w:color w:val="auto"/>
              </w:rPr>
            </w:pPr>
          </w:p>
        </w:tc>
        <w:tc>
          <w:tcPr>
            <w:tcW w:w="2160" w:type="dxa"/>
            <w:vAlign w:val="bottom"/>
          </w:tcPr>
          <w:p>
            <w:pPr>
              <w:spacing w:after="0"/>
              <w:rPr>
                <w:sz w:val="11"/>
                <w:szCs w:val="11"/>
                <w:color w:val="auto"/>
              </w:rPr>
            </w:pPr>
          </w:p>
        </w:tc>
        <w:tc>
          <w:tcPr>
            <w:tcW w:w="108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3"/>
              </w:rPr>
              <w:t>May 1,</w:t>
            </w:r>
          </w:p>
        </w:tc>
        <w:tc>
          <w:tcPr>
            <w:tcW w:w="26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ind w:right="72"/>
              <w:spacing w:after="0" w:line="129" w:lineRule="exact"/>
              <w:rPr>
                <w:sz w:val="20"/>
                <w:szCs w:val="20"/>
                <w:color w:val="auto"/>
              </w:rPr>
            </w:pPr>
            <w:r>
              <w:rPr>
                <w:rFonts w:ascii="Arial" w:cs="Arial" w:eastAsia="Arial" w:hAnsi="Arial"/>
                <w:sz w:val="14"/>
                <w:szCs w:val="14"/>
                <w:b w:val="1"/>
                <w:bCs w:val="1"/>
                <w:color w:val="auto"/>
              </w:rPr>
              <w:t>May 2,</w:t>
            </w:r>
          </w:p>
        </w:tc>
        <w:tc>
          <w:tcPr>
            <w:tcW w:w="6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08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660" w:type="dxa"/>
            <w:vAlign w:val="bottom"/>
            <w:tcBorders>
              <w:bottom w:val="single" w:sz="8" w:color="auto"/>
            </w:tcBorders>
          </w:tcPr>
          <w:p>
            <w:pPr>
              <w:jc w:val="right"/>
              <w:ind w:right="112"/>
              <w:spacing w:after="0"/>
              <w:rPr>
                <w:sz w:val="20"/>
                <w:szCs w:val="20"/>
                <w:color w:val="auto"/>
              </w:rPr>
            </w:pPr>
            <w:r>
              <w:rPr>
                <w:rFonts w:ascii="Arial" w:cs="Arial" w:eastAsia="Arial" w:hAnsi="Arial"/>
                <w:sz w:val="14"/>
                <w:szCs w:val="14"/>
                <w:b w:val="1"/>
                <w:bCs w:val="1"/>
                <w:color w:val="auto"/>
              </w:rPr>
              <w:t>2010</w:t>
            </w:r>
          </w:p>
        </w:tc>
        <w:tc>
          <w:tcPr>
            <w:tcW w:w="4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8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680" w:type="dxa"/>
            <w:vAlign w:val="bottom"/>
          </w:tcPr>
          <w:p>
            <w:pPr>
              <w:spacing w:after="0"/>
              <w:rPr>
                <w:sz w:val="14"/>
                <w:szCs w:val="14"/>
                <w:color w:val="auto"/>
              </w:rPr>
            </w:pPr>
          </w:p>
        </w:tc>
        <w:tc>
          <w:tcPr>
            <w:tcW w:w="4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Change</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08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2700" w:type="dxa"/>
            <w:vAlign w:val="bottom"/>
            <w:gridSpan w:val="5"/>
          </w:tcPr>
          <w:p>
            <w:pPr>
              <w:jc w:val="right"/>
              <w:ind w:right="16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324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$219,111</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$206,089</w:t>
            </w:r>
          </w:p>
        </w:tc>
        <w:tc>
          <w:tcPr>
            <w:tcW w:w="68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222"/>
        </w:trPr>
        <w:tc>
          <w:tcPr>
            <w:tcW w:w="4080" w:type="dxa"/>
            <w:vAlign w:val="bottom"/>
          </w:tcPr>
          <w:p>
            <w:pPr>
              <w:spacing w:after="0"/>
              <w:rPr>
                <w:sz w:val="20"/>
                <w:szCs w:val="20"/>
                <w:color w:val="auto"/>
              </w:rPr>
            </w:pPr>
            <w:r>
              <w:rPr>
                <w:rFonts w:ascii="Arial" w:cs="Arial" w:eastAsia="Arial" w:hAnsi="Arial"/>
                <w:sz w:val="18"/>
                <w:szCs w:val="18"/>
                <w:color w:val="auto"/>
              </w:rPr>
              <w:t>% of net revenue</w:t>
            </w:r>
          </w:p>
        </w:tc>
        <w:tc>
          <w:tcPr>
            <w:tcW w:w="3240" w:type="dxa"/>
            <w:vAlign w:val="bottom"/>
            <w:gridSpan w:val="3"/>
          </w:tcPr>
          <w:p>
            <w:pPr>
              <w:jc w:val="right"/>
              <w:ind w:right="260"/>
              <w:spacing w:after="0"/>
              <w:rPr>
                <w:sz w:val="20"/>
                <w:szCs w:val="20"/>
                <w:color w:val="auto"/>
              </w:rPr>
            </w:pPr>
            <w:r>
              <w:rPr>
                <w:rFonts w:ascii="Arial" w:cs="Arial" w:eastAsia="Arial" w:hAnsi="Arial"/>
                <w:sz w:val="18"/>
                <w:szCs w:val="18"/>
                <w:color w:val="auto"/>
              </w:rPr>
              <w:t>25.6%</w:t>
            </w:r>
          </w:p>
        </w:tc>
        <w:tc>
          <w:tcPr>
            <w:tcW w:w="1620" w:type="dxa"/>
            <w:vAlign w:val="bottom"/>
            <w:gridSpan w:val="3"/>
          </w:tcPr>
          <w:p>
            <w:pPr>
              <w:jc w:val="right"/>
              <w:ind w:right="540"/>
              <w:spacing w:after="0"/>
              <w:rPr>
                <w:sz w:val="20"/>
                <w:szCs w:val="20"/>
                <w:color w:val="auto"/>
              </w:rPr>
            </w:pPr>
            <w:r>
              <w:rPr>
                <w:rFonts w:ascii="Arial" w:cs="Arial" w:eastAsia="Arial" w:hAnsi="Arial"/>
                <w:sz w:val="18"/>
                <w:szCs w:val="18"/>
                <w:color w:val="auto"/>
              </w:rPr>
              <w:t>39.6%</w:t>
            </w:r>
          </w:p>
        </w:tc>
        <w:tc>
          <w:tcPr>
            <w:tcW w:w="4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The increase in research and development expense for the three months ended May 1, 2010 compared to the three months ended May 2, 2009 of $13.0 million was primarily due to increases in salary and related costs of $14.3 million, mainly attributable to the rollout of the incentive compensation program during the middle portion of fiscal 2010 and to a lesser extent, new hires to support the growth of our business. In addition, wafer, test and other preproduction engineering materials increased $7.4 million due to increased activity to bring new products to market. In addition, research and development expenses increased in several other areas as we continue our increased development efforts to bring products to market to meet customer requirements. Partially offsetting the increases was a decrease in restructuring costs of $5.7 million due primarily to headcount reductions in the three months ended May 2, 2009 as we adjusted our business in response to the global economic downturn. Also contributing to the decrease in expense was an increase of $2.9 million from the benefit of research and development funding from customers for development work and a decrease in stock-based compensation of $2.9 million due to older options with higher valuations becoming fully vested.</w:t>
      </w:r>
    </w:p>
    <w:p>
      <w:pPr>
        <w:spacing w:after="0" w:line="120" w:lineRule="exact"/>
        <w:rPr>
          <w:sz w:val="20"/>
          <w:szCs w:val="20"/>
          <w:color w:val="auto"/>
        </w:rPr>
      </w:pPr>
    </w:p>
    <w:p>
      <w:pPr>
        <w:ind w:right="220" w:firstLine="348"/>
        <w:spacing w:after="0" w:line="332" w:lineRule="auto"/>
        <w:rPr>
          <w:sz w:val="20"/>
          <w:szCs w:val="20"/>
          <w:color w:val="auto"/>
        </w:rPr>
      </w:pPr>
      <w:r>
        <w:rPr>
          <w:rFonts w:ascii="Arial" w:cs="Arial" w:eastAsia="Arial" w:hAnsi="Arial"/>
          <w:sz w:val="16"/>
          <w:szCs w:val="16"/>
          <w:color w:val="auto"/>
        </w:rPr>
        <w:t>We currently expect research and development expense during the second quarter ending July 31, 2010 will moderately increase from the level of expense reported during the first quarter ended May 1, 2010 in connection with headcount additions and a higher volume of new tapeout activities.</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060" w:type="dxa"/>
            <w:vAlign w:val="bottom"/>
          </w:tcPr>
          <w:p>
            <w:pPr>
              <w:spacing w:after="0"/>
              <w:rPr>
                <w:sz w:val="14"/>
                <w:szCs w:val="14"/>
                <w:color w:val="auto"/>
              </w:rPr>
            </w:pPr>
          </w:p>
        </w:tc>
        <w:tc>
          <w:tcPr>
            <w:tcW w:w="2500" w:type="dxa"/>
            <w:vAlign w:val="bottom"/>
          </w:tcPr>
          <w:p>
            <w:pPr>
              <w:spacing w:after="0"/>
              <w:rPr>
                <w:sz w:val="14"/>
                <w:szCs w:val="14"/>
                <w:color w:val="auto"/>
              </w:rPr>
            </w:pPr>
          </w:p>
        </w:tc>
        <w:tc>
          <w:tcPr>
            <w:tcW w:w="2380" w:type="dxa"/>
            <w:vAlign w:val="bottom"/>
            <w:gridSpan w:val="5"/>
          </w:tcPr>
          <w:p>
            <w:pPr>
              <w:jc w:val="right"/>
              <w:ind w:right="812"/>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ind w:left="14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060" w:type="dxa"/>
            <w:vAlign w:val="bottom"/>
          </w:tcPr>
          <w:p>
            <w:pPr>
              <w:spacing w:after="0"/>
              <w:rPr>
                <w:sz w:val="11"/>
                <w:szCs w:val="11"/>
                <w:color w:val="auto"/>
              </w:rPr>
            </w:pPr>
          </w:p>
        </w:tc>
        <w:tc>
          <w:tcPr>
            <w:tcW w:w="2500" w:type="dxa"/>
            <w:vAlign w:val="bottom"/>
          </w:tcPr>
          <w:p>
            <w:pPr>
              <w:spacing w:after="0"/>
              <w:rPr>
                <w:sz w:val="11"/>
                <w:szCs w:val="11"/>
                <w:color w:val="auto"/>
              </w:rPr>
            </w:pPr>
          </w:p>
        </w:tc>
        <w:tc>
          <w:tcPr>
            <w:tcW w:w="960" w:type="dxa"/>
            <w:vAlign w:val="bottom"/>
            <w:tcBorders>
              <w:top w:val="single" w:sz="8" w:color="auto"/>
            </w:tcBorders>
            <w:gridSpan w:val="2"/>
          </w:tcPr>
          <w:p>
            <w:pPr>
              <w:jc w:val="right"/>
              <w:ind w:right="418"/>
              <w:spacing w:after="0" w:line="129" w:lineRule="exact"/>
              <w:rPr>
                <w:sz w:val="20"/>
                <w:szCs w:val="20"/>
                <w:color w:val="auto"/>
              </w:rPr>
            </w:pPr>
            <w:r>
              <w:rPr>
                <w:rFonts w:ascii="Arial" w:cs="Arial" w:eastAsia="Arial" w:hAnsi="Arial"/>
                <w:sz w:val="14"/>
                <w:szCs w:val="14"/>
                <w:b w:val="1"/>
                <w:bCs w:val="1"/>
                <w:color w:val="auto"/>
              </w:rPr>
              <w:t>May 1,</w:t>
            </w:r>
          </w:p>
        </w:tc>
        <w:tc>
          <w:tcPr>
            <w:tcW w:w="22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May 2,</w:t>
            </w:r>
          </w:p>
        </w:tc>
        <w:tc>
          <w:tcPr>
            <w:tcW w:w="62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060" w:type="dxa"/>
            <w:vAlign w:val="bottom"/>
          </w:tcPr>
          <w:p>
            <w:pPr>
              <w:spacing w:after="0"/>
              <w:rPr>
                <w:sz w:val="14"/>
                <w:szCs w:val="14"/>
                <w:color w:val="auto"/>
              </w:rPr>
            </w:pPr>
          </w:p>
        </w:tc>
        <w:tc>
          <w:tcPr>
            <w:tcW w:w="3080" w:type="dxa"/>
            <w:vAlign w:val="bottom"/>
            <w:gridSpan w:val="2"/>
          </w:tcPr>
          <w:p>
            <w:pPr>
              <w:jc w:val="right"/>
              <w:ind w:right="92"/>
              <w:spacing w:after="0"/>
              <w:rPr>
                <w:sz w:val="20"/>
                <w:szCs w:val="20"/>
                <w:color w:val="auto"/>
              </w:rPr>
            </w:pPr>
            <w:r>
              <w:rPr>
                <w:rFonts w:ascii="Arial" w:cs="Arial" w:eastAsia="Arial" w:hAnsi="Arial"/>
                <w:sz w:val="14"/>
                <w:szCs w:val="14"/>
                <w:b w:val="1"/>
                <w:bCs w:val="1"/>
                <w:color w:val="auto"/>
              </w:rPr>
              <w:t>2010</w:t>
            </w:r>
          </w:p>
        </w:tc>
        <w:tc>
          <w:tcPr>
            <w:tcW w:w="380" w:type="dxa"/>
            <w:vAlign w:val="bottom"/>
          </w:tcPr>
          <w:p>
            <w:pPr>
              <w:spacing w:after="0"/>
              <w:rPr>
                <w:sz w:val="14"/>
                <w:szCs w:val="14"/>
                <w:color w:val="auto"/>
              </w:rPr>
            </w:pPr>
          </w:p>
        </w:tc>
        <w:tc>
          <w:tcPr>
            <w:tcW w:w="800" w:type="dxa"/>
            <w:vAlign w:val="bottom"/>
            <w:gridSpan w:val="2"/>
          </w:tcPr>
          <w:p>
            <w:pPr>
              <w:jc w:val="center"/>
              <w:ind w:left="159"/>
              <w:spacing w:after="0"/>
              <w:rPr>
                <w:sz w:val="20"/>
                <w:szCs w:val="20"/>
                <w:color w:val="auto"/>
              </w:rPr>
            </w:pPr>
            <w:r>
              <w:rPr>
                <w:rFonts w:ascii="Arial" w:cs="Arial" w:eastAsia="Arial" w:hAnsi="Arial"/>
                <w:sz w:val="14"/>
                <w:szCs w:val="14"/>
                <w:b w:val="1"/>
                <w:bCs w:val="1"/>
                <w:color w:val="auto"/>
                <w:w w:val="89"/>
              </w:rPr>
              <w:t>2009</w:t>
            </w:r>
          </w:p>
        </w:tc>
        <w:tc>
          <w:tcPr>
            <w:tcW w:w="620" w:type="dxa"/>
            <w:vAlign w:val="bottom"/>
          </w:tcPr>
          <w:p>
            <w:pPr>
              <w:spacing w:after="0"/>
              <w:rPr>
                <w:sz w:val="14"/>
                <w:szCs w:val="14"/>
                <w:color w:val="auto"/>
              </w:rPr>
            </w:pPr>
          </w:p>
        </w:tc>
        <w:tc>
          <w:tcPr>
            <w:tcW w:w="640" w:type="dxa"/>
            <w:vAlign w:val="bottom"/>
            <w:gridSpan w:val="2"/>
          </w:tcPr>
          <w:p>
            <w:pPr>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4060" w:type="dxa"/>
            <w:vAlign w:val="bottom"/>
          </w:tcPr>
          <w:p>
            <w:pPr>
              <w:spacing w:after="0"/>
              <w:rPr>
                <w:sz w:val="12"/>
                <w:szCs w:val="12"/>
                <w:color w:val="auto"/>
              </w:rPr>
            </w:pPr>
          </w:p>
        </w:tc>
        <w:tc>
          <w:tcPr>
            <w:tcW w:w="2500" w:type="dxa"/>
            <w:vAlign w:val="bottom"/>
          </w:tcPr>
          <w:p>
            <w:pPr>
              <w:spacing w:after="0"/>
              <w:rPr>
                <w:sz w:val="12"/>
                <w:szCs w:val="12"/>
                <w:color w:val="auto"/>
              </w:rPr>
            </w:pPr>
          </w:p>
        </w:tc>
        <w:tc>
          <w:tcPr>
            <w:tcW w:w="58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(in</w:t>
            </w:r>
          </w:p>
        </w:tc>
        <w:tc>
          <w:tcPr>
            <w:tcW w:w="600" w:type="dxa"/>
            <w:vAlign w:val="bottom"/>
            <w:gridSpan w:val="2"/>
          </w:tcPr>
          <w:p>
            <w:pPr>
              <w:ind w:left="60"/>
              <w:spacing w:after="0"/>
              <w:rPr>
                <w:sz w:val="20"/>
                <w:szCs w:val="20"/>
                <w:color w:val="auto"/>
              </w:rPr>
            </w:pPr>
            <w:r>
              <w:rPr>
                <w:rFonts w:ascii="Arial" w:cs="Arial" w:eastAsia="Arial" w:hAnsi="Arial"/>
                <w:sz w:val="12"/>
                <w:szCs w:val="12"/>
                <w:b w:val="1"/>
                <w:bCs w:val="1"/>
                <w:color w:val="auto"/>
                <w:w w:val="81"/>
              </w:rPr>
              <w:t>thousands,</w:t>
            </w:r>
          </w:p>
        </w:tc>
        <w:tc>
          <w:tcPr>
            <w:tcW w:w="5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62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73"/>
              </w:rPr>
              <w:t>percentage)</w:t>
            </w:r>
          </w:p>
        </w:tc>
        <w:tc>
          <w:tcPr>
            <w:tcW w:w="4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0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3460" w:type="dxa"/>
            <w:vAlign w:val="bottom"/>
            <w:gridSpan w:val="3"/>
            <w:shd w:val="clear" w:color="auto" w:fill="CCEEFF"/>
          </w:tcPr>
          <w:p>
            <w:pPr>
              <w:jc w:val="right"/>
              <w:ind w:right="318"/>
              <w:spacing w:after="0"/>
              <w:rPr>
                <w:sz w:val="20"/>
                <w:szCs w:val="20"/>
                <w:color w:val="auto"/>
              </w:rPr>
            </w:pPr>
            <w:r>
              <w:rPr>
                <w:rFonts w:ascii="Arial" w:cs="Arial" w:eastAsia="Arial" w:hAnsi="Arial"/>
                <w:sz w:val="18"/>
                <w:szCs w:val="18"/>
                <w:color w:val="auto"/>
              </w:rPr>
              <w:t>$38,423</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$33,910</w:t>
            </w:r>
          </w:p>
        </w:tc>
        <w:tc>
          <w:tcPr>
            <w:tcW w:w="620" w:type="dxa"/>
            <w:vAlign w:val="bottom"/>
            <w:shd w:val="clear" w:color="auto" w:fill="CCEEFF"/>
          </w:tcPr>
          <w:p>
            <w:pPr>
              <w:spacing w:after="0"/>
              <w:rPr>
                <w:sz w:val="18"/>
                <w:szCs w:val="18"/>
                <w:color w:val="auto"/>
              </w:rPr>
            </w:pPr>
          </w:p>
        </w:tc>
        <w:tc>
          <w:tcPr>
            <w:tcW w:w="64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w w:val="93"/>
              </w:rPr>
              <w:t>13.3%</w:t>
            </w:r>
          </w:p>
        </w:tc>
        <w:tc>
          <w:tcPr>
            <w:tcW w:w="0" w:type="dxa"/>
            <w:vAlign w:val="bottom"/>
          </w:tcPr>
          <w:p>
            <w:pPr>
              <w:spacing w:after="0"/>
              <w:rPr>
                <w:sz w:val="1"/>
                <w:szCs w:val="1"/>
                <w:color w:val="auto"/>
              </w:rPr>
            </w:pPr>
          </w:p>
        </w:tc>
      </w:tr>
      <w:tr>
        <w:trPr>
          <w:trHeight w:val="222"/>
        </w:trPr>
        <w:tc>
          <w:tcPr>
            <w:tcW w:w="4060" w:type="dxa"/>
            <w:vAlign w:val="bottom"/>
          </w:tcPr>
          <w:p>
            <w:pPr>
              <w:spacing w:after="0"/>
              <w:rPr>
                <w:sz w:val="20"/>
                <w:szCs w:val="20"/>
                <w:color w:val="auto"/>
              </w:rPr>
            </w:pPr>
            <w:r>
              <w:rPr>
                <w:rFonts w:ascii="Arial" w:cs="Arial" w:eastAsia="Arial" w:hAnsi="Arial"/>
                <w:sz w:val="18"/>
                <w:szCs w:val="18"/>
                <w:color w:val="auto"/>
              </w:rPr>
              <w:t>% of net revenue</w:t>
            </w:r>
          </w:p>
        </w:tc>
        <w:tc>
          <w:tcPr>
            <w:tcW w:w="3460" w:type="dxa"/>
            <w:vAlign w:val="bottom"/>
            <w:gridSpan w:val="3"/>
          </w:tcPr>
          <w:p>
            <w:pPr>
              <w:jc w:val="right"/>
              <w:ind w:right="178"/>
              <w:spacing w:after="0"/>
              <w:rPr>
                <w:sz w:val="20"/>
                <w:szCs w:val="20"/>
                <w:color w:val="auto"/>
              </w:rPr>
            </w:pPr>
            <w:r>
              <w:rPr>
                <w:rFonts w:ascii="Arial" w:cs="Arial" w:eastAsia="Arial" w:hAnsi="Arial"/>
                <w:sz w:val="18"/>
                <w:szCs w:val="18"/>
                <w:color w:val="auto"/>
              </w:rPr>
              <w:t>4.5%</w:t>
            </w:r>
          </w:p>
        </w:tc>
        <w:tc>
          <w:tcPr>
            <w:tcW w:w="1420" w:type="dxa"/>
            <w:vAlign w:val="bottom"/>
            <w:gridSpan w:val="3"/>
          </w:tcPr>
          <w:p>
            <w:pPr>
              <w:jc w:val="right"/>
              <w:ind w:right="392"/>
              <w:spacing w:after="0"/>
              <w:rPr>
                <w:sz w:val="20"/>
                <w:szCs w:val="20"/>
                <w:color w:val="auto"/>
              </w:rPr>
            </w:pPr>
            <w:r>
              <w:rPr>
                <w:rFonts w:ascii="Arial" w:cs="Arial" w:eastAsia="Arial" w:hAnsi="Arial"/>
                <w:sz w:val="18"/>
                <w:szCs w:val="18"/>
                <w:color w:val="auto"/>
              </w:rPr>
              <w:t>6.5%</w:t>
            </w:r>
          </w:p>
        </w:tc>
        <w:tc>
          <w:tcPr>
            <w:tcW w:w="4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increase in selling and marketing expense for the three months ended May 1, 2010 compared to the three months ended May 2, 2009 of $4.5 million was primarily due to an increase of $4.8 million due to higher trade show and public relation expenses as we increased our presence in these areas. In addition, salaries and wages increased $0.8 million due to higher bonus-related costs. Partially offsetting the increases was a decrease in restructuring costs of $1.3 million due primarily to headcount reductions during the three months ended May 2, 2009.</w:t>
      </w:r>
    </w:p>
    <w:p>
      <w:pPr>
        <w:spacing w:after="0" w:line="113"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We currently expect that selling and marketing expense during the second quarter ending July 31, 2010 will increase moderately from the level of expense reported during the first quarter ended May 1, 2010.</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160" w:type="dxa"/>
            <w:vAlign w:val="bottom"/>
          </w:tcPr>
          <w:p>
            <w:pPr>
              <w:spacing w:after="0"/>
              <w:rPr>
                <w:sz w:val="14"/>
                <w:szCs w:val="14"/>
                <w:color w:val="auto"/>
              </w:rPr>
            </w:pPr>
          </w:p>
        </w:tc>
        <w:tc>
          <w:tcPr>
            <w:tcW w:w="2240" w:type="dxa"/>
            <w:vAlign w:val="bottom"/>
          </w:tcPr>
          <w:p>
            <w:pPr>
              <w:spacing w:after="0"/>
              <w:rPr>
                <w:sz w:val="14"/>
                <w:szCs w:val="14"/>
                <w:color w:val="auto"/>
              </w:rPr>
            </w:pPr>
          </w:p>
        </w:tc>
        <w:tc>
          <w:tcPr>
            <w:tcW w:w="2480" w:type="dxa"/>
            <w:vAlign w:val="bottom"/>
            <w:gridSpan w:val="4"/>
          </w:tcPr>
          <w:p>
            <w:pPr>
              <w:jc w:val="right"/>
              <w:ind w:right="92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160" w:type="dxa"/>
            <w:vAlign w:val="bottom"/>
          </w:tcPr>
          <w:p>
            <w:pPr>
              <w:spacing w:after="0"/>
              <w:rPr>
                <w:sz w:val="11"/>
                <w:szCs w:val="11"/>
                <w:color w:val="auto"/>
              </w:rPr>
            </w:pPr>
          </w:p>
        </w:tc>
        <w:tc>
          <w:tcPr>
            <w:tcW w:w="2240" w:type="dxa"/>
            <w:vAlign w:val="bottom"/>
          </w:tcPr>
          <w:p>
            <w:pPr>
              <w:spacing w:after="0"/>
              <w:rPr>
                <w:sz w:val="11"/>
                <w:szCs w:val="11"/>
                <w:color w:val="auto"/>
              </w:rPr>
            </w:pPr>
          </w:p>
        </w:tc>
        <w:tc>
          <w:tcPr>
            <w:tcW w:w="1200" w:type="dxa"/>
            <w:vAlign w:val="bottom"/>
            <w:tcBorders>
              <w:top w:val="single" w:sz="8" w:color="auto"/>
            </w:tcBorders>
            <w:gridSpan w:val="2"/>
          </w:tcPr>
          <w:p>
            <w:pPr>
              <w:jc w:val="center"/>
              <w:ind w:right="600"/>
              <w:spacing w:after="0" w:line="129" w:lineRule="exact"/>
              <w:rPr>
                <w:sz w:val="20"/>
                <w:szCs w:val="20"/>
                <w:color w:val="auto"/>
              </w:rPr>
            </w:pPr>
            <w:r>
              <w:rPr>
                <w:rFonts w:ascii="Arial" w:cs="Arial" w:eastAsia="Arial" w:hAnsi="Arial"/>
                <w:sz w:val="14"/>
                <w:szCs w:val="14"/>
                <w:b w:val="1"/>
                <w:bCs w:val="1"/>
                <w:color w:val="auto"/>
                <w:w w:val="93"/>
              </w:rPr>
              <w:t>May 1,</w:t>
            </w:r>
          </w:p>
        </w:tc>
        <w:tc>
          <w:tcPr>
            <w:tcW w:w="680" w:type="dxa"/>
            <w:vAlign w:val="bottom"/>
            <w:tcBorders>
              <w:top w:val="single" w:sz="8" w:color="auto"/>
            </w:tcBorders>
          </w:tcPr>
          <w:p>
            <w:pPr>
              <w:jc w:val="right"/>
              <w:ind w:right="62"/>
              <w:spacing w:after="0" w:line="129" w:lineRule="exact"/>
              <w:rPr>
                <w:sz w:val="20"/>
                <w:szCs w:val="20"/>
                <w:color w:val="auto"/>
              </w:rPr>
            </w:pPr>
            <w:r>
              <w:rPr>
                <w:rFonts w:ascii="Arial" w:cs="Arial" w:eastAsia="Arial" w:hAnsi="Arial"/>
                <w:sz w:val="14"/>
                <w:szCs w:val="14"/>
                <w:b w:val="1"/>
                <w:bCs w:val="1"/>
                <w:color w:val="auto"/>
              </w:rPr>
              <w:t>May 2,</w:t>
            </w:r>
          </w:p>
        </w:tc>
        <w:tc>
          <w:tcPr>
            <w:tcW w:w="6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160" w:type="dxa"/>
            <w:vAlign w:val="bottom"/>
          </w:tcPr>
          <w:p>
            <w:pPr>
              <w:spacing w:after="0"/>
              <w:rPr>
                <w:sz w:val="14"/>
                <w:szCs w:val="14"/>
                <w:color w:val="auto"/>
              </w:rPr>
            </w:pPr>
          </w:p>
        </w:tc>
        <w:tc>
          <w:tcPr>
            <w:tcW w:w="2240" w:type="dxa"/>
            <w:vAlign w:val="bottom"/>
          </w:tcPr>
          <w:p>
            <w:pPr>
              <w:spacing w:after="0"/>
              <w:rPr>
                <w:sz w:val="14"/>
                <w:szCs w:val="14"/>
                <w:color w:val="auto"/>
              </w:rPr>
            </w:pPr>
          </w:p>
        </w:tc>
        <w:tc>
          <w:tcPr>
            <w:tcW w:w="580" w:type="dxa"/>
            <w:vAlign w:val="bottom"/>
          </w:tcPr>
          <w:p>
            <w:pPr>
              <w:jc w:val="right"/>
              <w:ind w:right="72"/>
              <w:spacing w:after="0"/>
              <w:rPr>
                <w:sz w:val="20"/>
                <w:szCs w:val="20"/>
                <w:color w:val="auto"/>
              </w:rPr>
            </w:pPr>
            <w:r>
              <w:rPr>
                <w:rFonts w:ascii="Arial" w:cs="Arial" w:eastAsia="Arial" w:hAnsi="Arial"/>
                <w:sz w:val="14"/>
                <w:szCs w:val="14"/>
                <w:b w:val="1"/>
                <w:bCs w:val="1"/>
                <w:color w:val="auto"/>
              </w:rPr>
              <w:t>2010</w:t>
            </w:r>
          </w:p>
        </w:tc>
        <w:tc>
          <w:tcPr>
            <w:tcW w:w="620" w:type="dxa"/>
            <w:vAlign w:val="bottom"/>
          </w:tcPr>
          <w:p>
            <w:pPr>
              <w:spacing w:after="0"/>
              <w:rPr>
                <w:sz w:val="14"/>
                <w:szCs w:val="14"/>
                <w:color w:val="auto"/>
              </w:rPr>
            </w:pPr>
          </w:p>
        </w:tc>
        <w:tc>
          <w:tcPr>
            <w:tcW w:w="680" w:type="dxa"/>
            <w:vAlign w:val="bottom"/>
          </w:tcPr>
          <w:p>
            <w:pPr>
              <w:jc w:val="right"/>
              <w:ind w:right="142"/>
              <w:spacing w:after="0"/>
              <w:rPr>
                <w:sz w:val="20"/>
                <w:szCs w:val="20"/>
                <w:color w:val="auto"/>
              </w:rPr>
            </w:pPr>
            <w:r>
              <w:rPr>
                <w:rFonts w:ascii="Arial" w:cs="Arial" w:eastAsia="Arial" w:hAnsi="Arial"/>
                <w:sz w:val="14"/>
                <w:szCs w:val="14"/>
                <w:b w:val="1"/>
                <w:bCs w:val="1"/>
                <w:color w:val="auto"/>
              </w:rPr>
              <w:t>2009</w:t>
            </w:r>
          </w:p>
        </w:tc>
        <w:tc>
          <w:tcPr>
            <w:tcW w:w="60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20"/>
        </w:trPr>
        <w:tc>
          <w:tcPr>
            <w:tcW w:w="4160" w:type="dxa"/>
            <w:vAlign w:val="bottom"/>
          </w:tcPr>
          <w:p>
            <w:pPr>
              <w:spacing w:after="0" w:line="20" w:lineRule="exact"/>
              <w:rPr>
                <w:sz w:val="1"/>
                <w:szCs w:val="1"/>
                <w:color w:val="auto"/>
              </w:rPr>
            </w:pPr>
          </w:p>
        </w:tc>
        <w:tc>
          <w:tcPr>
            <w:tcW w:w="224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4160" w:type="dxa"/>
            <w:vAlign w:val="bottom"/>
          </w:tcPr>
          <w:p>
            <w:pPr>
              <w:spacing w:after="0"/>
              <w:rPr>
                <w:sz w:val="12"/>
                <w:szCs w:val="12"/>
                <w:color w:val="auto"/>
              </w:rPr>
            </w:pPr>
          </w:p>
        </w:tc>
        <w:tc>
          <w:tcPr>
            <w:tcW w:w="2240" w:type="dxa"/>
            <w:vAlign w:val="bottom"/>
          </w:tcPr>
          <w:p>
            <w:pPr>
              <w:spacing w:after="0"/>
              <w:rPr>
                <w:sz w:val="12"/>
                <w:szCs w:val="12"/>
                <w:color w:val="auto"/>
              </w:rPr>
            </w:pPr>
          </w:p>
        </w:tc>
        <w:tc>
          <w:tcPr>
            <w:tcW w:w="2480" w:type="dxa"/>
            <w:vAlign w:val="bottom"/>
            <w:gridSpan w:val="4"/>
          </w:tcPr>
          <w:p>
            <w:pPr>
              <w:jc w:val="right"/>
              <w:ind w:right="6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1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3440" w:type="dxa"/>
            <w:vAlign w:val="bottom"/>
            <w:gridSpan w:val="3"/>
            <w:shd w:val="clear" w:color="auto" w:fill="CCEEFF"/>
          </w:tcPr>
          <w:p>
            <w:pPr>
              <w:jc w:val="right"/>
              <w:ind w:right="620"/>
              <w:spacing w:after="0"/>
              <w:rPr>
                <w:sz w:val="20"/>
                <w:szCs w:val="20"/>
                <w:color w:val="auto"/>
              </w:rPr>
            </w:pPr>
            <w:r>
              <w:rPr>
                <w:rFonts w:ascii="Arial" w:cs="Arial" w:eastAsia="Arial" w:hAnsi="Arial"/>
                <w:sz w:val="18"/>
                <w:szCs w:val="18"/>
                <w:color w:val="auto"/>
              </w:rPr>
              <w:t>$23,108</w:t>
            </w:r>
          </w:p>
        </w:tc>
        <w:tc>
          <w:tcPr>
            <w:tcW w:w="128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w w:val="87"/>
              </w:rPr>
              <w:t>$102,728</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(77.5)%</w:t>
            </w:r>
          </w:p>
        </w:tc>
        <w:tc>
          <w:tcPr>
            <w:tcW w:w="0" w:type="dxa"/>
            <w:vAlign w:val="bottom"/>
          </w:tcPr>
          <w:p>
            <w:pPr>
              <w:spacing w:after="0"/>
              <w:rPr>
                <w:sz w:val="1"/>
                <w:szCs w:val="1"/>
                <w:color w:val="auto"/>
              </w:rPr>
            </w:pPr>
          </w:p>
        </w:tc>
      </w:tr>
      <w:tr>
        <w:trPr>
          <w:trHeight w:val="222"/>
        </w:trPr>
        <w:tc>
          <w:tcPr>
            <w:tcW w:w="4160" w:type="dxa"/>
            <w:vAlign w:val="bottom"/>
          </w:tcPr>
          <w:p>
            <w:pPr>
              <w:spacing w:after="0"/>
              <w:rPr>
                <w:sz w:val="20"/>
                <w:szCs w:val="20"/>
                <w:color w:val="auto"/>
              </w:rPr>
            </w:pPr>
            <w:r>
              <w:rPr>
                <w:rFonts w:ascii="Arial" w:cs="Arial" w:eastAsia="Arial" w:hAnsi="Arial"/>
                <w:sz w:val="18"/>
                <w:szCs w:val="18"/>
                <w:color w:val="auto"/>
              </w:rPr>
              <w:t>% of net revenue</w:t>
            </w:r>
          </w:p>
        </w:tc>
        <w:tc>
          <w:tcPr>
            <w:tcW w:w="3440" w:type="dxa"/>
            <w:vAlign w:val="bottom"/>
            <w:gridSpan w:val="3"/>
          </w:tcPr>
          <w:p>
            <w:pPr>
              <w:jc w:val="right"/>
              <w:ind w:right="460"/>
              <w:spacing w:after="0"/>
              <w:rPr>
                <w:sz w:val="20"/>
                <w:szCs w:val="20"/>
                <w:color w:val="auto"/>
              </w:rPr>
            </w:pPr>
            <w:r>
              <w:rPr>
                <w:rFonts w:ascii="Arial" w:cs="Arial" w:eastAsia="Arial" w:hAnsi="Arial"/>
                <w:sz w:val="18"/>
                <w:szCs w:val="18"/>
                <w:color w:val="auto"/>
              </w:rPr>
              <w:t>2.7%</w:t>
            </w:r>
          </w:p>
        </w:tc>
        <w:tc>
          <w:tcPr>
            <w:tcW w:w="1280" w:type="dxa"/>
            <w:vAlign w:val="bottom"/>
            <w:gridSpan w:val="2"/>
          </w:tcPr>
          <w:p>
            <w:pPr>
              <w:jc w:val="right"/>
              <w:ind w:right="460"/>
              <w:spacing w:after="0"/>
              <w:rPr>
                <w:sz w:val="20"/>
                <w:szCs w:val="20"/>
                <w:color w:val="auto"/>
              </w:rPr>
            </w:pPr>
            <w:r>
              <w:rPr>
                <w:rFonts w:ascii="Arial" w:cs="Arial" w:eastAsia="Arial" w:hAnsi="Arial"/>
                <w:sz w:val="18"/>
                <w:szCs w:val="18"/>
                <w:color w:val="auto"/>
              </w:rPr>
              <w:t>19.7%</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54" w:lineRule="auto"/>
        <w:rPr>
          <w:sz w:val="20"/>
          <w:szCs w:val="20"/>
          <w:color w:val="auto"/>
        </w:rPr>
      </w:pPr>
      <w:r>
        <w:rPr>
          <w:rFonts w:ascii="Arial" w:cs="Arial" w:eastAsia="Arial" w:hAnsi="Arial"/>
          <w:sz w:val="18"/>
          <w:szCs w:val="18"/>
          <w:color w:val="auto"/>
        </w:rPr>
        <w:t>The decrease in general and administrative expense for the three months ended May 1, 2010 compared to the three months ended May 2, 2009 of $79.6 million was primarily due to a $72.0 million settlement recorded in the three months ended May 2, 2009 in connection with the settlement of the class action securities litigation related to our historical stock option granting practices. In addition, legal fees decreased by $9.7 million primarily due to the timing of trial activity and lower activity as a result of the settlement of various litigation matters and restructuring costs decreased by $0.8 million primarily due to headcount reductions in the three months ended May 2, 2009. Partially offsetting the decreases was an increase in salaries and wages of $3.6 million due to higher bonus-related costs.</w:t>
      </w:r>
    </w:p>
    <w:p>
      <w:pPr>
        <w:spacing w:after="0" w:line="144"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We currently expect that general and administrative expense during the second quarter ending July 31, 2010 will increase moderately from the level of expense reported during the first quarter ended May 1, 2010.</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Amortization of Acquired Intangible Assets</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74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2380" w:type="dxa"/>
            <w:vAlign w:val="bottom"/>
            <w:gridSpan w:val="5"/>
          </w:tcPr>
          <w:p>
            <w:pPr>
              <w:jc w:val="right"/>
              <w:ind w:right="812"/>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740" w:type="dxa"/>
            <w:vAlign w:val="bottom"/>
          </w:tcPr>
          <w:p>
            <w:pPr>
              <w:spacing w:after="0"/>
              <w:rPr>
                <w:sz w:val="11"/>
                <w:szCs w:val="11"/>
                <w:color w:val="auto"/>
              </w:rPr>
            </w:pPr>
          </w:p>
        </w:tc>
        <w:tc>
          <w:tcPr>
            <w:tcW w:w="1760" w:type="dxa"/>
            <w:vAlign w:val="bottom"/>
          </w:tcPr>
          <w:p>
            <w:pPr>
              <w:spacing w:after="0"/>
              <w:rPr>
                <w:sz w:val="11"/>
                <w:szCs w:val="11"/>
                <w:color w:val="auto"/>
              </w:rPr>
            </w:pPr>
          </w:p>
        </w:tc>
        <w:tc>
          <w:tcPr>
            <w:tcW w:w="960" w:type="dxa"/>
            <w:vAlign w:val="bottom"/>
            <w:tcBorders>
              <w:top w:val="single" w:sz="8" w:color="auto"/>
            </w:tcBorders>
            <w:gridSpan w:val="2"/>
          </w:tcPr>
          <w:p>
            <w:pPr>
              <w:jc w:val="center"/>
              <w:ind w:right="292"/>
              <w:spacing w:after="0" w:line="129" w:lineRule="exact"/>
              <w:rPr>
                <w:sz w:val="20"/>
                <w:szCs w:val="20"/>
                <w:color w:val="auto"/>
              </w:rPr>
            </w:pPr>
            <w:r>
              <w:rPr>
                <w:rFonts w:ascii="Arial" w:cs="Arial" w:eastAsia="Arial" w:hAnsi="Arial"/>
                <w:sz w:val="14"/>
                <w:szCs w:val="14"/>
                <w:b w:val="1"/>
                <w:bCs w:val="1"/>
                <w:color w:val="auto"/>
                <w:w w:val="93"/>
              </w:rPr>
              <w:t>May 1,</w:t>
            </w:r>
          </w:p>
        </w:tc>
        <w:tc>
          <w:tcPr>
            <w:tcW w:w="24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May 2,</w:t>
            </w:r>
          </w:p>
        </w:tc>
        <w:tc>
          <w:tcPr>
            <w:tcW w:w="6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740" w:type="dxa"/>
            <w:vAlign w:val="bottom"/>
          </w:tcPr>
          <w:p>
            <w:pPr>
              <w:spacing w:after="0"/>
              <w:rPr>
                <w:sz w:val="14"/>
                <w:szCs w:val="14"/>
                <w:color w:val="auto"/>
              </w:rPr>
            </w:pPr>
          </w:p>
        </w:tc>
        <w:tc>
          <w:tcPr>
            <w:tcW w:w="2340" w:type="dxa"/>
            <w:vAlign w:val="bottom"/>
            <w:gridSpan w:val="2"/>
          </w:tcPr>
          <w:p>
            <w:pPr>
              <w:jc w:val="right"/>
              <w:ind w:right="96"/>
              <w:spacing w:after="0"/>
              <w:rPr>
                <w:sz w:val="20"/>
                <w:szCs w:val="20"/>
                <w:color w:val="auto"/>
              </w:rPr>
            </w:pPr>
            <w:r>
              <w:rPr>
                <w:rFonts w:ascii="Arial" w:cs="Arial" w:eastAsia="Arial" w:hAnsi="Arial"/>
                <w:sz w:val="14"/>
                <w:szCs w:val="14"/>
                <w:b w:val="1"/>
                <w:bCs w:val="1"/>
                <w:color w:val="auto"/>
              </w:rPr>
              <w:t>2010</w:t>
            </w:r>
          </w:p>
        </w:tc>
        <w:tc>
          <w:tcPr>
            <w:tcW w:w="380" w:type="dxa"/>
            <w:vAlign w:val="bottom"/>
          </w:tcPr>
          <w:p>
            <w:pPr>
              <w:spacing w:after="0"/>
              <w:rPr>
                <w:sz w:val="14"/>
                <w:szCs w:val="14"/>
                <w:color w:val="auto"/>
              </w:rPr>
            </w:pPr>
          </w:p>
        </w:tc>
        <w:tc>
          <w:tcPr>
            <w:tcW w:w="820" w:type="dxa"/>
            <w:vAlign w:val="bottom"/>
            <w:gridSpan w:val="2"/>
          </w:tcPr>
          <w:p>
            <w:pPr>
              <w:jc w:val="center"/>
              <w:ind w:left="139"/>
              <w:spacing w:after="0"/>
              <w:rPr>
                <w:sz w:val="20"/>
                <w:szCs w:val="20"/>
                <w:color w:val="auto"/>
              </w:rPr>
            </w:pPr>
            <w:r>
              <w:rPr>
                <w:rFonts w:ascii="Arial" w:cs="Arial" w:eastAsia="Arial" w:hAnsi="Arial"/>
                <w:sz w:val="14"/>
                <w:szCs w:val="14"/>
                <w:b w:val="1"/>
                <w:bCs w:val="1"/>
                <w:color w:val="auto"/>
                <w:w w:val="89"/>
              </w:rPr>
              <w:t>2009</w:t>
            </w:r>
          </w:p>
        </w:tc>
        <w:tc>
          <w:tcPr>
            <w:tcW w:w="60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74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580" w:type="dxa"/>
            <w:vAlign w:val="bottom"/>
            <w:tcBorders>
              <w:top w:val="single" w:sz="8" w:color="auto"/>
            </w:tcBorders>
          </w:tcPr>
          <w:p>
            <w:pPr>
              <w:ind w:left="460"/>
              <w:spacing w:after="0"/>
              <w:rPr>
                <w:sz w:val="20"/>
                <w:szCs w:val="20"/>
                <w:color w:val="auto"/>
              </w:rPr>
            </w:pPr>
            <w:r>
              <w:rPr>
                <w:rFonts w:ascii="Arial" w:cs="Arial" w:eastAsia="Arial" w:hAnsi="Arial"/>
                <w:sz w:val="11"/>
                <w:szCs w:val="11"/>
                <w:b w:val="1"/>
                <w:bCs w:val="1"/>
                <w:color w:val="auto"/>
                <w:w w:val="74"/>
              </w:rPr>
              <w:t>(in</w:t>
            </w:r>
          </w:p>
        </w:tc>
        <w:tc>
          <w:tcPr>
            <w:tcW w:w="620" w:type="dxa"/>
            <w:vAlign w:val="bottom"/>
            <w:gridSpan w:val="2"/>
          </w:tcPr>
          <w:p>
            <w:pPr>
              <w:ind w:left="60"/>
              <w:spacing w:after="0" w:line="142" w:lineRule="exact"/>
              <w:rPr>
                <w:sz w:val="20"/>
                <w:szCs w:val="20"/>
                <w:color w:val="auto"/>
              </w:rPr>
            </w:pPr>
            <w:r>
              <w:rPr>
                <w:rFonts w:ascii="Arial" w:cs="Arial" w:eastAsia="Arial" w:hAnsi="Arial"/>
                <w:sz w:val="14"/>
                <w:szCs w:val="14"/>
                <w:b w:val="1"/>
                <w:bCs w:val="1"/>
                <w:color w:val="auto"/>
                <w:w w:val="72"/>
              </w:rPr>
              <w:t>thousands,</w:t>
            </w:r>
          </w:p>
        </w:tc>
        <w:tc>
          <w:tcPr>
            <w:tcW w:w="5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60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73"/>
              </w:rPr>
              <w:t>percentage)</w:t>
            </w: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74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2720" w:type="dxa"/>
            <w:vAlign w:val="bottom"/>
            <w:gridSpan w:val="3"/>
            <w:shd w:val="clear" w:color="auto" w:fill="CCEEFF"/>
          </w:tcPr>
          <w:p>
            <w:pPr>
              <w:jc w:val="right"/>
              <w:ind w:right="312"/>
              <w:spacing w:after="0"/>
              <w:rPr>
                <w:sz w:val="20"/>
                <w:szCs w:val="20"/>
                <w:color w:val="auto"/>
              </w:rPr>
            </w:pPr>
            <w:r>
              <w:rPr>
                <w:rFonts w:ascii="Arial" w:cs="Arial" w:eastAsia="Arial" w:hAnsi="Arial"/>
                <w:sz w:val="18"/>
                <w:szCs w:val="18"/>
                <w:color w:val="auto"/>
              </w:rPr>
              <w:t>$22,549</w:t>
            </w:r>
          </w:p>
        </w:tc>
        <w:tc>
          <w:tcPr>
            <w:tcW w:w="1420" w:type="dxa"/>
            <w:vAlign w:val="bottom"/>
            <w:gridSpan w:val="3"/>
            <w:shd w:val="clear" w:color="auto" w:fill="CCEEFF"/>
          </w:tcPr>
          <w:p>
            <w:pPr>
              <w:jc w:val="right"/>
              <w:ind w:right="532"/>
              <w:spacing w:after="0"/>
              <w:rPr>
                <w:sz w:val="20"/>
                <w:szCs w:val="20"/>
                <w:color w:val="auto"/>
              </w:rPr>
            </w:pPr>
            <w:r>
              <w:rPr>
                <w:rFonts w:ascii="Arial" w:cs="Arial" w:eastAsia="Arial" w:hAnsi="Arial"/>
                <w:sz w:val="18"/>
                <w:szCs w:val="18"/>
                <w:color w:val="auto"/>
              </w:rPr>
              <w:t>$30,356</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(25.7)%</w:t>
            </w:r>
          </w:p>
        </w:tc>
        <w:tc>
          <w:tcPr>
            <w:tcW w:w="0" w:type="dxa"/>
            <w:vAlign w:val="bottom"/>
          </w:tcPr>
          <w:p>
            <w:pPr>
              <w:spacing w:after="0"/>
              <w:rPr>
                <w:sz w:val="1"/>
                <w:szCs w:val="1"/>
                <w:color w:val="auto"/>
              </w:rPr>
            </w:pPr>
          </w:p>
        </w:tc>
      </w:tr>
      <w:tr>
        <w:trPr>
          <w:trHeight w:val="222"/>
        </w:trPr>
        <w:tc>
          <w:tcPr>
            <w:tcW w:w="4740" w:type="dxa"/>
            <w:vAlign w:val="bottom"/>
          </w:tcPr>
          <w:p>
            <w:pPr>
              <w:spacing w:after="0"/>
              <w:rPr>
                <w:sz w:val="20"/>
                <w:szCs w:val="20"/>
                <w:color w:val="auto"/>
              </w:rPr>
            </w:pPr>
            <w:r>
              <w:rPr>
                <w:rFonts w:ascii="Arial" w:cs="Arial" w:eastAsia="Arial" w:hAnsi="Arial"/>
                <w:sz w:val="18"/>
                <w:szCs w:val="18"/>
                <w:color w:val="auto"/>
              </w:rPr>
              <w:t>% of net revenue</w:t>
            </w:r>
          </w:p>
        </w:tc>
        <w:tc>
          <w:tcPr>
            <w:tcW w:w="2720" w:type="dxa"/>
            <w:vAlign w:val="bottom"/>
            <w:gridSpan w:val="3"/>
          </w:tcPr>
          <w:p>
            <w:pPr>
              <w:jc w:val="right"/>
              <w:ind w:right="172"/>
              <w:spacing w:after="0"/>
              <w:rPr>
                <w:sz w:val="20"/>
                <w:szCs w:val="20"/>
                <w:color w:val="auto"/>
              </w:rPr>
            </w:pPr>
            <w:r>
              <w:rPr>
                <w:rFonts w:ascii="Arial" w:cs="Arial" w:eastAsia="Arial" w:hAnsi="Arial"/>
                <w:sz w:val="18"/>
                <w:szCs w:val="18"/>
                <w:color w:val="auto"/>
              </w:rPr>
              <w:t>2.6%</w:t>
            </w:r>
          </w:p>
        </w:tc>
        <w:tc>
          <w:tcPr>
            <w:tcW w:w="1420" w:type="dxa"/>
            <w:vAlign w:val="bottom"/>
            <w:gridSpan w:val="3"/>
          </w:tcPr>
          <w:p>
            <w:pPr>
              <w:jc w:val="right"/>
              <w:ind w:right="392"/>
              <w:spacing w:after="0"/>
              <w:rPr>
                <w:sz w:val="20"/>
                <w:szCs w:val="20"/>
                <w:color w:val="auto"/>
              </w:rPr>
            </w:pPr>
            <w:r>
              <w:rPr>
                <w:rFonts w:ascii="Arial" w:cs="Arial" w:eastAsia="Arial" w:hAnsi="Arial"/>
                <w:sz w:val="18"/>
                <w:szCs w:val="18"/>
                <w:color w:val="auto"/>
              </w:rPr>
              <w:t>5.8%</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The decrease in amortization of acquired intangible assets for the three months ended May 1, 2010 compared to the three months ended May 2, 2009 was due to intangible assets from certain acquisitions becoming fully amortized and the effects of the write-off of certain purchased intangibles during the fourth quarter ended January 30, 2010.</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Interest and Other Expense, Net</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600" w:type="dxa"/>
            <w:vAlign w:val="bottom"/>
          </w:tcPr>
          <w:p>
            <w:pPr>
              <w:spacing w:after="0"/>
              <w:rPr>
                <w:sz w:val="14"/>
                <w:szCs w:val="14"/>
                <w:color w:val="auto"/>
              </w:rPr>
            </w:pPr>
          </w:p>
        </w:tc>
        <w:tc>
          <w:tcPr>
            <w:tcW w:w="2260" w:type="dxa"/>
            <w:vAlign w:val="bottom"/>
            <w:gridSpan w:val="4"/>
          </w:tcPr>
          <w:p>
            <w:pPr>
              <w:jc w:val="right"/>
              <w:ind w:right="772"/>
              <w:spacing w:after="0"/>
              <w:rPr>
                <w:sz w:val="20"/>
                <w:szCs w:val="20"/>
                <w:color w:val="auto"/>
              </w:rPr>
            </w:pPr>
            <w:r>
              <w:rPr>
                <w:rFonts w:ascii="Arial" w:cs="Arial" w:eastAsia="Arial" w:hAnsi="Arial"/>
                <w:sz w:val="14"/>
                <w:szCs w:val="14"/>
                <w:b w:val="1"/>
                <w:bCs w:val="1"/>
                <w:color w:val="auto"/>
              </w:rPr>
              <w:t>Three Months Ended</w:t>
            </w:r>
          </w:p>
        </w:tc>
        <w:tc>
          <w:tcPr>
            <w:tcW w:w="520" w:type="dxa"/>
            <w:vAlign w:val="bottom"/>
            <w:vMerge w:val="restart"/>
          </w:tcPr>
          <w:p>
            <w:pPr>
              <w:jc w:val="right"/>
              <w:ind w:right="12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600" w:type="dxa"/>
            <w:vAlign w:val="bottom"/>
          </w:tcPr>
          <w:p>
            <w:pPr>
              <w:spacing w:after="0"/>
              <w:rPr>
                <w:sz w:val="11"/>
                <w:szCs w:val="11"/>
                <w:color w:val="auto"/>
              </w:rPr>
            </w:pPr>
          </w:p>
        </w:tc>
        <w:tc>
          <w:tcPr>
            <w:tcW w:w="1220" w:type="dxa"/>
            <w:vAlign w:val="bottom"/>
            <w:tcBorders>
              <w:top w:val="single" w:sz="8" w:color="auto"/>
            </w:tcBorders>
            <w:gridSpan w:val="2"/>
          </w:tcPr>
          <w:p>
            <w:pPr>
              <w:jc w:val="center"/>
              <w:ind w:right="592"/>
              <w:spacing w:after="0" w:line="129" w:lineRule="exact"/>
              <w:rPr>
                <w:sz w:val="20"/>
                <w:szCs w:val="20"/>
                <w:color w:val="auto"/>
              </w:rPr>
            </w:pPr>
            <w:r>
              <w:rPr>
                <w:rFonts w:ascii="Arial" w:cs="Arial" w:eastAsia="Arial" w:hAnsi="Arial"/>
                <w:sz w:val="14"/>
                <w:szCs w:val="14"/>
                <w:b w:val="1"/>
                <w:bCs w:val="1"/>
                <w:color w:val="auto"/>
                <w:w w:val="93"/>
              </w:rPr>
              <w:t>May 1,</w:t>
            </w:r>
          </w:p>
        </w:tc>
        <w:tc>
          <w:tcPr>
            <w:tcW w:w="4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8"/>
              </w:rPr>
              <w:t>May 2,</w:t>
            </w:r>
          </w:p>
        </w:tc>
        <w:tc>
          <w:tcPr>
            <w:tcW w:w="620" w:type="dxa"/>
            <w:vAlign w:val="bottom"/>
          </w:tcPr>
          <w:p>
            <w:pPr>
              <w:spacing w:after="0"/>
              <w:rPr>
                <w:sz w:val="11"/>
                <w:szCs w:val="11"/>
                <w:color w:val="auto"/>
              </w:rPr>
            </w:pPr>
          </w:p>
        </w:tc>
        <w:tc>
          <w:tcPr>
            <w:tcW w:w="52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600" w:type="dxa"/>
            <w:vAlign w:val="bottom"/>
          </w:tcPr>
          <w:p>
            <w:pPr>
              <w:spacing w:after="0"/>
              <w:rPr>
                <w:sz w:val="14"/>
                <w:szCs w:val="14"/>
                <w:color w:val="auto"/>
              </w:rPr>
            </w:pPr>
          </w:p>
        </w:tc>
        <w:tc>
          <w:tcPr>
            <w:tcW w:w="560" w:type="dxa"/>
            <w:vAlign w:val="bottom"/>
          </w:tcPr>
          <w:p>
            <w:pPr>
              <w:jc w:val="right"/>
              <w:ind w:right="87"/>
              <w:spacing w:after="0"/>
              <w:rPr>
                <w:sz w:val="20"/>
                <w:szCs w:val="20"/>
                <w:color w:val="auto"/>
              </w:rPr>
            </w:pPr>
            <w:r>
              <w:rPr>
                <w:rFonts w:ascii="Arial" w:cs="Arial" w:eastAsia="Arial" w:hAnsi="Arial"/>
                <w:sz w:val="14"/>
                <w:szCs w:val="14"/>
                <w:b w:val="1"/>
                <w:bCs w:val="1"/>
                <w:color w:val="auto"/>
              </w:rPr>
              <w:t>2010</w:t>
            </w:r>
          </w:p>
        </w:tc>
        <w:tc>
          <w:tcPr>
            <w:tcW w:w="660" w:type="dxa"/>
            <w:vAlign w:val="bottom"/>
          </w:tcPr>
          <w:p>
            <w:pPr>
              <w:spacing w:after="0"/>
              <w:rPr>
                <w:sz w:val="14"/>
                <w:szCs w:val="14"/>
                <w:color w:val="auto"/>
              </w:rPr>
            </w:pPr>
          </w:p>
        </w:tc>
        <w:tc>
          <w:tcPr>
            <w:tcW w:w="420" w:type="dxa"/>
            <w:vAlign w:val="bottom"/>
          </w:tcPr>
          <w:p>
            <w:pPr>
              <w:jc w:val="right"/>
              <w:ind w:right="4"/>
              <w:spacing w:after="0"/>
              <w:rPr>
                <w:sz w:val="20"/>
                <w:szCs w:val="20"/>
                <w:color w:val="auto"/>
              </w:rPr>
            </w:pPr>
            <w:r>
              <w:rPr>
                <w:rFonts w:ascii="Arial" w:cs="Arial" w:eastAsia="Arial" w:hAnsi="Arial"/>
                <w:sz w:val="14"/>
                <w:szCs w:val="14"/>
                <w:b w:val="1"/>
                <w:bCs w:val="1"/>
                <w:color w:val="auto"/>
              </w:rPr>
              <w:t>2009</w:t>
            </w:r>
          </w:p>
        </w:tc>
        <w:tc>
          <w:tcPr>
            <w:tcW w:w="620" w:type="dxa"/>
            <w:vAlign w:val="bottom"/>
          </w:tcPr>
          <w:p>
            <w:pPr>
              <w:spacing w:after="0"/>
              <w:rPr>
                <w:sz w:val="14"/>
                <w:szCs w:val="14"/>
                <w:color w:val="auto"/>
              </w:rPr>
            </w:pPr>
          </w:p>
        </w:tc>
        <w:tc>
          <w:tcPr>
            <w:tcW w:w="72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6600" w:type="dxa"/>
            <w:vAlign w:val="bottom"/>
          </w:tcPr>
          <w:p>
            <w:pPr>
              <w:spacing w:after="0"/>
              <w:rPr>
                <w:sz w:val="12"/>
                <w:szCs w:val="12"/>
                <w:color w:val="auto"/>
              </w:rPr>
            </w:pPr>
          </w:p>
        </w:tc>
        <w:tc>
          <w:tcPr>
            <w:tcW w:w="560" w:type="dxa"/>
            <w:vAlign w:val="bottom"/>
            <w:tcBorders>
              <w:top w:val="single" w:sz="8" w:color="auto"/>
            </w:tcBorders>
          </w:tcPr>
          <w:p>
            <w:pPr>
              <w:ind w:left="420"/>
              <w:spacing w:after="0"/>
              <w:rPr>
                <w:sz w:val="20"/>
                <w:szCs w:val="20"/>
                <w:color w:val="auto"/>
              </w:rPr>
            </w:pPr>
            <w:r>
              <w:rPr>
                <w:rFonts w:ascii="Arial" w:cs="Arial" w:eastAsia="Arial" w:hAnsi="Arial"/>
                <w:sz w:val="12"/>
                <w:szCs w:val="12"/>
                <w:b w:val="1"/>
                <w:bCs w:val="1"/>
                <w:color w:val="auto"/>
                <w:w w:val="81"/>
              </w:rPr>
              <w:t>(in</w:t>
            </w:r>
          </w:p>
        </w:tc>
        <w:tc>
          <w:tcPr>
            <w:tcW w:w="66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85"/>
              </w:rPr>
              <w:t>thousands,</w:t>
            </w:r>
          </w:p>
        </w:tc>
        <w:tc>
          <w:tcPr>
            <w:tcW w:w="42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90"/>
              </w:rPr>
              <w:t>except</w:t>
            </w:r>
          </w:p>
        </w:tc>
        <w:tc>
          <w:tcPr>
            <w:tcW w:w="62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75"/>
              </w:rPr>
              <w:t>percentage)</w:t>
            </w:r>
          </w:p>
        </w:tc>
        <w:tc>
          <w:tcPr>
            <w:tcW w:w="52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6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expense, net</w:t>
            </w:r>
          </w:p>
        </w:tc>
        <w:tc>
          <w:tcPr>
            <w:tcW w:w="1220" w:type="dxa"/>
            <w:vAlign w:val="bottom"/>
            <w:gridSpan w:val="2"/>
            <w:shd w:val="clear" w:color="auto" w:fill="CCEEFF"/>
          </w:tcPr>
          <w:p>
            <w:pPr>
              <w:jc w:val="right"/>
              <w:ind w:right="552"/>
              <w:spacing w:after="0"/>
              <w:rPr>
                <w:sz w:val="20"/>
                <w:szCs w:val="20"/>
                <w:color w:val="auto"/>
              </w:rPr>
            </w:pPr>
            <w:r>
              <w:rPr>
                <w:rFonts w:ascii="Arial" w:cs="Arial" w:eastAsia="Arial" w:hAnsi="Arial"/>
                <w:sz w:val="18"/>
                <w:szCs w:val="18"/>
                <w:color w:val="auto"/>
                <w:w w:val="86"/>
              </w:rPr>
              <w:t>$(3,701)</w:t>
            </w:r>
          </w:p>
        </w:tc>
        <w:tc>
          <w:tcPr>
            <w:tcW w:w="1040" w:type="dxa"/>
            <w:vAlign w:val="bottom"/>
            <w:gridSpan w:val="2"/>
            <w:shd w:val="clear" w:color="auto" w:fill="CCEEFF"/>
          </w:tcPr>
          <w:p>
            <w:pPr>
              <w:jc w:val="right"/>
              <w:ind w:right="512"/>
              <w:spacing w:after="0"/>
              <w:rPr>
                <w:sz w:val="20"/>
                <w:szCs w:val="20"/>
                <w:color w:val="auto"/>
              </w:rPr>
            </w:pPr>
            <w:r>
              <w:rPr>
                <w:rFonts w:ascii="Arial" w:cs="Arial" w:eastAsia="Arial" w:hAnsi="Arial"/>
                <w:sz w:val="18"/>
                <w:szCs w:val="18"/>
                <w:color w:val="auto"/>
                <w:w w:val="93"/>
              </w:rPr>
              <w:t>$ (72)</w:t>
            </w:r>
          </w:p>
        </w:tc>
        <w:tc>
          <w:tcPr>
            <w:tcW w:w="7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4"/>
              </w:rPr>
              <w:t>5,040.3%</w:t>
            </w:r>
          </w:p>
        </w:tc>
        <w:tc>
          <w:tcPr>
            <w:tcW w:w="0" w:type="dxa"/>
            <w:vAlign w:val="bottom"/>
          </w:tcPr>
          <w:p>
            <w:pPr>
              <w:spacing w:after="0"/>
              <w:rPr>
                <w:sz w:val="1"/>
                <w:szCs w:val="1"/>
                <w:color w:val="auto"/>
              </w:rPr>
            </w:pPr>
          </w:p>
        </w:tc>
      </w:tr>
      <w:tr>
        <w:trPr>
          <w:trHeight w:val="222"/>
        </w:trPr>
        <w:tc>
          <w:tcPr>
            <w:tcW w:w="6600" w:type="dxa"/>
            <w:vAlign w:val="bottom"/>
          </w:tcPr>
          <w:p>
            <w:pPr>
              <w:spacing w:after="0"/>
              <w:rPr>
                <w:sz w:val="20"/>
                <w:szCs w:val="20"/>
                <w:color w:val="auto"/>
              </w:rPr>
            </w:pPr>
            <w:r>
              <w:rPr>
                <w:rFonts w:ascii="Arial" w:cs="Arial" w:eastAsia="Arial" w:hAnsi="Arial"/>
                <w:sz w:val="18"/>
                <w:szCs w:val="18"/>
                <w:color w:val="auto"/>
              </w:rPr>
              <w:t>% of net revenue</w:t>
            </w:r>
          </w:p>
        </w:tc>
        <w:tc>
          <w:tcPr>
            <w:tcW w:w="1220" w:type="dxa"/>
            <w:vAlign w:val="bottom"/>
            <w:gridSpan w:val="2"/>
          </w:tcPr>
          <w:p>
            <w:pPr>
              <w:jc w:val="right"/>
              <w:ind w:right="392"/>
              <w:spacing w:after="0"/>
              <w:rPr>
                <w:sz w:val="20"/>
                <w:szCs w:val="20"/>
                <w:color w:val="auto"/>
              </w:rPr>
            </w:pPr>
            <w:r>
              <w:rPr>
                <w:rFonts w:ascii="Arial" w:cs="Arial" w:eastAsia="Arial" w:hAnsi="Arial"/>
                <w:sz w:val="18"/>
                <w:szCs w:val="18"/>
                <w:color w:val="auto"/>
              </w:rPr>
              <w:t>(0.4)%</w:t>
            </w:r>
          </w:p>
        </w:tc>
        <w:tc>
          <w:tcPr>
            <w:tcW w:w="1040" w:type="dxa"/>
            <w:vAlign w:val="bottom"/>
            <w:gridSpan w:val="2"/>
          </w:tcPr>
          <w:p>
            <w:pPr>
              <w:jc w:val="right"/>
              <w:ind w:right="412"/>
              <w:spacing w:after="0"/>
              <w:rPr>
                <w:sz w:val="20"/>
                <w:szCs w:val="20"/>
                <w:color w:val="auto"/>
              </w:rPr>
            </w:pPr>
            <w:r>
              <w:rPr>
                <w:rFonts w:ascii="Arial" w:cs="Arial" w:eastAsia="Arial" w:hAnsi="Arial"/>
                <w:sz w:val="18"/>
                <w:szCs w:val="18"/>
                <w:color w:val="auto"/>
              </w:rPr>
              <w:t>0.0%</w:t>
            </w:r>
          </w:p>
        </w:tc>
        <w:tc>
          <w:tcPr>
            <w:tcW w:w="5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40" w:firstLine="456"/>
        <w:spacing w:after="0" w:line="256" w:lineRule="auto"/>
        <w:rPr>
          <w:sz w:val="20"/>
          <w:szCs w:val="20"/>
          <w:color w:val="auto"/>
        </w:rPr>
      </w:pPr>
      <w:r>
        <w:rPr>
          <w:rFonts w:ascii="Arial" w:cs="Arial" w:eastAsia="Arial" w:hAnsi="Arial"/>
          <w:sz w:val="18"/>
          <w:szCs w:val="18"/>
          <w:color w:val="auto"/>
        </w:rPr>
        <w:t>The increase in expense for the three months ended May 1, 2010 compared to the three months ended May 2, 2009 was primarily due to unfavorable foreign currency impacts on our tax contingency reserves as a result of the weakening of the U.S. dollar. In addition, we incurred a loss on the severance fund assets in a foreign jurisdiction which was partially offset by an increase in interest income due to higher average cash and cash equivalents and short-term investment balances.</w:t>
      </w:r>
    </w:p>
    <w:p>
      <w:pPr>
        <w:spacing w:after="0" w:line="130"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320"/>
          </w:cols>
          <w:pgMar w:left="240" w:top="459" w:right="3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Interest Expense</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540" w:type="dxa"/>
            <w:vAlign w:val="bottom"/>
          </w:tcPr>
          <w:p>
            <w:pPr>
              <w:spacing w:after="0"/>
              <w:rPr>
                <w:sz w:val="14"/>
                <w:szCs w:val="14"/>
                <w:color w:val="auto"/>
              </w:rPr>
            </w:pPr>
          </w:p>
        </w:tc>
        <w:tc>
          <w:tcPr>
            <w:tcW w:w="2340" w:type="dxa"/>
            <w:vAlign w:val="bottom"/>
            <w:gridSpan w:val="4"/>
          </w:tcPr>
          <w:p>
            <w:pPr>
              <w:jc w:val="right"/>
              <w:ind w:right="832"/>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540" w:type="dxa"/>
            <w:vAlign w:val="bottom"/>
          </w:tcPr>
          <w:p>
            <w:pPr>
              <w:spacing w:after="0"/>
              <w:rPr>
                <w:sz w:val="11"/>
                <w:szCs w:val="11"/>
                <w:color w:val="auto"/>
              </w:rPr>
            </w:pPr>
          </w:p>
        </w:tc>
        <w:tc>
          <w:tcPr>
            <w:tcW w:w="1160" w:type="dxa"/>
            <w:vAlign w:val="bottom"/>
            <w:tcBorders>
              <w:top w:val="single" w:sz="8" w:color="auto"/>
            </w:tcBorders>
            <w:gridSpan w:val="2"/>
          </w:tcPr>
          <w:p>
            <w:pPr>
              <w:jc w:val="center"/>
              <w:ind w:right="612"/>
              <w:spacing w:after="0" w:line="129" w:lineRule="exact"/>
              <w:rPr>
                <w:sz w:val="20"/>
                <w:szCs w:val="20"/>
                <w:color w:val="auto"/>
              </w:rPr>
            </w:pPr>
            <w:r>
              <w:rPr>
                <w:rFonts w:ascii="Arial" w:cs="Arial" w:eastAsia="Arial" w:hAnsi="Arial"/>
                <w:sz w:val="14"/>
                <w:szCs w:val="14"/>
                <w:b w:val="1"/>
                <w:bCs w:val="1"/>
                <w:color w:val="auto"/>
                <w:w w:val="93"/>
              </w:rPr>
              <w:t>May 1,</w:t>
            </w:r>
          </w:p>
        </w:tc>
        <w:tc>
          <w:tcPr>
            <w:tcW w:w="500" w:type="dxa"/>
            <w:vAlign w:val="bottom"/>
            <w:tcBorders>
              <w:top w:val="single" w:sz="8" w:color="auto"/>
            </w:tcBorders>
          </w:tcPr>
          <w:p>
            <w:pPr>
              <w:ind w:left="60"/>
              <w:spacing w:after="0" w:line="129" w:lineRule="exact"/>
              <w:rPr>
                <w:sz w:val="20"/>
                <w:szCs w:val="20"/>
                <w:color w:val="auto"/>
              </w:rPr>
            </w:pPr>
            <w:r>
              <w:rPr>
                <w:rFonts w:ascii="Arial" w:cs="Arial" w:eastAsia="Arial" w:hAnsi="Arial"/>
                <w:sz w:val="14"/>
                <w:szCs w:val="14"/>
                <w:b w:val="1"/>
                <w:bCs w:val="1"/>
                <w:color w:val="auto"/>
                <w:w w:val="98"/>
              </w:rPr>
              <w:t>May 2,</w:t>
            </w:r>
          </w:p>
        </w:tc>
        <w:tc>
          <w:tcPr>
            <w:tcW w:w="6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540" w:type="dxa"/>
            <w:vAlign w:val="bottom"/>
          </w:tcPr>
          <w:p>
            <w:pPr>
              <w:spacing w:after="0"/>
              <w:rPr>
                <w:sz w:val="14"/>
                <w:szCs w:val="14"/>
                <w:color w:val="auto"/>
              </w:rPr>
            </w:pPr>
          </w:p>
        </w:tc>
        <w:tc>
          <w:tcPr>
            <w:tcW w:w="460" w:type="dxa"/>
            <w:vAlign w:val="bottom"/>
          </w:tcPr>
          <w:p>
            <w:pPr>
              <w:jc w:val="right"/>
              <w:ind w:right="24"/>
              <w:spacing w:after="0"/>
              <w:rPr>
                <w:sz w:val="20"/>
                <w:szCs w:val="20"/>
                <w:color w:val="auto"/>
              </w:rPr>
            </w:pPr>
            <w:r>
              <w:rPr>
                <w:rFonts w:ascii="Arial" w:cs="Arial" w:eastAsia="Arial" w:hAnsi="Arial"/>
                <w:sz w:val="14"/>
                <w:szCs w:val="14"/>
                <w:b w:val="1"/>
                <w:bCs w:val="1"/>
                <w:color w:val="auto"/>
              </w:rPr>
              <w:t>2010</w:t>
            </w:r>
          </w:p>
        </w:tc>
        <w:tc>
          <w:tcPr>
            <w:tcW w:w="700" w:type="dxa"/>
            <w:vAlign w:val="bottom"/>
          </w:tcPr>
          <w:p>
            <w:pPr>
              <w:spacing w:after="0"/>
              <w:rPr>
                <w:sz w:val="14"/>
                <w:szCs w:val="14"/>
                <w:color w:val="auto"/>
              </w:rPr>
            </w:pPr>
          </w:p>
        </w:tc>
        <w:tc>
          <w:tcPr>
            <w:tcW w:w="500" w:type="dxa"/>
            <w:vAlign w:val="bottom"/>
          </w:tcPr>
          <w:p>
            <w:pPr>
              <w:ind w:left="120"/>
              <w:spacing w:after="0"/>
              <w:rPr>
                <w:sz w:val="20"/>
                <w:szCs w:val="20"/>
                <w:color w:val="auto"/>
              </w:rPr>
            </w:pPr>
            <w:r>
              <w:rPr>
                <w:rFonts w:ascii="Arial" w:cs="Arial" w:eastAsia="Arial" w:hAnsi="Arial"/>
                <w:sz w:val="14"/>
                <w:szCs w:val="14"/>
                <w:b w:val="1"/>
                <w:bCs w:val="1"/>
                <w:color w:val="auto"/>
              </w:rPr>
              <w:t>2009</w:t>
            </w:r>
          </w:p>
        </w:tc>
        <w:tc>
          <w:tcPr>
            <w:tcW w:w="68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6540" w:type="dxa"/>
            <w:vAlign w:val="bottom"/>
          </w:tcPr>
          <w:p>
            <w:pPr>
              <w:spacing w:after="0"/>
              <w:rPr>
                <w:sz w:val="12"/>
                <w:szCs w:val="12"/>
                <w:color w:val="auto"/>
              </w:rPr>
            </w:pPr>
          </w:p>
        </w:tc>
        <w:tc>
          <w:tcPr>
            <w:tcW w:w="460" w:type="dxa"/>
            <w:vAlign w:val="bottom"/>
            <w:tcBorders>
              <w:top w:val="single" w:sz="8" w:color="auto"/>
            </w:tcBorders>
          </w:tcPr>
          <w:p>
            <w:pPr>
              <w:spacing w:after="0"/>
              <w:rPr>
                <w:sz w:val="12"/>
                <w:szCs w:val="12"/>
                <w:color w:val="auto"/>
              </w:rPr>
            </w:pPr>
          </w:p>
        </w:tc>
        <w:tc>
          <w:tcPr>
            <w:tcW w:w="70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71"/>
              </w:rPr>
              <w:t>(in thousands,</w:t>
            </w:r>
          </w:p>
        </w:tc>
        <w:tc>
          <w:tcPr>
            <w:tcW w:w="500" w:type="dxa"/>
            <w:vAlign w:val="bottom"/>
            <w:tcBorders>
              <w:top w:val="single" w:sz="8" w:color="auto"/>
            </w:tcBorders>
          </w:tcPr>
          <w:p>
            <w:pPr>
              <w:ind w:left="120"/>
              <w:spacing w:after="0" w:line="142" w:lineRule="exact"/>
              <w:rPr>
                <w:sz w:val="20"/>
                <w:szCs w:val="20"/>
                <w:color w:val="auto"/>
              </w:rPr>
            </w:pPr>
            <w:r>
              <w:rPr>
                <w:rFonts w:ascii="Arial" w:cs="Arial" w:eastAsia="Arial" w:hAnsi="Arial"/>
                <w:sz w:val="14"/>
                <w:szCs w:val="14"/>
                <w:b w:val="1"/>
                <w:bCs w:val="1"/>
                <w:color w:val="auto"/>
                <w:w w:val="81"/>
              </w:rPr>
              <w:t>except</w:t>
            </w:r>
          </w:p>
        </w:tc>
        <w:tc>
          <w:tcPr>
            <w:tcW w:w="68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83"/>
              </w:rPr>
              <w:t>percentage)</w:t>
            </w: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1160" w:type="dxa"/>
            <w:vAlign w:val="bottom"/>
            <w:gridSpan w:val="2"/>
            <w:shd w:val="clear" w:color="auto" w:fill="CCEEFF"/>
          </w:tcPr>
          <w:p>
            <w:pPr>
              <w:jc w:val="right"/>
              <w:ind w:right="572"/>
              <w:spacing w:after="0"/>
              <w:rPr>
                <w:sz w:val="20"/>
                <w:szCs w:val="20"/>
                <w:color w:val="auto"/>
              </w:rPr>
            </w:pPr>
            <w:r>
              <w:rPr>
                <w:rFonts w:ascii="Arial" w:cs="Arial" w:eastAsia="Arial" w:hAnsi="Arial"/>
                <w:sz w:val="18"/>
                <w:szCs w:val="18"/>
                <w:color w:val="auto"/>
                <w:w w:val="96"/>
              </w:rPr>
              <w:t>$  (51)</w:t>
            </w:r>
          </w:p>
        </w:tc>
        <w:tc>
          <w:tcPr>
            <w:tcW w:w="1180" w:type="dxa"/>
            <w:vAlign w:val="bottom"/>
            <w:gridSpan w:val="2"/>
            <w:shd w:val="clear" w:color="auto" w:fill="CCEEFF"/>
          </w:tcPr>
          <w:p>
            <w:pPr>
              <w:jc w:val="right"/>
              <w:ind w:right="552"/>
              <w:spacing w:after="0"/>
              <w:rPr>
                <w:sz w:val="20"/>
                <w:szCs w:val="20"/>
                <w:color w:val="auto"/>
              </w:rPr>
            </w:pPr>
            <w:r>
              <w:rPr>
                <w:rFonts w:ascii="Arial" w:cs="Arial" w:eastAsia="Arial" w:hAnsi="Arial"/>
                <w:sz w:val="18"/>
                <w:szCs w:val="18"/>
                <w:color w:val="auto"/>
              </w:rPr>
              <w:t>$  (88)</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(42.0)%</w:t>
            </w:r>
          </w:p>
        </w:tc>
        <w:tc>
          <w:tcPr>
            <w:tcW w:w="0" w:type="dxa"/>
            <w:vAlign w:val="bottom"/>
          </w:tcPr>
          <w:p>
            <w:pPr>
              <w:spacing w:after="0"/>
              <w:rPr>
                <w:sz w:val="1"/>
                <w:szCs w:val="1"/>
                <w:color w:val="auto"/>
              </w:rPr>
            </w:pPr>
          </w:p>
        </w:tc>
      </w:tr>
      <w:tr>
        <w:trPr>
          <w:trHeight w:val="222"/>
        </w:trPr>
        <w:tc>
          <w:tcPr>
            <w:tcW w:w="6540" w:type="dxa"/>
            <w:vAlign w:val="bottom"/>
          </w:tcPr>
          <w:p>
            <w:pPr>
              <w:spacing w:after="0"/>
              <w:rPr>
                <w:sz w:val="20"/>
                <w:szCs w:val="20"/>
                <w:color w:val="auto"/>
              </w:rPr>
            </w:pPr>
            <w:r>
              <w:rPr>
                <w:rFonts w:ascii="Arial" w:cs="Arial" w:eastAsia="Arial" w:hAnsi="Arial"/>
                <w:sz w:val="18"/>
                <w:szCs w:val="18"/>
                <w:color w:val="auto"/>
              </w:rPr>
              <w:t>% of net revenue</w:t>
            </w:r>
          </w:p>
        </w:tc>
        <w:tc>
          <w:tcPr>
            <w:tcW w:w="1160" w:type="dxa"/>
            <w:vAlign w:val="bottom"/>
            <w:gridSpan w:val="2"/>
          </w:tcPr>
          <w:p>
            <w:pPr>
              <w:jc w:val="right"/>
              <w:ind w:right="492"/>
              <w:spacing w:after="0"/>
              <w:rPr>
                <w:sz w:val="20"/>
                <w:szCs w:val="20"/>
                <w:color w:val="auto"/>
              </w:rPr>
            </w:pPr>
            <w:r>
              <w:rPr>
                <w:rFonts w:ascii="Arial" w:cs="Arial" w:eastAsia="Arial" w:hAnsi="Arial"/>
                <w:sz w:val="18"/>
                <w:szCs w:val="18"/>
                <w:color w:val="auto"/>
              </w:rPr>
              <w:t>0.0%</w:t>
            </w:r>
          </w:p>
        </w:tc>
        <w:tc>
          <w:tcPr>
            <w:tcW w:w="1180" w:type="dxa"/>
            <w:vAlign w:val="bottom"/>
            <w:gridSpan w:val="2"/>
          </w:tcPr>
          <w:p>
            <w:pPr>
              <w:jc w:val="right"/>
              <w:ind w:right="452"/>
              <w:spacing w:after="0"/>
              <w:rPr>
                <w:sz w:val="20"/>
                <w:szCs w:val="20"/>
                <w:color w:val="auto"/>
              </w:rPr>
            </w:pPr>
            <w:r>
              <w:rPr>
                <w:rFonts w:ascii="Arial" w:cs="Arial" w:eastAsia="Arial" w:hAnsi="Arial"/>
                <w:sz w:val="18"/>
                <w:szCs w:val="18"/>
                <w:color w:val="auto"/>
              </w:rPr>
              <w:t>0.0%</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decrease in interest expense for the three months ended May 1, 2010 compared to the three months ended May 2, 2009 was due to the repayment of capital lease obligations resulting in lower interest expense.</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540" w:type="dxa"/>
            <w:vAlign w:val="bottom"/>
          </w:tcPr>
          <w:p>
            <w:pPr>
              <w:spacing w:after="0"/>
              <w:rPr>
                <w:sz w:val="14"/>
                <w:szCs w:val="14"/>
                <w:color w:val="auto"/>
              </w:rPr>
            </w:pPr>
          </w:p>
        </w:tc>
        <w:tc>
          <w:tcPr>
            <w:tcW w:w="2320" w:type="dxa"/>
            <w:vAlign w:val="bottom"/>
            <w:gridSpan w:val="4"/>
          </w:tcPr>
          <w:p>
            <w:pPr>
              <w:jc w:val="right"/>
              <w:ind w:right="772"/>
              <w:spacing w:after="0"/>
              <w:rPr>
                <w:sz w:val="20"/>
                <w:szCs w:val="20"/>
                <w:color w:val="auto"/>
              </w:rPr>
            </w:pPr>
            <w:r>
              <w:rPr>
                <w:rFonts w:ascii="Arial" w:cs="Arial" w:eastAsia="Arial" w:hAnsi="Arial"/>
                <w:sz w:val="14"/>
                <w:szCs w:val="14"/>
                <w:b w:val="1"/>
                <w:bCs w:val="1"/>
                <w:color w:val="auto"/>
              </w:rPr>
              <w:t>Three Months Ended</w:t>
            </w:r>
          </w:p>
        </w:tc>
        <w:tc>
          <w:tcPr>
            <w:tcW w:w="46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540" w:type="dxa"/>
            <w:vAlign w:val="bottom"/>
          </w:tcPr>
          <w:p>
            <w:pPr>
              <w:spacing w:after="0"/>
              <w:rPr>
                <w:sz w:val="11"/>
                <w:szCs w:val="11"/>
                <w:color w:val="auto"/>
              </w:rPr>
            </w:pPr>
          </w:p>
        </w:tc>
        <w:tc>
          <w:tcPr>
            <w:tcW w:w="1220" w:type="dxa"/>
            <w:vAlign w:val="bottom"/>
            <w:tcBorders>
              <w:top w:val="single" w:sz="8" w:color="auto"/>
            </w:tcBorders>
            <w:gridSpan w:val="2"/>
          </w:tcPr>
          <w:p>
            <w:pPr>
              <w:jc w:val="center"/>
              <w:ind w:right="592"/>
              <w:spacing w:after="0" w:line="129" w:lineRule="exact"/>
              <w:rPr>
                <w:sz w:val="20"/>
                <w:szCs w:val="20"/>
                <w:color w:val="auto"/>
              </w:rPr>
            </w:pPr>
            <w:r>
              <w:rPr>
                <w:rFonts w:ascii="Arial" w:cs="Arial" w:eastAsia="Arial" w:hAnsi="Arial"/>
                <w:sz w:val="14"/>
                <w:szCs w:val="14"/>
                <w:b w:val="1"/>
                <w:bCs w:val="1"/>
                <w:color w:val="auto"/>
                <w:w w:val="93"/>
              </w:rPr>
              <w:t>May 1,</w:t>
            </w:r>
          </w:p>
        </w:tc>
        <w:tc>
          <w:tcPr>
            <w:tcW w:w="5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May 2,</w:t>
            </w:r>
          </w:p>
        </w:tc>
        <w:tc>
          <w:tcPr>
            <w:tcW w:w="600" w:type="dxa"/>
            <w:vAlign w:val="bottom"/>
          </w:tcPr>
          <w:p>
            <w:pPr>
              <w:spacing w:after="0"/>
              <w:rPr>
                <w:sz w:val="11"/>
                <w:szCs w:val="11"/>
                <w:color w:val="auto"/>
              </w:rPr>
            </w:pPr>
          </w:p>
        </w:tc>
        <w:tc>
          <w:tcPr>
            <w:tcW w:w="46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540" w:type="dxa"/>
            <w:vAlign w:val="bottom"/>
          </w:tcPr>
          <w:p>
            <w:pPr>
              <w:spacing w:after="0"/>
              <w:rPr>
                <w:sz w:val="14"/>
                <w:szCs w:val="14"/>
                <w:color w:val="auto"/>
              </w:rPr>
            </w:pPr>
          </w:p>
        </w:tc>
        <w:tc>
          <w:tcPr>
            <w:tcW w:w="560" w:type="dxa"/>
            <w:vAlign w:val="bottom"/>
          </w:tcPr>
          <w:p>
            <w:pPr>
              <w:jc w:val="right"/>
              <w:ind w:right="68"/>
              <w:spacing w:after="0"/>
              <w:rPr>
                <w:sz w:val="20"/>
                <w:szCs w:val="20"/>
                <w:color w:val="auto"/>
              </w:rPr>
            </w:pPr>
            <w:r>
              <w:rPr>
                <w:rFonts w:ascii="Arial" w:cs="Arial" w:eastAsia="Arial" w:hAnsi="Arial"/>
                <w:sz w:val="14"/>
                <w:szCs w:val="14"/>
                <w:b w:val="1"/>
                <w:bCs w:val="1"/>
                <w:color w:val="auto"/>
              </w:rPr>
              <w:t>2010</w:t>
            </w:r>
          </w:p>
        </w:tc>
        <w:tc>
          <w:tcPr>
            <w:tcW w:w="660" w:type="dxa"/>
            <w:vAlign w:val="bottom"/>
          </w:tcPr>
          <w:p>
            <w:pPr>
              <w:spacing w:after="0"/>
              <w:rPr>
                <w:sz w:val="14"/>
                <w:szCs w:val="14"/>
                <w:color w:val="auto"/>
              </w:rPr>
            </w:pPr>
          </w:p>
        </w:tc>
        <w:tc>
          <w:tcPr>
            <w:tcW w:w="500" w:type="dxa"/>
            <w:vAlign w:val="bottom"/>
          </w:tcPr>
          <w:p>
            <w:pPr>
              <w:jc w:val="center"/>
              <w:spacing w:after="0"/>
              <w:rPr>
                <w:sz w:val="20"/>
                <w:szCs w:val="20"/>
                <w:color w:val="auto"/>
              </w:rPr>
            </w:pPr>
            <w:r>
              <w:rPr>
                <w:rFonts w:ascii="Arial" w:cs="Arial" w:eastAsia="Arial" w:hAnsi="Arial"/>
                <w:sz w:val="14"/>
                <w:szCs w:val="14"/>
                <w:b w:val="1"/>
                <w:bCs w:val="1"/>
                <w:color w:val="auto"/>
                <w:w w:val="83"/>
              </w:rPr>
              <w:t>2009</w:t>
            </w:r>
          </w:p>
        </w:tc>
        <w:tc>
          <w:tcPr>
            <w:tcW w:w="600" w:type="dxa"/>
            <w:vAlign w:val="bottom"/>
          </w:tcPr>
          <w:p>
            <w:pPr>
              <w:spacing w:after="0"/>
              <w:rPr>
                <w:sz w:val="14"/>
                <w:szCs w:val="14"/>
                <w:color w:val="auto"/>
              </w:rPr>
            </w:pPr>
          </w:p>
        </w:tc>
        <w:tc>
          <w:tcPr>
            <w:tcW w:w="720" w:type="dxa"/>
            <w:vAlign w:val="bottom"/>
            <w:gridSpan w:val="2"/>
          </w:tcPr>
          <w:p>
            <w:pPr>
              <w:ind w:left="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6540" w:type="dxa"/>
            <w:vAlign w:val="bottom"/>
          </w:tcPr>
          <w:p>
            <w:pPr>
              <w:spacing w:after="0"/>
              <w:rPr>
                <w:sz w:val="12"/>
                <w:szCs w:val="12"/>
                <w:color w:val="auto"/>
              </w:rPr>
            </w:pPr>
          </w:p>
        </w:tc>
        <w:tc>
          <w:tcPr>
            <w:tcW w:w="560" w:type="dxa"/>
            <w:vAlign w:val="bottom"/>
            <w:tcBorders>
              <w:top w:val="single" w:sz="8" w:color="auto"/>
            </w:tcBorders>
          </w:tcPr>
          <w:p>
            <w:pPr>
              <w:ind w:left="440"/>
              <w:spacing w:after="0"/>
              <w:rPr>
                <w:sz w:val="20"/>
                <w:szCs w:val="20"/>
                <w:color w:val="auto"/>
              </w:rPr>
            </w:pPr>
            <w:r>
              <w:rPr>
                <w:rFonts w:ascii="Arial" w:cs="Arial" w:eastAsia="Arial" w:hAnsi="Arial"/>
                <w:sz w:val="11"/>
                <w:szCs w:val="11"/>
                <w:b w:val="1"/>
                <w:bCs w:val="1"/>
                <w:color w:val="auto"/>
                <w:w w:val="74"/>
              </w:rPr>
              <w:t>(in</w:t>
            </w:r>
          </w:p>
        </w:tc>
        <w:tc>
          <w:tcPr>
            <w:tcW w:w="66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85"/>
              </w:rPr>
              <w:t>thousands,</w:t>
            </w:r>
          </w:p>
        </w:tc>
        <w:tc>
          <w:tcPr>
            <w:tcW w:w="50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60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73"/>
              </w:rPr>
              <w:t>percentage)</w:t>
            </w:r>
          </w:p>
        </w:tc>
        <w:tc>
          <w:tcPr>
            <w:tcW w:w="4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220" w:type="dxa"/>
            <w:vAlign w:val="bottom"/>
            <w:gridSpan w:val="2"/>
            <w:shd w:val="clear" w:color="auto" w:fill="CCEEFF"/>
          </w:tcPr>
          <w:p>
            <w:pPr>
              <w:jc w:val="right"/>
              <w:ind w:right="532"/>
              <w:spacing w:after="0"/>
              <w:rPr>
                <w:sz w:val="20"/>
                <w:szCs w:val="20"/>
                <w:color w:val="auto"/>
              </w:rPr>
            </w:pPr>
            <w:r>
              <w:rPr>
                <w:rFonts w:ascii="Arial" w:cs="Arial" w:eastAsia="Arial" w:hAnsi="Arial"/>
                <w:sz w:val="18"/>
                <w:szCs w:val="18"/>
                <w:color w:val="auto"/>
                <w:w w:val="83"/>
              </w:rPr>
              <w:t>$ (1,116)</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$2,018</w:t>
            </w:r>
          </w:p>
        </w:tc>
        <w:tc>
          <w:tcPr>
            <w:tcW w:w="6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w w:val="93"/>
              </w:rPr>
              <w:t>(155.3)%</w:t>
            </w:r>
          </w:p>
        </w:tc>
        <w:tc>
          <w:tcPr>
            <w:tcW w:w="0" w:type="dxa"/>
            <w:vAlign w:val="bottom"/>
          </w:tcPr>
          <w:p>
            <w:pPr>
              <w:spacing w:after="0"/>
              <w:rPr>
                <w:sz w:val="1"/>
                <w:szCs w:val="1"/>
                <w:color w:val="auto"/>
              </w:rPr>
            </w:pPr>
          </w:p>
        </w:tc>
      </w:tr>
      <w:tr>
        <w:trPr>
          <w:trHeight w:val="222"/>
        </w:trPr>
        <w:tc>
          <w:tcPr>
            <w:tcW w:w="6540" w:type="dxa"/>
            <w:vAlign w:val="bottom"/>
          </w:tcPr>
          <w:p>
            <w:pPr>
              <w:spacing w:after="0"/>
              <w:rPr>
                <w:sz w:val="20"/>
                <w:szCs w:val="20"/>
                <w:color w:val="auto"/>
              </w:rPr>
            </w:pPr>
            <w:r>
              <w:rPr>
                <w:rFonts w:ascii="Arial" w:cs="Arial" w:eastAsia="Arial" w:hAnsi="Arial"/>
                <w:sz w:val="18"/>
                <w:szCs w:val="18"/>
                <w:color w:val="auto"/>
              </w:rPr>
              <w:t>% of net revenue</w:t>
            </w:r>
          </w:p>
        </w:tc>
        <w:tc>
          <w:tcPr>
            <w:tcW w:w="1220" w:type="dxa"/>
            <w:vAlign w:val="bottom"/>
            <w:gridSpan w:val="2"/>
          </w:tcPr>
          <w:p>
            <w:pPr>
              <w:jc w:val="right"/>
              <w:ind w:right="392"/>
              <w:spacing w:after="0"/>
              <w:rPr>
                <w:sz w:val="20"/>
                <w:szCs w:val="20"/>
                <w:color w:val="auto"/>
              </w:rPr>
            </w:pPr>
            <w:r>
              <w:rPr>
                <w:rFonts w:ascii="Arial" w:cs="Arial" w:eastAsia="Arial" w:hAnsi="Arial"/>
                <w:sz w:val="18"/>
                <w:szCs w:val="18"/>
                <w:color w:val="auto"/>
              </w:rPr>
              <w:t>(0.1)%</w:t>
            </w:r>
          </w:p>
        </w:tc>
        <w:tc>
          <w:tcPr>
            <w:tcW w:w="1100" w:type="dxa"/>
            <w:vAlign w:val="bottom"/>
            <w:gridSpan w:val="2"/>
          </w:tcPr>
          <w:p>
            <w:pPr>
              <w:jc w:val="right"/>
              <w:ind w:right="392"/>
              <w:spacing w:after="0"/>
              <w:rPr>
                <w:sz w:val="20"/>
                <w:szCs w:val="20"/>
                <w:color w:val="auto"/>
              </w:rPr>
            </w:pPr>
            <w:r>
              <w:rPr>
                <w:rFonts w:ascii="Arial" w:cs="Arial" w:eastAsia="Arial" w:hAnsi="Arial"/>
                <w:sz w:val="18"/>
                <w:szCs w:val="18"/>
                <w:color w:val="auto"/>
              </w:rPr>
              <w:t>0.4%</w:t>
            </w:r>
          </w:p>
        </w:tc>
        <w:tc>
          <w:tcPr>
            <w:tcW w:w="4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For the three months ended May 1, 2010, we recorded an income tax benefit of $1.1 million compared to an income tax provision of $2.0 million for the three months ended May 2, 2009. The effective tax rates in any given quarter are influenced by items for which we do not receive a tax benefit, such as stock-based compensation expense, amortization of acquired intangibles, and accounting for uncertain tax positions in accordance with the Financial Accounting Standards Board (“FASB”) Accounting Standards Codification (“ASC”) 740, “Income Tax.” For the three months ended May 1, 2010, the provision was impacted by a reduction of unrecognized tax benefits of approximately $6.5 million due to the expiration of the statute of limitation in multiple jurisdictions.</w:t>
      </w:r>
    </w:p>
    <w:p>
      <w:pPr>
        <w:spacing w:after="0" w:line="102"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180"/>
          </w:cols>
          <w:pgMar w:left="240" w:top="459" w:right="47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Liquidity and Capital Resources</w:t>
      </w:r>
    </w:p>
    <w:p>
      <w:pPr>
        <w:spacing w:after="0" w:line="90"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Our principal source of liquidity as of May 1, 2010 consisted of approximately $1.4 billion of cash and cash equivalents and $726.9 million of short-term investments. Since our inception, we have financed our operations through a combination of sales of equity securities, debt financing and cash generated by operations.</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Net Cash Provided by Operating Activities</w:t>
      </w:r>
    </w:p>
    <w:p>
      <w:pPr>
        <w:spacing w:after="0" w:line="90" w:lineRule="exact"/>
        <w:rPr>
          <w:sz w:val="20"/>
          <w:szCs w:val="20"/>
          <w:color w:val="auto"/>
        </w:rPr>
      </w:pPr>
    </w:p>
    <w:p>
      <w:pPr>
        <w:jc w:val="both"/>
        <w:ind w:right="520" w:firstLine="456"/>
        <w:spacing w:after="0" w:line="259" w:lineRule="auto"/>
        <w:rPr>
          <w:sz w:val="20"/>
          <w:szCs w:val="20"/>
          <w:color w:val="auto"/>
        </w:rPr>
      </w:pPr>
      <w:r>
        <w:rPr>
          <w:rFonts w:ascii="Arial" w:cs="Arial" w:eastAsia="Arial" w:hAnsi="Arial"/>
          <w:sz w:val="18"/>
          <w:szCs w:val="18"/>
          <w:color w:val="auto"/>
        </w:rPr>
        <w:t>Net cash provided by operating activities was $255.6 million for the three months ended May 1, 2010. The cash inflows from operations in the three months ended May 1, 2010 were primarily due to $279.2 million of net income adjusted for non-cash items, which was offset by $23.6 million of negative changes in working capital.</w:t>
      </w:r>
    </w:p>
    <w:p>
      <w:pPr>
        <w:spacing w:after="0" w:line="140" w:lineRule="exact"/>
        <w:rPr>
          <w:sz w:val="20"/>
          <w:szCs w:val="20"/>
          <w:color w:val="auto"/>
        </w:rPr>
      </w:pPr>
    </w:p>
    <w:p>
      <w:pPr>
        <w:ind w:right="20" w:firstLine="456"/>
        <w:spacing w:after="0" w:line="312" w:lineRule="auto"/>
        <w:rPr>
          <w:sz w:val="20"/>
          <w:szCs w:val="20"/>
          <w:color w:val="auto"/>
        </w:rPr>
      </w:pPr>
      <w:r>
        <w:rPr>
          <w:rFonts w:ascii="Arial" w:cs="Arial" w:eastAsia="Arial" w:hAnsi="Arial"/>
          <w:sz w:val="15"/>
          <w:szCs w:val="15"/>
          <w:color w:val="auto"/>
        </w:rPr>
        <w:t>Improvements in working capital during the three months ended May 1, 2010 included a decrease in inventories of $35.4 million as demand for our products has been strong and capacity in the supply chain has been tight making it difficult to increase our inventory levels to more optimal levels based on our current and anticipated business levels. Deferred income increased by $23.9 million due to our distributors increasing inventory levels in anticipation of increased sales to their end customers. Prepaid expenses and other assets decreased by $10.4 million primarily due to amortization of payments for computer-aided-design (“CAD”) licenses and receipt of foundry rebates. Significant working capital changes offsetting positive cash flows for the three months ended May 1, 2010 related to an increase in accounts receivable of $91.9 million due to the shipment patterns in the three months ended May 1, 2010 as compared to the previous quarter. Accrued employee compensation also decreased by $10.5 million primarily due to the payout of the fiscal 2010 bonuses during the first quarter.</w:t>
      </w:r>
    </w:p>
    <w:p>
      <w:pPr>
        <w:spacing w:after="0" w:line="105" w:lineRule="exact"/>
        <w:rPr>
          <w:sz w:val="20"/>
          <w:szCs w:val="20"/>
          <w:color w:val="auto"/>
        </w:rPr>
      </w:pPr>
    </w:p>
    <w:p>
      <w:pPr>
        <w:ind w:right="80" w:firstLine="456"/>
        <w:spacing w:after="0" w:line="290" w:lineRule="auto"/>
        <w:rPr>
          <w:sz w:val="20"/>
          <w:szCs w:val="20"/>
          <w:color w:val="auto"/>
        </w:rPr>
      </w:pPr>
      <w:r>
        <w:rPr>
          <w:rFonts w:ascii="Arial" w:cs="Arial" w:eastAsia="Arial" w:hAnsi="Arial"/>
          <w:sz w:val="16"/>
          <w:szCs w:val="16"/>
          <w:color w:val="auto"/>
        </w:rPr>
        <w:t>Net cash provided by operating activities of $144.5 million for the three months ended May 2, 2009 included $25.5 million from net loss adjusted for non-cash items and $170.0 million of net cash provided by changes in working capital items. Improvements in working capital included a significant decrease in inventories of $106.3 million, which was primarily due to our efforts to control our inventory levels as a result of the difficult economic environment at the time. Accrued liabilities and other increased primarily due to a legal settlement in connection with the class action securities litigation related to our historical stock option granting practices. In addition, accounts payable increased by $30.7 million due to efforts to improve the management of our cash conversion cycle. Finally, accrued employee compensation increased $13.0 million due primarily to an increase in employee stock purchase plan contributions and prepaid and other assets decreased $14.3 million due to a decrease in the receivable from one of our foundries and amortization of CAD licenses.</w:t>
      </w:r>
    </w:p>
    <w:p>
      <w:pPr>
        <w:spacing w:after="0" w:line="118"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Significant working capital changes offsetting positive cash flows for the three months ended May 2, 2009 related to an increase in accounts receivable of $63.3 million due primarily to the timing of revenue recorded as we experienced much of the increase in revenue late in the quarter.</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Net Cash Used in Investing Activities</w:t>
      </w:r>
    </w:p>
    <w:p>
      <w:pPr>
        <w:spacing w:after="0" w:line="90"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Net cash used in investing activities was $57.1 million for the three months ended May 1, 2010 compared to $12.7 million for the three months ended May 2, 2009. The net cash used in investing activities in the three months ended May 1, 2010 was primarily due to net purchases of short-term investments of $38.4 million as we continued to increase the activity within our new investment strategy, purchases of property and equipment of $16.4 million mainly to support additional capacity and purchases of technology licenses of $2.3 million to help accelerate product development in certain applications. The net cash used for the three months ended May 2, 2009 was due to purchases of property and equipment of $3.4 million along with purchases of technology licenses of $9.3 million.</w:t>
      </w:r>
    </w:p>
    <w:p>
      <w:pPr>
        <w:spacing w:after="0" w:line="22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Net Cash Provided by (Used in) Financing Activities</w:t>
      </w:r>
    </w:p>
    <w:p>
      <w:pPr>
        <w:spacing w:after="0" w:line="9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Net cash provided by financing activities was $48.4 million for the three months ended May 1, 2010 compared to net cash used in financing activities of $19,000 for the three months ended May 2, 2009. For the three months ended May 1, 2010, net cash provided by financing activities was attributable to proceeds from the issuance of common shares under our stock option plan of $48.7 million which was partially offset by payments on capital leases of $0.5 million. The net cash used in financing activities was attributable to principal payments on capital leases partially offset by proceeds from the issuance of common shares under our stock option plans.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Contractual Obligations and Commitments</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Under our manufacturing relationships with our foundry partners, cancellation of outstanding purchase orders are allowed but require repayment of all expenses incurred through the date of cancellation. As of May 1, 2010, the total value of open purchase orders with these foundries were approximately $302.2 million. In February 2005 and as amended in March 2005, we entered into an agreement with a foundry to secure foundry fabrication capacity for a fixed number of wafers at agreed upon prices for a period of five and a half years beginning on October 1, 2005. In return, we agreed to pay the foundry $174.2 million over a period of 18 months. The amendment extended the term of the agreement and the agreed upon pricing terms. As of May 1, 2010, all payments had been made and approximately $161.7 million of the prepayment had been utilized. At May 1, 2010, there were no outstanding commitments under the agreement.</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00"/>
          </w:cols>
          <w:pgMar w:left="240" w:top="459" w:right="2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As of May 1, 2010, we had approximately $40.5 million of other outstanding non-cancelable purchase orders for capital purchase obligations.</w:t>
      </w:r>
    </w:p>
    <w:p>
      <w:pPr>
        <w:spacing w:after="0" w:line="194"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The following table summarizes our contractual obligations as of May 1, 2010 and the effect such obligations are expected to have on our liquidity and cash flow in future periods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920" w:type="dxa"/>
            <w:vAlign w:val="bottom"/>
            <w:tcBorders>
              <w:bottom w:val="single" w:sz="8" w:color="auto"/>
            </w:tcBorders>
            <w:gridSpan w:val="7"/>
          </w:tcPr>
          <w:p>
            <w:pPr>
              <w:ind w:left="180"/>
              <w:spacing w:after="0"/>
              <w:rPr>
                <w:sz w:val="20"/>
                <w:szCs w:val="20"/>
                <w:color w:val="auto"/>
              </w:rPr>
            </w:pPr>
            <w:r>
              <w:rPr>
                <w:rFonts w:ascii="Arial" w:cs="Arial" w:eastAsia="Arial" w:hAnsi="Arial"/>
                <w:sz w:val="14"/>
                <w:szCs w:val="14"/>
                <w:b w:val="1"/>
                <w:bCs w:val="1"/>
                <w:color w:val="auto"/>
              </w:rPr>
              <w:t>Payments Due by Period</w:t>
            </w:r>
          </w:p>
        </w:tc>
        <w:tc>
          <w:tcPr>
            <w:tcW w:w="20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420" w:type="dxa"/>
            <w:vAlign w:val="bottom"/>
          </w:tcPr>
          <w:p>
            <w:pPr>
              <w:spacing w:after="0"/>
              <w:rPr>
                <w:sz w:val="11"/>
                <w:szCs w:val="11"/>
                <w:color w:val="auto"/>
              </w:rPr>
            </w:pPr>
          </w:p>
        </w:tc>
        <w:tc>
          <w:tcPr>
            <w:tcW w:w="14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40" w:type="dxa"/>
            <w:vAlign w:val="bottom"/>
            <w:gridSpan w:val="2"/>
          </w:tcPr>
          <w:p>
            <w:pPr>
              <w:jc w:val="center"/>
              <w:ind w:right="240"/>
              <w:spacing w:after="0" w:line="129" w:lineRule="exact"/>
              <w:rPr>
                <w:sz w:val="20"/>
                <w:szCs w:val="20"/>
                <w:color w:val="auto"/>
              </w:rPr>
            </w:pPr>
            <w:r>
              <w:rPr>
                <w:rFonts w:ascii="Arial" w:cs="Arial" w:eastAsia="Arial" w:hAnsi="Arial"/>
                <w:sz w:val="14"/>
                <w:szCs w:val="14"/>
                <w:b w:val="1"/>
                <w:bCs w:val="1"/>
                <w:color w:val="auto"/>
                <w:w w:val="85"/>
              </w:rPr>
              <w:t>Fiscal</w:t>
            </w:r>
          </w:p>
        </w:tc>
        <w:tc>
          <w:tcPr>
            <w:tcW w:w="100" w:type="dxa"/>
            <w:vAlign w:val="bottom"/>
          </w:tcPr>
          <w:p>
            <w:pPr>
              <w:spacing w:after="0"/>
              <w:rPr>
                <w:sz w:val="11"/>
                <w:szCs w:val="11"/>
                <w:color w:val="auto"/>
              </w:rPr>
            </w:pPr>
          </w:p>
        </w:tc>
        <w:tc>
          <w:tcPr>
            <w:tcW w:w="700" w:type="dxa"/>
            <w:vAlign w:val="bottom"/>
            <w:gridSpan w:val="2"/>
          </w:tcPr>
          <w:p>
            <w:pPr>
              <w:jc w:val="right"/>
              <w:ind w:right="240"/>
              <w:spacing w:after="0" w:line="129" w:lineRule="exact"/>
              <w:rPr>
                <w:sz w:val="20"/>
                <w:szCs w:val="20"/>
                <w:color w:val="auto"/>
              </w:rPr>
            </w:pPr>
            <w:r>
              <w:rPr>
                <w:rFonts w:ascii="Arial" w:cs="Arial" w:eastAsia="Arial" w:hAnsi="Arial"/>
                <w:sz w:val="14"/>
                <w:szCs w:val="14"/>
                <w:b w:val="1"/>
                <w:bCs w:val="1"/>
                <w:color w:val="auto"/>
              </w:rPr>
              <w:t>Fiscal</w:t>
            </w: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gridSpan w:val="2"/>
          </w:tcPr>
          <w:p>
            <w:pPr>
              <w:jc w:val="center"/>
              <w:ind w:right="200"/>
              <w:spacing w:after="0" w:line="129" w:lineRule="exact"/>
              <w:rPr>
                <w:sz w:val="20"/>
                <w:szCs w:val="20"/>
                <w:color w:val="auto"/>
              </w:rPr>
            </w:pPr>
            <w:r>
              <w:rPr>
                <w:rFonts w:ascii="Arial" w:cs="Arial" w:eastAsia="Arial" w:hAnsi="Arial"/>
                <w:sz w:val="14"/>
                <w:szCs w:val="14"/>
                <w:b w:val="1"/>
                <w:bCs w:val="1"/>
                <w:color w:val="auto"/>
                <w:w w:val="85"/>
              </w:rPr>
              <w:t>Fiscal</w:t>
            </w:r>
          </w:p>
        </w:tc>
        <w:tc>
          <w:tcPr>
            <w:tcW w:w="120" w:type="dxa"/>
            <w:vAlign w:val="bottom"/>
          </w:tcPr>
          <w:p>
            <w:pPr>
              <w:spacing w:after="0"/>
              <w:rPr>
                <w:sz w:val="11"/>
                <w:szCs w:val="11"/>
                <w:color w:val="auto"/>
              </w:rPr>
            </w:pPr>
          </w:p>
        </w:tc>
        <w:tc>
          <w:tcPr>
            <w:tcW w:w="720" w:type="dxa"/>
            <w:vAlign w:val="bottom"/>
            <w:gridSpan w:val="2"/>
          </w:tcPr>
          <w:p>
            <w:pPr>
              <w:jc w:val="right"/>
              <w:ind w:right="300"/>
              <w:spacing w:after="0" w:line="129" w:lineRule="exact"/>
              <w:rPr>
                <w:sz w:val="20"/>
                <w:szCs w:val="20"/>
                <w:color w:val="auto"/>
              </w:rPr>
            </w:pPr>
            <w:r>
              <w:rPr>
                <w:rFonts w:ascii="Arial" w:cs="Arial" w:eastAsia="Arial" w:hAnsi="Arial"/>
                <w:sz w:val="14"/>
                <w:szCs w:val="14"/>
                <w:b w:val="1"/>
                <w:bCs w:val="1"/>
                <w:color w:val="auto"/>
              </w:rPr>
              <w:t>Fiscal</w:t>
            </w:r>
          </w:p>
        </w:tc>
        <w:tc>
          <w:tcPr>
            <w:tcW w:w="500" w:type="dxa"/>
            <w:vAlign w:val="bottom"/>
            <w:gridSpan w:val="2"/>
          </w:tcPr>
          <w:p>
            <w:pPr>
              <w:ind w:left="80"/>
              <w:spacing w:after="0" w:line="129" w:lineRule="exact"/>
              <w:rPr>
                <w:sz w:val="20"/>
                <w:szCs w:val="20"/>
                <w:color w:val="auto"/>
              </w:rPr>
            </w:pPr>
            <w:r>
              <w:rPr>
                <w:rFonts w:ascii="Arial" w:cs="Arial" w:eastAsia="Arial" w:hAnsi="Arial"/>
                <w:sz w:val="14"/>
                <w:szCs w:val="14"/>
                <w:b w:val="1"/>
                <w:bCs w:val="1"/>
                <w:color w:val="auto"/>
              </w:rPr>
              <w:t>Fiscal</w:t>
            </w:r>
          </w:p>
        </w:tc>
        <w:tc>
          <w:tcPr>
            <w:tcW w:w="2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jc w:val="center"/>
              <w:ind w:right="37"/>
              <w:spacing w:after="0"/>
              <w:rPr>
                <w:sz w:val="20"/>
                <w:szCs w:val="20"/>
                <w:color w:val="auto"/>
              </w:rPr>
            </w:pPr>
            <w:r>
              <w:rPr>
                <w:rFonts w:ascii="Arial" w:cs="Arial" w:eastAsia="Arial" w:hAnsi="Arial"/>
                <w:sz w:val="14"/>
                <w:szCs w:val="14"/>
                <w:b w:val="1"/>
                <w:bCs w:val="1"/>
                <w:color w:val="auto"/>
                <w:w w:val="83"/>
              </w:rPr>
              <w:t>2011</w:t>
            </w:r>
          </w:p>
        </w:tc>
        <w:tc>
          <w:tcPr>
            <w:tcW w:w="120" w:type="dxa"/>
            <w:vAlign w:val="bottom"/>
          </w:tcPr>
          <w:p>
            <w:pPr>
              <w:spacing w:after="0"/>
              <w:rPr>
                <w:sz w:val="14"/>
                <w:szCs w:val="14"/>
                <w:color w:val="auto"/>
              </w:rPr>
            </w:pPr>
          </w:p>
        </w:tc>
        <w:tc>
          <w:tcPr>
            <w:tcW w:w="680" w:type="dxa"/>
            <w:vAlign w:val="bottom"/>
            <w:gridSpan w:val="2"/>
          </w:tcPr>
          <w:p>
            <w:pPr>
              <w:jc w:val="right"/>
              <w:ind w:right="79"/>
              <w:spacing w:after="0"/>
              <w:rPr>
                <w:sz w:val="20"/>
                <w:szCs w:val="20"/>
                <w:color w:val="auto"/>
              </w:rPr>
            </w:pPr>
            <w:r>
              <w:rPr>
                <w:rFonts w:ascii="Arial" w:cs="Arial" w:eastAsia="Arial" w:hAnsi="Arial"/>
                <w:sz w:val="14"/>
                <w:szCs w:val="14"/>
                <w:b w:val="1"/>
                <w:bCs w:val="1"/>
                <w:color w:val="auto"/>
              </w:rPr>
              <w:t>2012</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jc w:val="right"/>
              <w:ind w:right="79"/>
              <w:spacing w:after="0"/>
              <w:rPr>
                <w:sz w:val="20"/>
                <w:szCs w:val="20"/>
                <w:color w:val="auto"/>
              </w:rPr>
            </w:pPr>
            <w:r>
              <w:rPr>
                <w:rFonts w:ascii="Arial" w:cs="Arial" w:eastAsia="Arial" w:hAnsi="Arial"/>
                <w:sz w:val="14"/>
                <w:szCs w:val="14"/>
                <w:b w:val="1"/>
                <w:bCs w:val="1"/>
                <w:color w:val="auto"/>
                <w:w w:val="96"/>
              </w:rPr>
              <w:t>2013</w:t>
            </w:r>
          </w:p>
        </w:tc>
        <w:tc>
          <w:tcPr>
            <w:tcW w:w="100" w:type="dxa"/>
            <w:vAlign w:val="bottom"/>
          </w:tcPr>
          <w:p>
            <w:pPr>
              <w:spacing w:after="0"/>
              <w:rPr>
                <w:sz w:val="14"/>
                <w:szCs w:val="14"/>
                <w:color w:val="auto"/>
              </w:rPr>
            </w:pPr>
          </w:p>
        </w:tc>
        <w:tc>
          <w:tcPr>
            <w:tcW w:w="620" w:type="dxa"/>
            <w:vAlign w:val="bottom"/>
            <w:gridSpan w:val="2"/>
          </w:tcPr>
          <w:p>
            <w:pPr>
              <w:jc w:val="right"/>
              <w:ind w:right="37"/>
              <w:spacing w:after="0"/>
              <w:rPr>
                <w:sz w:val="20"/>
                <w:szCs w:val="20"/>
                <w:color w:val="auto"/>
              </w:rPr>
            </w:pPr>
            <w:r>
              <w:rPr>
                <w:rFonts w:ascii="Arial" w:cs="Arial" w:eastAsia="Arial" w:hAnsi="Arial"/>
                <w:sz w:val="14"/>
                <w:szCs w:val="14"/>
                <w:b w:val="1"/>
                <w:bCs w:val="1"/>
                <w:color w:val="auto"/>
              </w:rPr>
              <w:t>2014</w:t>
            </w: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20" w:type="dxa"/>
            <w:vAlign w:val="bottom"/>
          </w:tcPr>
          <w:p>
            <w:pPr>
              <w:ind w:left="20"/>
              <w:spacing w:after="0"/>
              <w:rPr>
                <w:sz w:val="20"/>
                <w:szCs w:val="20"/>
                <w:color w:val="auto"/>
              </w:rPr>
            </w:pPr>
            <w:r>
              <w:rPr>
                <w:rFonts w:ascii="Arial" w:cs="Arial" w:eastAsia="Arial" w:hAnsi="Arial"/>
                <w:sz w:val="14"/>
                <w:szCs w:val="14"/>
                <w:b w:val="1"/>
                <w:bCs w:val="1"/>
                <w:color w:val="auto"/>
              </w:rPr>
              <w:t>2015</w:t>
            </w:r>
          </w:p>
        </w:tc>
        <w:tc>
          <w:tcPr>
            <w:tcW w:w="200" w:type="dxa"/>
            <w:vAlign w:val="bottom"/>
          </w:tcPr>
          <w:p>
            <w:pPr>
              <w:spacing w:after="0"/>
              <w:rPr>
                <w:sz w:val="14"/>
                <w:szCs w:val="14"/>
                <w:color w:val="auto"/>
              </w:rPr>
            </w:pPr>
          </w:p>
        </w:tc>
        <w:tc>
          <w:tcPr>
            <w:tcW w:w="620" w:type="dxa"/>
            <w:vAlign w:val="bottom"/>
            <w:gridSpan w:val="2"/>
          </w:tcPr>
          <w:p>
            <w:pPr>
              <w:jc w:val="right"/>
              <w:spacing w:after="0"/>
              <w:rPr>
                <w:sz w:val="20"/>
                <w:szCs w:val="20"/>
                <w:color w:val="auto"/>
              </w:rPr>
            </w:pPr>
            <w:r>
              <w:rPr>
                <w:rFonts w:ascii="Arial" w:cs="Arial" w:eastAsia="Arial" w:hAnsi="Arial"/>
                <w:sz w:val="14"/>
                <w:szCs w:val="14"/>
                <w:b w:val="1"/>
                <w:bCs w:val="1"/>
                <w:color w:val="auto"/>
                <w:w w:val="87"/>
              </w:rPr>
              <w:t>Thereafter</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gridSpan w:val="2"/>
          </w:tcPr>
          <w:p>
            <w:pPr>
              <w:ind w:left="10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420" w:type="dxa"/>
            <w:vAlign w:val="bottom"/>
          </w:tcPr>
          <w:p>
            <w:pPr>
              <w:spacing w:after="0"/>
              <w:rPr>
                <w:sz w:val="11"/>
                <w:szCs w:val="11"/>
                <w:color w:val="auto"/>
              </w:rPr>
            </w:pPr>
          </w:p>
        </w:tc>
        <w:tc>
          <w:tcPr>
            <w:tcW w:w="1460" w:type="dxa"/>
            <w:vAlign w:val="bottom"/>
          </w:tcPr>
          <w:p>
            <w:pPr>
              <w:spacing w:after="0"/>
              <w:rPr>
                <w:sz w:val="11"/>
                <w:szCs w:val="11"/>
                <w:color w:val="auto"/>
              </w:rPr>
            </w:pPr>
          </w:p>
        </w:tc>
        <w:tc>
          <w:tcPr>
            <w:tcW w:w="7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6"/>
              </w:rPr>
              <w:t>(Remaining</w:t>
            </w: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480" w:type="dxa"/>
            <w:vAlign w:val="bottom"/>
            <w:tcBorders>
              <w:top w:val="single" w:sz="8" w:color="auto"/>
            </w:tcBorders>
          </w:tcPr>
          <w:p>
            <w:pPr>
              <w:spacing w:after="0"/>
              <w:rPr>
                <w:sz w:val="11"/>
                <w:szCs w:val="11"/>
                <w:color w:val="auto"/>
              </w:rPr>
            </w:pP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42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46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4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88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84"/>
              </w:rPr>
              <w:t>nine months)</w:t>
            </w: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shd w:val="clear" w:color="auto" w:fill="CCEEFF"/>
          </w:tcPr>
          <w:p>
            <w:pPr>
              <w:spacing w:after="0"/>
              <w:rPr>
                <w:sz w:val="20"/>
                <w:szCs w:val="20"/>
                <w:color w:val="auto"/>
              </w:rPr>
            </w:pPr>
            <w:r>
              <w:rPr>
                <w:rFonts w:ascii="Arial" w:cs="Arial" w:eastAsia="Arial" w:hAnsi="Arial"/>
                <w:sz w:val="18"/>
                <w:szCs w:val="18"/>
                <w:color w:val="auto"/>
              </w:rPr>
              <w:t>Contractual obligations:</w:t>
            </w:r>
          </w:p>
        </w:tc>
        <w:tc>
          <w:tcPr>
            <w:tcW w:w="14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tcPr>
          <w:p>
            <w:pPr>
              <w:ind w:left="420"/>
              <w:spacing w:after="0"/>
              <w:rPr>
                <w:sz w:val="20"/>
                <w:szCs w:val="20"/>
                <w:color w:val="auto"/>
              </w:rPr>
            </w:pPr>
            <w:r>
              <w:rPr>
                <w:rFonts w:ascii="Arial" w:cs="Arial" w:eastAsia="Arial" w:hAnsi="Arial"/>
                <w:sz w:val="18"/>
                <w:szCs w:val="18"/>
                <w:color w:val="auto"/>
              </w:rPr>
              <w:t>Facilities operating leases, net</w:t>
            </w:r>
          </w:p>
        </w:tc>
        <w:tc>
          <w:tcPr>
            <w:tcW w:w="1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20"/>
              <w:spacing w:after="0"/>
              <w:rPr>
                <w:sz w:val="20"/>
                <w:szCs w:val="20"/>
                <w:color w:val="auto"/>
              </w:rPr>
            </w:pPr>
            <w:r>
              <w:rPr>
                <w:rFonts w:ascii="Arial" w:cs="Arial" w:eastAsia="Arial" w:hAnsi="Arial"/>
                <w:sz w:val="18"/>
                <w:szCs w:val="18"/>
                <w:color w:val="auto"/>
              </w:rPr>
              <w:t>13,250</w:t>
            </w:r>
          </w:p>
        </w:tc>
        <w:tc>
          <w:tcPr>
            <w:tcW w:w="800" w:type="dxa"/>
            <w:vAlign w:val="bottom"/>
            <w:gridSpan w:val="3"/>
          </w:tcPr>
          <w:p>
            <w:pPr>
              <w:jc w:val="right"/>
              <w:ind w:right="120"/>
              <w:spacing w:after="0"/>
              <w:rPr>
                <w:sz w:val="20"/>
                <w:szCs w:val="20"/>
                <w:color w:val="auto"/>
              </w:rPr>
            </w:pPr>
            <w:r>
              <w:rPr>
                <w:rFonts w:ascii="Arial" w:cs="Arial" w:eastAsia="Arial" w:hAnsi="Arial"/>
                <w:sz w:val="18"/>
                <w:szCs w:val="18"/>
                <w:color w:val="auto"/>
              </w:rPr>
              <w:t>$12,896</w:t>
            </w:r>
          </w:p>
        </w:tc>
        <w:tc>
          <w:tcPr>
            <w:tcW w:w="2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ind w:right="100"/>
              <w:spacing w:after="0"/>
              <w:rPr>
                <w:sz w:val="20"/>
                <w:szCs w:val="20"/>
                <w:color w:val="auto"/>
              </w:rPr>
            </w:pPr>
            <w:r>
              <w:rPr>
                <w:rFonts w:ascii="Arial" w:cs="Arial" w:eastAsia="Arial" w:hAnsi="Arial"/>
                <w:sz w:val="18"/>
                <w:szCs w:val="18"/>
                <w:color w:val="auto"/>
              </w:rPr>
              <w:t>9,624</w:t>
            </w:r>
          </w:p>
        </w:tc>
        <w:tc>
          <w:tcPr>
            <w:tcW w:w="840" w:type="dxa"/>
            <w:vAlign w:val="bottom"/>
            <w:gridSpan w:val="3"/>
          </w:tcPr>
          <w:p>
            <w:pPr>
              <w:jc w:val="right"/>
              <w:ind w:right="220"/>
              <w:spacing w:after="0"/>
              <w:rPr>
                <w:sz w:val="20"/>
                <w:szCs w:val="20"/>
                <w:color w:val="auto"/>
              </w:rPr>
            </w:pPr>
            <w:r>
              <w:rPr>
                <w:rFonts w:ascii="Arial" w:cs="Arial" w:eastAsia="Arial" w:hAnsi="Arial"/>
                <w:sz w:val="18"/>
                <w:szCs w:val="18"/>
                <w:color w:val="auto"/>
              </w:rPr>
              <w:t>$1,775</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420" w:type="dxa"/>
            <w:vAlign w:val="bottom"/>
          </w:tcPr>
          <w:p>
            <w:pPr>
              <w:ind w:left="140"/>
              <w:spacing w:after="0"/>
              <w:rPr>
                <w:sz w:val="20"/>
                <w:szCs w:val="20"/>
                <w:color w:val="auto"/>
              </w:rPr>
            </w:pPr>
            <w:r>
              <w:rPr>
                <w:rFonts w:ascii="Arial" w:cs="Arial" w:eastAsia="Arial" w:hAnsi="Arial"/>
                <w:sz w:val="18"/>
                <w:szCs w:val="18"/>
                <w:color w:val="auto"/>
                <w:w w:val="86"/>
              </w:rPr>
              <w:t>799</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jc w:val="right"/>
              <w:spacing w:after="0"/>
              <w:rPr>
                <w:sz w:val="20"/>
                <w:szCs w:val="20"/>
                <w:color w:val="auto"/>
              </w:rPr>
            </w:pPr>
            <w:r>
              <w:rPr>
                <w:rFonts w:ascii="Arial" w:cs="Arial" w:eastAsia="Arial" w:hAnsi="Arial"/>
                <w:sz w:val="18"/>
                <w:szCs w:val="18"/>
                <w:color w:val="auto"/>
                <w:w w:val="97"/>
              </w:rPr>
              <w:t>2,269</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40,613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CAD and other operating leases</w:t>
            </w:r>
          </w:p>
        </w:tc>
        <w:tc>
          <w:tcPr>
            <w:tcW w:w="14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27,063</w:t>
            </w:r>
          </w:p>
        </w:tc>
        <w:tc>
          <w:tcPr>
            <w:tcW w:w="80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40,614</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3"/>
              </w:rPr>
              <w:t>33,883</w:t>
            </w:r>
          </w:p>
        </w:tc>
        <w:tc>
          <w:tcPr>
            <w:tcW w:w="84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1,078</w:t>
            </w: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ind w:left="20"/>
              <w:spacing w:after="0"/>
              <w:rPr>
                <w:sz w:val="20"/>
                <w:szCs w:val="20"/>
                <w:color w:val="auto"/>
              </w:rPr>
            </w:pPr>
            <w:r>
              <w:rPr>
                <w:rFonts w:ascii="Arial" w:cs="Arial" w:eastAsia="Arial" w:hAnsi="Arial"/>
                <w:sz w:val="18"/>
                <w:szCs w:val="18"/>
                <w:color w:val="auto"/>
                <w:w w:val="84"/>
              </w:rPr>
              <w:t>1,078</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5,571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109,287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tcPr>
          <w:p>
            <w:pPr>
              <w:ind w:left="420"/>
              <w:spacing w:after="0"/>
              <w:rPr>
                <w:sz w:val="20"/>
                <w:szCs w:val="20"/>
                <w:color w:val="auto"/>
              </w:rPr>
            </w:pPr>
            <w:r>
              <w:rPr>
                <w:rFonts w:ascii="Arial" w:cs="Arial" w:eastAsia="Arial" w:hAnsi="Arial"/>
                <w:sz w:val="18"/>
                <w:szCs w:val="18"/>
                <w:color w:val="auto"/>
              </w:rPr>
              <w:t>Capital lease obligations</w:t>
            </w:r>
          </w:p>
        </w:tc>
        <w:tc>
          <w:tcPr>
            <w:tcW w:w="14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2"/>
          </w:tcPr>
          <w:p>
            <w:pPr>
              <w:jc w:val="right"/>
              <w:ind w:right="120"/>
              <w:spacing w:after="0"/>
              <w:rPr>
                <w:sz w:val="20"/>
                <w:szCs w:val="20"/>
                <w:color w:val="auto"/>
              </w:rPr>
            </w:pPr>
            <w:r>
              <w:rPr>
                <w:rFonts w:ascii="Arial" w:cs="Arial" w:eastAsia="Arial" w:hAnsi="Arial"/>
                <w:sz w:val="18"/>
                <w:szCs w:val="18"/>
                <w:color w:val="auto"/>
              </w:rPr>
              <w:t>1,563</w:t>
            </w:r>
          </w:p>
        </w:tc>
        <w:tc>
          <w:tcPr>
            <w:tcW w:w="800" w:type="dxa"/>
            <w:vAlign w:val="bottom"/>
            <w:gridSpan w:val="3"/>
          </w:tcPr>
          <w:p>
            <w:pPr>
              <w:jc w:val="right"/>
              <w:ind w:right="120"/>
              <w:spacing w:after="0"/>
              <w:rPr>
                <w:sz w:val="20"/>
                <w:szCs w:val="20"/>
                <w:color w:val="auto"/>
              </w:rPr>
            </w:pPr>
            <w:r>
              <w:rPr>
                <w:rFonts w:ascii="Arial" w:cs="Arial" w:eastAsia="Arial" w:hAnsi="Arial"/>
                <w:sz w:val="18"/>
                <w:szCs w:val="18"/>
                <w:color w:val="auto"/>
              </w:rPr>
              <w:t>511</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420" w:type="dxa"/>
            <w:vAlign w:val="bottom"/>
          </w:tcPr>
          <w:p>
            <w:pPr>
              <w:ind w:left="1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2,074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 commitments to foundries</w:t>
            </w:r>
          </w:p>
        </w:tc>
        <w:tc>
          <w:tcPr>
            <w:tcW w:w="14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2"/>
              </w:rPr>
              <w:t>302,200</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420" w:type="dxa"/>
            <w:vAlign w:val="bottom"/>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302,200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tcPr>
          <w:p>
            <w:pPr>
              <w:ind w:left="420"/>
              <w:spacing w:after="0"/>
              <w:rPr>
                <w:sz w:val="20"/>
                <w:szCs w:val="20"/>
                <w:color w:val="auto"/>
              </w:rPr>
            </w:pPr>
            <w:r>
              <w:rPr>
                <w:rFonts w:ascii="Arial" w:cs="Arial" w:eastAsia="Arial" w:hAnsi="Arial"/>
                <w:sz w:val="18"/>
                <w:szCs w:val="18"/>
                <w:color w:val="auto"/>
              </w:rPr>
              <w:t>Capital purchase obligations</w:t>
            </w:r>
          </w:p>
        </w:tc>
        <w:tc>
          <w:tcPr>
            <w:tcW w:w="14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2"/>
          </w:tcPr>
          <w:p>
            <w:pPr>
              <w:jc w:val="right"/>
              <w:ind w:right="120"/>
              <w:spacing w:after="0"/>
              <w:rPr>
                <w:sz w:val="20"/>
                <w:szCs w:val="20"/>
                <w:color w:val="auto"/>
              </w:rPr>
            </w:pPr>
            <w:r>
              <w:rPr>
                <w:rFonts w:ascii="Arial" w:cs="Arial" w:eastAsia="Arial" w:hAnsi="Arial"/>
                <w:sz w:val="18"/>
                <w:szCs w:val="18"/>
                <w:color w:val="auto"/>
              </w:rPr>
              <w:t>40,457</w:t>
            </w:r>
          </w:p>
        </w:tc>
        <w:tc>
          <w:tcPr>
            <w:tcW w:w="100" w:type="dxa"/>
            <w:vAlign w:val="bottom"/>
          </w:tcPr>
          <w:p>
            <w:pPr>
              <w:spacing w:after="0"/>
              <w:rPr>
                <w:sz w:val="18"/>
                <w:szCs w:val="18"/>
                <w:color w:val="auto"/>
              </w:rPr>
            </w:pPr>
          </w:p>
        </w:tc>
        <w:tc>
          <w:tcPr>
            <w:tcW w:w="7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420" w:type="dxa"/>
            <w:vAlign w:val="bottom"/>
          </w:tcPr>
          <w:p>
            <w:pPr>
              <w:ind w:left="1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40,457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420" w:type="dxa"/>
            <w:vAlign w:val="bottom"/>
          </w:tcPr>
          <w:p>
            <w:pPr>
              <w:spacing w:after="0"/>
              <w:rPr>
                <w:sz w:val="2"/>
                <w:szCs w:val="2"/>
                <w:color w:val="auto"/>
              </w:rPr>
            </w:pPr>
          </w:p>
        </w:tc>
        <w:tc>
          <w:tcPr>
            <w:tcW w:w="14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20" w:type="dxa"/>
            <w:vAlign w:val="bottom"/>
            <w:shd w:val="clear" w:color="auto" w:fill="CCEEFF"/>
          </w:tcPr>
          <w:p>
            <w:pPr>
              <w:spacing w:after="0"/>
              <w:rPr>
                <w:sz w:val="20"/>
                <w:szCs w:val="20"/>
                <w:color w:val="auto"/>
              </w:rPr>
            </w:pPr>
            <w:r>
              <w:rPr>
                <w:rFonts w:ascii="Arial" w:cs="Arial" w:eastAsia="Arial" w:hAnsi="Arial"/>
                <w:sz w:val="18"/>
                <w:szCs w:val="18"/>
                <w:color w:val="auto"/>
              </w:rPr>
              <w:t>Total contractual cash obligations</w:t>
            </w:r>
          </w:p>
        </w:tc>
        <w:tc>
          <w:tcPr>
            <w:tcW w:w="146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2"/>
              </w:rPr>
              <w:t>384,533</w:t>
            </w:r>
          </w:p>
        </w:tc>
        <w:tc>
          <w:tcPr>
            <w:tcW w:w="80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54,021</w:t>
            </w:r>
          </w:p>
        </w:tc>
        <w:tc>
          <w:tcPr>
            <w:tcW w:w="2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3"/>
              </w:rPr>
              <w:t>43,507</w:t>
            </w:r>
          </w:p>
        </w:tc>
        <w:tc>
          <w:tcPr>
            <w:tcW w:w="84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2,853</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420" w:type="dxa"/>
            <w:vAlign w:val="bottom"/>
            <w:shd w:val="clear" w:color="auto" w:fill="CCEEFF"/>
          </w:tcPr>
          <w:p>
            <w:pPr>
              <w:ind w:left="20"/>
              <w:spacing w:after="0"/>
              <w:rPr>
                <w:sz w:val="20"/>
                <w:szCs w:val="20"/>
                <w:color w:val="auto"/>
              </w:rPr>
            </w:pPr>
            <w:r>
              <w:rPr>
                <w:rFonts w:ascii="Arial" w:cs="Arial" w:eastAsia="Arial" w:hAnsi="Arial"/>
                <w:sz w:val="18"/>
                <w:szCs w:val="18"/>
                <w:color w:val="auto"/>
                <w:w w:val="84"/>
              </w:rPr>
              <w:t>1,877</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7,840</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494,631</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2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operating lease commitments are lease payments for computer-aided-design software license agreements and airplane lease commitments.</w:t>
      </w:r>
    </w:p>
    <w:p>
      <w:pPr>
        <w:spacing w:after="0" w:line="194"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In addition to the above commitments and contingencies, as of May 1, 2010, we had recorded $103.1 million of unrecognized tax benefits as liabilities in accordance with ASC 740-10-05. We also had recorded a liability for potential interest and penalties of $29.8 million as of May 1, 2010. During the next 12 months, we believe that tax audit resolutions and the expiration of applicable statutes of limitations could potentially reduce our unrecognized tax benefit by up to $12.0 million. However, this amount could change because we may have negotiations with various tax authorities throughout the year. At this time, we are unable to make an estimate of the amount of payments in individual years beyond 12 months due to uncertainties in the timing of tax audit outcomes.</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Prospective capital needs</w:t>
      </w:r>
    </w:p>
    <w:p>
      <w:pPr>
        <w:spacing w:after="0" w:line="90"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We believe that our existing cash, cash equivalents and marketable securities, together with cash generated from operations and from exercise of employee stock options, will be sufficient to cover our working capital needs, capital expenditures, investment requirements and commitments for at least the next 12 months.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However, we are named as defendants to several litigation actions and an unfavorable outcome in such actions could have a material adverse effect on our cash flows.</w:t>
      </w:r>
    </w:p>
    <w:p>
      <w:pPr>
        <w:spacing w:after="0" w:line="120" w:lineRule="exact"/>
        <w:rPr>
          <w:sz w:val="20"/>
          <w:szCs w:val="20"/>
          <w:color w:val="auto"/>
        </w:rPr>
      </w:pPr>
    </w:p>
    <w:p>
      <w:pPr>
        <w:ind w:right="20" w:firstLine="456"/>
        <w:spacing w:after="0" w:line="314" w:lineRule="auto"/>
        <w:rPr>
          <w:sz w:val="20"/>
          <w:szCs w:val="20"/>
          <w:color w:val="auto"/>
        </w:rPr>
      </w:pPr>
      <w:r>
        <w:rPr>
          <w:rFonts w:ascii="Arial" w:cs="Arial" w:eastAsia="Arial" w:hAnsi="Arial"/>
          <w:sz w:val="15"/>
          <w:szCs w:val="15"/>
          <w:color w:val="auto"/>
        </w:rPr>
        <w:t>To the extent that our existing cash, cash equivalents and investment balances and cash generated by operations are insufficient to fund our future activities, we may need to raise additional funds through public or private debt or equity financing. We may enter into additional acquisitions of businesses, assets, products, technologies or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18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Off-Balance Sheet Arrangements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May 1, 2010, we did not have any material off-balance-sheet arrangements, as defined in Item 303(a)(4)(ii) of SEC Regulation S-K.</w:t>
      </w:r>
    </w:p>
    <w:p>
      <w:pPr>
        <w:spacing w:after="0" w:line="252"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Recent Accounting Pronouncements</w:t>
      </w:r>
    </w:p>
    <w:p>
      <w:pPr>
        <w:spacing w:after="0" w:line="90"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In June 2009, the FASB issued guidance that amends the consolidation rules related to variable interest entities. The determination of whether a company is required to consolidate an entity is based on, among other things, an entity’s purpose and design and a company’s ability to direct the activities of the entity that most significantly impact the entity’s economic performance. This guidance requires ongoing reassessments of whether an enterprise is the primary beneficiary of the variable interest entity. This guidance became effective during the three months ended May 1, 2010 and the adoption did not have a material impact on our financial position or results of operations.</w:t>
      </w:r>
    </w:p>
    <w:p>
      <w:pPr>
        <w:spacing w:after="0" w:line="143" w:lineRule="exact"/>
        <w:rPr>
          <w:sz w:val="20"/>
          <w:szCs w:val="20"/>
          <w:color w:val="auto"/>
        </w:rPr>
      </w:pPr>
    </w:p>
    <w:p>
      <w:pPr>
        <w:ind w:right="20" w:firstLine="351"/>
        <w:spacing w:after="0" w:line="294" w:lineRule="auto"/>
        <w:rPr>
          <w:sz w:val="20"/>
          <w:szCs w:val="20"/>
          <w:color w:val="auto"/>
        </w:rPr>
      </w:pPr>
      <w:r>
        <w:rPr>
          <w:rFonts w:ascii="Arial" w:cs="Arial" w:eastAsia="Arial" w:hAnsi="Arial"/>
          <w:sz w:val="16"/>
          <w:szCs w:val="16"/>
          <w:color w:val="auto"/>
        </w:rPr>
        <w:t>In September 2009, the FASB issued new accounting guidance related to the revenue recognition of multiple element arrangements. The new guidance states that if vendor specific objective evidence or third party evidence for deliverables in an arrangement cannot be determined, companies will be required to develop a best estimate of the selling price to separate deliverables and allocate arrangement consideration using the relative selling price method. The accounting guidance was adopted prospectively during the three months ended May 1, 2010, however, as we do not generally enter into multiple element arrangements, the adoption did not impact our financial position or results of operations.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January 2010, the FASB issued guidance that expands the interim and annual disclosure requirements of fair value measurements, including the information about movement of assets between Level 1 and 2 of the three-tier fair value hierarchy established under its fair value measurement guidance. This guidance also requires separate disclosure for each of purchases, sales, issuance, and settlements in the reconciliation for fair value measurements using significant unobservable inputs using Level 3 methodologies. Except for the detailed disclosure in the Level 3 reconciliation, which is effective for the fiscal years beginning after December 15, 2010, all the other disclosures under this guidance became effective during the three months ended May 1, 2010. The adoption of this guidance did not have a material impact on our financial position or results of operations.</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Related Party Transactions</w:t>
      </w:r>
    </w:p>
    <w:p>
      <w:pPr>
        <w:spacing w:after="0" w:line="90" w:lineRule="exact"/>
        <w:rPr>
          <w:sz w:val="20"/>
          <w:szCs w:val="20"/>
          <w:color w:val="auto"/>
        </w:rPr>
      </w:pPr>
    </w:p>
    <w:p>
      <w:pPr>
        <w:ind w:right="180" w:firstLine="456"/>
        <w:spacing w:after="0" w:line="288" w:lineRule="auto"/>
        <w:rPr>
          <w:sz w:val="20"/>
          <w:szCs w:val="20"/>
          <w:color w:val="auto"/>
        </w:rPr>
      </w:pPr>
      <w:r>
        <w:rPr>
          <w:rFonts w:ascii="Arial" w:cs="Arial" w:eastAsia="Arial" w:hAnsi="Arial"/>
          <w:sz w:val="16"/>
          <w:szCs w:val="16"/>
          <w:color w:val="auto"/>
        </w:rPr>
        <w:t>In August 2005, through our subsidiaries MSI and Marvell International Ltd. (“MIL”), we entered into a License and Manufacturing Services Agreement with C2 Microsystems, Inc. (the “C2Micro License Agreement”). The C2Micro License Agreement has substantially similar terms as our other license and manufacturing services agreements with other third parties for similar technology. We recognized no revenue under the C2Micro License Agreement during the three months ended May 1, 2010 and May 2, 2009. Dr. Sehat Sutardja, our President and Chief Executive Officer, and Weili Dai, the Vice President of Sales for Communications and Consumer Business of MSI and Vice President and General Manager of Communications and Computing Business Unit of MSI, through their ownership and control of Estopia LLC, are indirect shareholders of C2 Microsystems. Dr. Sehat Sutardja and Weili Dai are husband and wife. Kuo Wei (Herbert) Chang, a member of our Board of Directors, is also an indirect shareholder of C2 Microsystems as a partner of entities who have invested in C2 Microsystems. Dr. Pantas Sutardja, our Vice President, Chief Technology Officer and Chief Research and Development Officer, is also a shareholder of C2 Microsystems.</w:t>
      </w:r>
    </w:p>
    <w:p>
      <w:pPr>
        <w:spacing w:after="0" w:line="12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In January 2007, through our subsidiary MIL, we entered into a Library/IP/Software Evaluation License Agreement (the “Evaluation License Agreement”), with VeriSilicon Holdings Co., Ltd (“VeriSilicon”). The Evaluation License Agreement has no consideration. We incurred $0 and $2,000 of royalty expense from VeriSilicon under a core license agreement assumed from our acquisition of the semiconductor business of UTStarcom, Inc. during the three months ended May 1, 2010 and May 2, 2009, respectively. This core license agreement had been assumed by VeriSilicon after its acquisition of certain assets from LSI Corporation. In March 2009, we entered into an addendum to this core license agreement with VeriSilicon and recorded a license fee of $500,000 and maintenance fees of $80,000. In June 2009, we entered into the second addendum to the technology license agreement with VeriSilicon for them to perform certain services for a fee of $40,000. In December 2009, we entered into a third addendum to this technology agreement with Verisilicon to license additional technology for a license fee of $275,000 with an annual support fee of $47,500. In March 2010, we entered into a fourth addendum to this technology agreement with VeriSilicon to license additional technology for a license fee of $2.5 million with an annual support fee of $120,000. No amounts were paid to Verisilicon during the three months ended May 1, 2010 and May 2, 2009. Weili Dai’s brother (and Dr. Sehat Sutardja’s brother-in-law) is the Chairman, President and Chief Executive Officer of VeriSilicon. Ms. Dai is also a shareholder of VeriSilicon.</w:t>
      </w:r>
    </w:p>
    <w:p>
      <w:pPr>
        <w:spacing w:after="0" w:line="127" w:lineRule="exact"/>
        <w:rPr>
          <w:sz w:val="20"/>
          <w:szCs w:val="20"/>
          <w:color w:val="auto"/>
        </w:rPr>
      </w:pPr>
    </w:p>
    <w:p>
      <w:pPr>
        <w:ind w:firstLine="456"/>
        <w:spacing w:after="0" w:line="301" w:lineRule="auto"/>
        <w:rPr>
          <w:sz w:val="20"/>
          <w:szCs w:val="20"/>
          <w:color w:val="auto"/>
        </w:rPr>
      </w:pPr>
      <w:r>
        <w:rPr>
          <w:rFonts w:ascii="Arial" w:cs="Arial" w:eastAsia="Arial" w:hAnsi="Arial"/>
          <w:sz w:val="15"/>
          <w:szCs w:val="15"/>
          <w:color w:val="auto"/>
        </w:rPr>
        <w:t>On October 31, 2007, we entered into a License Agreement with Vivante Corporation (the “Vivante Agreement”). The Vivante Agreement has substantially similar terms as we would expect to obtain for license agreements with other third parties for similar technology. In August 2008, we entered into a Technology License Agreement with Vivante. This Technology License Agreement, as amended, also has substantially similar terms as we would expect to obtain for license agreements with other third parties for similar technology. We recorded $2.0 million for the license fee and $200,000 of maintenance during fiscal 2009 in connection with this Technology License Agreement. In January 2009, we entered into an agreement with Vivante to disclose certain cell libraries to Vivante at no additional cost. In April 2009, we entered into an amendment to the Technology License Agreement with Vivante. We recorded $1.0 million for the license fee and $70,000 of maintenance during the three months ended May 2, 2009 in connection with the amendment to the Technology License Agreement. In June 2009, we entered into the second amendment to the Technology License Agreement with Vivante and recorded $500,000 for the license fee and $50,000 of maintenance during the three months ended August 1, 2009. In December 2009, we entered into an Amended and Restated Technology License Agreement with Vivante for additional license technology and recorded $12.0 million for the license fee (paid over three years) and $350,000 of maintenance. During the three months ended May 1, 2010, we paid Vivante $1.8 million of license fees and $350,000 for maintenance. No amounts were paid to Vivante during the three months ended</w:t>
      </w:r>
    </w:p>
    <w:p>
      <w:pPr>
        <w:spacing w:after="0" w:line="4" w:lineRule="exact"/>
        <w:rPr>
          <w:sz w:val="20"/>
          <w:szCs w:val="20"/>
          <w:color w:val="auto"/>
        </w:rPr>
      </w:pPr>
    </w:p>
    <w:p>
      <w:pPr>
        <w:ind w:right="120"/>
        <w:spacing w:after="0" w:line="253" w:lineRule="auto"/>
        <w:rPr>
          <w:sz w:val="20"/>
          <w:szCs w:val="20"/>
          <w:color w:val="auto"/>
        </w:rPr>
      </w:pPr>
      <w:r>
        <w:rPr>
          <w:rFonts w:ascii="Arial" w:cs="Arial" w:eastAsia="Arial" w:hAnsi="Arial"/>
          <w:sz w:val="18"/>
          <w:szCs w:val="18"/>
          <w:color w:val="auto"/>
        </w:rPr>
        <w:t>May 2, 2009. We incurred $7,600 and $0 of royalty expense from Vivante under the Technology License Agreement during the three months ended May 1, 2010 and May 2, 2009, respectively. Dr. Sehat Sutardja and Weili Dai, through their ownership and control of Estopia LLC, are indirect shareholders of Vivante. In addition, Dr. Sehat Sutardja is also a direct shareholder and Chairman of the board of directors of Vivante. Weili Dai’s brother (and Dr. Sehat Sutardja’s brother-in-law) is the Chief Executive Officer of Vivante. Kuo Wei (Herbert) Chang, a member of our Board of Directors, is also an indirect shareholder of Vivante as a partner of entities who have invested in Vivante.</w:t>
      </w:r>
    </w:p>
    <w:p>
      <w:pPr>
        <w:spacing w:after="0" w:line="261"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6"/>
          <w:szCs w:val="16"/>
          <w:b w:val="1"/>
          <w:bCs w:val="1"/>
          <w:color w:val="auto"/>
        </w:rPr>
        <w:t>Quantitative and Qualitative Disclosures About Market Risk</w:t>
      </w:r>
    </w:p>
    <w:p>
      <w:pPr>
        <w:spacing w:after="0" w:line="96" w:lineRule="exact"/>
        <w:rPr>
          <w:sz w:val="20"/>
          <w:szCs w:val="20"/>
          <w:color w:val="auto"/>
        </w:rPr>
      </w:pPr>
    </w:p>
    <w:p>
      <w:pPr>
        <w:jc w:val="both"/>
        <w:ind w:right="100" w:firstLine="456"/>
        <w:spacing w:after="0" w:line="298" w:lineRule="auto"/>
        <w:rPr>
          <w:sz w:val="20"/>
          <w:szCs w:val="20"/>
          <w:color w:val="auto"/>
        </w:rPr>
      </w:pPr>
      <w:r>
        <w:rPr>
          <w:rFonts w:ascii="Arial" w:cs="Arial" w:eastAsia="Arial" w:hAnsi="Arial"/>
          <w:sz w:val="16"/>
          <w:szCs w:val="16"/>
          <w:i w:val="1"/>
          <w:iCs w:val="1"/>
          <w:color w:val="auto"/>
        </w:rPr>
        <w:t xml:space="preserve">Interest Rate Risk. </w:t>
      </w:r>
      <w:r>
        <w:rPr>
          <w:rFonts w:ascii="Arial" w:cs="Arial" w:eastAsia="Arial" w:hAnsi="Arial"/>
          <w:sz w:val="16"/>
          <w:szCs w:val="16"/>
          <w:color w:val="auto"/>
        </w:rPr>
        <w:t>Our interest rate risk relates primarily to its fixed income short-term investment portfolio as we do not have any outstanding debt as of</w:t>
      </w:r>
      <w:r>
        <w:rPr>
          <w:rFonts w:ascii="Arial" w:cs="Arial" w:eastAsia="Arial" w:hAnsi="Arial"/>
          <w:sz w:val="16"/>
          <w:szCs w:val="16"/>
          <w:i w:val="1"/>
          <w:iCs w:val="1"/>
          <w:color w:val="auto"/>
        </w:rPr>
        <w:t xml:space="preserve"> </w:t>
      </w:r>
      <w:r>
        <w:rPr>
          <w:rFonts w:ascii="Arial" w:cs="Arial" w:eastAsia="Arial" w:hAnsi="Arial"/>
          <w:sz w:val="16"/>
          <w:szCs w:val="16"/>
          <w:color w:val="auto"/>
        </w:rPr>
        <w:t>May 1, 2010. We maintain an investment policy that requires minimum short-term and long-term credit ratings, diversification of credit risk and limits the long-term interest rate risk by requiring average and maximum maturities of less than five years. We invest our excess cash primarily in highly liquid debt instruments of the U.S. government and its agencies, time deposits, money market mutual funds, and</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8" w:lineRule="auto"/>
        <w:rPr>
          <w:sz w:val="20"/>
          <w:szCs w:val="20"/>
          <w:color w:val="auto"/>
        </w:rPr>
      </w:pPr>
      <w:r>
        <w:rPr>
          <w:rFonts w:ascii="Arial" w:cs="Arial" w:eastAsia="Arial" w:hAnsi="Arial"/>
          <w:sz w:val="16"/>
          <w:szCs w:val="16"/>
          <w:color w:val="auto"/>
        </w:rPr>
        <w:t>corporate securities. These investments are generally classified as available-for-sale and, consequently, are recorded on our balance sheets at fair market value with their related unrealized gain or loss reflected as a component of accumulated other comprehensive income in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1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May 1, 2010, a hypothetical 100 basis point increase in interest rates across all maturities would result in a $6.3 million incremental decline in the fair market value of the portfolio. Due to our positive cash flow from operations, the relatively short-term nature of our investment portfolio and our ability to hold investments to maturity, such change in fair market value would likely not result in any cash flow impact.</w:t>
      </w:r>
    </w:p>
    <w:p>
      <w:pPr>
        <w:spacing w:after="0" w:line="116"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As of May 1, 2010, our investment portfolio included $41.6 million in par value of auction rate securities. Beginning in February 2008, liquidity issues in the global credit markets resulted in a failure of auction rate securities, as the amount of securities submitted for sale in those auctions exceeded the amount of bids. To estimate the fair value of the auction rate securities since that time, we have used a discounted cash flow model based on estimated timing and amount of future interest and principal payments, credit quality of the underlying securities and illiquidity considerations, the collateralization of underlying security investments, the credit worthiness of the issuer of the securities, the probability of full repayment and other considerations described above. As of May 1, 2010, the auction rate securities were $2.3 million less than par value and recorded in long-term investments except for one $5 million auction rate security, which was transferred to short-term investments during fiscal 2010 after we executed a settlement agreement with UBS to sell back the security at par value at any time during the period beginning June 30, 2010 and expiring July 2, 2012. As a result of the settlement agreement, we received a put option and elected to measure it at fair value.</w:t>
      </w:r>
    </w:p>
    <w:p>
      <w:pPr>
        <w:spacing w:after="0" w:line="120"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Based on our assessment of our cash flow projections, a balance of approximately $2.1 billion in cash, cash equivalents and short-term investments other than auction rate securities and the fact that we continue to generate positive cash flow on a quarterly basis, we do not anticipate having to sell these securities below par value in order to operate our business. We do not have the intent to sell these auction rate securities until recovery and it is more likely than not that we will not be required to sell the auction rate securities prior to recovery. Thus we consider the impairment to be temporary and recorded the unrealized loss to accumulated other comprehensive loss, a component of shareholders’ equity. To the extent we determine that any impairment is other-than-temporary, the impairment would be recorded to earnings.</w:t>
      </w:r>
    </w:p>
    <w:p>
      <w:pPr>
        <w:spacing w:after="0" w:line="144"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i w:val="1"/>
          <w:iCs w:val="1"/>
          <w:color w:val="auto"/>
        </w:rPr>
        <w:t xml:space="preserve">Investment Risk. </w:t>
      </w:r>
      <w:r>
        <w:rPr>
          <w:rFonts w:ascii="Arial" w:cs="Arial" w:eastAsia="Arial" w:hAnsi="Arial"/>
          <w:sz w:val="16"/>
          <w:szCs w:val="16"/>
          <w:color w:val="auto"/>
        </w:rPr>
        <w:t>We invest in equity instruments of privately held companies for business and strategic purposes. These investments, which totaled $7.3</w:t>
      </w:r>
      <w:r>
        <w:rPr>
          <w:rFonts w:ascii="Arial" w:cs="Arial" w:eastAsia="Arial" w:hAnsi="Arial"/>
          <w:sz w:val="16"/>
          <w:szCs w:val="16"/>
          <w:i w:val="1"/>
          <w:iCs w:val="1"/>
          <w:color w:val="auto"/>
        </w:rPr>
        <w:t xml:space="preserve"> </w:t>
      </w:r>
      <w:r>
        <w:rPr>
          <w:rFonts w:ascii="Arial" w:cs="Arial" w:eastAsia="Arial" w:hAnsi="Arial"/>
          <w:sz w:val="16"/>
          <w:szCs w:val="16"/>
          <w:color w:val="auto"/>
        </w:rPr>
        <w:t>million at May 1, 2010, are included in other non-current assets in the accompanying balance sheets and are accounted for under the cost method because our ownership is less than 20% and we do not have the ability to exercise significant influence over the operations of these companies. We monitor these investments for impairment and make appropriate reductions in carrying value when an impairment is deemed to be other-than-temporary.</w:t>
      </w:r>
    </w:p>
    <w:p>
      <w:pPr>
        <w:spacing w:after="0" w:line="11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Substantially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we pay certain payroll and other operating expenses in local currencies and these expenses may be higher or lower in U.S. dollar terms. Furthermore, our operation in Israel represents more than half of our total foreign currency exposure. We may also hold certain assets and liabilities, including potential local tax liabilities, in local currency on our balance sheet. We record the related effects of foreign exchange fluctuations on local currency expenses through operating expense, and record foreign exchange fluctuations of assets and liabilities to other income and expense. Significant fluctuations in exchange rates in countries where we incur expenses or record assets or liabilities in local currency could affect our business and operating results in the future.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Israel Shekel expenses. We will enter into short-term forward exchange contracts, typically less than 12 months in maturities, to hedge exposures for expenses and purchases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De-designated hedges or hedges deemed ineffective are recorded in other income and expense. We do not hedge our tax liabilities denominated in local currency on our balance sheet as the timing of these tax liabilities becoming cash flows is not deemed to be certain.</w:t>
      </w:r>
    </w:p>
    <w:p>
      <w:pPr>
        <w:spacing w:after="0" w:line="118"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2.6%. We expect our hedges of foreign currency exposures to be highly effective and offset a significant portion of this impact.</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color w:val="auto"/>
        </w:rPr>
        <w:t>Controls and Procedures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Management’s Evaluation of Disclosure Controls and Procedures</w:t>
      </w:r>
    </w:p>
    <w:p>
      <w:pPr>
        <w:spacing w:after="0" w:line="90"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Our management, with the participation of our Chief Executive Officer and our Chief Financial Officer, has evaluated the effectiveness of our disclosure controls and procedures (as defined in Rule 13a-15(e) of the Securities Exchange Act of 1934, as amended (the “Exchange Act”)). Disclosure controls and procedures are designed to ensure that information required to be disclosed is recorded, processed, summarized and reported within the time periods specified in the rules and forms of the SEC and that such information is accumulated and communicated to management, including the Chief Executive Officer and Chief Financial Officer, as appropriate, to allow timely decisions regarding required disclosure. Based on this evaluation, our Chief Executive Officer and Chief Financial Officer concluded that, as of May 1, 2010, our disclosure controls and procedures were effective.</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Changes in Internal Control Over Financial Reporting</w:t>
      </w:r>
    </w:p>
    <w:p>
      <w:pPr>
        <w:spacing w:after="0" w:line="90"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May 1, 2010 that have materially affected, or are reasonably likely to materially affect, our internal control over financial reporting.</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Limitation on Effectiveness of Controls</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27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5"/>
          <w:szCs w:val="15"/>
          <w:b w:val="1"/>
          <w:bCs w:val="1"/>
          <w:color w:val="auto"/>
        </w:rPr>
        <w:t>Legal Proceedings</w:t>
      </w:r>
    </w:p>
    <w:p>
      <w:pPr>
        <w:spacing w:after="0" w:line="96"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The information set forth under Note 9 – Commitments and Contingencies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1A.</w:t>
      </w:r>
      <w:r>
        <w:rPr>
          <w:sz w:val="20"/>
          <w:szCs w:val="20"/>
          <w:color w:val="auto"/>
        </w:rPr>
        <w:tab/>
      </w:r>
      <w:r>
        <w:rPr>
          <w:rFonts w:ascii="Arial" w:cs="Arial" w:eastAsia="Arial" w:hAnsi="Arial"/>
          <w:sz w:val="15"/>
          <w:szCs w:val="15"/>
          <w:b w:val="1"/>
          <w:bCs w:val="1"/>
          <w:color w:val="auto"/>
        </w:rPr>
        <w:t>Risk Factors</w:t>
      </w:r>
    </w:p>
    <w:p>
      <w:pPr>
        <w:spacing w:after="0" w:line="96"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i w:val="1"/>
          <w:iCs w:val="1"/>
          <w:color w:val="auto"/>
        </w:rPr>
        <w:t>Before deciding to purchase, hold or sell our common shares, you should carefully consider the risks described below in addition to the other cautionary statements and risks described elsewhere and the other information contained in this Quarterly Report on Form 10-Q and in our other filings with the SEC, including our Annual Report on Form 10-K for the year ended January 30, 2010 and subsequent reports on Forms 10-Q and 8-K. Many of these risks and uncertainties are beyond our control, including business cycles and seasonal trends of the computing, semiconductor and related industries.</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320" w:hanging="325"/>
        <w:spacing w:after="0" w:line="268"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general economic and political conditions and specific conditions in the markets we address, including the continuing volatility in the technology sector and semiconductor industry, and current general economic volatility;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cancellations, rescheduling or deferrals of significant customer orders or shipments;</w:t>
      </w:r>
    </w:p>
    <w:p>
      <w:pPr>
        <w:spacing w:after="0" w:line="90" w:lineRule="exact"/>
        <w:rPr>
          <w:rFonts w:ascii="Arial" w:cs="Arial" w:eastAsia="Arial" w:hAnsi="Arial"/>
          <w:sz w:val="18"/>
          <w:szCs w:val="18"/>
          <w:color w:val="auto"/>
        </w:rPr>
      </w:pPr>
    </w:p>
    <w:p>
      <w:pPr>
        <w:ind w:left="900" w:right="740" w:hanging="325"/>
        <w:spacing w:after="0" w:line="268"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our existing products or demand for new products requested by our customers;</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gain or loss of a key customer or design win;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exercise stringent quality control measures to obtain high yields;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successfully transition to smaller geometry process technologies or achieve higher levels of design integration;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effective and timely update of equipment and facilities as required for leading edge production capabilities;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anticipate and adapt to changes in technology and evolving industry standards and our customers’ changing demands;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failure to protect our intellectual property; and</w:t>
      </w:r>
    </w:p>
    <w:p>
      <w:pPr>
        <w:spacing w:after="0" w:line="90" w:lineRule="exact"/>
        <w:rPr>
          <w:rFonts w:ascii="Arial" w:cs="Arial" w:eastAsia="Arial" w:hAnsi="Arial"/>
          <w:sz w:val="18"/>
          <w:szCs w:val="18"/>
          <w:color w:val="auto"/>
        </w:rPr>
      </w:pPr>
    </w:p>
    <w:p>
      <w:pPr>
        <w:ind w:left="900" w:right="420" w:hanging="325"/>
        <w:spacing w:after="0" w:line="268"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132"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Due to fluctuations in our quarterly results of operations and other factors, the price at which our common shares will trade is likely to continue to be highly volatile. In future periods, if our revenues or operating results are below our estimates or the estimates or expectations of public market analysts and investors, our stock price could decline. On average, technology companies have been subject to a greater number of securities class action claims than companies in many other industries as a result of stock price volatility. If our stock price is volatile, we may become involved in this type of litigation. Any litigation could result in substantial costs and a diversion of management’s attention and resources that are needed to successfully maintain and grow our business.</w:t>
      </w:r>
    </w:p>
    <w:p>
      <w:pPr>
        <w:spacing w:after="0" w:line="197" w:lineRule="exact"/>
        <w:rPr>
          <w:sz w:val="20"/>
          <w:szCs w:val="20"/>
          <w:color w:val="auto"/>
        </w:rPr>
      </w:pPr>
    </w:p>
    <w:p>
      <w:pPr>
        <w:ind w:left="240" w:right="40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the global financial crisis, which may cause a decline in the market price of our common shares.</w:t>
      </w:r>
    </w:p>
    <w:p>
      <w:pPr>
        <w:spacing w:after="0" w:line="51"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These factors could cause substantial fluctuations in our net revenue, gross margin, cash flows and results of operations. In addition, during these downturns some competitors may become more aggressive in their pricing practices, which would adversely impact our gross margin. Furthermore, our foundry partners often require significant amounts of financing in order to build wafer fabrication facilities. If they are unable to obtain financing and anticipated capacity is not completed, we may experience a shortage of capacity, which could increase our costs or reduce our ability to meet customer demand.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23"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The global credit and financial markets over the past year and a half experienced extreme volatility and disruptions, including severely diminished liquidity and credit availability, increased concerns about inflation and deflation, decreased consumer confidence, lower economic growth, volatile energy costs, increased unemployment rates, and uncertainty about economic stability. As a result, we experienced cancellations, deferrals and a significant slowdown in orders, which resulted in lower revenue levels. These conditions make it difficult for our customers, our vendors and us to accurately forecast and plan future business activities, and could cause global businesses to further reduce spending on our products and services, which would delay or lengthen sales cycles. During challenging economic times our customers and distributors may face issues gaining timely access to sufficient credit, which could impact their ability to make timely payments to us. If that were to occur, we may be required to increase our allowance for doubtful accounts and our days sales outstanding would increase. We cannot predict the timing, strength or duration of any economic slowdown or subsequent global economic recovery in the hard disk drive or in the semiconductor industry.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right="6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and is facing increased competition from alternative technologies.</w:t>
      </w:r>
    </w:p>
    <w:p>
      <w:pPr>
        <w:spacing w:after="0" w:line="51"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has historically been cyclical, with periods of increased demand and rapid growth followed by periods of oversupply and subsequent contraction. These cycles may affect us because some of our customers are participants in this industry.</w:t>
      </w:r>
    </w:p>
    <w:p>
      <w:pPr>
        <w:spacing w:after="0" w:line="14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43"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Future changes in the nature of information storage products may reduce demand for traditional hard disk drives. For instance, products using alternative technologies, such as semiconductor memory, optical storage, solid-state flash drives and other storage technologies could become a significant source of competition to manufacturers of hard disk drives. Flash memory has typically been more costly than disk drive 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225" w:lineRule="exact"/>
        <w:rPr>
          <w:sz w:val="20"/>
          <w:szCs w:val="20"/>
          <w:color w:val="auto"/>
        </w:rPr>
      </w:pPr>
    </w:p>
    <w:p>
      <w:pPr>
        <w:ind w:left="240" w:right="400"/>
        <w:spacing w:after="0" w:line="268" w:lineRule="auto"/>
        <w:rPr>
          <w:sz w:val="20"/>
          <w:szCs w:val="20"/>
          <w:color w:val="auto"/>
        </w:rPr>
      </w:pPr>
      <w:r>
        <w:rPr>
          <w:rFonts w:ascii="Arial" w:cs="Arial" w:eastAsia="Arial" w:hAnsi="Arial"/>
          <w:sz w:val="18"/>
          <w:szCs w:val="18"/>
          <w:b w:val="1"/>
          <w:bCs w:val="1"/>
          <w:i w:val="1"/>
          <w:iCs w:val="1"/>
          <w:color w:val="auto"/>
        </w:rPr>
        <w:t>We operate in the intensely competitive wired and wireless communications markets, and our failure to compete effectively would harm our results of operations.</w:t>
      </w:r>
    </w:p>
    <w:p>
      <w:pPr>
        <w:spacing w:after="0" w:line="51"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The semiconductor industry and specifically the wired and wireless communications markets are extremely competitive, and we expect competition to intensify as current competitors expand their product offerings and new competitors enter the market. We currently compete with a number of large domestic and international companies in the business of designing integrated circuits and related applications, some of which have greater financial, technical and management resources than us. We expect competition to continue to increase as industry standards continue to evolve and become better known, and others realize the market potential of wired and wireless products and services.</w:t>
      </w:r>
    </w:p>
    <w:p>
      <w:pPr>
        <w:spacing w:after="0" w:line="143" w:lineRule="exact"/>
        <w:rPr>
          <w:sz w:val="20"/>
          <w:szCs w:val="20"/>
          <w:color w:val="auto"/>
        </w:rPr>
      </w:pPr>
    </w:p>
    <w:p>
      <w:pPr>
        <w:ind w:right="120" w:firstLine="456"/>
        <w:spacing w:after="0" w:line="289" w:lineRule="auto"/>
        <w:rPr>
          <w:sz w:val="20"/>
          <w:szCs w:val="20"/>
          <w:color w:val="auto"/>
        </w:rPr>
      </w:pPr>
      <w:r>
        <w:rPr>
          <w:rFonts w:ascii="Arial" w:cs="Arial" w:eastAsia="Arial" w:hAnsi="Arial"/>
          <w:sz w:val="16"/>
          <w:szCs w:val="16"/>
          <w:color w:val="auto"/>
        </w:rPr>
        <w:t>As the markets we compete in continue to increase, our revenues and gross margins may be harmed.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wired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We cannot assure you that we will be able to continue to compete successfully against existing or new competitors, which would harm our results of operations.</w:t>
      </w:r>
    </w:p>
    <w:p>
      <w:pPr>
        <w:spacing w:after="0" w:line="199" w:lineRule="exact"/>
        <w:rPr>
          <w:sz w:val="20"/>
          <w:szCs w:val="20"/>
          <w:color w:val="auto"/>
        </w:rPr>
      </w:pPr>
    </w:p>
    <w:p>
      <w:pPr>
        <w:ind w:left="240" w:right="260"/>
        <w:spacing w:after="0" w:line="268" w:lineRule="auto"/>
        <w:rPr>
          <w:sz w:val="20"/>
          <w:szCs w:val="20"/>
          <w:color w:val="auto"/>
        </w:rPr>
      </w:pPr>
      <w:r>
        <w:rPr>
          <w:rFonts w:ascii="Arial" w:cs="Arial" w:eastAsia="Arial" w:hAnsi="Arial"/>
          <w:sz w:val="18"/>
          <w:szCs w:val="18"/>
          <w:b w:val="1"/>
          <w:bCs w:val="1"/>
          <w:i w:val="1"/>
          <w:iCs w:val="1"/>
          <w:color w:val="auto"/>
        </w:rPr>
        <w:t>Our sales are concentrated in a few customers, and if we lose or experience a significant reduction in sales to any of these key customers, our revenues may decrease substantially.</w:t>
      </w:r>
    </w:p>
    <w:p>
      <w:pPr>
        <w:spacing w:after="0" w:line="51"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We receive a significant amount of our revenues from a limited number of customers. For the three months ended May 1, 2010, three customers accounted for a total of approximately 48% of our net revenue.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800" w:hanging="325"/>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00"/>
          </w:cols>
          <w:pgMar w:left="240" w:top="459" w:right="2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right="2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420" w:firstLine="456"/>
        <w:spacing w:after="0" w:line="254" w:lineRule="auto"/>
        <w:rPr>
          <w:sz w:val="20"/>
          <w:szCs w:val="20"/>
          <w:color w:val="auto"/>
        </w:rPr>
      </w:pPr>
      <w:r>
        <w:rPr>
          <w:rFonts w:ascii="Arial" w:cs="Arial" w:eastAsia="Arial" w:hAnsi="Arial"/>
          <w:sz w:val="18"/>
          <w:szCs w:val="18"/>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new and enhanced products are introduced to the market, we may not be able to achieve market acceptance of them in a timely manner.</w:t>
      </w:r>
    </w:p>
    <w:p>
      <w:pPr>
        <w:spacing w:after="0" w:line="144"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225" w:lineRule="exact"/>
        <w:rPr>
          <w:sz w:val="20"/>
          <w:szCs w:val="20"/>
          <w:color w:val="auto"/>
        </w:rPr>
      </w:pPr>
    </w:p>
    <w:p>
      <w:pPr>
        <w:jc w:val="both"/>
        <w:ind w:left="240" w:right="10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 party vendors to deliver products or otherwise perform as requested could damage our relationships with our customers, decrease our sales and limit our growth.</w:t>
      </w:r>
    </w:p>
    <w:p>
      <w:pPr>
        <w:spacing w:after="0" w:line="59"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rely on third party vendors to manufacture, assemble and test the products we design. We currently rely on several third party foundries to produce our integrated circuit products. We also currently rely on several third party assembly and test subcontractors to assemble, package and test our products. This exposes us to a variety of risks, including the following:</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Substantially all of our products are manufactured by third party foundries located in Taiwan. Currently our alternative manufacturing sources are located in China and Singapore. In addition, substantially all of our assembly and testing facilities are located in Singapore, Taiwan, Malaysia and the Philippines. Because of the geographic concentration of these third party foundries, as well as our assembly and test subcontractors, we are exposed to the risk that their operations may be disrupted by regional disasters. For example, the risk of an earthquake in Taiwan and elsewhere in the Pacific Rim region is significant due to the proximity of major earthquake fault lines to the facilities of our foundries and assembly and test subcontractors. Taiwan has experienced significant earthquakes in the past, including, for example, in March 2010, and may be subject to additional earthquakes that could disrupt manufacturing operations. In addition, the resurgence of severe acute respiratory syndrome, the 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 facilities, our revenues, cost of goods sold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20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In addition, when demand is strong, availability of foundry capacity may be constrained, and with limited exceptions, our vendors are not obligated to perform services or supply products to us for any specific period, in any specific quantities, or at any specific price, except as may be provided in a particular purchase order. For example, as a consequence of the economic downturn, during the last several months of fiscal 2010 and into the first quarter of fiscal 2011, we experienced some supply shortages due to the difficulties encountered by the foundries in rapidly increasing their production capacities from low utilization levels to the high utilization levels required due to a rapid increase in demand. Although we have entered into contractual commitments to supply specified levels of products to some of our customers, we may not have sufficient levels of production capacity with all of our foundries, despite signing an agreement with a foundry to reserve and secure foundry fabrication capacity for a fixed number of wafers.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w:t>
      </w:r>
    </w:p>
    <w:p>
      <w:pPr>
        <w:spacing w:after="0" w:line="124"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Although we use several independent foundries to manufacture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ectPr>
          <w:pgSz w:w="11900" w:h="16838" w:orient="portrait"/>
          <w:cols w:equalWidth="0" w:num="1">
            <w:col w:w="11400"/>
          </w:cols>
          <w:pgMar w:left="240" w:top="459" w:right="259" w:bottom="1440" w:gutter="0" w:footer="0" w:header="0"/>
        </w:sectPr>
      </w:pP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37</w:t>
      </w:r>
    </w:p>
    <w:p>
      <w:pPr>
        <w:sectPr>
          <w:pgSz w:w="11900" w:h="16838" w:orient="portrait"/>
          <w:cols w:equalWidth="0" w:num="1">
            <w:col w:w="11400"/>
          </w:cols>
          <w:pgMar w:left="240" w:top="459" w:right="259" w:bottom="1440" w:gutter="0" w:footer="0" w:header="0"/>
          <w:type w:val="continuous"/>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22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18"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140" w:lineRule="exact"/>
        <w:rPr>
          <w:sz w:val="20"/>
          <w:szCs w:val="20"/>
          <w:color w:val="auto"/>
        </w:rPr>
      </w:pPr>
    </w:p>
    <w:p>
      <w:pPr>
        <w:ind w:left="240" w:right="2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132"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For example, we have experienced periods of rapid growth and expansion. Through internal growth and acquisitions, we significantly increased the scope of our operations and expanded our workforce from 1,205 employees, as of January 31, 2003, to 5,354 employees, as of May 1, 2010.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For example, in order to reduce expenses in the challenging economic environment that began during the second half of fiscal 2009, in late fiscal 2009 and early in fiscal 2010, we implemented certain cost reduction measures to reduce operating expenses. Because many of our expenses are fixed in the short-term or are incurred in advance of anticipated sales, we may not be able to decrease our expenses in a timely manner to offset any decrease in customer demand. If customer demand does not increase as anticipated, our profitability could be adversely affected due to our higher expense levels.</w:t>
      </w:r>
    </w:p>
    <w:p>
      <w:pPr>
        <w:spacing w:after="0" w:line="128" w:lineRule="exact"/>
        <w:rPr>
          <w:sz w:val="20"/>
          <w:szCs w:val="20"/>
          <w:color w:val="auto"/>
        </w:rPr>
      </w:pPr>
    </w:p>
    <w:p>
      <w:pPr>
        <w:ind w:right="140" w:firstLine="456"/>
        <w:spacing w:after="0" w:line="288"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right="100"/>
        <w:spacing w:after="0" w:line="268" w:lineRule="auto"/>
        <w:rPr>
          <w:sz w:val="20"/>
          <w:szCs w:val="20"/>
          <w:color w:val="auto"/>
        </w:rPr>
      </w:pPr>
      <w:r>
        <w:rPr>
          <w:rFonts w:ascii="Arial" w:cs="Arial" w:eastAsia="Arial" w:hAnsi="Arial"/>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25" w:lineRule="exact"/>
        <w:rPr>
          <w:sz w:val="20"/>
          <w:szCs w:val="20"/>
          <w:color w:val="auto"/>
        </w:rPr>
      </w:pPr>
    </w:p>
    <w:p>
      <w:pPr>
        <w:jc w:val="both"/>
        <w:ind w:left="240"/>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or,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purchases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w:t>
      </w:r>
    </w:p>
    <w:p>
      <w:pPr>
        <w:spacing w:after="0" w:line="12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lengthy sales cycle. 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 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prior to completion, which makes it even more difficult to forecast customer demand.</w:t>
      </w:r>
    </w:p>
    <w:p>
      <w:pPr>
        <w:spacing w:after="0" w:line="118"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If we overestimate customer demand, we may allocate resources to manufacturing products that we may not be able to sell when we expect to, if at all. As a result, we would hold excess or obsolete inventory, which would reduce our gross margin and adversely affect our financial results.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6"/>
          <w:szCs w:val="16"/>
          <w:b w:val="1"/>
          <w:bCs w:val="1"/>
          <w:i w:val="1"/>
          <w:iCs w:val="1"/>
          <w:color w:val="auto"/>
        </w:rPr>
        <w:t>We must keep pace with rapid technological change and evolving industry standards in the semiconductor industry to remain competitive.</w:t>
      </w:r>
    </w:p>
    <w:p>
      <w:pPr>
        <w:spacing w:after="0" w:line="113"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Our future success will depend on our ability to anticipate and adapt to changes in technology and evolving industry standards.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which we do not properly anticipate,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they serve and to introduce and promote those products successfully.</w:t>
      </w:r>
    </w:p>
    <w:p>
      <w:pPr>
        <w:spacing w:after="0" w:line="208" w:lineRule="exact"/>
        <w:rPr>
          <w:sz w:val="20"/>
          <w:szCs w:val="20"/>
          <w:color w:val="auto"/>
        </w:rPr>
      </w:pPr>
    </w:p>
    <w:p>
      <w:pPr>
        <w:ind w:left="240" w:right="66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margin.</w:t>
      </w:r>
    </w:p>
    <w:p>
      <w:pPr>
        <w:spacing w:after="0" w:line="51" w:lineRule="exact"/>
        <w:rPr>
          <w:sz w:val="20"/>
          <w:szCs w:val="20"/>
          <w:color w:val="auto"/>
        </w:rPr>
      </w:pPr>
    </w:p>
    <w:p>
      <w:pPr>
        <w:ind w:right="240" w:firstLine="456"/>
        <w:spacing w:after="0" w:line="256" w:lineRule="auto"/>
        <w:rPr>
          <w:sz w:val="20"/>
          <w:szCs w:val="20"/>
          <w:color w:val="auto"/>
        </w:rPr>
      </w:pPr>
      <w:r>
        <w:rPr>
          <w:rFonts w:ascii="Arial" w:cs="Arial" w:eastAsia="Arial" w:hAnsi="Arial"/>
          <w:sz w:val="18"/>
          <w:szCs w:val="18"/>
          <w:color w:val="auto"/>
        </w:rPr>
        <w:t>The products we develop and sell are primarily used for high volume applications. As a result, the prices of those products have historically decreased rapidly. We may not be able to maintain or improve the gross margins and our gross profits and financial results will suffer if we are unable to offset any reductions in our average selling prices by increasing our efficiency through reducing our costs or developing new or enhanced products on a timely basis with higher selling prices or gross margin.</w:t>
      </w:r>
    </w:p>
    <w:p>
      <w:pPr>
        <w:spacing w:after="0" w:line="143"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 In the past, we have reduced the average selling prices of our products in anticipation of future competitive pricing pressures, new product introductions by us or our competitors and other factors. We expect that we will have to do so again in the future.</w:t>
      </w:r>
    </w:p>
    <w:p>
      <w:pPr>
        <w:sectPr>
          <w:pgSz w:w="11900" w:h="16838" w:orient="portrait"/>
          <w:cols w:equalWidth="0" w:num="1">
            <w:col w:w="11420"/>
          </w:cols>
          <w:pgMar w:left="240" w:top="459" w:right="239" w:bottom="1440" w:gutter="0" w:footer="0" w:header="0"/>
        </w:sectPr>
      </w:pP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39</w:t>
      </w:r>
    </w:p>
    <w:p>
      <w:pPr>
        <w:sectPr>
          <w:pgSz w:w="11900" w:h="16838" w:orient="portrait"/>
          <w:cols w:equalWidth="0" w:num="1">
            <w:col w:w="11420"/>
          </w:cols>
          <w:pgMar w:left="240" w:top="459" w:right="239" w:bottom="1440" w:gutter="0" w:footer="0" w:header="0"/>
          <w:type w:val="continuous"/>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right="26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2" w:lineRule="exact"/>
        <w:rPr>
          <w:sz w:val="20"/>
          <w:szCs w:val="20"/>
          <w:color w:val="auto"/>
        </w:rPr>
      </w:pPr>
    </w:p>
    <w:p>
      <w:pPr>
        <w:ind w:left="240" w:right="360"/>
        <w:spacing w:after="0" w:line="332" w:lineRule="auto"/>
        <w:rPr>
          <w:sz w:val="20"/>
          <w:szCs w:val="20"/>
          <w:color w:val="auto"/>
        </w:rPr>
      </w:pPr>
      <w:r>
        <w:rPr>
          <w:rFonts w:ascii="Arial" w:cs="Arial" w:eastAsia="Arial" w:hAnsi="Arial"/>
          <w:sz w:val="16"/>
          <w:szCs w:val="16"/>
          <w:b w:val="1"/>
          <w:bCs w:val="1"/>
          <w:i w:val="1"/>
          <w:iCs w:val="1"/>
          <w:color w:val="auto"/>
        </w:rPr>
        <w:t>As a result of our global operations, we face foreign business, political, economic and exchange rate risks, which may harm our results of operations, because a majority of our products and our customers’ products are manufactured and sold outside of the United States.</w:t>
      </w:r>
    </w:p>
    <w:p>
      <w:pPr>
        <w:spacing w:after="0" w:line="4" w:lineRule="exact"/>
        <w:rPr>
          <w:sz w:val="20"/>
          <w:szCs w:val="20"/>
          <w:color w:val="auto"/>
        </w:rPr>
      </w:pPr>
    </w:p>
    <w:p>
      <w:pPr>
        <w:ind w:right="80" w:firstLine="456"/>
        <w:spacing w:after="0" w:line="318" w:lineRule="auto"/>
        <w:rPr>
          <w:sz w:val="20"/>
          <w:szCs w:val="20"/>
          <w:color w:val="auto"/>
        </w:rPr>
      </w:pPr>
      <w:r>
        <w:rPr>
          <w:rFonts w:ascii="Arial" w:cs="Arial" w:eastAsia="Arial" w:hAnsi="Arial"/>
          <w:sz w:val="15"/>
          <w:szCs w:val="15"/>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85% of our net revenue for the three months ended May 1, 2010, 89% of our net revenue in fiscal 2010, 86% of our net revenue in fiscal 2009 and 84% of our net revenue in fiscal 2008.</w:t>
      </w:r>
    </w:p>
    <w:p>
      <w:pPr>
        <w:spacing w:after="0" w:line="10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have substantial operations, including approximately 20% of our workforce as of May 1, 2010, in Israel. These operations are directly influenced by the political, economic and military conditions affecting Israel. Any potential hostilities involving or within Israel could disrupt these operations. For example, past hostilities between Israel and the Palestinian authority and other groups have caused substantial political unrest, which could lead to a potential economic downturn in Israel.</w:t>
      </w:r>
    </w:p>
    <w:p>
      <w:pPr>
        <w:spacing w:after="0" w:line="143" w:lineRule="exact"/>
        <w:rPr>
          <w:sz w:val="20"/>
          <w:szCs w:val="20"/>
          <w:color w:val="auto"/>
        </w:rPr>
      </w:pPr>
    </w:p>
    <w:p>
      <w:pPr>
        <w:ind w:right="460" w:firstLine="456"/>
        <w:spacing w:after="0" w:line="332" w:lineRule="auto"/>
        <w:rPr>
          <w:sz w:val="20"/>
          <w:szCs w:val="20"/>
          <w:color w:val="auto"/>
        </w:rPr>
      </w:pPr>
      <w:r>
        <w:rPr>
          <w:rFonts w:ascii="Arial" w:cs="Arial" w:eastAsia="Arial" w:hAnsi="Arial"/>
          <w:sz w:val="16"/>
          <w:szCs w:val="16"/>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4" w:lineRule="exact"/>
        <w:rPr>
          <w:sz w:val="20"/>
          <w:szCs w:val="20"/>
          <w:color w:val="auto"/>
        </w:rPr>
      </w:pPr>
    </w:p>
    <w:p>
      <w:pPr>
        <w:ind w:left="900" w:right="38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political, social and economic instability, including wars, terrorism, other hostilities and political unrest, boycotts, curtailment of trade and other business restrictions;</w:t>
      </w:r>
    </w:p>
    <w:p>
      <w:pPr>
        <w:spacing w:after="0" w:line="5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compliance with foreign laws, and laws and practices that favor local companies;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6"/>
          <w:szCs w:val="16"/>
          <w:color w:val="auto"/>
        </w:rPr>
      </w:pPr>
      <w:r>
        <w:rPr>
          <w:rFonts w:ascii="Arial" w:cs="Arial" w:eastAsia="Arial" w:hAnsi="Arial"/>
          <w:sz w:val="16"/>
          <w:szCs w:val="16"/>
          <w:color w:val="auto"/>
        </w:rPr>
        <w:t>difficulties of managing distributors, especially because we expect to continue to increase our sales through international distributors;</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171"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 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all of our sales have been denominated in U.S. dollars.</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459" w:right="2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line="294" w:lineRule="auto"/>
        <w:rPr>
          <w:sz w:val="20"/>
          <w:szCs w:val="20"/>
          <w:color w:val="auto"/>
        </w:rPr>
      </w:pPr>
      <w:r>
        <w:rPr>
          <w:rFonts w:ascii="Arial" w:cs="Arial" w:eastAsia="Arial" w:hAnsi="Arial"/>
          <w:sz w:val="16"/>
          <w:szCs w:val="16"/>
          <w:b w:val="1"/>
          <w:bCs w:val="1"/>
          <w:i w:val="1"/>
          <w:iCs w:val="1"/>
          <w:color w:val="auto"/>
        </w:rPr>
        <w:t>We have had material weaknesses in internal control over financial reporting in prior fiscal years. Although we believe we have taken the necessary actions to strengthen the weaknesses in our control structure, we cannot assure you that additional material weaknesses will not be identified in the future. 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35"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We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and to include a management report assessing the effectiveness of our internal control over financial reporting in each Annual Report on Form 10-K.</w:t>
      </w:r>
    </w:p>
    <w:p>
      <w:pPr>
        <w:spacing w:after="0" w:line="143"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Our management, including our Chief Executive Officer and Chief Financial Officer, does not expect that our internal control over financial reporting will prevent all error and all fraud. These inherent limitations include the realities that judgments in decision making can be faulty, breakdowns can occur because of simple errors or mistake and errors discovered by personnel within control systems may not be properly disclosed and addressed. Controls can also be circumvented by the individual acts of some persons, by collusion of two or more people, or by management override of the controls.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a process which sometimes leads to modifications in such controls. These modifications could affect the overall effectiveness or evaluation of the control system in the future by us or our independent registered public accounting firm.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205" w:lineRule="exact"/>
        <w:rPr>
          <w:sz w:val="20"/>
          <w:szCs w:val="20"/>
          <w:color w:val="auto"/>
        </w:rPr>
      </w:pPr>
    </w:p>
    <w:p>
      <w:pPr>
        <w:ind w:left="240" w:right="48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4"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13" w:lineRule="exact"/>
        <w:rPr>
          <w:sz w:val="20"/>
          <w:szCs w:val="20"/>
          <w:color w:val="auto"/>
        </w:rPr>
      </w:pPr>
    </w:p>
    <w:p>
      <w:pPr>
        <w:ind w:firstLine="456"/>
        <w:spacing w:after="0" w:line="318" w:lineRule="auto"/>
        <w:rPr>
          <w:sz w:val="20"/>
          <w:szCs w:val="20"/>
          <w:color w:val="auto"/>
        </w:rPr>
      </w:pPr>
      <w:r>
        <w:rPr>
          <w:rFonts w:ascii="Arial" w:cs="Arial" w:eastAsia="Arial" w:hAnsi="Arial"/>
          <w:sz w:val="15"/>
          <w:szCs w:val="15"/>
          <w:color w:val="auto"/>
        </w:rPr>
        <w:t>Integrating newly acquired businesses or technologies typically entails many risks that could put a strain on our resources, could be costly and time consuming, and might not be successful. In addition, any acquisitions could materially harm our results of operations or liquidity as a result of either the issuance of dilutive equity securities or payment of cash. Moreover, such acquisitions could divert our management’s attention from other business concerns and also result in customer dissatisfaction. In addition, we 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181"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Over the past several years, we have made several acquisitions. As a result of these acquisitions, we had approximately $2.0 billion of goodwill and $156.6 million of intangible assets on our balance sheet as of May 1, 2010. Under GAAP, we are required to review our intangible assets for impairment whenever events or changes in circumstances indicate that the carrying value of these assets may not be recoverable. We perform an assessment of goodwill at the beginning of our fiscal fourth quarter and we also assess the impairment of goodwill on an interim basis whenever events or changes in circumstances indicate that the carrying value of such assets may not be recoverable. If the businesses acquired fail to meet our expectations set out at the time of the acquisition or if our market capitalization adjusted for control premiums and other factors declines to below our carrying value, we could incur significant goodwill or intangible impairment charges, which could negatively impact our financial results. For example, as a result of our analysis related to acquired intangible assets, we recorded an impairment charge of $15.6 million in the fourth quarter ended January 31, 2009. In addition, from time to time, we have made investments in other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Impairment charges could have a material impact on our results of operations in any period.</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459" w:right="2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6"/>
          <w:szCs w:val="16"/>
          <w:b w:val="1"/>
          <w:bCs w:val="1"/>
          <w:i w:val="1"/>
          <w:iCs w:val="1"/>
          <w:color w:val="auto"/>
        </w:rPr>
        <w:t>Changes in financial accounting standards or practices or existing taxation rules or practices may cause adverse effects on our financial results.</w:t>
      </w:r>
    </w:p>
    <w:p>
      <w:pPr>
        <w:spacing w:after="0" w:line="113" w:lineRule="exact"/>
        <w:rPr>
          <w:sz w:val="20"/>
          <w:szCs w:val="20"/>
          <w:color w:val="auto"/>
        </w:rPr>
      </w:pPr>
    </w:p>
    <w:p>
      <w:pPr>
        <w:ind w:right="200" w:firstLine="456"/>
        <w:spacing w:after="0" w:line="294" w:lineRule="auto"/>
        <w:rPr>
          <w:sz w:val="20"/>
          <w:szCs w:val="20"/>
          <w:color w:val="auto"/>
        </w:rPr>
      </w:pPr>
      <w:r>
        <w:rPr>
          <w:rFonts w:ascii="Arial" w:cs="Arial" w:eastAsia="Arial" w:hAnsi="Arial"/>
          <w:sz w:val="16"/>
          <w:szCs w:val="16"/>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the U.S. Congress is considering legislation affecting the taxation of foreign corporations and such legislation if enacted might adversely affect our future tax liabilities and have a material impact on our results of operations. Changes to existing rules or the questioning of current practices by regulators may adversely affect our reported financial results or the way we conduct our business.</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Tax benefits that we receive may be terminated or reduced in the future, which would increase our costs.</w:t>
      </w:r>
    </w:p>
    <w:p>
      <w:pPr>
        <w:spacing w:after="0" w:line="90"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Over the course of the past several years, we have entered into agreements with the local governments in certain foreign jurisdictions where we have significant operations to provide us with favorable tax rates in those jurisdictions if certain criteria are met.</w:t>
      </w:r>
    </w:p>
    <w:p>
      <w:pPr>
        <w:spacing w:after="0" w:line="132" w:lineRule="exact"/>
        <w:rPr>
          <w:sz w:val="20"/>
          <w:szCs w:val="20"/>
          <w:color w:val="auto"/>
        </w:rPr>
      </w:pPr>
    </w:p>
    <w:p>
      <w:pPr>
        <w:ind w:right="200" w:firstLine="456"/>
        <w:spacing w:after="0" w:line="332" w:lineRule="auto"/>
        <w:rPr>
          <w:sz w:val="20"/>
          <w:szCs w:val="20"/>
          <w:color w:val="auto"/>
        </w:rPr>
      </w:pPr>
      <w:r>
        <w:rPr>
          <w:rFonts w:ascii="Arial" w:cs="Arial" w:eastAsia="Arial" w:hAnsi="Arial"/>
          <w:sz w:val="16"/>
          <w:szCs w:val="16"/>
          <w:color w:val="auto"/>
        </w:rPr>
        <w:t>We obtained from the Minister of Finance of Bermuda under the Exempt Undertakings Tax Protection Act 1966, as amended, an undertaking that, in the event that Bermuda enacts legislation imposing tax computed on income and capital gains, those taxes should not apply to us until March 28, 2016.</w:t>
      </w:r>
    </w:p>
    <w:p>
      <w:pPr>
        <w:spacing w:after="0" w:line="85"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Economic Development Board of Singapore (the “EDB”) granted Pioneer Status to our wholly-owned subsidiary in Singapore in July 1999. This tax exemption was to expire after ten years, but the EDB in June 2006 agreed to extend the term to 15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Due to the economic downturn in fiscal 2010, we came to an agreement to amend the Pioneer conditions for future years and preserve the 15 year tax exemption status.</w:t>
      </w:r>
    </w:p>
    <w:p>
      <w:pPr>
        <w:spacing w:after="0" w:line="116"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Under the Israeli law of “approved or benefited enterprise,” two branches, Marvell Israel (“MISL”) and Marvell DSPC, are entitled to a beneficial tax program that includes reduced tax rates and exemption of certain income. The first program was approved for MISL in 1995 and the most recent was approved in 2006. Marvell DSPC has five approved programs with the first approved in 1990 and the most recent in 2007. The benefit period is generally ten to fifteen years and begins in the first year in which our Israeli branches earn taxable income from the approved or benefited enterprises, provided the maximum period has not elapsed. Income from the approved or benefited enterprises is subject to reduced tax rates ranging between 0% and 10% or tax exemptions for fiscal years 2008 through 2020.</w:t>
      </w:r>
    </w:p>
    <w:p>
      <w:pPr>
        <w:spacing w:after="0" w:line="144"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During fiscal 2007, our Switzerland subsidiary received a ten-year Federal and Cantonal tax holiday on revenues from research and design and wafer supply trading activities that will expire in 2017. If certain requirements are not met in the initial five-year period, our incentive exemption would be reduced by 50% on the next five-year period of the tax holiday, which would adversely affect our financial results.</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If any of our tax arrangements in these foreign jurisdictions were terminated, our financial results could be harmed.</w:t>
      </w:r>
    </w:p>
    <w:p>
      <w:pPr>
        <w:spacing w:after="0" w:line="252" w:lineRule="exact"/>
        <w:rPr>
          <w:sz w:val="20"/>
          <w:szCs w:val="20"/>
          <w:color w:val="auto"/>
        </w:rPr>
      </w:pPr>
    </w:p>
    <w:p>
      <w:pPr>
        <w:ind w:left="240" w:right="280"/>
        <w:spacing w:after="0" w:line="268"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and hire additional personnel, our ability to develop and successfully market our products could be harmed.</w:t>
      </w:r>
    </w:p>
    <w:p>
      <w:pPr>
        <w:spacing w:after="0" w:line="51"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We believe our future success will depend in large part upon our ability to attract and retain highly skilled managerial, engineering and sales and marketing personnel. The loss of key employees or the inability to attract qualified personnel, including engineers, sales and marketing personnel could delay the development and introduction of and harm our ability to sell our products. We do not have employment agreements with any of our key technical personnel, and their knowledge of our business and industry would be extremely difficult to replace.</w:t>
      </w:r>
    </w:p>
    <w:p>
      <w:pPr>
        <w:spacing w:after="0" w:line="143"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The competition for qualified technical personnel with significant experience in the design, development, manufacturing, marketing and sales of integrated circuits is intense. It is important that we are able to identify, hire and retain engineers who are familiar with the intricacies of the design and manufacture of products based on analog technology.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224" w:lineRule="exact"/>
        <w:rPr>
          <w:sz w:val="20"/>
          <w:szCs w:val="20"/>
          <w:color w:val="auto"/>
        </w:rPr>
      </w:pPr>
    </w:p>
    <w:p>
      <w:pPr>
        <w:jc w:val="both"/>
        <w:ind w:left="240" w:right="140"/>
        <w:spacing w:after="0" w:line="259" w:lineRule="auto"/>
        <w:rPr>
          <w:sz w:val="20"/>
          <w:szCs w:val="20"/>
          <w:color w:val="auto"/>
        </w:rPr>
      </w:pPr>
      <w:r>
        <w:rPr>
          <w:rFonts w:ascii="Arial" w:cs="Arial" w:eastAsia="Arial" w:hAnsi="Arial"/>
          <w:sz w:val="18"/>
          <w:szCs w:val="18"/>
          <w:b w:val="1"/>
          <w:bCs w:val="1"/>
          <w:i w:val="1"/>
          <w:iCs w:val="1"/>
          <w:color w:val="auto"/>
        </w:rPr>
        <w:t>Two of our officers and directors own a large percentage of our voting stock, and, together with another employee who is also a significant shareholder, are related by blood or marriage. These factors may allow the officers and directors as a group or the three related employees to influence the election of directors and the approval or disapproval of significant corporate actions.</w:t>
      </w:r>
    </w:p>
    <w:p>
      <w:pPr>
        <w:spacing w:after="0" w:line="59"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Dr. Sehat Sutardja, our President and Chief Executive Officer, and Weili Dai, who serves as the Vice President of Sales for Communications and Consumer Business of MSI and Vice President and General Manager of Communications and Computing Business Unit of MSI, are husband and wife, and Dr. Sehat Sutardja and Dr. Pantas Sutardja, our Vice President, Chief Technology Officer and Chief Research and Development Officer, are brothers. Together, these three individuals held approximately 17% of our outstanding common shares as of May 1, 2010.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instance, the voting power of these individuals could have the effect of delaying or preventing an acquisition of us on terms that other shareholders may desire. Furthermore, we have a classified board, which could further delay or prevent an acquisition, under certain circumstances.</w:t>
      </w:r>
    </w:p>
    <w:p>
      <w:pPr>
        <w:sectPr>
          <w:pgSz w:w="11900" w:h="16838" w:orient="portrait"/>
          <w:cols w:equalWidth="0" w:num="1">
            <w:col w:w="11380"/>
          </w:cols>
          <w:pgMar w:left="240" w:top="459" w:right="279" w:bottom="1440" w:gutter="0" w:footer="0" w:header="0"/>
        </w:sectPr>
      </w:pP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6"/>
          <w:szCs w:val="16"/>
          <w:color w:val="auto"/>
        </w:rPr>
        <w:t>42</w:t>
      </w:r>
    </w:p>
    <w:p>
      <w:pPr>
        <w:sectPr>
          <w:pgSz w:w="11900" w:h="16838" w:orient="portrait"/>
          <w:cols w:equalWidth="0" w:num="1">
            <w:col w:w="11380"/>
          </w:cols>
          <w:pgMar w:left="240" w:top="459" w:right="279" w:bottom="1440" w:gutter="0" w:footer="0" w:header="0"/>
          <w:type w:val="continuous"/>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Second Amended and Restated Bye-Laws. Furthermore, consideration would be given by a Bermuda court to acts that are alleged to constitute a fraud against the minority shareholders or, for instance, where an act requiring the approval of a greater percentage of the company’s shareholders than those who actually approved it.</w:t>
      </w:r>
    </w:p>
    <w:p>
      <w:pPr>
        <w:spacing w:after="0" w:line="120"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 Companies Act 1981 of Bermuda, as amended, provides that when one or more shareholders believes the affairs of a company are being conducted in a manner which is prejudicial to the interest of some of the shareholders,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U.S. and foreign patents and have a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w:t>
      </w:r>
    </w:p>
    <w:p>
      <w:pPr>
        <w:spacing w:after="0" w:line="124"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Such open source software is often made available under licenses, such as the GNU General Public License which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In addition, there is little or no legal precedent for interpreting the terms of certain of these open source licenses, including the determination of which works are subject to the terms of such licenses.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w:t>
      </w:r>
    </w:p>
    <w:p>
      <w:pPr>
        <w:spacing w:after="0" w:line="201" w:lineRule="exact"/>
        <w:rPr>
          <w:sz w:val="20"/>
          <w:szCs w:val="20"/>
          <w:color w:val="auto"/>
        </w:rPr>
      </w:pPr>
    </w:p>
    <w:p>
      <w:pPr>
        <w:ind w:left="240" w:right="60"/>
        <w:spacing w:after="0" w:line="357" w:lineRule="auto"/>
        <w:rPr>
          <w:sz w:val="20"/>
          <w:szCs w:val="20"/>
          <w:color w:val="auto"/>
        </w:rPr>
      </w:pPr>
      <w:r>
        <w:rPr>
          <w:rFonts w:ascii="Arial" w:cs="Arial" w:eastAsia="Arial" w:hAnsi="Arial"/>
          <w:sz w:val="15"/>
          <w:szCs w:val="15"/>
          <w:b w:val="1"/>
          <w:bCs w:val="1"/>
          <w:i w:val="1"/>
          <w:iCs w:val="1"/>
          <w:color w:val="auto"/>
        </w:rPr>
        <w:t>We may become involved with costly and lengthy litigation involving our patents and other intellectual property, which could subject us to liability, require us to indemnify our customers, require us to obtain or renew licenses, stop selling our products or force us to redesign our products.</w:t>
      </w:r>
    </w:p>
    <w:p>
      <w:pPr>
        <w:ind w:right="40" w:firstLine="456"/>
        <w:spacing w:after="0" w:line="289"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From time to time our subsidiaries and customers receive, and may continue to receive in the future, notices that allege claims of infringement, misappropriation or misuse of the intellectual property rights of third parties. For example, in recent years, multiple claims have been made against our subsidiaries and our customers related to standards-based technologies such as wireless LAN. In addition, we have had certain patent licenses with third parties that have not been renewed,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7" w:lineRule="exact"/>
        <w:rPr>
          <w:sz w:val="20"/>
          <w:szCs w:val="20"/>
          <w:color w:val="auto"/>
        </w:rPr>
      </w:pPr>
    </w:p>
    <w:p>
      <w:pPr>
        <w:ind w:left="900" w:right="44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459" w:right="2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8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360" w:firstLine="456"/>
        <w:spacing w:after="0" w:line="306" w:lineRule="auto"/>
        <w:rPr>
          <w:sz w:val="20"/>
          <w:szCs w:val="20"/>
          <w:color w:val="auto"/>
        </w:rPr>
      </w:pPr>
      <w:r>
        <w:rPr>
          <w:rFonts w:ascii="Arial" w:cs="Arial" w:eastAsia="Arial" w:hAnsi="Arial"/>
          <w:sz w:val="16"/>
          <w:szCs w:val="16"/>
          <w:color w:val="auto"/>
        </w:rPr>
        <w:t>In addition, many of our contracts with our customers require us to indemnify our customers’ products against claims alleging infringement of the proprietary rights of other parties. From time to time, we have agreed to indemnify select customers for claims made against our products, where such claims allege infringement of third party intellectual property rights, including, but not limited to, patents, registered trademarks and/or copyrights.</w:t>
      </w:r>
    </w:p>
    <w:p>
      <w:pPr>
        <w:spacing w:after="0" w:line="188" w:lineRule="exact"/>
        <w:rPr>
          <w:sz w:val="20"/>
          <w:szCs w:val="20"/>
          <w:color w:val="auto"/>
        </w:rPr>
      </w:pPr>
    </w:p>
    <w:p>
      <w:pPr>
        <w:jc w:val="both"/>
        <w:ind w:left="240" w:right="60"/>
        <w:spacing w:after="0" w:line="357" w:lineRule="auto"/>
        <w:rPr>
          <w:sz w:val="20"/>
          <w:szCs w:val="20"/>
          <w:color w:val="auto"/>
        </w:rPr>
      </w:pPr>
      <w:r>
        <w:rPr>
          <w:rFonts w:ascii="Arial" w:cs="Arial" w:eastAsia="Arial" w:hAnsi="Arial"/>
          <w:sz w:val="15"/>
          <w:szCs w:val="15"/>
          <w:b w:val="1"/>
          <w:bCs w:val="1"/>
          <w:i w:val="1"/>
          <w:iCs w:val="1"/>
          <w:color w:val="auto"/>
        </w:rPr>
        <w:t>We have been named as a party to several lawsuits and we may be named in additional litigation in the future, all of which could result in an unfavorable outcome and have a material adverse effect on our business, financial condition, results of operations, cash flows, and the trading price for our securities.</w:t>
      </w:r>
    </w:p>
    <w:p>
      <w:pPr>
        <w:ind w:right="80" w:firstLine="456"/>
        <w:spacing w:after="0" w:line="288" w:lineRule="auto"/>
        <w:rPr>
          <w:sz w:val="20"/>
          <w:szCs w:val="20"/>
          <w:color w:val="auto"/>
        </w:rPr>
      </w:pPr>
      <w:r>
        <w:rPr>
          <w:rFonts w:ascii="Arial" w:cs="Arial" w:eastAsia="Arial" w:hAnsi="Arial"/>
          <w:sz w:val="16"/>
          <w:szCs w:val="16"/>
          <w:color w:val="auto"/>
        </w:rPr>
        <w:t>We have been named as a party to several lawsuits and we may be named in additional litigation in the future. Please refer to Note 9 – Commitments and Contingencies (Contingencies) of our Notes to our unaudited condensed consolidated financial statements set forth in Part I, Item 1 for a more detailed description of a number of the litigation matters we are currently engaged in. Under certain circumstances, we have contractual and other legal obligations to indemnify and to incur legal expenses on behalf of current and former directors and officers for these lawsuits. In addition, due to the high volatility of our stock price, we may be vulnerable to securities class action litigation. The ultimate outcome of these actions could have a material adverse effect on our business and the trading price for our securities. Litigation may be time-consuming, expensive, and disruptive to normal business operations, and the outcome of litigation is difficult to predict. The defense of these lawsuits may result in significant expenditures and the continued diversion of our management’s time and attention from the operation of our business, which could impede our business. In the event we were to receive an unfavorable outcome in any lawsuit, our business, financial condition, results of operations, cash flows and the trading price of our securities may be materially and adversely affected.</w:t>
      </w:r>
    </w:p>
    <w:p>
      <w:pPr>
        <w:spacing w:after="0" w:line="201" w:lineRule="exact"/>
        <w:rPr>
          <w:sz w:val="20"/>
          <w:szCs w:val="20"/>
          <w:color w:val="auto"/>
        </w:rPr>
      </w:pPr>
    </w:p>
    <w:p>
      <w:pPr>
        <w:ind w:left="240" w:right="460"/>
        <w:spacing w:after="0" w:line="268" w:lineRule="auto"/>
        <w:rPr>
          <w:sz w:val="20"/>
          <w:szCs w:val="20"/>
          <w:color w:val="auto"/>
        </w:rPr>
      </w:pPr>
      <w:r>
        <w:rPr>
          <w:rFonts w:ascii="Arial" w:cs="Arial" w:eastAsia="Arial" w:hAnsi="Arial"/>
          <w:sz w:val="18"/>
          <w:szCs w:val="18"/>
          <w:b w:val="1"/>
          <w:bCs w:val="1"/>
          <w:i w:val="1"/>
          <w:iCs w:val="1"/>
          <w:color w:val="auto"/>
        </w:rPr>
        <w:t>As a result of the settlement with the SEC, we cannot invoke the “safe harbor” for the forward-looking statements provision of the Private Securities Litigation Reform Act of 1995 for three years following the entry of judgment.</w:t>
      </w:r>
    </w:p>
    <w:p>
      <w:pPr>
        <w:spacing w:after="0" w:line="51"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On May 8, 2008, we announced that we had reached an agreement with the SEC that concluded the SEC’s formal investigation of us with respect to our historic stock option granting practices. As a result of our SEC settlement, we have forfeited for three years following the entry of judgment, or June 20, 2011, the ability to invoke the “safe harbor” for the forward-looking statements provision of the Private Securities Litigation Reform Act of 1995. This safe harbor provided us enhanced protection from liability related to forward-looking statements if the forward-looking statements were either accompanied by meaningful cautionary statements or were made without actual knowledge that they were false or misleading. Without the statutory safe harbor, it may be more difficult for us to defend against any claims based on forward-looking statements.</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6"/>
          <w:szCs w:val="16"/>
          <w:b w:val="1"/>
          <w:bCs w:val="1"/>
          <w:i w:val="1"/>
          <w:iCs w:val="1"/>
          <w:color w:val="auto"/>
        </w:rPr>
        <w:t>If the recent weakness in credit market conditions continues or increases, it could have a material adverse impact on our investment portfolio.</w:t>
      </w:r>
    </w:p>
    <w:p>
      <w:pPr>
        <w:spacing w:after="0" w:line="113"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U.S. sub-prime mortgage defaults have had a significant impact across various sectors of the financial markets, causing global credit and liquidity issues. The short-term funding markets experienced credit issues beginning in the second half of calendar 2007 leading to liquidity disruption in the auction rate securities market and certain asset-backed commercial paper. We hold auction rate securities in our portfolio, and if the global credit market continues to deteriorate, our investment portfolio may be impacted and we could determine that some of our investments are impaired. This could materially adversely impact our results of operations and financial condition. For additional details on our auction rate securities, please see Part I, Item 3, “Quantitative and Qualitative Disclosures About Market Risk.”</w:t>
      </w:r>
    </w:p>
    <w:p>
      <w:pPr>
        <w:spacing w:after="0" w:line="144"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In addition, to support our international operations, a portion of our cash and investment portfolio is held offshore. While these amounts are primarily invested in U.S. dollars, a portion is held in foreign currencies, and all offshore balances are exposed to local political, banking, currency control and other risks. Certain of these amounts may also be subject to tax and other restrictions on their transfer to the U.S. or other countries. While we believe our cash and investments are secure, there is risk that some of our balances in international locations will not be adequately secured if the current credit crisis continues.</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459" w:right="2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right="520"/>
        <w:spacing w:after="0" w:line="268" w:lineRule="auto"/>
        <w:rPr>
          <w:sz w:val="20"/>
          <w:szCs w:val="20"/>
          <w:color w:val="auto"/>
        </w:rPr>
      </w:pPr>
      <w:r>
        <w:rPr>
          <w:rFonts w:ascii="Arial" w:cs="Arial" w:eastAsia="Arial" w:hAnsi="Arial"/>
          <w:sz w:val="18"/>
          <w:szCs w:val="18"/>
          <w:b w:val="1"/>
          <w:bCs w:val="1"/>
          <w:i w:val="1"/>
          <w:iCs w:val="1"/>
          <w:color w:val="auto"/>
        </w:rPr>
        <w:t>We rely upon certain critical information systems for the operation of our business, and the failure of any critical information system, may result in serious harm to our business.</w:t>
      </w:r>
    </w:p>
    <w:p>
      <w:pPr>
        <w:spacing w:after="0" w:line="51"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maintain and rely upon certain critical information systems for the effective operation of our business. These information systems include telecommunications, the Internet, our corporate intranet, various computer hardware and software applications, network communications and e-mail. These information systems are subject to attacks, failures and access denials from a number of potential sources including viruses, destructive or inadequate code, power failures, and physical damage to computers, communication lines and networking equipment. To the extent that these information systems are under our control, we have implemented security procedures, such as virus protection software and emergency recovery processes, to address the outlined risks. While we believe that our information systems are appropriately controlled and that we have processes in place to adequately manage these risks, security procedures for information systems cannot be guaranteed to be failsafe and our inability to use or access these information systems at critical points in time could unfavorably impact the timely and efficient operation of our business.</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Our U.S. headquarters located in Santa Clara, California, and our buildings in Singapore, Penang, Malaysia, Etoy, Switzerland and Shanghai, China subject us to the risks of owning real property, which include:</w:t>
      </w:r>
    </w:p>
    <w:p>
      <w:pPr>
        <w:spacing w:after="0" w:line="51" w:lineRule="exact"/>
        <w:rPr>
          <w:sz w:val="20"/>
          <w:szCs w:val="20"/>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213" w:lineRule="exact"/>
        <w:rPr>
          <w:sz w:val="20"/>
          <w:szCs w:val="20"/>
          <w:color w:val="auto"/>
        </w:rPr>
      </w:pPr>
    </w:p>
    <w:p>
      <w:pPr>
        <w:ind w:left="240" w:right="32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jc w:val="both"/>
        <w:ind w:right="160" w:firstLine="456"/>
        <w:spacing w:after="0" w:line="306"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We believe our existing insurance coverage is consistent with common practice and economic and availability considerations. However, if our insurance coverage is inadequate to protect us against unforeseen catastrophic losses, any uncovered losses could adversely affect our financial condition and results of operations.</w:t>
      </w:r>
    </w:p>
    <w:p>
      <w:pPr>
        <w:spacing w:after="0" w:line="188" w:lineRule="exact"/>
        <w:rPr>
          <w:sz w:val="20"/>
          <w:szCs w:val="20"/>
          <w:color w:val="auto"/>
        </w:rPr>
      </w:pPr>
    </w:p>
    <w:p>
      <w:pPr>
        <w:jc w:val="both"/>
        <w:ind w:left="240" w:right="18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right="18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00"/>
          </w:cols>
          <w:pgMar w:left="240" w:top="459" w:right="25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201" w:lineRule="exact"/>
        <w:rPr>
          <w:sz w:val="20"/>
          <w:szCs w:val="20"/>
          <w:color w:val="auto"/>
        </w:rPr>
      </w:pPr>
    </w:p>
    <w:p>
      <w:pPr>
        <w:ind w:left="240" w:right="38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90" w:lineRule="exact"/>
        <w:rPr>
          <w:rFonts w:ascii="Arial" w:cs="Arial" w:eastAsia="Arial" w:hAnsi="Arial"/>
          <w:sz w:val="18"/>
          <w:szCs w:val="18"/>
          <w:color w:val="auto"/>
        </w:rPr>
      </w:pPr>
    </w:p>
    <w:p>
      <w:pPr>
        <w:ind w:left="900" w:right="60" w:hanging="325"/>
        <w:spacing w:after="0" w:line="232"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 xml:space="preserve">requiring a vote of two-thirds of the outstanding shares to approve any change of corporate control in the event the action is not approved by at least 66 </w:t>
      </w:r>
      <w:r>
        <w:rPr>
          <w:rFonts w:ascii="Arial" w:cs="Arial" w:eastAsia="Arial" w:hAnsi="Arial"/>
          <w:sz w:val="11"/>
          <w:szCs w:val="11"/>
          <w:color w:val="auto"/>
        </w:rPr>
        <w:t>2</w:t>
      </w:r>
      <w:r>
        <w:rPr>
          <w:rFonts w:ascii="Arial" w:cs="Arial" w:eastAsia="Arial" w:hAnsi="Arial"/>
          <w:sz w:val="18"/>
          <w:szCs w:val="18"/>
          <w:color w:val="auto"/>
        </w:rPr>
        <w:t xml:space="preserve">/ </w:t>
      </w:r>
      <w:r>
        <w:rPr>
          <w:rFonts w:ascii="Arial" w:cs="Arial" w:eastAsia="Arial" w:hAnsi="Arial"/>
          <w:sz w:val="22"/>
          <w:szCs w:val="22"/>
          <w:color w:val="auto"/>
          <w:vertAlign w:val="subscript"/>
        </w:rPr>
        <w:t>3</w:t>
      </w:r>
      <w:r>
        <w:rPr>
          <w:rFonts w:ascii="Arial" w:cs="Arial" w:eastAsia="Arial" w:hAnsi="Arial"/>
          <w:sz w:val="18"/>
          <w:szCs w:val="18"/>
          <w:color w:val="auto"/>
        </w:rPr>
        <w:t>% of the directors holding office at the date of the Board meeting to approve the action.</w:t>
      </w:r>
    </w:p>
    <w:p>
      <w:pPr>
        <w:spacing w:after="0" w:line="150" w:lineRule="exact"/>
        <w:rPr>
          <w:sz w:val="20"/>
          <w:szCs w:val="20"/>
          <w:color w:val="auto"/>
        </w:rPr>
      </w:pPr>
    </w:p>
    <w:p>
      <w:pPr>
        <w:ind w:right="620" w:firstLine="456"/>
        <w:spacing w:after="0" w:line="268" w:lineRule="auto"/>
        <w:rPr>
          <w:sz w:val="20"/>
          <w:szCs w:val="20"/>
          <w:color w:val="auto"/>
        </w:rPr>
      </w:pPr>
      <w:r>
        <w:rPr>
          <w:rFonts w:ascii="Arial" w:cs="Arial" w:eastAsia="Arial" w:hAnsi="Arial"/>
          <w:sz w:val="18"/>
          <w:szCs w:val="18"/>
          <w:color w:val="auto"/>
        </w:rPr>
        <w:t>These change in corporate control provisions could make it more difficult for a third party to acquire us, even if doing so would be a benefit to our shareholders.</w:t>
      </w:r>
    </w:p>
    <w:p>
      <w:pPr>
        <w:spacing w:after="0" w:line="24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5"/>
          <w:szCs w:val="15"/>
          <w:b w:val="1"/>
          <w:bCs w:val="1"/>
          <w:color w:val="auto"/>
        </w:rPr>
        <w:t>Unregistered Sales of Equity Securities and Use of Proceeds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color w:val="auto"/>
        </w:rPr>
        <w:t>Defaults Upon Senior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color w:val="auto"/>
        </w:rPr>
        <w:t>(Removed and Reserved)</w:t>
      </w:r>
    </w:p>
    <w:p>
      <w:pPr>
        <w:spacing w:after="0" w:line="293"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6"/>
          <w:szCs w:val="16"/>
          <w:b w:val="1"/>
          <w:bCs w:val="1"/>
          <w:color w:val="auto"/>
        </w:rPr>
        <w:t>Other Information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5"/>
          <w:szCs w:val="15"/>
          <w:b w:val="1"/>
          <w:bCs w:val="1"/>
          <w:color w:val="auto"/>
        </w:rPr>
        <w:t>Exhibits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 The following exhibits are filed as part of this report:</w:t>
      </w:r>
    </w:p>
    <w:p>
      <w:pPr>
        <w:spacing w:after="0" w:line="212" w:lineRule="exact"/>
        <w:rPr>
          <w:sz w:val="20"/>
          <w:szCs w:val="20"/>
          <w:color w:val="auto"/>
        </w:rPr>
      </w:pPr>
    </w:p>
    <w:tbl>
      <w:tblPr>
        <w:tblLayout w:type="fixed"/>
        <w:tblInd w:w="100" w:type="dxa"/>
        <w:tblCellMar>
          <w:top w:w="0" w:type="dxa"/>
          <w:left w:w="0" w:type="dxa"/>
          <w:bottom w:w="0" w:type="dxa"/>
          <w:right w:w="0" w:type="dxa"/>
        </w:tblCellMar>
      </w:tblPr>
      <w:tr>
        <w:trPr>
          <w:trHeight w:val="216"/>
        </w:trPr>
        <w:tc>
          <w:tcPr>
            <w:tcW w:w="1120" w:type="dxa"/>
            <w:vAlign w:val="bottom"/>
          </w:tcPr>
          <w:p>
            <w:pPr>
              <w:ind w:left="80"/>
              <w:spacing w:after="0"/>
              <w:rPr>
                <w:sz w:val="20"/>
                <w:szCs w:val="20"/>
                <w:color w:val="auto"/>
              </w:rPr>
            </w:pPr>
            <w:r>
              <w:rPr>
                <w:rFonts w:ascii="Arial" w:cs="Arial" w:eastAsia="Arial" w:hAnsi="Arial"/>
                <w:sz w:val="18"/>
                <w:szCs w:val="18"/>
                <w:color w:val="auto"/>
              </w:rPr>
              <w:t>31.1</w:t>
            </w:r>
          </w:p>
        </w:tc>
        <w:tc>
          <w:tcPr>
            <w:tcW w:w="10060" w:type="dxa"/>
            <w:vAlign w:val="bottom"/>
          </w:tcPr>
          <w:p>
            <w:pPr>
              <w:ind w:left="280"/>
              <w:spacing w:after="0"/>
              <w:rPr>
                <w:sz w:val="20"/>
                <w:szCs w:val="20"/>
                <w:color w:val="auto"/>
              </w:rPr>
            </w:pPr>
            <w:r>
              <w:rPr>
                <w:rFonts w:ascii="Arial" w:cs="Arial" w:eastAsia="Arial" w:hAnsi="Arial"/>
                <w:sz w:val="18"/>
                <w:szCs w:val="18"/>
                <w:color w:val="auto"/>
                <w:w w:val="88"/>
              </w:rPr>
              <w:t>Certification of Chief Executive Officer pursuant to 18 U.S.C. Section 1350, as adopted pursuant to Section 302 of the Sarbanes-Oxley Act</w:t>
            </w:r>
          </w:p>
        </w:tc>
      </w:tr>
      <w:tr>
        <w:trPr>
          <w:trHeight w:val="222"/>
        </w:trPr>
        <w:tc>
          <w:tcPr>
            <w:tcW w:w="1120" w:type="dxa"/>
            <w:vAlign w:val="bottom"/>
          </w:tcPr>
          <w:p>
            <w:pPr>
              <w:spacing w:after="0"/>
              <w:rPr>
                <w:sz w:val="19"/>
                <w:szCs w:val="19"/>
                <w:color w:val="auto"/>
              </w:rPr>
            </w:pPr>
          </w:p>
        </w:tc>
        <w:tc>
          <w:tcPr>
            <w:tcW w:w="10060" w:type="dxa"/>
            <w:vAlign w:val="bottom"/>
          </w:tcPr>
          <w:p>
            <w:pPr>
              <w:ind w:left="280"/>
              <w:spacing w:after="0"/>
              <w:rPr>
                <w:sz w:val="20"/>
                <w:szCs w:val="20"/>
                <w:color w:val="auto"/>
              </w:rPr>
            </w:pPr>
            <w:r>
              <w:rPr>
                <w:rFonts w:ascii="Arial" w:cs="Arial" w:eastAsia="Arial" w:hAnsi="Arial"/>
                <w:sz w:val="18"/>
                <w:szCs w:val="18"/>
                <w:color w:val="auto"/>
              </w:rPr>
              <w:t>of 2002</w:t>
            </w:r>
          </w:p>
        </w:tc>
      </w:tr>
      <w:tr>
        <w:trPr>
          <w:trHeight w:val="318"/>
        </w:trPr>
        <w:tc>
          <w:tcPr>
            <w:tcW w:w="1120" w:type="dxa"/>
            <w:vAlign w:val="bottom"/>
          </w:tcPr>
          <w:p>
            <w:pPr>
              <w:ind w:left="80"/>
              <w:spacing w:after="0"/>
              <w:rPr>
                <w:sz w:val="20"/>
                <w:szCs w:val="20"/>
                <w:color w:val="auto"/>
              </w:rPr>
            </w:pPr>
            <w:r>
              <w:rPr>
                <w:rFonts w:ascii="Arial" w:cs="Arial" w:eastAsia="Arial" w:hAnsi="Arial"/>
                <w:sz w:val="18"/>
                <w:szCs w:val="18"/>
                <w:color w:val="auto"/>
              </w:rPr>
              <w:t>31.2</w:t>
            </w:r>
          </w:p>
        </w:tc>
        <w:tc>
          <w:tcPr>
            <w:tcW w:w="10060" w:type="dxa"/>
            <w:vAlign w:val="bottom"/>
          </w:tcPr>
          <w:p>
            <w:pPr>
              <w:ind w:left="280"/>
              <w:spacing w:after="0"/>
              <w:rPr>
                <w:sz w:val="20"/>
                <w:szCs w:val="20"/>
                <w:color w:val="auto"/>
              </w:rPr>
            </w:pPr>
            <w:r>
              <w:rPr>
                <w:rFonts w:ascii="Arial" w:cs="Arial" w:eastAsia="Arial" w:hAnsi="Arial"/>
                <w:sz w:val="18"/>
                <w:szCs w:val="18"/>
                <w:color w:val="auto"/>
                <w:w w:val="89"/>
              </w:rPr>
              <w:t>Certification of Chief Financial Officer pursuant to 18 U.S.C. Section 1350, as adopted pursuant to Section 302 of the Sarbanes-Oxley Act</w:t>
            </w:r>
          </w:p>
        </w:tc>
      </w:tr>
      <w:tr>
        <w:trPr>
          <w:trHeight w:val="222"/>
        </w:trPr>
        <w:tc>
          <w:tcPr>
            <w:tcW w:w="1120" w:type="dxa"/>
            <w:vAlign w:val="bottom"/>
          </w:tcPr>
          <w:p>
            <w:pPr>
              <w:spacing w:after="0"/>
              <w:rPr>
                <w:sz w:val="19"/>
                <w:szCs w:val="19"/>
                <w:color w:val="auto"/>
              </w:rPr>
            </w:pPr>
          </w:p>
        </w:tc>
        <w:tc>
          <w:tcPr>
            <w:tcW w:w="10060" w:type="dxa"/>
            <w:vAlign w:val="bottom"/>
          </w:tcPr>
          <w:p>
            <w:pPr>
              <w:ind w:left="280"/>
              <w:spacing w:after="0"/>
              <w:rPr>
                <w:sz w:val="20"/>
                <w:szCs w:val="20"/>
                <w:color w:val="auto"/>
              </w:rPr>
            </w:pPr>
            <w:r>
              <w:rPr>
                <w:rFonts w:ascii="Arial" w:cs="Arial" w:eastAsia="Arial" w:hAnsi="Arial"/>
                <w:sz w:val="18"/>
                <w:szCs w:val="18"/>
                <w:color w:val="auto"/>
              </w:rPr>
              <w:t>of 2002</w:t>
            </w:r>
          </w:p>
        </w:tc>
      </w:tr>
      <w:tr>
        <w:trPr>
          <w:trHeight w:val="318"/>
        </w:trPr>
        <w:tc>
          <w:tcPr>
            <w:tcW w:w="1120" w:type="dxa"/>
            <w:vAlign w:val="bottom"/>
          </w:tcPr>
          <w:p>
            <w:pPr>
              <w:ind w:left="80"/>
              <w:spacing w:after="0"/>
              <w:rPr>
                <w:sz w:val="20"/>
                <w:szCs w:val="20"/>
                <w:color w:val="auto"/>
              </w:rPr>
            </w:pPr>
            <w:r>
              <w:rPr>
                <w:rFonts w:ascii="Arial" w:cs="Arial" w:eastAsia="Arial" w:hAnsi="Arial"/>
                <w:sz w:val="18"/>
                <w:szCs w:val="18"/>
                <w:color w:val="auto"/>
              </w:rPr>
              <w:t>32.1*</w:t>
            </w:r>
          </w:p>
        </w:tc>
        <w:tc>
          <w:tcPr>
            <w:tcW w:w="10060" w:type="dxa"/>
            <w:vAlign w:val="bottom"/>
          </w:tcPr>
          <w:p>
            <w:pPr>
              <w:ind w:left="280"/>
              <w:spacing w:after="0"/>
              <w:rPr>
                <w:sz w:val="20"/>
                <w:szCs w:val="20"/>
                <w:color w:val="auto"/>
              </w:rPr>
            </w:pPr>
            <w:r>
              <w:rPr>
                <w:rFonts w:ascii="Arial" w:cs="Arial" w:eastAsia="Arial" w:hAnsi="Arial"/>
                <w:sz w:val="18"/>
                <w:szCs w:val="18"/>
                <w:color w:val="auto"/>
                <w:w w:val="88"/>
              </w:rPr>
              <w:t>Certification of Chief Executive Officer pursuant to 18 U.S.C. Section 1350, as adopted pursuant to Section 906 of the Sarbanes-Oxley Act</w:t>
            </w:r>
          </w:p>
        </w:tc>
      </w:tr>
      <w:tr>
        <w:trPr>
          <w:trHeight w:val="222"/>
        </w:trPr>
        <w:tc>
          <w:tcPr>
            <w:tcW w:w="1120" w:type="dxa"/>
            <w:vAlign w:val="bottom"/>
          </w:tcPr>
          <w:p>
            <w:pPr>
              <w:spacing w:after="0"/>
              <w:rPr>
                <w:sz w:val="19"/>
                <w:szCs w:val="19"/>
                <w:color w:val="auto"/>
              </w:rPr>
            </w:pPr>
          </w:p>
        </w:tc>
        <w:tc>
          <w:tcPr>
            <w:tcW w:w="10060" w:type="dxa"/>
            <w:vAlign w:val="bottom"/>
          </w:tcPr>
          <w:p>
            <w:pPr>
              <w:ind w:left="280"/>
              <w:spacing w:after="0"/>
              <w:rPr>
                <w:sz w:val="20"/>
                <w:szCs w:val="20"/>
                <w:color w:val="auto"/>
              </w:rPr>
            </w:pPr>
            <w:r>
              <w:rPr>
                <w:rFonts w:ascii="Arial" w:cs="Arial" w:eastAsia="Arial" w:hAnsi="Arial"/>
                <w:sz w:val="18"/>
                <w:szCs w:val="18"/>
                <w:color w:val="auto"/>
              </w:rPr>
              <w:t>of 2002</w:t>
            </w:r>
          </w:p>
        </w:tc>
      </w:tr>
      <w:tr>
        <w:trPr>
          <w:trHeight w:val="318"/>
        </w:trPr>
        <w:tc>
          <w:tcPr>
            <w:tcW w:w="1120" w:type="dxa"/>
            <w:vAlign w:val="bottom"/>
          </w:tcPr>
          <w:p>
            <w:pPr>
              <w:ind w:left="80"/>
              <w:spacing w:after="0"/>
              <w:rPr>
                <w:sz w:val="20"/>
                <w:szCs w:val="20"/>
                <w:color w:val="auto"/>
              </w:rPr>
            </w:pPr>
            <w:r>
              <w:rPr>
                <w:rFonts w:ascii="Arial" w:cs="Arial" w:eastAsia="Arial" w:hAnsi="Arial"/>
                <w:sz w:val="18"/>
                <w:szCs w:val="18"/>
                <w:color w:val="auto"/>
              </w:rPr>
              <w:t>32.2*</w:t>
            </w:r>
          </w:p>
        </w:tc>
        <w:tc>
          <w:tcPr>
            <w:tcW w:w="10060" w:type="dxa"/>
            <w:vAlign w:val="bottom"/>
          </w:tcPr>
          <w:p>
            <w:pPr>
              <w:ind w:left="280"/>
              <w:spacing w:after="0"/>
              <w:rPr>
                <w:sz w:val="20"/>
                <w:szCs w:val="20"/>
                <w:color w:val="auto"/>
              </w:rPr>
            </w:pPr>
            <w:r>
              <w:rPr>
                <w:rFonts w:ascii="Arial" w:cs="Arial" w:eastAsia="Arial" w:hAnsi="Arial"/>
                <w:sz w:val="18"/>
                <w:szCs w:val="18"/>
                <w:color w:val="auto"/>
                <w:w w:val="89"/>
              </w:rPr>
              <w:t>Certification of Chief Financial Officer pursuant to 18 U.S.C. Section 1350, as adopted pursuant to Section 906 of the Sarbanes-Oxley Act</w:t>
            </w:r>
          </w:p>
        </w:tc>
      </w:tr>
      <w:tr>
        <w:trPr>
          <w:trHeight w:val="222"/>
        </w:trPr>
        <w:tc>
          <w:tcPr>
            <w:tcW w:w="1120" w:type="dxa"/>
            <w:vAlign w:val="bottom"/>
          </w:tcPr>
          <w:p>
            <w:pPr>
              <w:spacing w:after="0"/>
              <w:rPr>
                <w:sz w:val="19"/>
                <w:szCs w:val="19"/>
                <w:color w:val="auto"/>
              </w:rPr>
            </w:pPr>
          </w:p>
        </w:tc>
        <w:tc>
          <w:tcPr>
            <w:tcW w:w="10060" w:type="dxa"/>
            <w:vAlign w:val="bottom"/>
          </w:tcPr>
          <w:p>
            <w:pPr>
              <w:ind w:left="280"/>
              <w:spacing w:after="0"/>
              <w:rPr>
                <w:sz w:val="20"/>
                <w:szCs w:val="20"/>
                <w:color w:val="auto"/>
              </w:rPr>
            </w:pPr>
            <w:r>
              <w:rPr>
                <w:rFonts w:ascii="Arial" w:cs="Arial" w:eastAsia="Arial" w:hAnsi="Arial"/>
                <w:sz w:val="18"/>
                <w:szCs w:val="18"/>
                <w:color w:val="auto"/>
              </w:rPr>
              <w:t>of 2002</w:t>
            </w:r>
          </w:p>
        </w:tc>
      </w:tr>
      <w:tr>
        <w:trPr>
          <w:trHeight w:val="324"/>
        </w:trPr>
        <w:tc>
          <w:tcPr>
            <w:tcW w:w="1120" w:type="dxa"/>
            <w:vAlign w:val="bottom"/>
          </w:tcPr>
          <w:p>
            <w:pPr>
              <w:spacing w:after="0"/>
              <w:rPr>
                <w:sz w:val="20"/>
                <w:szCs w:val="20"/>
                <w:color w:val="auto"/>
              </w:rPr>
            </w:pPr>
            <w:r>
              <w:rPr>
                <w:rFonts w:ascii="Arial" w:cs="Arial" w:eastAsia="Arial" w:hAnsi="Arial"/>
                <w:sz w:val="18"/>
                <w:szCs w:val="18"/>
                <w:color w:val="auto"/>
              </w:rPr>
              <w:t>101.INS**</w:t>
            </w:r>
          </w:p>
        </w:tc>
        <w:tc>
          <w:tcPr>
            <w:tcW w:w="10060" w:type="dxa"/>
            <w:vAlign w:val="bottom"/>
          </w:tcPr>
          <w:p>
            <w:pPr>
              <w:ind w:left="280"/>
              <w:spacing w:after="0"/>
              <w:rPr>
                <w:sz w:val="20"/>
                <w:szCs w:val="20"/>
                <w:color w:val="auto"/>
              </w:rPr>
            </w:pPr>
            <w:r>
              <w:rPr>
                <w:rFonts w:ascii="Arial" w:cs="Arial" w:eastAsia="Arial" w:hAnsi="Arial"/>
                <w:sz w:val="18"/>
                <w:szCs w:val="18"/>
                <w:color w:val="auto"/>
              </w:rPr>
              <w:t>XBRL Instance Document</w:t>
            </w:r>
          </w:p>
        </w:tc>
      </w:tr>
      <w:tr>
        <w:trPr>
          <w:trHeight w:val="324"/>
        </w:trPr>
        <w:tc>
          <w:tcPr>
            <w:tcW w:w="1120" w:type="dxa"/>
            <w:vAlign w:val="bottom"/>
          </w:tcPr>
          <w:p>
            <w:pPr>
              <w:spacing w:after="0"/>
              <w:rPr>
                <w:sz w:val="20"/>
                <w:szCs w:val="20"/>
                <w:color w:val="auto"/>
              </w:rPr>
            </w:pPr>
            <w:r>
              <w:rPr>
                <w:rFonts w:ascii="Arial" w:cs="Arial" w:eastAsia="Arial" w:hAnsi="Arial"/>
                <w:sz w:val="18"/>
                <w:szCs w:val="18"/>
                <w:color w:val="auto"/>
              </w:rPr>
              <w:t>101.SCH**</w:t>
            </w:r>
          </w:p>
        </w:tc>
        <w:tc>
          <w:tcPr>
            <w:tcW w:w="10060" w:type="dxa"/>
            <w:vAlign w:val="bottom"/>
          </w:tcPr>
          <w:p>
            <w:pPr>
              <w:ind w:left="28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1120" w:type="dxa"/>
            <w:vAlign w:val="bottom"/>
          </w:tcPr>
          <w:p>
            <w:pPr>
              <w:spacing w:after="0"/>
              <w:rPr>
                <w:sz w:val="20"/>
                <w:szCs w:val="20"/>
                <w:color w:val="auto"/>
              </w:rPr>
            </w:pPr>
            <w:r>
              <w:rPr>
                <w:rFonts w:ascii="Arial" w:cs="Arial" w:eastAsia="Arial" w:hAnsi="Arial"/>
                <w:sz w:val="18"/>
                <w:szCs w:val="18"/>
                <w:color w:val="auto"/>
              </w:rPr>
              <w:t>101.CAL**</w:t>
            </w:r>
          </w:p>
        </w:tc>
        <w:tc>
          <w:tcPr>
            <w:tcW w:w="10060" w:type="dxa"/>
            <w:vAlign w:val="bottom"/>
          </w:tcPr>
          <w:p>
            <w:pPr>
              <w:ind w:left="28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65"/>
        </w:trPr>
        <w:tc>
          <w:tcPr>
            <w:tcW w:w="1120" w:type="dxa"/>
            <w:vAlign w:val="bottom"/>
          </w:tcPr>
          <w:p>
            <w:pPr>
              <w:spacing w:after="0"/>
              <w:rPr>
                <w:sz w:val="24"/>
                <w:szCs w:val="24"/>
                <w:color w:val="auto"/>
              </w:rPr>
            </w:pPr>
          </w:p>
        </w:tc>
        <w:tc>
          <w:tcPr>
            <w:tcW w:w="10060" w:type="dxa"/>
            <w:vAlign w:val="bottom"/>
          </w:tcPr>
          <w:p>
            <w:pPr>
              <w:ind w:left="4400"/>
              <w:spacing w:after="0"/>
              <w:rPr>
                <w:sz w:val="20"/>
                <w:szCs w:val="20"/>
                <w:color w:val="auto"/>
              </w:rPr>
            </w:pPr>
            <w:r>
              <w:rPr>
                <w:rFonts w:ascii="Arial" w:cs="Arial" w:eastAsia="Arial" w:hAnsi="Arial"/>
                <w:sz w:val="18"/>
                <w:szCs w:val="18"/>
                <w:color w:val="auto"/>
              </w:rPr>
              <w:t>46</w:t>
            </w:r>
          </w:p>
        </w:tc>
      </w:tr>
    </w:tbl>
    <w:p>
      <w:pPr>
        <w:sectPr>
          <w:pgSz w:w="11900" w:h="16838" w:orient="portrait"/>
          <w:cols w:equalWidth="0" w:num="1">
            <w:col w:w="11360"/>
          </w:cols>
          <w:pgMar w:left="240" w:top="459" w:right="29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24"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1120" w:type="dxa"/>
            <w:vAlign w:val="bottom"/>
          </w:tcPr>
          <w:p>
            <w:pPr>
              <w:ind w:left="20"/>
              <w:spacing w:after="0"/>
              <w:rPr>
                <w:sz w:val="20"/>
                <w:szCs w:val="20"/>
                <w:color w:val="auto"/>
              </w:rPr>
            </w:pPr>
            <w:r>
              <w:rPr>
                <w:rFonts w:ascii="Arial" w:cs="Arial" w:eastAsia="Arial" w:hAnsi="Arial"/>
                <w:sz w:val="18"/>
                <w:szCs w:val="18"/>
                <w:color w:val="auto"/>
              </w:rPr>
              <w:t>101.DEF**</w:t>
            </w:r>
          </w:p>
        </w:tc>
        <w:tc>
          <w:tcPr>
            <w:tcW w:w="4640" w:type="dxa"/>
            <w:vAlign w:val="bottom"/>
          </w:tcPr>
          <w:p>
            <w:pPr>
              <w:ind w:left="26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1120" w:type="dxa"/>
            <w:vAlign w:val="bottom"/>
          </w:tcPr>
          <w:p>
            <w:pPr>
              <w:spacing w:after="0"/>
              <w:rPr>
                <w:sz w:val="20"/>
                <w:szCs w:val="20"/>
                <w:color w:val="auto"/>
              </w:rPr>
            </w:pPr>
            <w:r>
              <w:rPr>
                <w:rFonts w:ascii="Arial" w:cs="Arial" w:eastAsia="Arial" w:hAnsi="Arial"/>
                <w:sz w:val="18"/>
                <w:szCs w:val="18"/>
                <w:color w:val="auto"/>
              </w:rPr>
              <w:t>101.LAB**</w:t>
            </w:r>
          </w:p>
        </w:tc>
        <w:tc>
          <w:tcPr>
            <w:tcW w:w="4640" w:type="dxa"/>
            <w:vAlign w:val="bottom"/>
          </w:tcPr>
          <w:p>
            <w:pPr>
              <w:ind w:left="26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1120" w:type="dxa"/>
            <w:vAlign w:val="bottom"/>
          </w:tcPr>
          <w:p>
            <w:pPr>
              <w:ind w:left="20"/>
              <w:spacing w:after="0"/>
              <w:rPr>
                <w:sz w:val="20"/>
                <w:szCs w:val="20"/>
                <w:color w:val="auto"/>
              </w:rPr>
            </w:pPr>
            <w:r>
              <w:rPr>
                <w:rFonts w:ascii="Arial" w:cs="Arial" w:eastAsia="Arial" w:hAnsi="Arial"/>
                <w:sz w:val="18"/>
                <w:szCs w:val="18"/>
                <w:color w:val="auto"/>
              </w:rPr>
              <w:t>101.PRE**</w:t>
            </w:r>
          </w:p>
        </w:tc>
        <w:tc>
          <w:tcPr>
            <w:tcW w:w="4640" w:type="dxa"/>
            <w:vAlign w:val="bottom"/>
          </w:tcPr>
          <w:p>
            <w:pPr>
              <w:ind w:left="260"/>
              <w:spacing w:after="0"/>
              <w:rPr>
                <w:sz w:val="20"/>
                <w:szCs w:val="20"/>
                <w:color w:val="auto"/>
              </w:rPr>
            </w:pPr>
            <w:r>
              <w:rPr>
                <w:rFonts w:ascii="Arial" w:cs="Arial" w:eastAsia="Arial" w:hAnsi="Arial"/>
                <w:sz w:val="18"/>
                <w:szCs w:val="18"/>
                <w:color w:val="auto"/>
                <w:w w:val="88"/>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right="40" w:hanging="452"/>
        <w:spacing w:after="0" w:line="302" w:lineRule="auto"/>
        <w:tabs>
          <w:tab w:leader="none" w:pos="460" w:val="left"/>
        </w:tabs>
        <w:numPr>
          <w:ilvl w:val="0"/>
          <w:numId w:val="11"/>
        </w:numPr>
        <w:rPr>
          <w:rFonts w:ascii="Arial" w:cs="Arial" w:eastAsia="Arial" w:hAnsi="Arial"/>
          <w:sz w:val="15"/>
          <w:szCs w:val="15"/>
          <w:color w:val="auto"/>
        </w:rPr>
      </w:pPr>
      <w:r>
        <w:rPr>
          <w:rFonts w:ascii="Arial" w:cs="Arial" w:eastAsia="Arial" w:hAnsi="Arial"/>
          <w:sz w:val="15"/>
          <w:szCs w:val="15"/>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of 1933, as amended, or the Exchange Act, except to the extent that</w:t>
      </w:r>
    </w:p>
    <w:p>
      <w:pPr>
        <w:spacing w:after="0" w:line="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registrant specifically incorporates it by reference.</w:t>
      </w:r>
    </w:p>
    <w:p>
      <w:pPr>
        <w:spacing w:after="0" w:line="9" w:lineRule="exact"/>
        <w:rPr>
          <w:sz w:val="20"/>
          <w:szCs w:val="20"/>
          <w:color w:val="auto"/>
        </w:rPr>
      </w:pPr>
    </w:p>
    <w:p>
      <w:pPr>
        <w:ind w:left="460" w:hanging="452"/>
        <w:spacing w:after="0" w:line="253" w:lineRule="auto"/>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Pursuant to applicable securities laws and regulations, we are deemed to have complied with the reporting obligation relating to the submission of interactive data files in such exhibits and are not subject to liability under any anti-fraud provisions of the federal securities laws as long as we have made a good faith attempt to comply with the submission requirements and promptly amend the interactive data files after becoming aware that the interactive data files fail to comply with the submission requirements. Users of this data are advised that, pursuant to Rule 406T, these interactive data files are deemed not filed and otherwise are not subject to liability.</w:t>
      </w:r>
    </w:p>
    <w:p>
      <w:pPr>
        <w:spacing w:after="0" w:line="13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380"/>
          </w:cols>
          <w:pgMar w:left="240" w:top="459" w:right="27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2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0520" w:type="dxa"/>
            <w:vAlign w:val="bottom"/>
            <w:gridSpan w:val="2"/>
          </w:tcPr>
          <w:p>
            <w:pPr>
              <w:ind w:left="5020"/>
              <w:spacing w:after="0"/>
              <w:rPr>
                <w:sz w:val="20"/>
                <w:szCs w:val="20"/>
                <w:color w:val="auto"/>
              </w:rPr>
            </w:pPr>
            <w:r>
              <w:rPr>
                <w:rFonts w:ascii="Arial" w:cs="Arial" w:eastAsia="Arial" w:hAnsi="Arial"/>
                <w:sz w:val="18"/>
                <w:szCs w:val="18"/>
                <w:color w:val="auto"/>
              </w:rPr>
              <w:t>MARVELL TECHNOLOGY GROUP LTD.</w:t>
            </w:r>
          </w:p>
        </w:tc>
        <w:tc>
          <w:tcPr>
            <w:tcW w:w="0" w:type="dxa"/>
            <w:vAlign w:val="bottom"/>
          </w:tcPr>
          <w:p>
            <w:pPr>
              <w:spacing w:after="0"/>
              <w:rPr>
                <w:sz w:val="1"/>
                <w:szCs w:val="1"/>
                <w:color w:val="auto"/>
              </w:rPr>
            </w:pPr>
          </w:p>
        </w:tc>
      </w:tr>
      <w:tr>
        <w:trPr>
          <w:trHeight w:val="394"/>
        </w:trPr>
        <w:tc>
          <w:tcPr>
            <w:tcW w:w="20" w:type="dxa"/>
            <w:vAlign w:val="bottom"/>
          </w:tcPr>
          <w:p>
            <w:pPr>
              <w:spacing w:after="0"/>
              <w:rPr>
                <w:sz w:val="24"/>
                <w:szCs w:val="24"/>
                <w:color w:val="auto"/>
              </w:rPr>
            </w:pPr>
          </w:p>
        </w:tc>
        <w:tc>
          <w:tcPr>
            <w:tcW w:w="88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82"/>
              </w:rPr>
              <w:t>June 8, 2010</w:t>
            </w:r>
          </w:p>
        </w:tc>
        <w:tc>
          <w:tcPr>
            <w:tcW w:w="5380" w:type="dxa"/>
            <w:vAlign w:val="bottom"/>
          </w:tcPr>
          <w:p>
            <w:pPr>
              <w:ind w:left="5020"/>
              <w:spacing w:after="0"/>
              <w:rPr>
                <w:sz w:val="20"/>
                <w:szCs w:val="20"/>
                <w:color w:val="auto"/>
              </w:rPr>
            </w:pPr>
            <w:r>
              <w:rPr>
                <w:rFonts w:ascii="Arial" w:cs="Arial" w:eastAsia="Arial" w:hAnsi="Arial"/>
                <w:sz w:val="18"/>
                <w:szCs w:val="18"/>
                <w:color w:val="auto"/>
              </w:rPr>
              <w:t>By:</w:t>
            </w:r>
          </w:p>
        </w:tc>
        <w:tc>
          <w:tcPr>
            <w:tcW w:w="5140" w:type="dxa"/>
            <w:vAlign w:val="bottom"/>
          </w:tcPr>
          <w:p>
            <w:pPr>
              <w:ind w:left="1600"/>
              <w:spacing w:after="0"/>
              <w:rPr>
                <w:sz w:val="20"/>
                <w:szCs w:val="20"/>
                <w:color w:val="auto"/>
              </w:rPr>
            </w:pPr>
            <w:r>
              <w:rPr>
                <w:rFonts w:ascii="Arial" w:cs="Arial" w:eastAsia="Arial" w:hAnsi="Arial"/>
                <w:sz w:val="18"/>
                <w:szCs w:val="18"/>
                <w:color w:val="auto"/>
              </w:rPr>
              <w:t>/s/  C</w:t>
            </w:r>
            <w:r>
              <w:rPr>
                <w:rFonts w:ascii="Arial" w:cs="Arial" w:eastAsia="Arial" w:hAnsi="Arial"/>
                <w:sz w:val="14"/>
                <w:szCs w:val="14"/>
                <w:color w:val="auto"/>
              </w:rPr>
              <w:t>LYDE</w:t>
            </w:r>
            <w:r>
              <w:rPr>
                <w:rFonts w:ascii="Arial" w:cs="Arial" w:eastAsia="Arial" w:hAnsi="Arial"/>
                <w:sz w:val="18"/>
                <w:szCs w:val="18"/>
                <w:color w:val="auto"/>
              </w:rPr>
              <w:t xml:space="preserve"> R. H</w:t>
            </w:r>
            <w:r>
              <w:rPr>
                <w:rFonts w:ascii="Arial" w:cs="Arial" w:eastAsia="Arial" w:hAnsi="Arial"/>
                <w:sz w:val="14"/>
                <w:szCs w:val="14"/>
                <w:color w:val="auto"/>
              </w:rPr>
              <w:t>OSEIN</w:t>
            </w:r>
          </w:p>
        </w:tc>
        <w:tc>
          <w:tcPr>
            <w:tcW w:w="0" w:type="dxa"/>
            <w:vAlign w:val="bottom"/>
          </w:tcPr>
          <w:p>
            <w:pPr>
              <w:spacing w:after="0"/>
              <w:rPr>
                <w:sz w:val="1"/>
                <w:szCs w:val="1"/>
                <w:color w:val="auto"/>
              </w:rPr>
            </w:pPr>
          </w:p>
        </w:tc>
      </w:tr>
      <w:tr>
        <w:trPr>
          <w:trHeight w:val="21"/>
        </w:trPr>
        <w:tc>
          <w:tcPr>
            <w:tcW w:w="900" w:type="dxa"/>
            <w:vAlign w:val="bottom"/>
            <w:gridSpan w:val="2"/>
            <w:vMerge w:val="restart"/>
          </w:tcPr>
          <w:p>
            <w:pPr>
              <w:spacing w:after="0"/>
              <w:rPr>
                <w:sz w:val="20"/>
                <w:szCs w:val="20"/>
                <w:color w:val="auto"/>
              </w:rPr>
            </w:pPr>
            <w:r>
              <w:rPr>
                <w:rFonts w:ascii="Arial" w:cs="Arial" w:eastAsia="Arial" w:hAnsi="Arial"/>
                <w:sz w:val="18"/>
                <w:szCs w:val="18"/>
                <w:color w:val="auto"/>
              </w:rPr>
              <w:t>Date</w:t>
            </w:r>
          </w:p>
        </w:tc>
        <w:tc>
          <w:tcPr>
            <w:tcW w:w="5380" w:type="dxa"/>
            <w:vAlign w:val="bottom"/>
          </w:tcPr>
          <w:p>
            <w:pPr>
              <w:spacing w:after="0" w:line="20" w:lineRule="exact"/>
              <w:rPr>
                <w:sz w:val="1"/>
                <w:szCs w:val="1"/>
                <w:color w:val="auto"/>
              </w:rPr>
            </w:pPr>
          </w:p>
        </w:tc>
        <w:tc>
          <w:tcPr>
            <w:tcW w:w="51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24"/>
        </w:trPr>
        <w:tc>
          <w:tcPr>
            <w:tcW w:w="900" w:type="dxa"/>
            <w:vAlign w:val="bottom"/>
            <w:gridSpan w:val="2"/>
            <w:vMerge w:val="continue"/>
          </w:tcPr>
          <w:p>
            <w:pPr>
              <w:spacing w:after="0"/>
              <w:rPr>
                <w:sz w:val="19"/>
                <w:szCs w:val="19"/>
                <w:color w:val="auto"/>
              </w:rPr>
            </w:pPr>
          </w:p>
        </w:tc>
        <w:tc>
          <w:tcPr>
            <w:tcW w:w="5380" w:type="dxa"/>
            <w:vAlign w:val="bottom"/>
          </w:tcPr>
          <w:p>
            <w:pPr>
              <w:spacing w:after="0"/>
              <w:rPr>
                <w:sz w:val="19"/>
                <w:szCs w:val="19"/>
                <w:color w:val="auto"/>
              </w:rPr>
            </w:pPr>
          </w:p>
        </w:tc>
        <w:tc>
          <w:tcPr>
            <w:tcW w:w="5140" w:type="dxa"/>
            <w:vAlign w:val="bottom"/>
          </w:tcPr>
          <w:p>
            <w:pPr>
              <w:ind w:left="2100"/>
              <w:spacing w:after="0"/>
              <w:rPr>
                <w:sz w:val="20"/>
                <w:szCs w:val="20"/>
                <w:color w:val="auto"/>
              </w:rPr>
            </w:pPr>
            <w:r>
              <w:rPr>
                <w:rFonts w:ascii="Arial" w:cs="Arial" w:eastAsia="Arial" w:hAnsi="Arial"/>
                <w:sz w:val="14"/>
                <w:szCs w:val="14"/>
                <w:b w:val="1"/>
                <w:bCs w:val="1"/>
                <w:color w:val="auto"/>
              </w:rPr>
              <w:t>Clyde R. Hosein</w:t>
            </w:r>
          </w:p>
        </w:tc>
        <w:tc>
          <w:tcPr>
            <w:tcW w:w="0" w:type="dxa"/>
            <w:vAlign w:val="bottom"/>
          </w:tcPr>
          <w:p>
            <w:pPr>
              <w:spacing w:after="0"/>
              <w:rPr>
                <w:sz w:val="1"/>
                <w:szCs w:val="1"/>
                <w:color w:val="auto"/>
              </w:rPr>
            </w:pPr>
          </w:p>
        </w:tc>
      </w:tr>
    </w:tbl>
    <w:p>
      <w:pPr>
        <w:ind w:left="7760"/>
        <w:spacing w:after="0"/>
        <w:rPr>
          <w:sz w:val="20"/>
          <w:szCs w:val="20"/>
          <w:color w:val="auto"/>
        </w:rPr>
      </w:pPr>
      <w:r>
        <w:rPr>
          <w:rFonts w:ascii="Arial" w:cs="Arial" w:eastAsia="Arial" w:hAnsi="Arial"/>
          <w:sz w:val="14"/>
          <w:szCs w:val="14"/>
          <w:b w:val="1"/>
          <w:bCs w:val="1"/>
          <w:color w:val="auto"/>
        </w:rPr>
        <w:t>Chief Financial Officer and Secretary</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EXHIBIT INDEX</w:t>
      </w:r>
    </w:p>
    <w:p>
      <w:pPr>
        <w:sectPr>
          <w:pgSz w:w="11900" w:h="16838" w:orient="portrait"/>
          <w:cols w:equalWidth="0" w:num="1">
            <w:col w:w="11380"/>
          </w:cols>
          <w:pgMar w:left="240" w:top="459" w:right="279" w:bottom="1440" w:gutter="0" w:footer="0" w:header="0"/>
        </w:sectPr>
      </w:pPr>
    </w:p>
    <w:p>
      <w:pPr>
        <w:spacing w:after="0" w:line="218" w:lineRule="exact"/>
        <w:rPr>
          <w:sz w:val="20"/>
          <w:szCs w:val="20"/>
          <w:color w:val="auto"/>
        </w:rPr>
      </w:pPr>
    </w:p>
    <w:p>
      <w:pPr>
        <w:ind w:left="180"/>
        <w:spacing w:after="0"/>
        <w:rPr>
          <w:sz w:val="20"/>
          <w:szCs w:val="20"/>
          <w:color w:val="auto"/>
        </w:rPr>
      </w:pPr>
      <w:r>
        <w:rPr>
          <w:rFonts w:ascii="Arial" w:cs="Arial" w:eastAsia="Arial" w:hAnsi="Arial"/>
          <w:sz w:val="16"/>
          <w:szCs w:val="16"/>
          <w:color w:val="auto"/>
        </w:rPr>
        <w:t>31.1</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color w:val="auto"/>
        </w:rPr>
        <w:t>Certification of Chief Executive Officer pursuant to 18 U.S.C. Section 1350, as adopted pursuant to Section 302 of the Sarbanes-Oxley Act of 2002</w:t>
      </w:r>
    </w:p>
    <w:p>
      <w:pPr>
        <w:spacing w:after="0" w:line="78" w:lineRule="exact"/>
        <w:rPr>
          <w:sz w:val="20"/>
          <w:szCs w:val="20"/>
          <w:color w:val="auto"/>
        </w:rPr>
      </w:pPr>
    </w:p>
    <w:p>
      <w:pPr>
        <w:sectPr>
          <w:pgSz w:w="11900" w:h="16838" w:orient="portrait"/>
          <w:cols w:equalWidth="0" w:num="2">
            <w:col w:w="780" w:space="720"/>
            <w:col w:w="9880"/>
          </w:cols>
          <w:pgMar w:left="240" w:top="459" w:right="279" w:bottom="1440" w:gutter="0" w:footer="0" w:header="0"/>
          <w:type w:val="continuous"/>
        </w:sectPr>
      </w:pPr>
    </w:p>
    <w:p>
      <w:pPr>
        <w:ind w:left="180"/>
        <w:spacing w:after="0"/>
        <w:rPr>
          <w:sz w:val="20"/>
          <w:szCs w:val="20"/>
          <w:color w:val="auto"/>
        </w:rPr>
      </w:pPr>
      <w:r>
        <w:rPr>
          <w:rFonts w:ascii="Arial" w:cs="Arial" w:eastAsia="Arial" w:hAnsi="Arial"/>
          <w:sz w:val="16"/>
          <w:szCs w:val="16"/>
          <w:color w:val="auto"/>
        </w:rPr>
        <w:t>31.2</w:t>
      </w:r>
    </w:p>
    <w:p>
      <w:pPr>
        <w:spacing w:after="0" w:line="20" w:lineRule="exact"/>
        <w:rPr>
          <w:sz w:val="20"/>
          <w:szCs w:val="20"/>
          <w:color w:val="auto"/>
        </w:rPr>
      </w:pPr>
      <w:r>
        <w:rPr>
          <w:sz w:val="20"/>
          <w:szCs w:val="20"/>
          <w:color w:val="auto"/>
        </w:rPr>
        <w:br w:type="column"/>
      </w:r>
    </w:p>
    <w:p>
      <w:pPr>
        <w:ind w:right="140"/>
        <w:spacing w:after="0" w:line="268" w:lineRule="auto"/>
        <w:rPr>
          <w:sz w:val="20"/>
          <w:szCs w:val="20"/>
          <w:color w:val="auto"/>
        </w:rPr>
      </w:pPr>
      <w:r>
        <w:rPr>
          <w:rFonts w:ascii="Arial" w:cs="Arial" w:eastAsia="Arial" w:hAnsi="Arial"/>
          <w:sz w:val="18"/>
          <w:szCs w:val="18"/>
          <w:color w:val="auto"/>
        </w:rPr>
        <w:t>Certification of Chief Financial Officer pursuant to 18 U.S.C. Section 1350, as adopted pursuant to Section 302 of the Sarbanes-Oxley Act of 2002</w:t>
      </w:r>
    </w:p>
    <w:p>
      <w:pPr>
        <w:spacing w:after="0" w:line="78" w:lineRule="exact"/>
        <w:rPr>
          <w:sz w:val="20"/>
          <w:szCs w:val="20"/>
          <w:color w:val="auto"/>
        </w:rPr>
      </w:pPr>
    </w:p>
    <w:p>
      <w:pPr>
        <w:sectPr>
          <w:pgSz w:w="11900" w:h="16838" w:orient="portrait"/>
          <w:cols w:equalWidth="0" w:num="2">
            <w:col w:w="780" w:space="720"/>
            <w:col w:w="9880"/>
          </w:cols>
          <w:pgMar w:left="240" w:top="459" w:right="279" w:bottom="1440" w:gutter="0" w:footer="0" w:header="0"/>
          <w:type w:val="continuous"/>
        </w:sectPr>
      </w:pPr>
    </w:p>
    <w:p>
      <w:pPr>
        <w:ind w:left="180"/>
        <w:spacing w:after="0"/>
        <w:rPr>
          <w:sz w:val="20"/>
          <w:szCs w:val="20"/>
          <w:color w:val="auto"/>
        </w:rPr>
      </w:pPr>
      <w:r>
        <w:rPr>
          <w:rFonts w:ascii="Arial" w:cs="Arial" w:eastAsia="Arial" w:hAnsi="Arial"/>
          <w:sz w:val="16"/>
          <w:szCs w:val="16"/>
          <w:color w:val="auto"/>
        </w:rPr>
        <w:t>32.1*</w:t>
      </w:r>
    </w:p>
    <w:p>
      <w:pPr>
        <w:spacing w:after="0" w:line="20" w:lineRule="exact"/>
        <w:rPr>
          <w:sz w:val="20"/>
          <w:szCs w:val="20"/>
          <w:color w:val="auto"/>
        </w:rPr>
      </w:pPr>
      <w:r>
        <w:rPr>
          <w:sz w:val="20"/>
          <w:szCs w:val="20"/>
          <w:color w:val="auto"/>
        </w:rPr>
        <w:br w:type="column"/>
      </w:r>
    </w:p>
    <w:p>
      <w:pPr>
        <w:ind w:right="100"/>
        <w:spacing w:after="0" w:line="268" w:lineRule="auto"/>
        <w:rPr>
          <w:sz w:val="20"/>
          <w:szCs w:val="20"/>
          <w:color w:val="auto"/>
        </w:rPr>
      </w:pPr>
      <w:r>
        <w:rPr>
          <w:rFonts w:ascii="Arial" w:cs="Arial" w:eastAsia="Arial" w:hAnsi="Arial"/>
          <w:sz w:val="18"/>
          <w:szCs w:val="18"/>
          <w:color w:val="auto"/>
        </w:rPr>
        <w:t>Certification of Chief Executive Officer pursuant to 18 U.S.C. Section 1350, as adopted pursuant to Section 906 of the Sarbanes-Oxley Act of 2002</w:t>
      </w:r>
    </w:p>
    <w:p>
      <w:pPr>
        <w:spacing w:after="0" w:line="78" w:lineRule="exact"/>
        <w:rPr>
          <w:sz w:val="20"/>
          <w:szCs w:val="20"/>
          <w:color w:val="auto"/>
        </w:rPr>
      </w:pPr>
    </w:p>
    <w:p>
      <w:pPr>
        <w:sectPr>
          <w:pgSz w:w="11900" w:h="16838" w:orient="portrait"/>
          <w:cols w:equalWidth="0" w:num="2">
            <w:col w:w="780" w:space="720"/>
            <w:col w:w="9880"/>
          </w:cols>
          <w:pgMar w:left="240" w:top="459" w:right="279" w:bottom="1440" w:gutter="0" w:footer="0" w:header="0"/>
          <w:type w:val="continuous"/>
        </w:sectPr>
      </w:pPr>
    </w:p>
    <w:p>
      <w:pPr>
        <w:ind w:left="180"/>
        <w:spacing w:after="0"/>
        <w:rPr>
          <w:sz w:val="20"/>
          <w:szCs w:val="20"/>
          <w:color w:val="auto"/>
        </w:rPr>
      </w:pPr>
      <w:r>
        <w:rPr>
          <w:rFonts w:ascii="Arial" w:cs="Arial" w:eastAsia="Arial" w:hAnsi="Arial"/>
          <w:sz w:val="16"/>
          <w:szCs w:val="16"/>
          <w:color w:val="auto"/>
        </w:rPr>
        <w:t>32.2*</w:t>
      </w:r>
    </w:p>
    <w:p>
      <w:pPr>
        <w:spacing w:after="0" w:line="20" w:lineRule="exact"/>
        <w:rPr>
          <w:sz w:val="20"/>
          <w:szCs w:val="20"/>
          <w:color w:val="auto"/>
        </w:rPr>
      </w:pPr>
      <w:r>
        <w:rPr>
          <w:sz w:val="20"/>
          <w:szCs w:val="20"/>
          <w:color w:val="auto"/>
        </w:rPr>
        <w:br w:type="column"/>
      </w:r>
    </w:p>
    <w:p>
      <w:pPr>
        <w:ind w:right="140"/>
        <w:spacing w:after="0" w:line="268" w:lineRule="auto"/>
        <w:rPr>
          <w:sz w:val="20"/>
          <w:szCs w:val="20"/>
          <w:color w:val="auto"/>
        </w:rPr>
      </w:pPr>
      <w:r>
        <w:rPr>
          <w:rFonts w:ascii="Arial" w:cs="Arial" w:eastAsia="Arial" w:hAnsi="Arial"/>
          <w:sz w:val="18"/>
          <w:szCs w:val="18"/>
          <w:color w:val="auto"/>
        </w:rPr>
        <w:t>Certification of Chief Financial Officer pursuant to 18 U.S.C. Section 1350, as adopted pursuant to Section 906 of the Sarbanes-Oxley Act of 2002</w:t>
      </w:r>
    </w:p>
    <w:p>
      <w:pPr>
        <w:spacing w:after="0" w:line="78" w:lineRule="exact"/>
        <w:rPr>
          <w:sz w:val="20"/>
          <w:szCs w:val="20"/>
          <w:color w:val="auto"/>
        </w:rPr>
      </w:pPr>
    </w:p>
    <w:p>
      <w:pPr>
        <w:sectPr>
          <w:pgSz w:w="11900" w:h="16838" w:orient="portrait"/>
          <w:cols w:equalWidth="0" w:num="2">
            <w:col w:w="780" w:space="720"/>
            <w:col w:w="9880"/>
          </w:cols>
          <w:pgMar w:left="240" w:top="459" w:right="279" w:bottom="1440" w:gutter="0" w:footer="0" w:header="0"/>
          <w:type w:val="continuous"/>
        </w:sectPr>
      </w:pPr>
    </w:p>
    <w:p>
      <w:pPr>
        <w:ind w:left="100"/>
        <w:spacing w:after="0"/>
        <w:rPr>
          <w:sz w:val="20"/>
          <w:szCs w:val="20"/>
          <w:color w:val="auto"/>
        </w:rPr>
      </w:pPr>
      <w:r>
        <w:rPr>
          <w:rFonts w:ascii="Arial" w:cs="Arial" w:eastAsia="Arial" w:hAnsi="Arial"/>
          <w:sz w:val="16"/>
          <w:szCs w:val="16"/>
          <w:color w:val="auto"/>
        </w:rPr>
        <w:t>101.INS**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Instance Document</w:t>
      </w:r>
    </w:p>
    <w:p>
      <w:pPr>
        <w:spacing w:after="0" w:line="140" w:lineRule="exact"/>
        <w:rPr>
          <w:sz w:val="20"/>
          <w:szCs w:val="20"/>
          <w:color w:val="auto"/>
        </w:rPr>
      </w:pPr>
    </w:p>
    <w:p>
      <w:pPr>
        <w:sectPr>
          <w:pgSz w:w="11900" w:h="16838" w:orient="portrait"/>
          <w:cols w:equalWidth="0" w:num="2">
            <w:col w:w="860" w:space="640"/>
            <w:col w:w="9880"/>
          </w:cols>
          <w:pgMar w:left="240" w:top="459" w:right="279" w:bottom="1440" w:gutter="0" w:footer="0" w:header="0"/>
          <w:type w:val="continuous"/>
        </w:sectPr>
      </w:pPr>
    </w:p>
    <w:p>
      <w:pPr>
        <w:ind w:left="100"/>
        <w:spacing w:after="0"/>
        <w:rPr>
          <w:sz w:val="20"/>
          <w:szCs w:val="20"/>
          <w:color w:val="auto"/>
        </w:rPr>
      </w:pPr>
      <w:r>
        <w:rPr>
          <w:rFonts w:ascii="Arial" w:cs="Arial" w:eastAsia="Arial" w:hAnsi="Arial"/>
          <w:sz w:val="16"/>
          <w:szCs w:val="16"/>
          <w:color w:val="auto"/>
        </w:rPr>
        <w:t>101.SCH**</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Taxonomy Extension Schema Document</w:t>
      </w:r>
    </w:p>
    <w:p>
      <w:pPr>
        <w:spacing w:after="0" w:line="140" w:lineRule="exact"/>
        <w:rPr>
          <w:sz w:val="20"/>
          <w:szCs w:val="20"/>
          <w:color w:val="auto"/>
        </w:rPr>
      </w:pPr>
    </w:p>
    <w:p>
      <w:pPr>
        <w:sectPr>
          <w:pgSz w:w="11900" w:h="16838" w:orient="portrait"/>
          <w:cols w:equalWidth="0" w:num="2">
            <w:col w:w="920" w:space="580"/>
            <w:col w:w="9880"/>
          </w:cols>
          <w:pgMar w:left="240" w:top="459" w:right="279" w:bottom="1440" w:gutter="0" w:footer="0" w:header="0"/>
          <w:type w:val="continuous"/>
        </w:sectPr>
      </w:pPr>
    </w:p>
    <w:p>
      <w:pPr>
        <w:ind w:left="100"/>
        <w:spacing w:after="0"/>
        <w:rPr>
          <w:sz w:val="20"/>
          <w:szCs w:val="20"/>
          <w:color w:val="auto"/>
        </w:rPr>
      </w:pPr>
      <w:r>
        <w:rPr>
          <w:rFonts w:ascii="Arial" w:cs="Arial" w:eastAsia="Arial" w:hAnsi="Arial"/>
          <w:sz w:val="16"/>
          <w:szCs w:val="16"/>
          <w:color w:val="auto"/>
        </w:rPr>
        <w:t>101.CAL**</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Taxonomy Extension Calculation Linkbase Document</w:t>
      </w:r>
    </w:p>
    <w:p>
      <w:pPr>
        <w:spacing w:after="0" w:line="140" w:lineRule="exact"/>
        <w:rPr>
          <w:sz w:val="20"/>
          <w:szCs w:val="20"/>
          <w:color w:val="auto"/>
        </w:rPr>
      </w:pPr>
    </w:p>
    <w:p>
      <w:pPr>
        <w:sectPr>
          <w:pgSz w:w="11900" w:h="16838" w:orient="portrait"/>
          <w:cols w:equalWidth="0" w:num="2">
            <w:col w:w="920" w:space="580"/>
            <w:col w:w="9880"/>
          </w:cols>
          <w:pgMar w:left="240" w:top="459" w:right="279" w:bottom="1440" w:gutter="0" w:footer="0" w:header="0"/>
          <w:type w:val="continuous"/>
        </w:sectPr>
      </w:pPr>
    </w:p>
    <w:p>
      <w:pPr>
        <w:ind w:left="100"/>
        <w:spacing w:after="0"/>
        <w:rPr>
          <w:sz w:val="20"/>
          <w:szCs w:val="20"/>
          <w:color w:val="auto"/>
        </w:rPr>
      </w:pPr>
      <w:r>
        <w:rPr>
          <w:rFonts w:ascii="Arial" w:cs="Arial" w:eastAsia="Arial" w:hAnsi="Arial"/>
          <w:sz w:val="16"/>
          <w:szCs w:val="16"/>
          <w:color w:val="auto"/>
        </w:rPr>
        <w:t>101.DEF**</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Taxonomy Extension Definition Document</w:t>
      </w:r>
    </w:p>
    <w:p>
      <w:pPr>
        <w:spacing w:after="0" w:line="140" w:lineRule="exact"/>
        <w:rPr>
          <w:sz w:val="20"/>
          <w:szCs w:val="20"/>
          <w:color w:val="auto"/>
        </w:rPr>
      </w:pPr>
    </w:p>
    <w:p>
      <w:pPr>
        <w:sectPr>
          <w:pgSz w:w="11900" w:h="16838" w:orient="portrait"/>
          <w:cols w:equalWidth="0" w:num="2">
            <w:col w:w="920" w:space="580"/>
            <w:col w:w="9880"/>
          </w:cols>
          <w:pgMar w:left="240" w:top="459" w:right="279" w:bottom="1440" w:gutter="0" w:footer="0" w:header="0"/>
          <w:type w:val="continuous"/>
        </w:sectPr>
      </w:pPr>
    </w:p>
    <w:p>
      <w:pPr>
        <w:ind w:left="100"/>
        <w:spacing w:after="0"/>
        <w:rPr>
          <w:sz w:val="20"/>
          <w:szCs w:val="20"/>
          <w:color w:val="auto"/>
        </w:rPr>
      </w:pPr>
      <w:r>
        <w:rPr>
          <w:rFonts w:ascii="Arial" w:cs="Arial" w:eastAsia="Arial" w:hAnsi="Arial"/>
          <w:sz w:val="16"/>
          <w:szCs w:val="16"/>
          <w:color w:val="auto"/>
        </w:rPr>
        <w:t>101.LAB**</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Taxonomy Extension Label Linkbase Document</w:t>
      </w:r>
    </w:p>
    <w:p>
      <w:pPr>
        <w:spacing w:after="0" w:line="140" w:lineRule="exact"/>
        <w:rPr>
          <w:sz w:val="20"/>
          <w:szCs w:val="20"/>
          <w:color w:val="auto"/>
        </w:rPr>
      </w:pPr>
    </w:p>
    <w:p>
      <w:pPr>
        <w:sectPr>
          <w:pgSz w:w="11900" w:h="16838" w:orient="portrait"/>
          <w:cols w:equalWidth="0" w:num="2">
            <w:col w:w="920" w:space="580"/>
            <w:col w:w="9880"/>
          </w:cols>
          <w:pgMar w:left="240" w:top="459" w:right="279" w:bottom="1440" w:gutter="0" w:footer="0" w:header="0"/>
          <w:type w:val="continuous"/>
        </w:sectPr>
      </w:pPr>
    </w:p>
    <w:p>
      <w:pPr>
        <w:ind w:left="100"/>
        <w:spacing w:after="0"/>
        <w:rPr>
          <w:sz w:val="20"/>
          <w:szCs w:val="20"/>
          <w:color w:val="auto"/>
        </w:rPr>
      </w:pPr>
      <w:r>
        <w:rPr>
          <w:rFonts w:ascii="Arial" w:cs="Arial" w:eastAsia="Arial" w:hAnsi="Arial"/>
          <w:sz w:val="16"/>
          <w:szCs w:val="16"/>
          <w:color w:val="auto"/>
        </w:rPr>
        <w:t>101.PRE**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94615</wp:posOffset>
            </wp:positionV>
            <wp:extent cx="72898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Taxonomy Extension Presentation Linkbase Document</w:t>
      </w:r>
    </w:p>
    <w:p>
      <w:pPr>
        <w:spacing w:after="0" w:line="181" w:lineRule="exact"/>
        <w:rPr>
          <w:sz w:val="20"/>
          <w:szCs w:val="20"/>
          <w:color w:val="auto"/>
        </w:rPr>
      </w:pPr>
    </w:p>
    <w:p>
      <w:pPr>
        <w:sectPr>
          <w:pgSz w:w="11900" w:h="16838" w:orient="portrait"/>
          <w:cols w:equalWidth="0" w:num="2">
            <w:col w:w="900" w:space="600"/>
            <w:col w:w="9880"/>
          </w:cols>
          <w:pgMar w:left="240" w:top="459" w:right="279" w:bottom="1440" w:gutter="0" w:footer="0" w:header="0"/>
          <w:type w:val="continuous"/>
        </w:sectPr>
      </w:pPr>
    </w:p>
    <w:p>
      <w:pPr>
        <w:ind w:left="460" w:right="40" w:hanging="452"/>
        <w:spacing w:after="0" w:line="302" w:lineRule="auto"/>
        <w:tabs>
          <w:tab w:leader="none" w:pos="460" w:val="left"/>
        </w:tabs>
        <w:numPr>
          <w:ilvl w:val="0"/>
          <w:numId w:val="13"/>
        </w:numPr>
        <w:rPr>
          <w:rFonts w:ascii="Arial" w:cs="Arial" w:eastAsia="Arial" w:hAnsi="Arial"/>
          <w:sz w:val="15"/>
          <w:szCs w:val="15"/>
          <w:color w:val="auto"/>
        </w:rPr>
      </w:pPr>
      <w:r>
        <w:rPr>
          <w:rFonts w:ascii="Arial" w:cs="Arial" w:eastAsia="Arial" w:hAnsi="Arial"/>
          <w:sz w:val="15"/>
          <w:szCs w:val="15"/>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of 1933, as amended, or the Exchange Act, except to the extent that</w:t>
      </w:r>
    </w:p>
    <w:p>
      <w:pPr>
        <w:spacing w:after="0" w:line="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registrant specifically incorporates it by reference.</w:t>
      </w:r>
    </w:p>
    <w:p>
      <w:pPr>
        <w:spacing w:after="0" w:line="9" w:lineRule="exact"/>
        <w:rPr>
          <w:sz w:val="20"/>
          <w:szCs w:val="20"/>
          <w:color w:val="auto"/>
        </w:rPr>
      </w:pPr>
    </w:p>
    <w:p>
      <w:pPr>
        <w:ind w:left="460" w:hanging="452"/>
        <w:spacing w:after="0" w:line="253" w:lineRule="auto"/>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Pursuant to applicable securities laws and regulations, we are deemed to have complied with the reporting obligation relating to the submission of interactive data files in such exhibits and are not subject to liability under any anti-fraud provisions of the federal securities laws as long as we have made a good faith attempt to comply with the submission requirements and promptly amend the interactive data files after becoming aware that the interactive data files fail to comply with the submission requirements. Users of this data are advised that, pursuant to Rule 406T, these interactive data files are deemed not filed and otherwise are not subject to liability.</w:t>
      </w:r>
    </w:p>
    <w:p>
      <w:pPr>
        <w:spacing w:after="0" w:line="13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380"/>
          </w:cols>
          <w:pgMar w:left="240" w:top="459" w:right="279" w:bottom="1440" w:gutter="0" w:footer="0" w:header="0"/>
          <w:type w:val="continuous"/>
        </w:sectPr>
      </w:pPr>
    </w:p>
    <w:bookmarkStart w:id="50" w:name="page51"/>
    <w:bookmarkEnd w:id="50"/>
    <w:p>
      <w:pPr>
        <w:jc w:val="right"/>
        <w:spacing w:after="0"/>
        <w:rPr>
          <w:sz w:val="20"/>
          <w:szCs w:val="20"/>
          <w:color w:val="auto"/>
        </w:rPr>
      </w:pPr>
      <w:r>
        <w:rPr>
          <w:rFonts w:ascii="Arial" w:cs="Arial" w:eastAsia="Arial" w:hAnsi="Arial"/>
          <w:sz w:val="18"/>
          <w:szCs w:val="18"/>
          <w:b w:val="1"/>
          <w:bCs w:val="1"/>
          <w:color w:val="auto"/>
        </w:rPr>
        <w:t>Exhibit 31.1</w:t>
      </w:r>
    </w:p>
    <w:p>
      <w:pPr>
        <w:spacing w:after="0" w:line="171" w:lineRule="exact"/>
        <w:rPr>
          <w:sz w:val="20"/>
          <w:szCs w:val="20"/>
          <w:color w:val="auto"/>
        </w:rPr>
      </w:pPr>
    </w:p>
    <w:p>
      <w:pPr>
        <w:ind w:left="40"/>
        <w:spacing w:after="0"/>
        <w:rPr>
          <w:sz w:val="20"/>
          <w:szCs w:val="20"/>
          <w:color w:val="auto"/>
        </w:rPr>
      </w:pPr>
      <w:r>
        <w:rPr>
          <w:rFonts w:ascii="Arial" w:cs="Arial" w:eastAsia="Arial" w:hAnsi="Arial"/>
          <w:sz w:val="16"/>
          <w:szCs w:val="16"/>
          <w:b w:val="1"/>
          <w:bCs w:val="1"/>
          <w:color w:val="auto"/>
        </w:rPr>
        <w:t>CERTIFICATION OF THE PRESIDENT AND CHIEF EXECUTIVE OFFICER PURSUANT TO SECURITIES EXCHANGE ACT RULES 13a-14(a)</w:t>
      </w:r>
    </w:p>
    <w:p>
      <w:pPr>
        <w:spacing w:after="0" w:line="44" w:lineRule="exact"/>
        <w:rPr>
          <w:sz w:val="20"/>
          <w:szCs w:val="20"/>
          <w:color w:val="auto"/>
        </w:rPr>
      </w:pPr>
    </w:p>
    <w:p>
      <w:pPr>
        <w:ind w:left="1600"/>
        <w:spacing w:after="0"/>
        <w:rPr>
          <w:sz w:val="20"/>
          <w:szCs w:val="20"/>
          <w:color w:val="auto"/>
        </w:rPr>
      </w:pPr>
      <w:r>
        <w:rPr>
          <w:rFonts w:ascii="Arial" w:cs="Arial" w:eastAsia="Arial" w:hAnsi="Arial"/>
          <w:sz w:val="18"/>
          <w:szCs w:val="18"/>
          <w:b w:val="1"/>
          <w:bCs w:val="1"/>
          <w:color w:val="auto"/>
        </w:rPr>
        <w:t>AND 15d-14(a), AS ADOPTED PURSUANT TO SECTION 302 OF THE SARBANES-OXLEY ACT OF 2002</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 D., certify that:</w:t>
      </w:r>
    </w:p>
    <w:p>
      <w:pPr>
        <w:spacing w:after="0" w:line="90" w:lineRule="exact"/>
        <w:rPr>
          <w:sz w:val="20"/>
          <w:szCs w:val="20"/>
          <w:color w:val="auto"/>
        </w:rPr>
      </w:pPr>
    </w:p>
    <w:p>
      <w:pPr>
        <w:ind w:left="460" w:hanging="452"/>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15"/>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15"/>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15"/>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900" w:val="left"/>
        </w:tabs>
        <w:rPr>
          <w:sz w:val="20"/>
          <w:szCs w:val="20"/>
          <w:color w:val="auto"/>
        </w:rPr>
      </w:pPr>
      <w:r>
        <w:rPr>
          <w:rFonts w:ascii="Arial" w:cs="Arial" w:eastAsia="Arial" w:hAnsi="Arial"/>
          <w:sz w:val="18"/>
          <w:szCs w:val="18"/>
          <w:color w:val="auto"/>
        </w:rPr>
        <w:t xml:space="preserve">Date: </w:t>
      </w:r>
      <w:r>
        <w:rPr>
          <w:rFonts w:ascii="Arial" w:cs="Arial" w:eastAsia="Arial" w:hAnsi="Arial"/>
          <w:sz w:val="18"/>
          <w:szCs w:val="18"/>
          <w:u w:val="single" w:color="auto"/>
          <w:color w:val="auto"/>
        </w:rPr>
        <w:t>June 8, 2010</w:t>
      </w:r>
      <w:r>
        <w:rPr>
          <w:sz w:val="20"/>
          <w:szCs w:val="20"/>
          <w:color w:val="auto"/>
        </w:rPr>
        <w:tab/>
      </w:r>
      <w:r>
        <w:rPr>
          <w:rFonts w:ascii="Arial" w:cs="Arial" w:eastAsia="Arial" w:hAnsi="Arial"/>
          <w:sz w:val="16"/>
          <w:szCs w:val="16"/>
          <w:color w:val="auto"/>
        </w:rPr>
        <w:t>By: /s/ 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10795</wp:posOffset>
            </wp:positionV>
            <wp:extent cx="325882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22"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Sehat Sutardja, Ph.D.</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President and Chief Executive Officer</w:t>
      </w:r>
    </w:p>
    <w:p>
      <w:pPr>
        <w:sectPr>
          <w:pgSz w:w="11900" w:h="16838" w:orient="portrait"/>
          <w:cols w:equalWidth="0" w:num="1">
            <w:col w:w="11420"/>
          </w:cols>
          <w:pgMar w:left="240" w:top="125" w:right="239" w:bottom="1440" w:gutter="0" w:footer="0" w:header="0"/>
        </w:sectPr>
      </w:pPr>
    </w:p>
    <w:bookmarkStart w:id="51" w:name="page52"/>
    <w:bookmarkEnd w:id="51"/>
    <w:p>
      <w:pPr>
        <w:jc w:val="right"/>
        <w:spacing w:after="0"/>
        <w:rPr>
          <w:sz w:val="20"/>
          <w:szCs w:val="20"/>
          <w:color w:val="auto"/>
        </w:rPr>
      </w:pPr>
      <w:r>
        <w:rPr>
          <w:rFonts w:ascii="Arial" w:cs="Arial" w:eastAsia="Arial" w:hAnsi="Arial"/>
          <w:sz w:val="18"/>
          <w:szCs w:val="18"/>
          <w:b w:val="1"/>
          <w:bCs w:val="1"/>
          <w:color w:val="auto"/>
        </w:rPr>
        <w:t>Exhibit 31.2</w:t>
      </w:r>
    </w:p>
    <w:p>
      <w:pPr>
        <w:spacing w:after="0" w:line="171" w:lineRule="exact"/>
        <w:rPr>
          <w:sz w:val="20"/>
          <w:szCs w:val="20"/>
          <w:color w:val="auto"/>
        </w:rPr>
      </w:pPr>
    </w:p>
    <w:p>
      <w:pPr>
        <w:ind w:left="40"/>
        <w:spacing w:after="0"/>
        <w:rPr>
          <w:sz w:val="20"/>
          <w:szCs w:val="20"/>
          <w:color w:val="auto"/>
        </w:rPr>
      </w:pPr>
      <w:r>
        <w:rPr>
          <w:rFonts w:ascii="Arial" w:cs="Arial" w:eastAsia="Arial" w:hAnsi="Arial"/>
          <w:sz w:val="16"/>
          <w:szCs w:val="16"/>
          <w:b w:val="1"/>
          <w:bCs w:val="1"/>
          <w:color w:val="auto"/>
        </w:rPr>
        <w:t>CERTIFICATION OF THE CHIEF FINANCIAL OFFICER PURSUANT TO SECURITIES EXCHANGE ACT RULES 13a-14(a) AND 15d-14(a), AS</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ADOPTED PURSUANT TO SECTION 302 OF THE SARBANES-OXLEY ACT OF 2002</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I, Clyde R. Hosein, certify that:</w:t>
      </w:r>
    </w:p>
    <w:p>
      <w:pPr>
        <w:spacing w:after="0" w:line="90" w:lineRule="exact"/>
        <w:rPr>
          <w:sz w:val="20"/>
          <w:szCs w:val="20"/>
          <w:color w:val="auto"/>
        </w:rPr>
      </w:pPr>
    </w:p>
    <w:p>
      <w:pPr>
        <w:ind w:left="460" w:hanging="452"/>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16"/>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16"/>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16"/>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900" w:val="left"/>
        </w:tabs>
        <w:rPr>
          <w:sz w:val="20"/>
          <w:szCs w:val="20"/>
          <w:color w:val="auto"/>
        </w:rPr>
      </w:pPr>
      <w:r>
        <w:rPr>
          <w:rFonts w:ascii="Arial" w:cs="Arial" w:eastAsia="Arial" w:hAnsi="Arial"/>
          <w:sz w:val="18"/>
          <w:szCs w:val="18"/>
          <w:color w:val="auto"/>
        </w:rPr>
        <w:t xml:space="preserve">Date: </w:t>
      </w:r>
      <w:r>
        <w:rPr>
          <w:rFonts w:ascii="Arial" w:cs="Arial" w:eastAsia="Arial" w:hAnsi="Arial"/>
          <w:sz w:val="18"/>
          <w:szCs w:val="18"/>
          <w:u w:val="single" w:color="auto"/>
          <w:color w:val="auto"/>
        </w:rPr>
        <w:t>June 8, 2010</w:t>
      </w:r>
      <w:r>
        <w:rPr>
          <w:sz w:val="20"/>
          <w:szCs w:val="20"/>
          <w:color w:val="auto"/>
        </w:rPr>
        <w:tab/>
      </w:r>
      <w:r>
        <w:rPr>
          <w:rFonts w:ascii="Arial" w:cs="Arial" w:eastAsia="Arial" w:hAnsi="Arial"/>
          <w:sz w:val="16"/>
          <w:szCs w:val="16"/>
          <w:color w:val="auto"/>
        </w:rPr>
        <w:t>By:  /s/ 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10795</wp:posOffset>
            </wp:positionV>
            <wp:extent cx="325882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22"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Clyde R. Hosein</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Chief Financial Officer and Secretary</w:t>
      </w:r>
    </w:p>
    <w:p>
      <w:pPr>
        <w:sectPr>
          <w:pgSz w:w="11900" w:h="16838" w:orient="portrait"/>
          <w:cols w:equalWidth="0" w:num="1">
            <w:col w:w="11420"/>
          </w:cols>
          <w:pgMar w:left="240" w:top="125" w:right="239" w:bottom="1440" w:gutter="0" w:footer="0" w:header="0"/>
        </w:sectPr>
      </w:pPr>
    </w:p>
    <w:bookmarkStart w:id="52" w:name="page53"/>
    <w:bookmarkEnd w:id="52"/>
    <w:p>
      <w:pPr>
        <w:jc w:val="right"/>
        <w:spacing w:after="0"/>
        <w:rPr>
          <w:sz w:val="20"/>
          <w:szCs w:val="20"/>
          <w:color w:val="auto"/>
        </w:rPr>
      </w:pPr>
      <w:r>
        <w:rPr>
          <w:rFonts w:ascii="Arial" w:cs="Arial" w:eastAsia="Arial" w:hAnsi="Arial"/>
          <w:sz w:val="18"/>
          <w:szCs w:val="18"/>
          <w:b w:val="1"/>
          <w:bCs w:val="1"/>
          <w:color w:val="auto"/>
        </w:rPr>
        <w:t>Exhibit 32.1</w:t>
      </w:r>
    </w:p>
    <w:p>
      <w:pPr>
        <w:spacing w:after="0" w:line="171" w:lineRule="exact"/>
        <w:rPr>
          <w:sz w:val="20"/>
          <w:szCs w:val="20"/>
          <w:color w:val="auto"/>
        </w:rPr>
      </w:pPr>
    </w:p>
    <w:p>
      <w:pPr>
        <w:ind w:left="280"/>
        <w:spacing w:after="0"/>
        <w:rPr>
          <w:sz w:val="20"/>
          <w:szCs w:val="20"/>
          <w:color w:val="auto"/>
        </w:rPr>
      </w:pPr>
      <w:r>
        <w:rPr>
          <w:rFonts w:ascii="Arial" w:cs="Arial" w:eastAsia="Arial" w:hAnsi="Arial"/>
          <w:sz w:val="16"/>
          <w:szCs w:val="16"/>
          <w:b w:val="1"/>
          <w:bCs w:val="1"/>
          <w:color w:val="auto"/>
        </w:rPr>
        <w:t>STATEMENT OF THE PRESIDENT AND CHIEF EXECUTIVE OFFICER PURSUANT TO 18 U.S.C. § 1350, AS ADOPTED PURSUANT TO</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906 OF THE SARBANES-OXLEY ACT OF 2002</w:t>
      </w:r>
    </w:p>
    <w:p>
      <w:pPr>
        <w:spacing w:after="0" w:line="165" w:lineRule="exact"/>
        <w:rPr>
          <w:sz w:val="20"/>
          <w:szCs w:val="20"/>
          <w:color w:val="auto"/>
        </w:rPr>
      </w:pPr>
    </w:p>
    <w:p>
      <w:pPr>
        <w:ind w:right="300"/>
        <w:spacing w:after="0" w:line="268" w:lineRule="auto"/>
        <w:rPr>
          <w:sz w:val="20"/>
          <w:szCs w:val="20"/>
          <w:color w:val="auto"/>
        </w:rPr>
      </w:pPr>
      <w:r>
        <w:rPr>
          <w:rFonts w:ascii="Arial" w:cs="Arial" w:eastAsia="Arial" w:hAnsi="Arial"/>
          <w:sz w:val="18"/>
          <w:szCs w:val="18"/>
          <w:color w:val="auto"/>
        </w:rPr>
        <w:t>I, Sehat Sutardja Ph.D., the chief executive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60" w:hanging="446"/>
        <w:spacing w:after="0" w:line="268" w:lineRule="auto"/>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May 1, 2010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17"/>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S</w:t>
      </w:r>
      <w:r>
        <w:rPr>
          <w:rFonts w:ascii="Arial" w:cs="Arial" w:eastAsia="Arial" w:hAnsi="Arial"/>
          <w:sz w:val="14"/>
          <w:szCs w:val="14"/>
          <w:color w:val="auto"/>
        </w:rPr>
        <w:t>EHAT</w:t>
      </w:r>
      <w:r>
        <w:rPr>
          <w:rFonts w:ascii="Arial" w:cs="Arial" w:eastAsia="Arial" w:hAnsi="Arial"/>
          <w:sz w:val="18"/>
          <w:szCs w:val="18"/>
          <w:color w:val="auto"/>
        </w:rPr>
        <w:t xml:space="preserve"> S</w:t>
      </w:r>
      <w:r>
        <w:rPr>
          <w:rFonts w:ascii="Arial" w:cs="Arial" w:eastAsia="Arial" w:hAnsi="Arial"/>
          <w:sz w:val="14"/>
          <w:szCs w:val="14"/>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Sehat Sutardja, Ph.D.</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President and Chief Executive Officer</w:t>
      </w:r>
    </w:p>
    <w:p>
      <w:pPr>
        <w:spacing w:after="0" w:line="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June 8, 2010</w:t>
      </w:r>
    </w:p>
    <w:p>
      <w:pPr>
        <w:sectPr>
          <w:pgSz w:w="11900" w:h="16838" w:orient="portrait"/>
          <w:cols w:equalWidth="0" w:num="1">
            <w:col w:w="11420"/>
          </w:cols>
          <w:pgMar w:left="240" w:top="125" w:right="239" w:bottom="1440" w:gutter="0" w:footer="0" w:header="0"/>
        </w:sectPr>
      </w:pPr>
    </w:p>
    <w:bookmarkStart w:id="53" w:name="page54"/>
    <w:bookmarkEnd w:id="53"/>
    <w:p>
      <w:pPr>
        <w:jc w:val="right"/>
        <w:spacing w:after="0"/>
        <w:rPr>
          <w:sz w:val="20"/>
          <w:szCs w:val="20"/>
          <w:color w:val="auto"/>
        </w:rPr>
      </w:pPr>
      <w:r>
        <w:rPr>
          <w:rFonts w:ascii="Arial" w:cs="Arial" w:eastAsia="Arial" w:hAnsi="Arial"/>
          <w:sz w:val="18"/>
          <w:szCs w:val="18"/>
          <w:b w:val="1"/>
          <w:bCs w:val="1"/>
          <w:color w:val="auto"/>
        </w:rPr>
        <w:t>Exhibit 32.2</w:t>
      </w:r>
    </w:p>
    <w:p>
      <w:pPr>
        <w:spacing w:after="0" w:line="171" w:lineRule="exact"/>
        <w:rPr>
          <w:sz w:val="20"/>
          <w:szCs w:val="20"/>
          <w:color w:val="auto"/>
        </w:rPr>
      </w:pPr>
    </w:p>
    <w:p>
      <w:pPr>
        <w:ind w:left="320"/>
        <w:spacing w:after="0"/>
        <w:rPr>
          <w:sz w:val="20"/>
          <w:szCs w:val="20"/>
          <w:color w:val="auto"/>
        </w:rPr>
      </w:pPr>
      <w:r>
        <w:rPr>
          <w:rFonts w:ascii="Arial" w:cs="Arial" w:eastAsia="Arial" w:hAnsi="Arial"/>
          <w:sz w:val="16"/>
          <w:szCs w:val="16"/>
          <w:b w:val="1"/>
          <w:bCs w:val="1"/>
          <w:color w:val="auto"/>
        </w:rPr>
        <w:t>STATEMENT OF THE PRESIDENT AND CHIEF FINANCIAL OFFICER PURSUANT TO 18 U.S.C. § 1350, AS ADOPTED PURSUANT TO</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906 OF THE SARBANES-OXLEY ACT OF 2002</w:t>
      </w:r>
    </w:p>
    <w:p>
      <w:pPr>
        <w:spacing w:after="0" w:line="165"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color w:val="auto"/>
        </w:rPr>
        <w:t>I, Clyde Hosein, the chief financial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60" w:hanging="446"/>
        <w:spacing w:after="0" w:line="268" w:lineRule="auto"/>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May 1, 2010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18"/>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C</w:t>
      </w:r>
      <w:r>
        <w:rPr>
          <w:rFonts w:ascii="Arial" w:cs="Arial" w:eastAsia="Arial" w:hAnsi="Arial"/>
          <w:sz w:val="14"/>
          <w:szCs w:val="14"/>
          <w:color w:val="auto"/>
        </w:rPr>
        <w:t>LYDE</w:t>
      </w:r>
      <w:r>
        <w:rPr>
          <w:rFonts w:ascii="Arial" w:cs="Arial" w:eastAsia="Arial" w:hAnsi="Arial"/>
          <w:sz w:val="18"/>
          <w:szCs w:val="18"/>
          <w:color w:val="auto"/>
        </w:rPr>
        <w:t xml:space="preserve"> R. H</w:t>
      </w:r>
      <w:r>
        <w:rPr>
          <w:rFonts w:ascii="Arial" w:cs="Arial" w:eastAsia="Arial" w:hAnsi="Arial"/>
          <w:sz w:val="14"/>
          <w:szCs w:val="14"/>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Chief Financial Officer and Secretary</w:t>
      </w:r>
    </w:p>
    <w:p>
      <w:pPr>
        <w:spacing w:after="0" w:line="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June 8, 2010</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2200854"/>
    <w:multiLevelType w:val="hybridMultilevel"/>
    <w:lvl w:ilvl="0">
      <w:lvlJc w:val="left"/>
      <w:lvlText w:val="☒"/>
      <w:numFmt w:val="bullet"/>
      <w:start w:val="1"/>
    </w:lvl>
  </w:abstractNum>
  <w:abstractNum w:abstractNumId="1">
    <w:nsid w:val="4DB127F8"/>
    <w:multiLevelType w:val="hybridMultilevel"/>
    <w:lvl w:ilvl="0">
      <w:lvlJc w:val="left"/>
      <w:lvlText w:val="☐"/>
      <w:numFmt w:val="bullet"/>
      <w:start w:val="1"/>
    </w:lvl>
  </w:abstractNum>
  <w:abstractNum w:abstractNumId="2">
    <w:nsid w:val="216231B"/>
    <w:multiLevelType w:val="hybridMultilevel"/>
    <w:lvl w:ilvl="0">
      <w:lvlJc w:val="left"/>
      <w:lvlText w:val="•"/>
      <w:numFmt w:val="bullet"/>
      <w:start w:val="1"/>
    </w:lvl>
  </w:abstractNum>
  <w:abstractNum w:abstractNumId="3">
    <w:nsid w:val="1F16E9E8"/>
    <w:multiLevelType w:val="hybridMultilevel"/>
    <w:lvl w:ilvl="0">
      <w:lvlJc w:val="left"/>
      <w:lvlText w:val="•"/>
      <w:numFmt w:val="bullet"/>
      <w:start w:val="1"/>
    </w:lvl>
  </w:abstractNum>
  <w:abstractNum w:abstractNumId="4">
    <w:nsid w:val="1190CDE7"/>
    <w:multiLevelType w:val="hybridMultilevel"/>
    <w:lvl w:ilvl="0">
      <w:lvlJc w:val="left"/>
      <w:lvlText w:val="•"/>
      <w:numFmt w:val="bullet"/>
      <w:start w:val="1"/>
    </w:lvl>
  </w:abstractNum>
  <w:abstractNum w:abstractNumId="5">
    <w:nsid w:val="66EF438D"/>
    <w:multiLevelType w:val="hybridMultilevel"/>
    <w:lvl w:ilvl="0">
      <w:lvlJc w:val="left"/>
      <w:lvlText w:val="•"/>
      <w:numFmt w:val="bullet"/>
      <w:start w:val="1"/>
    </w:lvl>
  </w:abstractNum>
  <w:abstractNum w:abstractNumId="6">
    <w:nsid w:val="140E0F76"/>
    <w:multiLevelType w:val="hybridMultilevel"/>
    <w:lvl w:ilvl="0">
      <w:lvlJc w:val="left"/>
      <w:lvlText w:val="•"/>
      <w:numFmt w:val="bullet"/>
      <w:start w:val="1"/>
    </w:lvl>
  </w:abstractNum>
  <w:abstractNum w:abstractNumId="7">
    <w:nsid w:val="3352255A"/>
    <w:multiLevelType w:val="hybridMultilevel"/>
    <w:lvl w:ilvl="0">
      <w:lvlJc w:val="left"/>
      <w:lvlText w:val="•"/>
      <w:numFmt w:val="bullet"/>
      <w:start w:val="1"/>
    </w:lvl>
  </w:abstractNum>
  <w:abstractNum w:abstractNumId="8">
    <w:nsid w:val="109CF92E"/>
    <w:multiLevelType w:val="hybridMultilevel"/>
    <w:lvl w:ilvl="0">
      <w:lvlJc w:val="left"/>
      <w:lvlText w:val="•"/>
      <w:numFmt w:val="bullet"/>
      <w:start w:val="1"/>
    </w:lvl>
  </w:abstractNum>
  <w:abstractNum w:abstractNumId="9">
    <w:nsid w:val="DED7263"/>
    <w:multiLevelType w:val="hybridMultilevel"/>
    <w:lvl w:ilvl="0">
      <w:lvlJc w:val="left"/>
      <w:lvlText w:val="•"/>
      <w:numFmt w:val="bullet"/>
      <w:start w:val="1"/>
    </w:lvl>
  </w:abstractNum>
  <w:abstractNum w:abstractNumId="10">
    <w:nsid w:val="7FDCC233"/>
    <w:multiLevelType w:val="hybridMultilevel"/>
    <w:lvl w:ilvl="0">
      <w:lvlJc w:val="left"/>
      <w:lvlText w:val="*"/>
      <w:numFmt w:val="bullet"/>
      <w:start w:val="1"/>
    </w:lvl>
  </w:abstractNum>
  <w:abstractNum w:abstractNumId="11">
    <w:nsid w:val="1BEFD79F"/>
    <w:multiLevelType w:val="hybridMultilevel"/>
    <w:lvl w:ilvl="0">
      <w:lvlJc w:val="left"/>
      <w:lvlText w:val="**"/>
      <w:numFmt w:val="bullet"/>
      <w:start w:val="1"/>
    </w:lvl>
  </w:abstractNum>
  <w:abstractNum w:abstractNumId="12">
    <w:nsid w:val="41A7C4C9"/>
    <w:multiLevelType w:val="hybridMultilevel"/>
    <w:lvl w:ilvl="0">
      <w:lvlJc w:val="left"/>
      <w:lvlText w:val="*"/>
      <w:numFmt w:val="bullet"/>
      <w:start w:val="1"/>
    </w:lvl>
  </w:abstractNum>
  <w:abstractNum w:abstractNumId="13">
    <w:nsid w:val="6B68079A"/>
    <w:multiLevelType w:val="hybridMultilevel"/>
    <w:lvl w:ilvl="0">
      <w:lvlJc w:val="left"/>
      <w:lvlText w:val="**"/>
      <w:numFmt w:val="bullet"/>
      <w:start w:val="1"/>
    </w:lvl>
  </w:abstractNum>
  <w:abstractNum w:abstractNumId="14">
    <w:nsid w:val="4E6AFB66"/>
    <w:multiLevelType w:val="hybridMultilevel"/>
    <w:lvl w:ilvl="0">
      <w:lvlJc w:val="left"/>
      <w:lvlText w:val="%1."/>
      <w:numFmt w:val="decimal"/>
      <w:start w:val="1"/>
    </w:lvl>
    <w:lvl w:ilvl="1">
      <w:lvlJc w:val="left"/>
      <w:lvlText w:val="%2)"/>
      <w:numFmt w:val="lowerLetter"/>
      <w:start w:val="1"/>
    </w:lvl>
  </w:abstractNum>
  <w:abstractNum w:abstractNumId="15">
    <w:nsid w:val="25E45D32"/>
    <w:multiLevelType w:val="hybridMultilevel"/>
    <w:lvl w:ilvl="0">
      <w:lvlJc w:val="left"/>
      <w:lvlText w:val="%1."/>
      <w:numFmt w:val="decimal"/>
      <w:start w:val="1"/>
    </w:lvl>
    <w:lvl w:ilvl="1">
      <w:lvlJc w:val="left"/>
      <w:lvlText w:val="%2)"/>
      <w:numFmt w:val="lowerLetter"/>
      <w:start w:val="1"/>
    </w:lvl>
  </w:abstractNum>
  <w:abstractNum w:abstractNumId="16">
    <w:nsid w:val="519B500D"/>
    <w:multiLevelType w:val="hybridMultilevel"/>
    <w:lvl w:ilvl="0">
      <w:lvlJc w:val="left"/>
      <w:lvlText w:val="(%1)"/>
      <w:numFmt w:val="lowerRoman"/>
      <w:start w:val="1"/>
    </w:lvl>
  </w:abstractNum>
  <w:abstractNum w:abstractNumId="17">
    <w:nsid w:val="431BD7B7"/>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2019-12-10T17:10:29Z</dcterms:created>
  <dcterms:modified xsi:type="dcterms:W3CDTF">2019-12-10T17:10:29Z</dcterms:modified>
</cp:coreProperties>
</file>