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5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59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Date of Report (Date of earliest event reported): August 19, 2010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5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20"/>
          </w:cols>
          <w:pgMar w:left="240" w:top="314" w:right="83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640"/>
          </w:cols>
          <w:pgMar w:left="240" w:top="314" w:right="83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1760"/>
          </w:cols>
          <w:pgMar w:left="240" w:top="314" w:right="839" w:bottom="1440" w:gutter="0" w:footer="0" w:header="0"/>
          <w:type w:val="continuous"/>
        </w:sectPr>
      </w:pPr>
    </w:p>
    <w:p>
      <w:pPr>
        <w:jc w:val="center"/>
        <w:ind w:right="-6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6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20"/>
          </w:cols>
          <w:pgMar w:left="240" w:top="314" w:right="839" w:bottom="1440" w:gutter="0" w:footer="0" w:header="0"/>
          <w:type w:val="continuous"/>
        </w:sectPr>
      </w:pPr>
    </w:p>
    <w:p>
      <w:pPr>
        <w:spacing w:after="0" w:line="261" w:lineRule="exact"/>
        <w:rPr>
          <w:sz w:val="24"/>
          <w:szCs w:val="24"/>
          <w:color w:val="auto"/>
        </w:rPr>
      </w:pPr>
    </w:p>
    <w:p>
      <w:pPr>
        <w:ind w:firstLine="456"/>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139700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820"/>
          </w:cols>
          <w:pgMar w:left="240" w:top="314" w:right="83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96" w:lineRule="exact"/>
        <w:rPr>
          <w:sz w:val="20"/>
          <w:szCs w:val="20"/>
          <w:color w:val="auto"/>
        </w:rPr>
      </w:pPr>
    </w:p>
    <w:p>
      <w:pPr>
        <w:ind w:right="440" w:firstLine="456"/>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280" w:firstLine="456"/>
        <w:spacing w:after="0" w:line="332" w:lineRule="auto"/>
        <w:rPr>
          <w:sz w:val="20"/>
          <w:szCs w:val="20"/>
          <w:color w:val="auto"/>
        </w:rPr>
      </w:pPr>
      <w:r>
        <w:rPr>
          <w:rFonts w:ascii="Arial" w:cs="Arial" w:eastAsia="Arial" w:hAnsi="Arial"/>
          <w:sz w:val="16"/>
          <w:szCs w:val="16"/>
          <w:color w:val="auto"/>
        </w:rPr>
        <w:t>On August 19, 2010, Marvell Technology Group Ltd. (“Marvell”) issued a press release regarding its financial results for its second fiscal quarter ended July 31, 2010. A copy of the press release is furnished herewith as Exhibit 99.1 and is incorporated by reference herein.</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Discussion of Non-GAAP Financial Measures</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and write-offs of acquired intangible assets, restructuring costs and certain other expenses and benefits.</w:t>
      </w:r>
    </w:p>
    <w:p>
      <w:pPr>
        <w:spacing w:after="0" w:line="113" w:lineRule="exact"/>
        <w:rPr>
          <w:sz w:val="20"/>
          <w:szCs w:val="20"/>
          <w:color w:val="auto"/>
        </w:rPr>
      </w:pPr>
    </w:p>
    <w:p>
      <w:pPr>
        <w:ind w:right="14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90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target utilized to measure the achievement of stock-based bonus compensation for certain Marvell executive officers;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200" w:hanging="325"/>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62" w:lineRule="exact"/>
        <w:rPr>
          <w:rFonts w:ascii="Arial" w:cs="Arial" w:eastAsia="Arial" w:hAnsi="Arial"/>
          <w:sz w:val="18"/>
          <w:szCs w:val="18"/>
          <w:color w:val="auto"/>
        </w:rPr>
      </w:pPr>
    </w:p>
    <w:p>
      <w:pPr>
        <w:ind w:left="900" w:right="40" w:hanging="325"/>
        <w:spacing w:after="0" w:line="370" w:lineRule="auto"/>
        <w:tabs>
          <w:tab w:leader="none" w:pos="900" w:val="left"/>
        </w:tabs>
        <w:numPr>
          <w:ilvl w:val="0"/>
          <w:numId w:val="3"/>
        </w:numPr>
        <w:rPr>
          <w:rFonts w:ascii="Arial" w:cs="Arial" w:eastAsia="Arial" w:hAnsi="Arial"/>
          <w:sz w:val="15"/>
          <w:szCs w:val="15"/>
          <w:color w:val="auto"/>
        </w:rPr>
      </w:pPr>
      <w:r>
        <w:rPr>
          <w:rFonts w:ascii="Arial" w:cs="Arial" w:eastAsia="Arial" w:hAnsi="Arial"/>
          <w:sz w:val="15"/>
          <w:szCs w:val="15"/>
          <w:i w:val="1"/>
          <w:iCs w:val="1"/>
          <w:color w:val="auto"/>
        </w:rPr>
        <w:t>Amortization and write-off of acquired intangible assets</w:t>
      </w:r>
      <w:r>
        <w:rPr>
          <w:rFonts w:ascii="Arial" w:cs="Arial" w:eastAsia="Arial" w:hAnsi="Arial"/>
          <w:sz w:val="15"/>
          <w:szCs w:val="15"/>
          <w:color w:val="auto"/>
        </w:rPr>
        <w:t>. Purchased intangible assets relate primarily to existing and core technology, and customer</w:t>
      </w:r>
      <w:r>
        <w:rPr>
          <w:rFonts w:ascii="Arial" w:cs="Arial" w:eastAsia="Arial" w:hAnsi="Arial"/>
          <w:sz w:val="15"/>
          <w:szCs w:val="15"/>
          <w:i w:val="1"/>
          <w:iCs w:val="1"/>
          <w:color w:val="auto"/>
        </w:rPr>
        <w:t xml:space="preserve"> </w:t>
      </w:r>
      <w:r>
        <w:rPr>
          <w:rFonts w:ascii="Arial" w:cs="Arial" w:eastAsia="Arial" w:hAnsi="Arial"/>
          <w:sz w:val="15"/>
          <w:szCs w:val="15"/>
          <w:color w:val="auto"/>
        </w:rPr>
        <w:t>relationships of acquired businesses. Management considers these charges non-cash in nature and unrelated to Marvell’s core operating performance.</w:t>
      </w:r>
    </w:p>
    <w:p>
      <w:pPr>
        <w:spacing w:after="0" w:line="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2" w:name="page3"/>
    <w:bookmarkEnd w:id="2"/>
    <w:p>
      <w:pPr>
        <w:ind w:left="900" w:right="12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60" w:hanging="325"/>
        <w:spacing w:after="0" w:line="256"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 For example, in</w:t>
      </w:r>
      <w:r>
        <w:rPr>
          <w:rFonts w:ascii="Arial" w:cs="Arial" w:eastAsia="Arial" w:hAnsi="Arial"/>
          <w:sz w:val="18"/>
          <w:szCs w:val="18"/>
          <w:i w:val="1"/>
          <w:iCs w:val="1"/>
          <w:color w:val="auto"/>
        </w:rPr>
        <w:t xml:space="preserve"> </w:t>
      </w:r>
      <w:r>
        <w:rPr>
          <w:rFonts w:ascii="Arial" w:cs="Arial" w:eastAsia="Arial" w:hAnsi="Arial"/>
          <w:sz w:val="18"/>
          <w:szCs w:val="18"/>
          <w:color w:val="auto"/>
        </w:rPr>
        <w:t>the six months ended August 1, 2009, Marvell recorded a $72 million charge in connection with the settlement of a class action lawsuit related to its historical stock option granting practices. As the litigation directly related to stock compensation costs, which are consistently excluded from Marvell’s non-GAAP results, Marvell excluded the settlement costs as well.</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hanging="325"/>
        <w:spacing w:after="0" w:line="291"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ind w:right="32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color w:val="auto"/>
        </w:rPr>
        <w:t>Marvell also announced today that its Board of Directors has authorized a program to repurchase up to $500 million of its outstanding common shares, depending on market conditions and other factors. Marvell intends to effect the repurchase program in accordance with the conditions of Rule 10b-18 under the Exchange Act. The repurchase program will be subject to market conditions and other factors and does not obligate Marvell to repurchase any dollar amount or number of its common shares. The program may be extended, modified, suspended or discontinued at any time.</w:t>
      </w:r>
    </w:p>
    <w:p>
      <w:pPr>
        <w:spacing w:after="0" w:line="228"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ind w:left="920"/>
        <w:spacing w:after="0"/>
        <w:tabs>
          <w:tab w:leader="none" w:pos="14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August 19, 2010</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80" w:right="27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August 19, 2010</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8340" w:val="left"/>
          <w:tab w:leader="none" w:pos="86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2" w:lineRule="exact"/>
        <w:rPr>
          <w:sz w:val="20"/>
          <w:szCs w:val="20"/>
          <w:color w:val="auto"/>
        </w:rPr>
      </w:pPr>
    </w:p>
    <w:p>
      <w:pPr>
        <w:jc w:val="center"/>
        <w:ind w:left="7240"/>
        <w:spacing w:after="0"/>
        <w:rPr>
          <w:sz w:val="20"/>
          <w:szCs w:val="20"/>
          <w:color w:val="auto"/>
        </w:rPr>
      </w:pPr>
      <w:r>
        <w:rPr>
          <w:rFonts w:ascii="Arial" w:cs="Arial" w:eastAsia="Arial" w:hAnsi="Arial"/>
          <w:sz w:val="14"/>
          <w:szCs w:val="14"/>
          <w:b w:val="1"/>
          <w:bCs w:val="1"/>
          <w:color w:val="auto"/>
        </w:rPr>
        <w:t>Clyde R. Hosein</w:t>
      </w:r>
    </w:p>
    <w:p>
      <w:pPr>
        <w:spacing w:after="0" w:line="1" w:lineRule="exact"/>
        <w:rPr>
          <w:sz w:val="20"/>
          <w:szCs w:val="20"/>
          <w:color w:val="auto"/>
        </w:rPr>
      </w:pPr>
    </w:p>
    <w:p>
      <w:pPr>
        <w:jc w:val="center"/>
        <w:ind w:left="7240"/>
        <w:spacing w:after="0"/>
        <w:rPr>
          <w:sz w:val="20"/>
          <w:szCs w:val="20"/>
          <w:color w:val="auto"/>
        </w:rPr>
      </w:pPr>
      <w:r>
        <w:rPr>
          <w:rFonts w:ascii="Arial" w:cs="Arial" w:eastAsia="Arial" w:hAnsi="Arial"/>
          <w:sz w:val="14"/>
          <w:szCs w:val="14"/>
          <w:b w:val="1"/>
          <w:bCs w:val="1"/>
          <w:color w:val="auto"/>
        </w:rPr>
        <w:t>Chief Financial Officer and Secretary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3"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Exhibit</w:t>
      </w:r>
    </w:p>
    <w:p>
      <w:pPr>
        <w:spacing w:after="0" w:line="1" w:lineRule="exact"/>
        <w:rPr>
          <w:sz w:val="20"/>
          <w:szCs w:val="20"/>
          <w:color w:val="auto"/>
        </w:rPr>
      </w:pPr>
    </w:p>
    <w:p>
      <w:pPr>
        <w:ind w:left="100"/>
        <w:spacing w:after="0"/>
        <w:tabs>
          <w:tab w:leader="none" w:pos="86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-7620</wp:posOffset>
            </wp:positionV>
            <wp:extent cx="28321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3210" cy="8890"/>
                    </a:xfrm>
                    <a:prstGeom prst="rect">
                      <a:avLst/>
                    </a:prstGeom>
                    <a:noFill/>
                  </pic:spPr>
                </pic:pic>
              </a:graphicData>
            </a:graphic>
          </wp:anchor>
        </w:drawing>
      </w:r>
    </w:p>
    <w:p>
      <w:pPr>
        <w:spacing w:after="0" w:line="80" w:lineRule="exact"/>
        <w:rPr>
          <w:sz w:val="20"/>
          <w:szCs w:val="20"/>
          <w:color w:val="auto"/>
        </w:rPr>
      </w:pPr>
    </w:p>
    <w:p>
      <w:pPr>
        <w:ind w:left="60"/>
        <w:spacing w:after="0"/>
        <w:tabs>
          <w:tab w:leader="none" w:pos="8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August 19, 2010</w:t>
      </w:r>
    </w:p>
    <w:p>
      <w:pPr>
        <w:sectPr>
          <w:pgSz w:w="11900" w:h="16838" w:orient="portrait"/>
          <w:cols w:equalWidth="0" w:num="1">
            <w:col w:w="10179"/>
          </w:cols>
          <w:pgMar w:left="280" w:top="274" w:right="1440"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858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00" w:type="dxa"/>
            <w:vAlign w:val="bottom"/>
          </w:tcPr>
          <w:p>
            <w:pPr>
              <w:spacing w:after="0"/>
              <w:rPr>
                <w:sz w:val="19"/>
                <w:szCs w:val="19"/>
                <w:color w:val="auto"/>
              </w:rPr>
            </w:pPr>
          </w:p>
        </w:tc>
        <w:tc>
          <w:tcPr>
            <w:tcW w:w="160" w:type="dxa"/>
            <w:vAlign w:val="bottom"/>
          </w:tcPr>
          <w:p>
            <w:pPr>
              <w:spacing w:after="0"/>
              <w:rPr>
                <w:sz w:val="19"/>
                <w:szCs w:val="19"/>
                <w:color w:val="auto"/>
              </w:rPr>
            </w:pPr>
          </w:p>
        </w:tc>
      </w:tr>
      <w:tr>
        <w:trPr>
          <w:trHeight w:val="216"/>
        </w:trPr>
        <w:tc>
          <w:tcPr>
            <w:tcW w:w="858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1460" w:type="dxa"/>
            <w:vAlign w:val="bottom"/>
            <w:gridSpan w:val="2"/>
          </w:tcPr>
          <w:p>
            <w:pPr>
              <w:spacing w:after="0"/>
              <w:rPr>
                <w:sz w:val="20"/>
                <w:szCs w:val="20"/>
                <w:color w:val="auto"/>
              </w:rPr>
            </w:pPr>
            <w:r>
              <w:rPr>
                <w:rFonts w:ascii="Arial" w:cs="Arial" w:eastAsia="Arial" w:hAnsi="Arial"/>
                <w:sz w:val="18"/>
                <w:szCs w:val="18"/>
                <w:color w:val="auto"/>
              </w:rPr>
              <w:t>Tom Hayes</w:t>
            </w:r>
          </w:p>
        </w:tc>
      </w:tr>
      <w:tr>
        <w:trPr>
          <w:trHeight w:val="216"/>
        </w:trPr>
        <w:tc>
          <w:tcPr>
            <w:tcW w:w="858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460" w:type="dxa"/>
            <w:vAlign w:val="bottom"/>
            <w:gridSpan w:val="2"/>
          </w:tcPr>
          <w:p>
            <w:pPr>
              <w:spacing w:after="0"/>
              <w:rPr>
                <w:sz w:val="20"/>
                <w:szCs w:val="20"/>
                <w:color w:val="auto"/>
              </w:rPr>
            </w:pPr>
            <w:r>
              <w:rPr>
                <w:rFonts w:ascii="Arial" w:cs="Arial" w:eastAsia="Arial" w:hAnsi="Arial"/>
                <w:sz w:val="18"/>
                <w:szCs w:val="18"/>
                <w:color w:val="auto"/>
                <w:w w:val="87"/>
              </w:rPr>
              <w:t>Corporate Marketing</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700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8"/>
                <w:szCs w:val="18"/>
                <w:color w:val="auto"/>
              </w:rPr>
              <w:t>408-222-2815</w:t>
            </w:r>
          </w:p>
        </w:tc>
        <w:tc>
          <w:tcPr>
            <w:tcW w:w="160" w:type="dxa"/>
            <w:vAlign w:val="bottom"/>
          </w:tcPr>
          <w:p>
            <w:pPr>
              <w:spacing w:after="0"/>
              <w:rPr>
                <w:sz w:val="18"/>
                <w:szCs w:val="18"/>
                <w:color w:val="auto"/>
              </w:rPr>
            </w:pPr>
          </w:p>
        </w:tc>
      </w:tr>
      <w:tr>
        <w:trPr>
          <w:trHeight w:val="184"/>
        </w:trPr>
        <w:tc>
          <w:tcPr>
            <w:tcW w:w="858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1460" w:type="dxa"/>
            <w:vAlign w:val="bottom"/>
            <w:gridSpan w:val="2"/>
          </w:tcPr>
          <w:p>
            <w:pPr>
              <w:spacing w:after="0" w:line="184" w:lineRule="exact"/>
              <w:rPr>
                <w:sz w:val="20"/>
                <w:szCs w:val="20"/>
                <w:color w:val="auto"/>
              </w:rPr>
            </w:pPr>
            <w:r>
              <w:rPr>
                <w:rFonts w:ascii="Arial" w:cs="Arial" w:eastAsia="Arial" w:hAnsi="Arial"/>
                <w:sz w:val="18"/>
                <w:szCs w:val="18"/>
                <w:color w:val="auto"/>
                <w:w w:val="99"/>
              </w:rPr>
              <w:t>tom@marvell.com</w:t>
            </w:r>
          </w:p>
        </w:tc>
      </w:tr>
      <w:tr>
        <w:trPr>
          <w:trHeight w:val="20"/>
        </w:trPr>
        <w:tc>
          <w:tcPr>
            <w:tcW w:w="1580" w:type="dxa"/>
            <w:vAlign w:val="bottom"/>
            <w:shd w:val="clear" w:color="auto" w:fill="000000"/>
          </w:tcPr>
          <w:p>
            <w:pPr>
              <w:spacing w:after="0" w:line="20" w:lineRule="exact"/>
              <w:rPr>
                <w:sz w:val="1"/>
                <w:szCs w:val="1"/>
                <w:color w:val="auto"/>
              </w:rPr>
            </w:pPr>
          </w:p>
        </w:tc>
        <w:tc>
          <w:tcPr>
            <w:tcW w:w="700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337" w:lineRule="exact"/>
        <w:rPr>
          <w:sz w:val="20"/>
          <w:szCs w:val="20"/>
          <w:color w:val="auto"/>
        </w:rPr>
      </w:pPr>
    </w:p>
    <w:p>
      <w:pPr>
        <w:ind w:left="2760"/>
        <w:spacing w:after="0"/>
        <w:rPr>
          <w:sz w:val="20"/>
          <w:szCs w:val="20"/>
          <w:color w:val="auto"/>
        </w:rPr>
      </w:pPr>
      <w:r>
        <w:rPr>
          <w:rFonts w:ascii="Arial" w:cs="Arial" w:eastAsia="Arial" w:hAnsi="Arial"/>
          <w:sz w:val="18"/>
          <w:szCs w:val="18"/>
          <w:b w:val="1"/>
          <w:bCs w:val="1"/>
          <w:color w:val="auto"/>
        </w:rPr>
        <w:t>Marvell Technology Group Ltd. Reports Second Quarter of Fiscal 2011 Results</w:t>
      </w:r>
    </w:p>
    <w:p>
      <w:pPr>
        <w:spacing w:after="0" w:line="177" w:lineRule="exact"/>
        <w:rPr>
          <w:sz w:val="20"/>
          <w:szCs w:val="20"/>
          <w:color w:val="auto"/>
        </w:rPr>
      </w:pPr>
    </w:p>
    <w:p>
      <w:pPr>
        <w:ind w:left="3900"/>
        <w:spacing w:after="0"/>
        <w:rPr>
          <w:sz w:val="20"/>
          <w:szCs w:val="20"/>
          <w:color w:val="auto"/>
        </w:rPr>
      </w:pPr>
      <w:r>
        <w:rPr>
          <w:rFonts w:ascii="Arial" w:cs="Arial" w:eastAsia="Arial" w:hAnsi="Arial"/>
          <w:sz w:val="18"/>
          <w:szCs w:val="18"/>
          <w:b w:val="1"/>
          <w:bCs w:val="1"/>
          <w:i w:val="1"/>
          <w:iCs w:val="1"/>
          <w:color w:val="auto"/>
        </w:rPr>
        <w:t>Revenue: $896 Million, Up 5 Percent Sequentially</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GAAP Net Income: $220 Million, $0.33 per share EPS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Free Cash Flow: $292 Million, 33 Percent of Revenue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Announces $500 Million Share Repurchase Plan</w:t>
      </w:r>
    </w:p>
    <w:p>
      <w:pPr>
        <w:spacing w:after="0" w:line="159" w:lineRule="exact"/>
        <w:rPr>
          <w:sz w:val="20"/>
          <w:szCs w:val="20"/>
          <w:color w:val="auto"/>
        </w:rPr>
      </w:pPr>
    </w:p>
    <w:p>
      <w:pPr>
        <w:spacing w:after="0" w:line="275" w:lineRule="auto"/>
        <w:rPr>
          <w:sz w:val="20"/>
          <w:szCs w:val="20"/>
          <w:color w:val="auto"/>
        </w:rPr>
      </w:pPr>
      <w:r>
        <w:rPr>
          <w:rFonts w:ascii="Arial" w:cs="Arial" w:eastAsia="Arial" w:hAnsi="Arial"/>
          <w:sz w:val="18"/>
          <w:szCs w:val="18"/>
          <w:b w:val="1"/>
          <w:bCs w:val="1"/>
          <w:color w:val="auto"/>
        </w:rPr>
        <w:t xml:space="preserve">Santa Clara, California (August 19, 2010)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second quarter of fiscal 2011, ended July 31, 2010.</w:t>
      </w:r>
    </w:p>
    <w:p>
      <w:pPr>
        <w:spacing w:after="0" w:line="126"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Net revenue for the second quarter of fiscal 2011 was $896 million, a 40 percent increase from $641 million in the second quarter of fiscal 2010, ended August 1, 2009, and a 5 percent sequential increase from $856 million in the first quarter of fiscal 2011, ended May 1, 2010.</w:t>
      </w:r>
    </w:p>
    <w:p>
      <w:pPr>
        <w:spacing w:after="0" w:line="132" w:lineRule="exact"/>
        <w:rPr>
          <w:sz w:val="20"/>
          <w:szCs w:val="20"/>
          <w:color w:val="auto"/>
        </w:rPr>
      </w:pPr>
    </w:p>
    <w:p>
      <w:pPr>
        <w:spacing w:after="0"/>
        <w:rPr>
          <w:sz w:val="20"/>
          <w:szCs w:val="20"/>
          <w:color w:val="auto"/>
        </w:rPr>
      </w:pPr>
      <w:r>
        <w:rPr>
          <w:rFonts w:ascii="Arial" w:cs="Arial" w:eastAsia="Arial" w:hAnsi="Arial"/>
          <w:sz w:val="16"/>
          <w:szCs w:val="16"/>
          <w:color w:val="auto"/>
        </w:rPr>
        <w:t>GAAP net income was $220 million, or $0.33 per share (diluted), for the second quarter of fiscal 2011, compared with a GAAP net income of $58 million, or</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$0.09 per share (diluted), for the second quarter of fiscal 2010. GAAP net income in the first quarter of fiscal 2011 was $206 million, or $0.30 per share (diluted).</w:t>
      </w:r>
    </w:p>
    <w:p>
      <w:pPr>
        <w:spacing w:after="0" w:line="188"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color w:val="auto"/>
        </w:rPr>
        <w:t>Non-GAAP net income was $273 million, or $0.40 per share (diluted), for the second quarter of fiscal 2011, as compared with non-GAAP net income of $119 million, or $0.18 per share (diluted), for the second quarter of fiscal 2010. Non-GAAP net income for the first quarter of fiscal 2011 was $260 million, or $0.38 per share (diluted).</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5" w:right="239" w:bottom="1440" w:gutter="0" w:footer="0" w:header="0"/>
        </w:sectPr>
      </w:pPr>
    </w:p>
    <w:bookmarkStart w:id="6" w:name="page7"/>
    <w:bookmarkEnd w:id="6"/>
    <w:p>
      <w:pPr>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delivered excellent results for the second quarter,” said Dr. Sehat Sutardja, Marvell’s Chairman and Chief Executive Officer. “We experienced significant revenue growth in our mobile and wireless end market which increased over 50 percent sequentially, and over 140 percent year over year, while revenue from our networking end market grew 4 percent sequentially, and over 30 percent year over year. Despite the challenges of a softening macroeconomic environment for PCs, we continue to deliver best in class profitability on both operating and cash flow margins, demonstrating the robustness of our long-term business model driven by the transformation of our revenues to the mobile and wireless semiconductor end market. Given the long-term confidence we have in our business model, we are pleased to announce the Board of Directors has authorized a share repurchase program of $500 million.”</w:t>
      </w:r>
    </w:p>
    <w:p>
      <w:pPr>
        <w:spacing w:after="0" w:line="120" w:lineRule="exact"/>
        <w:rPr>
          <w:sz w:val="20"/>
          <w:szCs w:val="20"/>
          <w:color w:val="auto"/>
        </w:rPr>
      </w:pPr>
    </w:p>
    <w:p>
      <w:pPr>
        <w:ind w:right="40"/>
        <w:spacing w:after="0" w:line="298" w:lineRule="auto"/>
        <w:rPr>
          <w:sz w:val="20"/>
          <w:szCs w:val="20"/>
          <w:color w:val="auto"/>
        </w:rPr>
      </w:pPr>
      <w:r>
        <w:rPr>
          <w:rFonts w:ascii="Arial" w:cs="Arial" w:eastAsia="Arial" w:hAnsi="Arial"/>
          <w:sz w:val="16"/>
          <w:szCs w:val="16"/>
          <w:color w:val="auto"/>
        </w:rPr>
        <w:t>Marvell reports net income (loss), basic and diluted net income (loss) per share in accordance with U.S. generally accepted accounting principles (GAAP) and on a non-GAAP basis as outlined below. Reconciliations of GAAP net income (loss) to non-GAAP net income for the three months ended July 31, 2010, May 1, 2010 and August 1, 2009 appear in the financial statements below. Non-GAAP net income, where applicable, excludes the effect of stock-based compensation, amortization and write-offs of acquired intangible assets, restructuring costs and certain other expenses or benefits.</w:t>
      </w:r>
    </w:p>
    <w:p>
      <w:pPr>
        <w:spacing w:after="0" w:line="113"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GAAP gross margin for the second quarter of fiscal 2011 was 59.1 percent, compared to 55.0 percent for the second quarter of fiscal 2010 and 59.8 percent for the first quarter of fiscal 2011.</w:t>
      </w:r>
    </w:p>
    <w:p>
      <w:pPr>
        <w:spacing w:after="0" w:line="132"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Non-GAAP gross margin for the second quarter of fiscal 2011 was 59.3 percent, compared to 55.3 percent for the second quarter of fiscal 2010 and 60.6 percent for the first quarter of fiscal 2011.</w:t>
      </w:r>
    </w:p>
    <w:p>
      <w:pPr>
        <w:spacing w:after="0" w:line="132"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Shares used to compute GAAP net income per diluted share for the second quarter of fiscal 2011 were 675 million shares, compared with 648 million shares in the second quarter of fiscal 2010 and 678 million shares in the first quarter of fiscal 2011. Shares used to compute non-GAAP net income per diluted share for the second quarter of fiscal 2011 were 678 million shares, compared with 652 million shares for the second quarter of fiscal 2010 and 681 million shares for the first quarter of fiscal 2011.</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80" w:right="279" w:bottom="1440" w:gutter="0" w:footer="0" w:header="0"/>
        </w:sectPr>
      </w:pPr>
    </w:p>
    <w:bookmarkStart w:id="7" w:name="page8"/>
    <w:bookmarkEnd w:id="7"/>
    <w:p>
      <w:pPr>
        <w:ind w:right="80"/>
        <w:spacing w:after="0" w:line="25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Cash flow from operations for the second quarter of fiscal 2011 was $319 million, up from the $182 million in the second quarter of fiscal 2010 and up from the $256 million reported in the first quarter of fiscal 2011. Free cash flow for the second quarter of fiscal 2011 was $292 million, up from the $175 million reported in second quarter of fiscal 2010, and up from the $237 million reported in the first quarter of fiscal 2011. Free cash flow as presented above is defined as cash flow from operations, less capital expenditures and purchases of technology licenses.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96"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Marvell also announced today that its Board of Directors has authorized a program to repurchase up to $500 million of its outstanding common shares, depending on market conditions and other factors.</w:t>
      </w:r>
    </w:p>
    <w:p>
      <w:pPr>
        <w:spacing w:after="0" w:line="132" w:lineRule="exact"/>
        <w:rPr>
          <w:sz w:val="20"/>
          <w:szCs w:val="20"/>
          <w:color w:val="auto"/>
        </w:rPr>
      </w:pPr>
    </w:p>
    <w:p>
      <w:pPr>
        <w:ind w:right="100"/>
        <w:spacing w:after="0" w:line="294" w:lineRule="auto"/>
        <w:rPr>
          <w:sz w:val="20"/>
          <w:szCs w:val="20"/>
          <w:color w:val="auto"/>
        </w:rPr>
      </w:pPr>
      <w:r>
        <w:rPr>
          <w:rFonts w:ascii="Arial" w:cs="Arial" w:eastAsia="Arial" w:hAnsi="Arial"/>
          <w:sz w:val="16"/>
          <w:szCs w:val="16"/>
          <w:color w:val="auto"/>
        </w:rPr>
        <w:t>Marvell intends to effect the repurchase program in accordance with the conditions of Rule 10b-18 under the Securities Exchange Act of 1934, as amended. The repurchase program will be subject to market conditions and other factors and does not obligate Marvell to repurchase any dollar amount or number of its common shares. The program may be extended, modified, suspended or discontinued at any time. The repurchases, which are expected to be funded from Marvell’s current cash and short-term position of over $2.3 billion, may occur in open market, privately negotiated or block transactions. As of July 31, 2010, Marvell had approximately 650 million common shares outstanding.</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ind w:right="200"/>
        <w:spacing w:after="0" w:line="306" w:lineRule="auto"/>
        <w:rPr>
          <w:sz w:val="20"/>
          <w:szCs w:val="20"/>
          <w:color w:val="auto"/>
        </w:rPr>
      </w:pPr>
      <w:r>
        <w:rPr>
          <w:rFonts w:ascii="Arial" w:cs="Arial" w:eastAsia="Arial" w:hAnsi="Arial"/>
          <w:sz w:val="16"/>
          <w:szCs w:val="16"/>
          <w:color w:val="auto"/>
        </w:rPr>
        <w:t xml:space="preserve">Marvell will be conducting a conference call on August 19, 2010 at 1:45 p.m. Pacific Time to discuss results for the second quarter of fiscal 2011. Interested parties may join the conference call by dialing </w:t>
      </w:r>
      <w:r>
        <w:rPr>
          <w:rFonts w:ascii="Arial" w:cs="Arial" w:eastAsia="Arial" w:hAnsi="Arial"/>
          <w:sz w:val="16"/>
          <w:szCs w:val="16"/>
          <w:b w:val="1"/>
          <w:bCs w:val="1"/>
          <w:color w:val="auto"/>
        </w:rPr>
        <w:t>1-866-314-5050, pass-code 24135453</w:t>
      </w:r>
      <w:r>
        <w:rPr>
          <w:rFonts w:ascii="Arial" w:cs="Arial" w:eastAsia="Arial" w:hAnsi="Arial"/>
          <w:sz w:val="16"/>
          <w:szCs w:val="16"/>
          <w:color w:val="auto"/>
        </w:rPr>
        <w:t xml:space="preserve">. The call will be webcast by Thomson Reuters and can be accessed at the Marvell Investor Relations website at </w:t>
      </w:r>
      <w:r>
        <w:rPr>
          <w:rFonts w:ascii="Arial" w:cs="Arial" w:eastAsia="Arial" w:hAnsi="Arial"/>
          <w:sz w:val="16"/>
          <w:szCs w:val="16"/>
          <w:u w:val="single" w:color="auto"/>
          <w:color w:val="auto"/>
        </w:rPr>
        <w:t>http://investor.marvell.com/</w:t>
      </w:r>
      <w:r>
        <w:rPr>
          <w:rFonts w:ascii="Arial" w:cs="Arial" w:eastAsia="Arial" w:hAnsi="Arial"/>
          <w:sz w:val="16"/>
          <w:szCs w:val="16"/>
          <w:color w:val="auto"/>
        </w:rPr>
        <w:t xml:space="preserve"> with a replay available following the call until September 19, 2010.</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120"/>
        <w:spacing w:after="0" w:line="255" w:lineRule="auto"/>
        <w:rPr>
          <w:sz w:val="20"/>
          <w:szCs w:val="20"/>
          <w:color w:val="auto"/>
        </w:rPr>
      </w:pPr>
      <w:r>
        <w:rPr>
          <w:rFonts w:ascii="Arial" w:cs="Arial" w:eastAsia="Arial" w:hAnsi="Arial"/>
          <w:sz w:val="18"/>
          <w:szCs w:val="18"/>
          <w:color w:val="auto"/>
        </w:rPr>
        <w:t>Non-GAAP financial measures exclude stock-based compensation expense as well as charges related to acquisitions, restructuring, gains and other charges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80" w:right="279" w:bottom="1440" w:gutter="0" w:footer="0" w:header="0"/>
        </w:sectPr>
      </w:pPr>
    </w:p>
    <w:bookmarkStart w:id="8" w:name="page9"/>
    <w:bookmarkEnd w:id="8"/>
    <w:p>
      <w:pPr>
        <w:ind w:right="160"/>
        <w:spacing w:after="0" w:line="33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w:t>
      </w:r>
    </w:p>
    <w:p>
      <w:pPr>
        <w:spacing w:after="0" w:line="8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 xml:space="preserve">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u w:val="single" w:color="auto"/>
          <w:color w:val="auto"/>
        </w:rPr>
        <w:t>www.sec.gov</w:t>
      </w:r>
      <w:r>
        <w:rPr>
          <w:rFonts w:ascii="Arial" w:cs="Arial" w:eastAsia="Arial" w:hAnsi="Arial"/>
          <w:sz w:val="16"/>
          <w:szCs w:val="16"/>
          <w:color w:val="auto"/>
        </w:rPr>
        <w:t xml:space="preserve"> as well as on the Marvell website in the Investor Relations section at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 xml:space="preserve">Marvell Technology Group Ltd.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the “Company” and “Marvell” refer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96"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color w:val="auto"/>
        </w:rPr>
        <w:t>This press release contains forward-looking statements that involve risks and uncertainties, including statements regarding the sustainability of the Company’s long term business model to deliver best in class profitability on both operating and cash flow margins; the Company’s ability to fund common share purchases out of the</w:t>
      </w:r>
    </w:p>
    <w:p>
      <w:pPr>
        <w:spacing w:after="0" w:line="12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40"/>
          </w:cols>
          <w:pgMar w:left="240" w:top="280" w:right="319" w:bottom="1440" w:gutter="0" w:footer="0" w:header="0"/>
        </w:sectPr>
      </w:pPr>
    </w:p>
    <w:bookmarkStart w:id="9" w:name="page10"/>
    <w:bookmarkEnd w:id="9"/>
    <w:p>
      <w:pPr>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Company’s current cash position; the types of transactions pursuant to which repurchases will be made under the share repurchase program; and statements concerning the Company’s use of non-GAAP financial measures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the Company’s financial condition and results of operations may vary from quarter to quarter; the impact of global economic conditions on the Company’s business; significant dependence on the hard disk drive industry; highly competitive nature of the markets in which the Company competes; reliance on a few customers; market acceptance of the Company’s products; and the impact of current or future intellectual property litigation and claims for indemnification. For other factors that could cause Marvell’s results to vary from expectations, please see the risk factors identified in Marvell’s latest Annual Report on Form 10-K for the year ended January 30, 2010, subsequent Quarterly Reports on Form 10-Q and Current Reports on Form 8-K as filed with the SEC. When Marvell files its Form 10-Q for the second quarter of fiscal 2011,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Marvell undertakes no obligation to revise or update publicly any forward-looking statements.</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20"/>
          </w:cols>
          <w:pgMar w:left="240" w:top="280" w:right="3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80" w:type="dxa"/>
            <w:vAlign w:val="bottom"/>
            <w:gridSpan w:val="7"/>
          </w:tcPr>
          <w:p>
            <w:pPr>
              <w:jc w:val="right"/>
              <w:ind w:right="12"/>
              <w:spacing w:after="0"/>
              <w:rPr>
                <w:sz w:val="20"/>
                <w:szCs w:val="20"/>
                <w:color w:val="auto"/>
              </w:rPr>
            </w:pPr>
            <w:r>
              <w:rPr>
                <w:rFonts w:ascii="Arial" w:cs="Arial" w:eastAsia="Arial" w:hAnsi="Arial"/>
                <w:sz w:val="14"/>
                <w:szCs w:val="14"/>
                <w:b w:val="1"/>
                <w:bCs w:val="1"/>
                <w:color w:val="auto"/>
              </w:rPr>
              <w:t>Three Months Ended</w:t>
            </w:r>
          </w:p>
        </w:tc>
        <w:tc>
          <w:tcPr>
            <w:tcW w:w="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2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5"/>
              <w:spacing w:after="0" w:line="129" w:lineRule="exact"/>
              <w:rPr>
                <w:sz w:val="20"/>
                <w:szCs w:val="20"/>
                <w:color w:val="auto"/>
              </w:rPr>
            </w:pPr>
            <w:r>
              <w:rPr>
                <w:rFonts w:ascii="Arial" w:cs="Arial" w:eastAsia="Arial" w:hAnsi="Arial"/>
                <w:sz w:val="14"/>
                <w:szCs w:val="14"/>
                <w:b w:val="1"/>
                <w:bCs w:val="1"/>
                <w:color w:val="auto"/>
                <w:w w:val="85"/>
              </w:rPr>
              <w:t>July 31,</w:t>
            </w:r>
          </w:p>
        </w:tc>
        <w:tc>
          <w:tcPr>
            <w:tcW w:w="22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88"/>
              </w:rPr>
              <w:t>May 1,</w:t>
            </w:r>
          </w:p>
        </w:tc>
        <w:tc>
          <w:tcPr>
            <w:tcW w:w="14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4"/>
              </w:rPr>
              <w:t>August 1,</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95"/>
              <w:spacing w:after="0" w:line="129" w:lineRule="exact"/>
              <w:rPr>
                <w:sz w:val="20"/>
                <w:szCs w:val="20"/>
                <w:color w:val="auto"/>
              </w:rPr>
            </w:pPr>
            <w:r>
              <w:rPr>
                <w:rFonts w:ascii="Arial" w:cs="Arial" w:eastAsia="Arial" w:hAnsi="Arial"/>
                <w:sz w:val="14"/>
                <w:szCs w:val="14"/>
                <w:b w:val="1"/>
                <w:bCs w:val="1"/>
                <w:color w:val="auto"/>
                <w:w w:val="97"/>
              </w:rPr>
              <w:t>July 31,</w:t>
            </w:r>
          </w:p>
        </w:tc>
        <w:tc>
          <w:tcPr>
            <w:tcW w:w="22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87"/>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896,474</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855,579</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640,620</w:t>
            </w:r>
          </w:p>
        </w:tc>
        <w:tc>
          <w:tcPr>
            <w:tcW w:w="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1,752,053</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1,162,054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Cost of goods sold</w:t>
            </w: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366,682</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343,985</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288,059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710,667</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545,689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529,792</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511,594</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352,561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1,041,386</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616,365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Operating expenses:</w:t>
            </w: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228,211</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219,111</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196,190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447,322</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402,279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36,863</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38,423</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32,908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75,286</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66,818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25,440</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23,108</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29,468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48,548</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132,196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21,214</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22,549</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26,446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43,763</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56,802</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0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311,728</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303,191</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285,012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614,919</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658,095</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Operating income (loss)</w:t>
            </w:r>
          </w:p>
        </w:tc>
        <w:tc>
          <w:tcPr>
            <w:tcW w:w="17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020" w:type="dxa"/>
            <w:vAlign w:val="bottom"/>
            <w:gridSpan w:val="2"/>
            <w:vMerge w:val="continue"/>
          </w:tcPr>
          <w:p>
            <w:pPr>
              <w:spacing w:after="0"/>
              <w:rPr>
                <w:sz w:val="19"/>
                <w:szCs w:val="19"/>
                <w:color w:val="auto"/>
              </w:rPr>
            </w:pPr>
          </w:p>
        </w:tc>
        <w:tc>
          <w:tcPr>
            <w:tcW w:w="1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218,064</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208,403</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67,549</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426,467</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(41,730)</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4,212</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(3,752)</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279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119</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Income (loss) before income taxes</w:t>
            </w:r>
          </w:p>
        </w:tc>
        <w:tc>
          <w:tcPr>
            <w:tcW w:w="17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020" w:type="dxa"/>
            <w:vAlign w:val="bottom"/>
            <w:gridSpan w:val="2"/>
            <w:vMerge w:val="continue"/>
          </w:tcPr>
          <w:p>
            <w:pPr>
              <w:spacing w:after="0"/>
              <w:rPr>
                <w:sz w:val="19"/>
                <w:szCs w:val="19"/>
                <w:color w:val="auto"/>
              </w:rPr>
            </w:pPr>
          </w:p>
        </w:tc>
        <w:tc>
          <w:tcPr>
            <w:tcW w:w="1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222,276</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204,651</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67,828</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426,927</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(41,611)</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2,499</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(1,116)</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9,335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1,383</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11,353</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Net income (loss)</w:t>
            </w:r>
          </w:p>
        </w:tc>
        <w:tc>
          <w:tcPr>
            <w:tcW w:w="17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20" w:type="dxa"/>
            <w:vAlign w:val="bottom"/>
            <w:gridSpan w:val="2"/>
            <w:vMerge w:val="continue"/>
          </w:tcPr>
          <w:p>
            <w:pPr>
              <w:spacing w:after="0"/>
              <w:rPr>
                <w:sz w:val="19"/>
                <w:szCs w:val="19"/>
                <w:color w:val="auto"/>
              </w:rPr>
            </w:pPr>
          </w:p>
        </w:tc>
        <w:tc>
          <w:tcPr>
            <w:tcW w:w="17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219,777</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205,767</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58,493</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425,544</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(52,964)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5000" w:type="dxa"/>
            <w:vAlign w:val="bottom"/>
          </w:tcPr>
          <w:p>
            <w:pPr>
              <w:spacing w:after="0"/>
              <w:rPr>
                <w:sz w:val="8"/>
                <w:szCs w:val="8"/>
                <w:color w:val="auto"/>
              </w:rPr>
            </w:pPr>
          </w:p>
        </w:tc>
        <w:tc>
          <w:tcPr>
            <w:tcW w:w="1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0.32</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0.09</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0.66</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17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gridSpan w:val="2"/>
            <w:vMerge w:val="continue"/>
          </w:tcPr>
          <w:p>
            <w:pPr>
              <w:spacing w:after="0"/>
              <w:rPr>
                <w:sz w:val="18"/>
                <w:szCs w:val="18"/>
                <w:color w:val="auto"/>
              </w:rPr>
            </w:pPr>
          </w:p>
        </w:tc>
        <w:tc>
          <w:tcPr>
            <w:tcW w:w="18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0.33</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0.30</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0.09</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0.63</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5000" w:type="dxa"/>
            <w:vAlign w:val="bottom"/>
          </w:tcPr>
          <w:p>
            <w:pPr>
              <w:spacing w:after="0"/>
              <w:rPr>
                <w:sz w:val="8"/>
                <w:szCs w:val="8"/>
                <w:color w:val="auto"/>
              </w:rPr>
            </w:pPr>
          </w:p>
        </w:tc>
        <w:tc>
          <w:tcPr>
            <w:tcW w:w="1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(loss) per share</w:t>
            </w:r>
          </w:p>
        </w:tc>
        <w:tc>
          <w:tcPr>
            <w:tcW w:w="1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648,028</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640,926</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620,881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644,477</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619,779</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Shares used in computing diluted earnings (loss) per share</w:t>
            </w:r>
          </w:p>
        </w:tc>
        <w:tc>
          <w:tcPr>
            <w:tcW w:w="1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675,220</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678,059</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648,110</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676,639</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619,779</w:t>
            </w: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1700" w:type="dxa"/>
            <w:vAlign w:val="bottom"/>
          </w:tcPr>
          <w:p>
            <w:pPr>
              <w:jc w:val="right"/>
              <w:ind w:right="872"/>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GAAP Net Income to Non-GAAP Net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40" w:type="dxa"/>
            <w:vAlign w:val="bottom"/>
            <w:gridSpan w:val="4"/>
          </w:tcPr>
          <w:p>
            <w:pPr>
              <w:jc w:val="center"/>
              <w:ind w:right="8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6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8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w w:val="89"/>
              </w:rPr>
              <w:t>July 31,</w:t>
            </w:r>
          </w:p>
        </w:tc>
        <w:tc>
          <w:tcPr>
            <w:tcW w:w="3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gridSpan w:val="2"/>
          </w:tcPr>
          <w:p>
            <w:pPr>
              <w:jc w:val="center"/>
              <w:ind w:right="460"/>
              <w:spacing w:after="0" w:line="129" w:lineRule="exact"/>
              <w:rPr>
                <w:sz w:val="20"/>
                <w:szCs w:val="20"/>
                <w:color w:val="auto"/>
              </w:rPr>
            </w:pPr>
            <w:r>
              <w:rPr>
                <w:rFonts w:ascii="Arial" w:cs="Arial" w:eastAsia="Arial" w:hAnsi="Arial"/>
                <w:sz w:val="14"/>
                <w:szCs w:val="14"/>
                <w:b w:val="1"/>
                <w:bCs w:val="1"/>
                <w:color w:val="auto"/>
                <w:w w:val="93"/>
              </w:rPr>
              <w:t>May 1,</w:t>
            </w:r>
          </w:p>
        </w:tc>
        <w:tc>
          <w:tcPr>
            <w:tcW w:w="1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August 1,</w:t>
            </w:r>
          </w:p>
        </w:tc>
        <w:tc>
          <w:tcPr>
            <w:tcW w:w="3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rPr>
              <w:t>July 31,</w:t>
            </w: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August 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8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3"/>
              </w:rPr>
              <w:t>2010</w:t>
            </w: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2010</w:t>
            </w:r>
          </w:p>
        </w:tc>
        <w:tc>
          <w:tcPr>
            <w:tcW w:w="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 (loss)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219,777</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205,767</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58,493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425,544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(52,964)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30,689</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26,896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30,015</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57,585</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61,663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21,214</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22,549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26,446</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43,763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56,802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 xml:space="preserve">Restructuring </w:t>
            </w:r>
            <w:r>
              <w:rPr>
                <w:rFonts w:ascii="Arial" w:cs="Arial" w:eastAsia="Arial" w:hAnsi="Arial"/>
                <w:sz w:val="18"/>
                <w:szCs w:val="18"/>
                <w:i w:val="1"/>
                <w:iCs w:val="1"/>
                <w:color w:val="auto"/>
              </w:rPr>
              <w:t>(a)</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1,660</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586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4,956</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2,246</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13,292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4,373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(1,202)</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70,798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273,340</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260,171</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118,708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533,511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150,581</w:t>
            </w:r>
          </w:p>
        </w:tc>
        <w:tc>
          <w:tcPr>
            <w:tcW w:w="0" w:type="dxa"/>
            <w:vAlign w:val="bottom"/>
          </w:tcPr>
          <w:p>
            <w:pPr>
              <w:spacing w:after="0"/>
              <w:rPr>
                <w:sz w:val="1"/>
                <w:szCs w:val="1"/>
                <w:color w:val="auto"/>
              </w:rPr>
            </w:pPr>
          </w:p>
        </w:tc>
      </w:tr>
      <w:tr>
        <w:trPr>
          <w:trHeight w:val="20"/>
        </w:trPr>
        <w:tc>
          <w:tcPr>
            <w:tcW w:w="5820" w:type="dxa"/>
            <w:vAlign w:val="bottom"/>
            <w:gridSpan w:val="2"/>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7"/>
        </w:trPr>
        <w:tc>
          <w:tcPr>
            <w:tcW w:w="5820" w:type="dxa"/>
            <w:vAlign w:val="bottom"/>
            <w:gridSpan w:val="2"/>
          </w:tcPr>
          <w:p>
            <w:pPr>
              <w:spacing w:after="0"/>
              <w:rPr>
                <w:sz w:val="20"/>
                <w:szCs w:val="20"/>
                <w:color w:val="auto"/>
              </w:rPr>
            </w:pPr>
            <w:r>
              <w:rPr>
                <w:rFonts w:ascii="Arial" w:cs="Arial" w:eastAsia="Arial" w:hAnsi="Arial"/>
                <w:sz w:val="18"/>
                <w:szCs w:val="18"/>
                <w:color w:val="auto"/>
              </w:rPr>
              <w:t>GAAP weighted average shares - diluted</w:t>
            </w:r>
          </w:p>
        </w:tc>
        <w:tc>
          <w:tcPr>
            <w:tcW w:w="1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675,220</w:t>
            </w:r>
          </w:p>
        </w:tc>
        <w:tc>
          <w:tcPr>
            <w:tcW w:w="1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w w:val="86"/>
              </w:rPr>
              <w:t>678,059</w:t>
            </w: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648,110</w:t>
            </w: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676,639</w:t>
            </w: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619,779</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3,131</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3,310</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3,651</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3,273</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24,404</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820" w:type="dxa"/>
            <w:vAlign w:val="bottom"/>
            <w:gridSpan w:val="2"/>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(d)</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678,351</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w w:val="86"/>
              </w:rPr>
              <w:t>681,369</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651,761</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679,912</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644,183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58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(loss)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0.30</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0.09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(0.09)</w:t>
            </w:r>
          </w:p>
        </w:tc>
        <w:tc>
          <w:tcPr>
            <w:tcW w:w="0" w:type="dxa"/>
            <w:vAlign w:val="bottom"/>
          </w:tcPr>
          <w:p>
            <w:pPr>
              <w:spacing w:after="0"/>
              <w:rPr>
                <w:sz w:val="1"/>
                <w:szCs w:val="1"/>
                <w:color w:val="auto"/>
              </w:rPr>
            </w:pPr>
          </w:p>
        </w:tc>
      </w:tr>
      <w:tr>
        <w:trPr>
          <w:trHeight w:val="20"/>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82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0.40</w:t>
            </w:r>
          </w:p>
        </w:tc>
        <w:tc>
          <w:tcPr>
            <w:tcW w:w="180" w:type="dxa"/>
            <w:vAlign w:val="bottom"/>
          </w:tcPr>
          <w:p>
            <w:pPr>
              <w:spacing w:after="0"/>
              <w:rPr>
                <w:sz w:val="18"/>
                <w:szCs w:val="18"/>
                <w:color w:val="auto"/>
              </w:rPr>
            </w:pPr>
          </w:p>
        </w:tc>
        <w:tc>
          <w:tcPr>
            <w:tcW w:w="4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0.38</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0.18</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0.78</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58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529,792</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511,594</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352,561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1,041,386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616,365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1,692</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2,236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1,810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3,928</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5,926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4,373</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4,373</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82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531,484</w:t>
            </w:r>
          </w:p>
        </w:tc>
        <w:tc>
          <w:tcPr>
            <w:tcW w:w="180" w:type="dxa"/>
            <w:vAlign w:val="bottom"/>
          </w:tcPr>
          <w:p>
            <w:pPr>
              <w:spacing w:after="0"/>
              <w:rPr>
                <w:sz w:val="19"/>
                <w:szCs w:val="19"/>
                <w:color w:val="auto"/>
              </w:rPr>
            </w:pPr>
          </w:p>
        </w:tc>
        <w:tc>
          <w:tcPr>
            <w:tcW w:w="40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w w:val="86"/>
              </w:rPr>
              <w:t>518,203</w:t>
            </w:r>
          </w:p>
        </w:tc>
        <w:tc>
          <w:tcPr>
            <w:tcW w:w="2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354,371</w:t>
            </w:r>
          </w:p>
        </w:tc>
        <w:tc>
          <w:tcPr>
            <w:tcW w:w="2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1,049,687</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623,281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58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 as a % of revenue</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59.1%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59.8%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55.0%</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59.4%</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0.2%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0.3%</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0.3%</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0"/>
        </w:trPr>
        <w:tc>
          <w:tcPr>
            <w:tcW w:w="5820" w:type="dxa"/>
            <w:vAlign w:val="bottom"/>
            <w:gridSpan w:val="2"/>
            <w:vMerge w:val="restart"/>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820" w:type="dxa"/>
            <w:vAlign w:val="bottom"/>
            <w:gridSpan w:val="2"/>
            <w:vMerge w:val="continue"/>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59.3%</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60.6%</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55.3%</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59.9%</w:t>
            </w:r>
          </w:p>
        </w:tc>
        <w:tc>
          <w:tcPr>
            <w:tcW w:w="100" w:type="dxa"/>
            <w:vAlign w:val="bottom"/>
          </w:tcPr>
          <w:p>
            <w:pPr>
              <w:spacing w:after="0"/>
              <w:rPr>
                <w:sz w:val="19"/>
                <w:szCs w:val="19"/>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53.6%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58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228,211</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219,111</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196,190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447,322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402,279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(22,089)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w w:val="92"/>
              </w:rPr>
              <w:t>(18,851)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w w:val="92"/>
              </w:rPr>
              <w:t>(22,193)</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(40,940)</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w w:val="92"/>
              </w:rPr>
              <w:t>(43,930)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(1,370)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(129)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(3,526)</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(1,499)</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(9,366)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Legal/Tax settlement</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1,820</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1,820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204,752</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200,131</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172,291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404,883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350,803</w:t>
            </w:r>
          </w:p>
        </w:tc>
        <w:tc>
          <w:tcPr>
            <w:tcW w:w="0" w:type="dxa"/>
            <w:vAlign w:val="bottom"/>
          </w:tcPr>
          <w:p>
            <w:pPr>
              <w:spacing w:after="0"/>
              <w:rPr>
                <w:sz w:val="1"/>
                <w:szCs w:val="1"/>
                <w:color w:val="auto"/>
              </w:rPr>
            </w:pPr>
          </w:p>
        </w:tc>
      </w:tr>
      <w:tr>
        <w:trPr>
          <w:trHeight w:val="20"/>
        </w:trPr>
        <w:tc>
          <w:tcPr>
            <w:tcW w:w="5820" w:type="dxa"/>
            <w:vAlign w:val="bottom"/>
            <w:gridSpan w:val="2"/>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7"/>
        </w:trPr>
        <w:tc>
          <w:tcPr>
            <w:tcW w:w="5820" w:type="dxa"/>
            <w:vAlign w:val="bottom"/>
            <w:gridSpan w:val="2"/>
          </w:tcPr>
          <w:p>
            <w:pPr>
              <w:spacing w:after="0"/>
              <w:rPr>
                <w:sz w:val="20"/>
                <w:szCs w:val="20"/>
                <w:color w:val="auto"/>
              </w:rPr>
            </w:pPr>
            <w:r>
              <w:rPr>
                <w:rFonts w:ascii="Arial" w:cs="Arial" w:eastAsia="Arial" w:hAnsi="Arial"/>
                <w:sz w:val="18"/>
                <w:szCs w:val="18"/>
                <w:color w:val="auto"/>
              </w:rPr>
              <w:t>GAAP selling and marketing:</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36,863</w:t>
            </w:r>
          </w:p>
        </w:tc>
        <w:tc>
          <w:tcPr>
            <w:tcW w:w="180" w:type="dxa"/>
            <w:vAlign w:val="bottom"/>
          </w:tcPr>
          <w:p>
            <w:pPr>
              <w:spacing w:after="0"/>
              <w:rPr>
                <w:sz w:val="24"/>
                <w:szCs w:val="24"/>
                <w:color w:val="auto"/>
              </w:rPr>
            </w:pPr>
          </w:p>
        </w:tc>
        <w:tc>
          <w:tcPr>
            <w:tcW w:w="4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38,423</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32,908</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75,286</w:t>
            </w:r>
          </w:p>
        </w:tc>
        <w:tc>
          <w:tcPr>
            <w:tcW w:w="480" w:type="dxa"/>
            <w:vAlign w:val="bottom"/>
          </w:tcPr>
          <w:p>
            <w:pPr>
              <w:spacing w:after="0"/>
              <w:rPr>
                <w:sz w:val="24"/>
                <w:szCs w:val="24"/>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66,818</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(2,397)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(3,173)</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(3,659)</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(5,570)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(7,370)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tcPr>
          <w:p>
            <w:pPr>
              <w:spacing w:after="0"/>
              <w:rPr>
                <w:sz w:val="18"/>
                <w:szCs w:val="18"/>
                <w:color w:val="auto"/>
              </w:rPr>
            </w:pPr>
          </w:p>
        </w:tc>
        <w:tc>
          <w:tcPr>
            <w:tcW w:w="7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(524)</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(1,788)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Legal/Tax settlement</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659</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820" w:type="dxa"/>
            <w:vAlign w:val="bottom"/>
            <w:gridSpan w:val="2"/>
          </w:tcPr>
          <w:p>
            <w:pPr>
              <w:spacing w:after="0"/>
              <w:rPr>
                <w:sz w:val="20"/>
                <w:szCs w:val="20"/>
                <w:color w:val="auto"/>
              </w:rPr>
            </w:pPr>
            <w:r>
              <w:rPr>
                <w:rFonts w:ascii="Arial" w:cs="Arial" w:eastAsia="Arial" w:hAnsi="Arial"/>
                <w:sz w:val="18"/>
                <w:szCs w:val="18"/>
                <w:color w:val="auto"/>
              </w:rPr>
              <w:t>Non-GAAP selling and marketing</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34,466</w:t>
            </w:r>
          </w:p>
        </w:tc>
        <w:tc>
          <w:tcPr>
            <w:tcW w:w="180" w:type="dxa"/>
            <w:vAlign w:val="bottom"/>
          </w:tcPr>
          <w:p>
            <w:pPr>
              <w:spacing w:after="0"/>
              <w:rPr>
                <w:sz w:val="19"/>
                <w:szCs w:val="19"/>
                <w:color w:val="auto"/>
              </w:rPr>
            </w:pPr>
          </w:p>
        </w:tc>
        <w:tc>
          <w:tcPr>
            <w:tcW w:w="4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35,250</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29,384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69,716</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58,319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58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25,440</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23,108</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29,468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48,548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132,196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(4,511)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(2,636)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(2,353)</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(7,147)</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(4,437)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(290)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(457)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(906)</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(747)</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(2,138)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ind w:left="420"/>
              <w:spacing w:after="0"/>
              <w:rPr>
                <w:sz w:val="20"/>
                <w:szCs w:val="20"/>
                <w:color w:val="auto"/>
              </w:rPr>
            </w:pPr>
            <w:r>
              <w:rPr>
                <w:rFonts w:ascii="Arial" w:cs="Arial" w:eastAsia="Arial" w:hAnsi="Arial"/>
                <w:sz w:val="18"/>
                <w:szCs w:val="18"/>
                <w:color w:val="auto"/>
              </w:rPr>
              <w:t>Legal/Tax settlement</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158</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w w:val="92"/>
              </w:rPr>
              <w:t>(71,842)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8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20,639</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20,015</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26,367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40,654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53,779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460" w:hanging="452"/>
        <w:spacing w:after="0" w:line="254"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Amounts represent restructuring related charges including severance costs from reductions in force, asset impairment and a charge related to facilities impairment.</w:t>
      </w:r>
    </w:p>
    <w:p>
      <w:pPr>
        <w:ind w:left="460" w:right="160" w:hanging="452"/>
        <w:spacing w:after="0" w:line="250"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Fiscal quarter ended May 1, 2010 includes an amount representing the portion of an IP litigation settlement related to previous fiscal years from 2003 through 2010. The six months ended August 1, 2009 includes a $72.0 million charge in connection with the settlement of the class action litigation. Fiscal quarter ended August 1, 2009 includes the net impact of our settlement with the IRS related to our historical stock option practices. As the composition of the settlement was different than the initial reserve, the net benefit includes a $2.6 million benefit to operating expense with an offset of $1.4 million of interest expense.</w:t>
      </w:r>
    </w:p>
    <w:p>
      <w:pPr>
        <w:spacing w:after="0" w:line="2" w:lineRule="exact"/>
        <w:rPr>
          <w:rFonts w:ascii="Arial" w:cs="Arial" w:eastAsia="Arial" w:hAnsi="Arial"/>
          <w:sz w:val="18"/>
          <w:szCs w:val="18"/>
          <w:i w:val="1"/>
          <w:iCs w:val="1"/>
          <w:color w:val="auto"/>
        </w:rPr>
      </w:pPr>
    </w:p>
    <w:p>
      <w:pPr>
        <w:ind w:left="460" w:hanging="452"/>
        <w:spacing w:after="0"/>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The six months ended August 1, 2009 includes underutilization charges recorded in connection with the rampdown of the Malaysia test operations.</w:t>
      </w:r>
    </w:p>
    <w:p>
      <w:pPr>
        <w:spacing w:after="0" w:line="32" w:lineRule="exact"/>
        <w:rPr>
          <w:rFonts w:ascii="Arial" w:cs="Arial" w:eastAsia="Arial" w:hAnsi="Arial"/>
          <w:sz w:val="16"/>
          <w:szCs w:val="16"/>
          <w:i w:val="1"/>
          <w:iCs w:val="1"/>
          <w:color w:val="auto"/>
        </w:rPr>
      </w:pPr>
    </w:p>
    <w:p>
      <w:pPr>
        <w:ind w:left="460" w:right="380" w:hanging="452"/>
        <w:spacing w:after="0" w:line="323"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benefits of stock compensation costs attributable to future services and not yet recognized in the financial statements.</w:t>
      </w:r>
    </w:p>
    <w:p>
      <w:pPr>
        <w:sectPr>
          <w:pgSz w:w="11900" w:h="16838" w:orient="portrait"/>
          <w:cols w:equalWidth="0" w:num="1">
            <w:col w:w="11420"/>
          </w:cols>
          <w:pgMar w:left="240" w:top="274" w:right="239" w:bottom="1440" w:gutter="0" w:footer="0" w:header="0"/>
        </w:sectPr>
      </w:pP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7</w:t>
      </w:r>
    </w:p>
    <w:p>
      <w:pPr>
        <w:sectPr>
          <w:pgSz w:w="11900" w:h="16838" w:orient="portrait"/>
          <w:cols w:equalWidth="0" w:num="1">
            <w:col w:w="11420"/>
          </w:cols>
          <w:pgMar w:left="240" w:top="274" w:right="239" w:bottom="1440" w:gutter="0" w:footer="0" w:header="0"/>
          <w:type w:val="continuous"/>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w w:val="97"/>
              </w:rPr>
              <w:t>July 31,</w:t>
            </w:r>
          </w:p>
        </w:tc>
        <w:tc>
          <w:tcPr>
            <w:tcW w:w="220" w:type="dxa"/>
            <w:vAlign w:val="bottom"/>
          </w:tcPr>
          <w:p>
            <w:pPr>
              <w:spacing w:after="0"/>
              <w:rPr>
                <w:sz w:val="14"/>
                <w:szCs w:val="14"/>
                <w:color w:val="auto"/>
              </w:rPr>
            </w:pP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2,379,951</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1,796,717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490,755</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356,796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239,320</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241,541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46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72,045</w:t>
            </w:r>
          </w:p>
        </w:tc>
        <w:tc>
          <w:tcPr>
            <w:tcW w:w="2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70,491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3,182,071</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2,465,545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343,445</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342,497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34,184</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34,281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2,153,424</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2,176,763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6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154,153</w:t>
            </w:r>
          </w:p>
        </w:tc>
        <w:tc>
          <w:tcPr>
            <w:tcW w:w="2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151,854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74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5,867,277</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5,170,940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840" w:type="dxa"/>
            <w:vAlign w:val="bottom"/>
          </w:tcPr>
          <w:p>
            <w:pPr>
              <w:spacing w:after="0"/>
              <w:rPr>
                <w:sz w:val="8"/>
                <w:szCs w:val="8"/>
                <w:color w:val="auto"/>
              </w:rPr>
            </w:pPr>
          </w:p>
        </w:tc>
        <w:tc>
          <w:tcPr>
            <w:tcW w:w="46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385,509</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277,405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201,787</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207,877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Income taxes payable</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19,204</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19,992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Deferred income</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86,019</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59,396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Current portion of capital lease obligations</w:t>
            </w:r>
          </w:p>
        </w:tc>
        <w:tc>
          <w:tcPr>
            <w:tcW w:w="46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1,501</w:t>
            </w:r>
          </w:p>
        </w:tc>
        <w:tc>
          <w:tcPr>
            <w:tcW w:w="2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694,020</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566,610</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46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190,352</w:t>
            </w:r>
          </w:p>
        </w:tc>
        <w:tc>
          <w:tcPr>
            <w:tcW w:w="2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185,840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884,372</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752,961</w:t>
            </w:r>
          </w:p>
        </w:tc>
        <w:tc>
          <w:tcPr>
            <w:tcW w:w="0" w:type="dxa"/>
            <w:vAlign w:val="bottom"/>
          </w:tcPr>
          <w:p>
            <w:pPr>
              <w:spacing w:after="0"/>
              <w:rPr>
                <w:sz w:val="1"/>
                <w:szCs w:val="1"/>
                <w:color w:val="auto"/>
              </w:rPr>
            </w:pPr>
          </w:p>
        </w:tc>
      </w:tr>
      <w:tr>
        <w:trPr>
          <w:trHeight w:val="330"/>
        </w:trPr>
        <w:tc>
          <w:tcPr>
            <w:tcW w:w="4860" w:type="dxa"/>
            <w:vAlign w:val="bottom"/>
            <w:gridSpan w:val="2"/>
          </w:tcPr>
          <w:p>
            <w:pPr>
              <w:spacing w:after="0"/>
              <w:rPr>
                <w:sz w:val="20"/>
                <w:szCs w:val="20"/>
                <w:color w:val="auto"/>
              </w:rPr>
            </w:pPr>
            <w:r>
              <w:rPr>
                <w:rFonts w:ascii="Arial" w:cs="Arial" w:eastAsia="Arial" w:hAnsi="Arial"/>
                <w:sz w:val="18"/>
                <w:szCs w:val="18"/>
                <w:color w:val="auto"/>
              </w:rPr>
              <w:t>Shareholders’ equity:</w:t>
            </w:r>
          </w:p>
        </w:tc>
        <w:tc>
          <w:tcPr>
            <w:tcW w:w="464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700" w:type="dxa"/>
            <w:vAlign w:val="bottom"/>
            <w:tcBorders>
              <w:top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72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Common stock</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Additional paid-in capital</w:t>
            </w:r>
          </w:p>
        </w:tc>
        <w:tc>
          <w:tcPr>
            <w:tcW w:w="4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4,745,787</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4,607,844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Accumulated other comprehensive gain (loss)</w:t>
            </w:r>
          </w:p>
        </w:tc>
        <w:tc>
          <w:tcPr>
            <w:tcW w:w="4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Retained earnings (accumulated deficit)</w:t>
            </w:r>
          </w:p>
        </w:tc>
        <w:tc>
          <w:tcPr>
            <w:tcW w:w="4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235,287</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(190,257)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shareholders’ equity</w:t>
            </w:r>
          </w:p>
        </w:tc>
        <w:tc>
          <w:tcPr>
            <w:tcW w:w="46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4,982,905</w:t>
            </w:r>
          </w:p>
        </w:tc>
        <w:tc>
          <w:tcPr>
            <w:tcW w:w="2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4,417,979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74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5,867,277</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5,170,940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640" w:type="dxa"/>
            <w:vAlign w:val="bottom"/>
            <w:vMerge w:val="restart"/>
          </w:tcPr>
          <w:p>
            <w:pPr>
              <w:jc w:val="right"/>
              <w:ind w:right="365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6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60" w:type="dxa"/>
            <w:vAlign w:val="bottom"/>
            <w:gridSpan w:val="6"/>
          </w:tcPr>
          <w:p>
            <w:pPr>
              <w:jc w:val="right"/>
              <w:ind w:right="680"/>
              <w:spacing w:after="0"/>
              <w:rPr>
                <w:sz w:val="20"/>
                <w:szCs w:val="20"/>
                <w:color w:val="auto"/>
              </w:rPr>
            </w:pPr>
            <w:r>
              <w:rPr>
                <w:rFonts w:ascii="Arial" w:cs="Arial" w:eastAsia="Arial" w:hAnsi="Arial"/>
                <w:sz w:val="14"/>
                <w:szCs w:val="14"/>
                <w:b w:val="1"/>
                <w:bCs w:val="1"/>
                <w:color w:val="auto"/>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1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89"/>
              </w:rPr>
              <w:t>July 31,</w:t>
            </w:r>
          </w:p>
        </w:tc>
        <w:tc>
          <w:tcPr>
            <w:tcW w:w="1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3"/>
              <w:spacing w:after="0" w:line="129" w:lineRule="exact"/>
              <w:rPr>
                <w:sz w:val="20"/>
                <w:szCs w:val="20"/>
                <w:color w:val="auto"/>
              </w:rPr>
            </w:pPr>
            <w:r>
              <w:rPr>
                <w:rFonts w:ascii="Arial" w:cs="Arial" w:eastAsia="Arial" w:hAnsi="Arial"/>
                <w:sz w:val="14"/>
                <w:szCs w:val="14"/>
                <w:b w:val="1"/>
                <w:bCs w:val="1"/>
                <w:color w:val="auto"/>
                <w:w w:val="87"/>
              </w:rPr>
              <w:t>August 1,</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rPr>
              <w:t>July 31,</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53"/>
              <w:spacing w:after="0" w:line="129" w:lineRule="exact"/>
              <w:rPr>
                <w:sz w:val="20"/>
                <w:szCs w:val="20"/>
                <w:color w:val="auto"/>
              </w:rPr>
            </w:pPr>
            <w:r>
              <w:rPr>
                <w:rFonts w:ascii="Arial" w:cs="Arial" w:eastAsia="Arial" w:hAnsi="Arial"/>
                <w:sz w:val="14"/>
                <w:szCs w:val="14"/>
                <w:b w:val="1"/>
                <w:bCs w:val="1"/>
                <w:color w:val="auto"/>
                <w:w w:val="87"/>
              </w:rPr>
              <w:t>August 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219,777</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58,493</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425,544</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(52,964)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22,773</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25,030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45,851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50,405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30,689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30,015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57,585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61,663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21,214</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26,446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43,763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56,802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marketable securities premium</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2,777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4,812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Facilities impairment</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1,140</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1,140</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Intel inventory sold</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(1,048)</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(1,733)</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(1,990)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(44)</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(40)</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(229)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 taxes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(1,457)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(1,457)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(42,062)</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(43,095)</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(133,959)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(106,361)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(31,501)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(5,694)</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3,916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100,587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(3,927)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(5,409)</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6,454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8,921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93,949</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103,043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98,775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133,781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liabilities and other</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5,604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2,248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69,059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4,406</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(14,007)</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(6,100)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(974)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Income taxes payable</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(88)</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1,853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4,928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2,690</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(5,773)</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26,623</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(1,708)</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319,238</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182,333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574,829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326,862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5"/>
              </w:rPr>
              <w:t>(522,932)</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(710,810)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Sales and maturities of securities</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198,305</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347,745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acquisitions, net</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(20,679)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(20,679)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(4,569)</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(3,250)</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(6,819)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(12,550)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(22,903)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(3,765)</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(39,298)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(7,179)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40" w:type="dxa"/>
            <w:vAlign w:val="bottom"/>
            <w:vMerge w:val="restart"/>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714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w w:val="95"/>
              </w:rPr>
              <w:t>(372,778)</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(6,965)</w:t>
            </w: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(429,861)</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(19,679)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31,789</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20,636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80,477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21,021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(480)</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(442)</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(950)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44</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229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69</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1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financing activities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31,353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20,234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79,756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20,215</w:t>
            </w:r>
          </w:p>
        </w:tc>
        <w:tc>
          <w:tcPr>
            <w:tcW w:w="0" w:type="dxa"/>
            <w:vAlign w:val="bottom"/>
          </w:tcPr>
          <w:p>
            <w:pPr>
              <w:spacing w:after="0"/>
              <w:rPr>
                <w:sz w:val="1"/>
                <w:szCs w:val="1"/>
                <w:color w:val="auto"/>
              </w:rPr>
            </w:pPr>
          </w:p>
        </w:tc>
      </w:tr>
      <w:tr>
        <w:trPr>
          <w:trHeight w:val="20"/>
        </w:trPr>
        <w:tc>
          <w:tcPr>
            <w:tcW w:w="7160" w:type="dxa"/>
            <w:vAlign w:val="bottom"/>
            <w:gridSpan w:val="2"/>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160" w:type="dxa"/>
            <w:vAlign w:val="bottom"/>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(22,187)</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195,602</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224,724</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327,398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1,352,339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1,059,205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1,105,428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927,409</w:t>
            </w:r>
          </w:p>
        </w:tc>
        <w:tc>
          <w:tcPr>
            <w:tcW w:w="0" w:type="dxa"/>
            <w:vAlign w:val="bottom"/>
          </w:tcPr>
          <w:p>
            <w:pPr>
              <w:spacing w:after="0"/>
              <w:rPr>
                <w:sz w:val="1"/>
                <w:szCs w:val="1"/>
                <w:color w:val="auto"/>
              </w:rPr>
            </w:pPr>
          </w:p>
        </w:tc>
      </w:tr>
      <w:tr>
        <w:trPr>
          <w:trHeight w:val="20"/>
        </w:trPr>
        <w:tc>
          <w:tcPr>
            <w:tcW w:w="7160" w:type="dxa"/>
            <w:vAlign w:val="bottom"/>
            <w:gridSpan w:val="2"/>
            <w:vMerge w:val="restart"/>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160" w:type="dxa"/>
            <w:vAlign w:val="bottom"/>
            <w:gridSpan w:val="2"/>
            <w:vMerge w:val="continue"/>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1,330,152</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1,254,807</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1,330,152</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1,254,807</w:t>
            </w:r>
          </w:p>
        </w:tc>
        <w:tc>
          <w:tcPr>
            <w:tcW w:w="0" w:type="dxa"/>
            <w:vAlign w:val="bottom"/>
          </w:tcPr>
          <w:p>
            <w:pPr>
              <w:spacing w:after="0"/>
              <w:rPr>
                <w:sz w:val="1"/>
                <w:szCs w:val="1"/>
                <w:color w:val="auto"/>
              </w:rPr>
            </w:pPr>
          </w:p>
        </w:tc>
      </w:tr>
      <w:tr>
        <w:trPr>
          <w:trHeight w:val="20"/>
        </w:trPr>
        <w:tc>
          <w:tcPr>
            <w:tcW w:w="7160" w:type="dxa"/>
            <w:vAlign w:val="bottom"/>
            <w:gridSpan w:val="2"/>
            <w:vMerge w:val="restart"/>
          </w:tcPr>
          <w:p>
            <w:pPr>
              <w:jc w:val="right"/>
              <w:ind w:right="1312"/>
              <w:spacing w:after="0"/>
              <w:rPr>
                <w:sz w:val="20"/>
                <w:szCs w:val="20"/>
                <w:color w:val="auto"/>
              </w:rPr>
            </w:pPr>
            <w:r>
              <w:rPr>
                <w:rFonts w:ascii="Arial" w:cs="Arial" w:eastAsia="Arial" w:hAnsi="Arial"/>
                <w:sz w:val="18"/>
                <w:szCs w:val="18"/>
                <w:color w:val="auto"/>
              </w:rPr>
              <w:t>9</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16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2019-12-10T16:21:38Z</dcterms:created>
  <dcterms:modified xsi:type="dcterms:W3CDTF">2019-12-10T16:21:38Z</dcterms:modified>
</cp:coreProperties>
</file>