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201930</wp:posOffset>
            </wp:positionH>
            <wp:positionV relativeFrom="page">
              <wp:posOffset>228600</wp:posOffset>
            </wp:positionV>
            <wp:extent cx="7544435" cy="13335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43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5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September 1, 2010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Dr. Sehat Sutardja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President and Chief Executive Officer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Marvell Technology Group Ltd.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5488 Marvell Lane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Santa Clara, CA 95054</w:t>
      </w: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720"/>
        <w:spacing w:after="0"/>
        <w:tabs>
          <w:tab w:leader="none" w:pos="14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Re:</w:t>
        <w:tab/>
        <w:t>Marvell Technology Group LTD.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Form10-K for the year ended January 30, 2010</w:t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 No. 000-30877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Dear Dr. Sutardja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right="220" w:firstLine="72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We have completed our review of your filings and do not have any further comments at this time.</w:t>
      </w: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5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5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Jeff Jaramillo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5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Accounting Branch Chief</w:t>
      </w:r>
    </w:p>
    <w:sectPr>
      <w:pgSz w:w="12240" w:h="15840" w:orient="portrait"/>
      <w:cols w:equalWidth="0" w:num="1">
        <w:col w:w="936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2019-12-10T17:11:23Z</dcterms:created>
  <dcterms:modified xsi:type="dcterms:W3CDTF">2019-12-10T17:11:23Z</dcterms:modified>
</cp:coreProperties>
</file>