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highlight w:val="black"/>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July 31, 2010</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highlight w:val="black"/>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60"/>
          </w:cols>
          <w:pgMar w:left="240" w:top="230" w:right="23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40" w:space="720"/>
            <w:col w:w="326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2"/>
              </w:rPr>
              <w:t>The number of common shares of the registrant outstanding as of August 20, 2010 was 650.6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520" w:type="dxa"/>
            <w:vAlign w:val="bottom"/>
            <w:gridSpan w:val="11"/>
            <w:vMerge w:val="restart"/>
          </w:tcPr>
          <w:p>
            <w:pPr>
              <w:jc w:val="center"/>
              <w:ind w:right="234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520" w:type="dxa"/>
            <w:vAlign w:val="bottom"/>
            <w:gridSpan w:val="11"/>
            <w:vMerge w:val="continue"/>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340" w:type="dxa"/>
            <w:vAlign w:val="bottom"/>
            <w:gridSpan w:val="7"/>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24"/>
                <w:szCs w:val="24"/>
                <w:color w:val="auto"/>
              </w:rPr>
            </w:pPr>
          </w:p>
        </w:tc>
        <w:tc>
          <w:tcPr>
            <w:tcW w:w="3940" w:type="dxa"/>
            <w:vAlign w:val="bottom"/>
            <w:gridSpan w:val="4"/>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74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260" w:type="dxa"/>
            <w:vAlign w:val="bottom"/>
            <w:gridSpan w:val="17"/>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July 31, 2010 and January 30, 2010</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740" w:type="dxa"/>
            <w:vAlign w:val="bottom"/>
            <w:gridSpan w:val="2"/>
            <w:shd w:val="clear" w:color="auto" w:fill="0000EE"/>
          </w:tcPr>
          <w:p>
            <w:pPr>
              <w:spacing w:after="0" w:line="20" w:lineRule="exact"/>
              <w:rPr>
                <w:sz w:val="1"/>
                <w:szCs w:val="1"/>
                <w:color w:val="auto"/>
              </w:rPr>
            </w:pPr>
          </w:p>
        </w:tc>
        <w:tc>
          <w:tcPr>
            <w:tcW w:w="7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5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240" w:type="dxa"/>
            <w:vAlign w:val="bottom"/>
            <w:tcBorders>
              <w:bottom w:val="single" w:sz="8" w:color="0000EE"/>
            </w:tcBorders>
            <w:gridSpan w:val="16"/>
          </w:tcPr>
          <w:p>
            <w:pPr>
              <w:spacing w:after="0"/>
              <w:rPr>
                <w:rFonts w:ascii="Arial" w:cs="Arial" w:eastAsia="Arial" w:hAnsi="Arial"/>
                <w:sz w:val="18"/>
                <w:szCs w:val="18"/>
                <w:color w:val="0000EE"/>
                <w:w w:val="87"/>
              </w:rPr>
            </w:pPr>
            <w:hyperlink w:anchor="page4">
              <w:r>
                <w:rPr>
                  <w:rFonts w:ascii="Arial" w:cs="Arial" w:eastAsia="Arial" w:hAnsi="Arial"/>
                  <w:sz w:val="18"/>
                  <w:szCs w:val="18"/>
                  <w:color w:val="0000EE"/>
                  <w:w w:val="87"/>
                </w:rPr>
                <w:t>Unaudited Condensed Consolidated Statements of Operations for the three and six months ended July 31, 2010 and August 1, 2009</w:t>
              </w:r>
            </w:hyperlink>
          </w:p>
        </w:tc>
        <w:tc>
          <w:tcPr>
            <w:tcW w:w="102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600" w:type="dxa"/>
            <w:vAlign w:val="bottom"/>
            <w:tcBorders>
              <w:bottom w:val="single" w:sz="8" w:color="0000EE"/>
            </w:tcBorders>
            <w:gridSpan w:val="15"/>
          </w:tcPr>
          <w:p>
            <w:pPr>
              <w:spacing w:after="0"/>
              <w:rPr>
                <w:rFonts w:ascii="Arial" w:cs="Arial" w:eastAsia="Arial" w:hAnsi="Arial"/>
                <w:sz w:val="18"/>
                <w:szCs w:val="18"/>
                <w:color w:val="0000EE"/>
                <w:w w:val="87"/>
              </w:rPr>
            </w:pPr>
            <w:hyperlink w:anchor="page5">
              <w:r>
                <w:rPr>
                  <w:rFonts w:ascii="Arial" w:cs="Arial" w:eastAsia="Arial" w:hAnsi="Arial"/>
                  <w:sz w:val="18"/>
                  <w:szCs w:val="18"/>
                  <w:color w:val="0000EE"/>
                  <w:w w:val="87"/>
                </w:rPr>
                <w:t>Unaudited Condensed Consolidated Statements of Cash Flows for the six months ended July 31, 2010 and August 1, 2009</w:t>
              </w:r>
            </w:hyperlink>
          </w:p>
        </w:tc>
        <w:tc>
          <w:tcPr>
            <w:tcW w:w="1660" w:type="dxa"/>
            <w:vAlign w:val="bottom"/>
            <w:gridSpan w:val="2"/>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80" w:type="dxa"/>
            <w:vAlign w:val="bottom"/>
            <w:tcBorders>
              <w:bottom w:val="single" w:sz="8" w:color="0000EE"/>
            </w:tcBorders>
            <w:gridSpan w:val="10"/>
          </w:tcPr>
          <w:p>
            <w:pPr>
              <w:spacing w:after="0"/>
              <w:rPr>
                <w:rFonts w:ascii="Arial" w:cs="Arial" w:eastAsia="Arial" w:hAnsi="Arial"/>
                <w:sz w:val="18"/>
                <w:szCs w:val="18"/>
                <w:color w:val="0000EE"/>
                <w:w w:val="87"/>
              </w:rPr>
            </w:pPr>
            <w:hyperlink w:anchor="page6">
              <w:r>
                <w:rPr>
                  <w:rFonts w:ascii="Arial" w:cs="Arial" w:eastAsia="Arial" w:hAnsi="Arial"/>
                  <w:sz w:val="18"/>
                  <w:szCs w:val="18"/>
                  <w:color w:val="0000EE"/>
                  <w:w w:val="87"/>
                </w:rPr>
                <w:t>Notes to Unaudited Condensed Consolidated Financial Statements</w:t>
              </w:r>
            </w:hyperlink>
          </w:p>
        </w:tc>
        <w:tc>
          <w:tcPr>
            <w:tcW w:w="5580" w:type="dxa"/>
            <w:vAlign w:val="bottom"/>
            <w:gridSpan w:val="7"/>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260" w:type="dxa"/>
            <w:vAlign w:val="bottom"/>
            <w:gridSpan w:val="17"/>
          </w:tcPr>
          <w:p>
            <w:pPr>
              <w:spacing w:after="0"/>
              <w:rPr>
                <w:rFonts w:ascii="Arial" w:cs="Arial" w:eastAsia="Arial" w:hAnsi="Arial"/>
                <w:sz w:val="18"/>
                <w:szCs w:val="18"/>
                <w:color w:val="0000EE"/>
              </w:rPr>
            </w:pPr>
            <w:hyperlink w:anchor="page25">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89"/>
              </w:rPr>
            </w:pPr>
            <w:hyperlink w:anchor="page31">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3"/>
          </w:tcPr>
          <w:p>
            <w:pPr>
              <w:spacing w:after="0"/>
              <w:rPr>
                <w:sz w:val="24"/>
                <w:szCs w:val="24"/>
                <w:color w:val="auto"/>
              </w:rPr>
            </w:pPr>
          </w:p>
        </w:tc>
        <w:tc>
          <w:tcPr>
            <w:tcW w:w="3960" w:type="dxa"/>
            <w:vAlign w:val="bottom"/>
            <w:gridSpan w:val="5"/>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260" w:type="dxa"/>
            <w:vAlign w:val="bottom"/>
            <w:gridSpan w:val="17"/>
          </w:tcPr>
          <w:p>
            <w:pPr>
              <w:spacing w:after="0"/>
              <w:rPr>
                <w:rFonts w:ascii="Arial" w:cs="Arial" w:eastAsia="Arial" w:hAnsi="Arial"/>
                <w:sz w:val="18"/>
                <w:szCs w:val="18"/>
                <w:color w:val="0000EE"/>
              </w:rPr>
            </w:pPr>
            <w:hyperlink w:anchor="page33">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16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780" w:type="dxa"/>
            <w:vAlign w:val="bottom"/>
            <w:gridSpan w:val="9"/>
          </w:tcPr>
          <w:p>
            <w:pPr>
              <w:jc w:val="center"/>
              <w:ind w:right="4080"/>
              <w:spacing w:after="0"/>
              <w:rPr>
                <w:rFonts w:ascii="Arial" w:cs="Arial" w:eastAsia="Arial" w:hAnsi="Arial"/>
                <w:sz w:val="18"/>
                <w:szCs w:val="18"/>
                <w:b w:val="1"/>
                <w:bCs w:val="1"/>
                <w:color w:val="0000EE"/>
              </w:rPr>
            </w:pPr>
            <w:hyperlink w:anchor="page33">
              <w:r>
                <w:rPr>
                  <w:rFonts w:ascii="Arial" w:cs="Arial" w:eastAsia="Arial" w:hAnsi="Arial"/>
                  <w:sz w:val="18"/>
                  <w:szCs w:val="18"/>
                  <w:b w:val="1"/>
                  <w:bCs w:val="1"/>
                  <w:color w:val="0000EE"/>
                </w:rPr>
                <w:t>PART II. OTHER INFORMATION</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480" w:type="dxa"/>
            <w:vAlign w:val="bottom"/>
            <w:gridSpan w:val="8"/>
          </w:tcPr>
          <w:p>
            <w:pPr>
              <w:spacing w:after="0"/>
              <w:rPr>
                <w:rFonts w:ascii="Arial" w:cs="Arial" w:eastAsia="Arial" w:hAnsi="Arial"/>
                <w:sz w:val="18"/>
                <w:szCs w:val="18"/>
                <w:color w:val="0000EE"/>
              </w:rPr>
            </w:pPr>
            <w:hyperlink w:anchor="page33">
              <w:r>
                <w:rPr>
                  <w:rFonts w:ascii="Arial" w:cs="Arial" w:eastAsia="Arial" w:hAnsi="Arial"/>
                  <w:sz w:val="18"/>
                  <w:szCs w:val="18"/>
                  <w:color w:val="0000EE"/>
                </w:rPr>
                <w:t>Legal Proceedings</w:t>
              </w:r>
            </w:hyperlink>
          </w:p>
        </w:tc>
        <w:tc>
          <w:tcPr>
            <w:tcW w:w="2700" w:type="dxa"/>
            <w:vAlign w:val="bottom"/>
            <w:tcBorders>
              <w:top w:val="single" w:sz="8" w:color="0000EE"/>
            </w:tcBorders>
            <w:gridSpan w:val="3"/>
          </w:tcPr>
          <w:p>
            <w:pPr>
              <w:spacing w:after="0"/>
              <w:rPr>
                <w:sz w:val="24"/>
                <w:szCs w:val="24"/>
                <w:color w:val="auto"/>
              </w:rPr>
            </w:pPr>
          </w:p>
        </w:tc>
        <w:tc>
          <w:tcPr>
            <w:tcW w:w="4080" w:type="dxa"/>
            <w:vAlign w:val="bottom"/>
            <w:gridSpan w:val="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4"/>
          </w:tcPr>
          <w:p>
            <w:pPr>
              <w:spacing w:after="0"/>
              <w:rPr>
                <w:rFonts w:ascii="Arial" w:cs="Arial" w:eastAsia="Arial" w:hAnsi="Arial"/>
                <w:sz w:val="18"/>
                <w:szCs w:val="18"/>
                <w:color w:val="0000EE"/>
              </w:rPr>
            </w:pPr>
            <w:hyperlink w:anchor="page33">
              <w:r>
                <w:rPr>
                  <w:rFonts w:ascii="Arial" w:cs="Arial" w:eastAsia="Arial" w:hAnsi="Arial"/>
                  <w:sz w:val="18"/>
                  <w:szCs w:val="18"/>
                  <w:color w:val="0000EE"/>
                </w:rPr>
                <w:t>Risk Factors</w:t>
              </w:r>
            </w:hyperlink>
          </w:p>
        </w:tc>
        <w:tc>
          <w:tcPr>
            <w:tcW w:w="8960" w:type="dxa"/>
            <w:vAlign w:val="bottom"/>
            <w:gridSpan w:val="13"/>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6.</w:t>
            </w:r>
          </w:p>
        </w:tc>
        <w:tc>
          <w:tcPr>
            <w:tcW w:w="880" w:type="dxa"/>
            <w:vAlign w:val="bottom"/>
            <w:tcBorders>
              <w:top w:val="single" w:sz="8" w:color="0000EE"/>
            </w:tcBorders>
            <w:gridSpan w:val="3"/>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Exhibits</w:t>
              </w:r>
            </w:hyperlink>
          </w:p>
        </w:tc>
        <w:tc>
          <w:tcPr>
            <w:tcW w:w="9380" w:type="dxa"/>
            <w:vAlign w:val="bottom"/>
            <w:gridSpan w:val="14"/>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rFonts w:ascii="Arial" w:cs="Arial" w:eastAsia="Arial" w:hAnsi="Arial"/>
                <w:sz w:val="18"/>
                <w:szCs w:val="18"/>
                <w:color w:val="0000EE"/>
                <w:w w:val="99"/>
              </w:rPr>
            </w:pPr>
            <w:hyperlink w:anchor="page47">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180" w:type="dxa"/>
            <w:vAlign w:val="bottom"/>
            <w:gridSpan w:val="16"/>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140" w:type="dxa"/>
            <w:vAlign w:val="bottom"/>
            <w:gridSpan w:val="19"/>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100" w:type="dxa"/>
            <w:vAlign w:val="bottom"/>
            <w:gridSpan w:val="10"/>
          </w:tcPr>
          <w:p>
            <w:pPr>
              <w:jc w:val="center"/>
              <w:ind w:left="3332"/>
              <w:spacing w:after="0"/>
              <w:rPr>
                <w:sz w:val="20"/>
                <w:szCs w:val="20"/>
                <w:color w:val="auto"/>
              </w:rPr>
            </w:pPr>
            <w:r>
              <w:rPr>
                <w:rFonts w:ascii="Arial" w:cs="Arial" w:eastAsia="Arial" w:hAnsi="Arial"/>
                <w:sz w:val="18"/>
                <w:szCs w:val="18"/>
                <w:color w:val="auto"/>
                <w:w w:val="79"/>
              </w:rPr>
              <w:t>2</w:t>
            </w: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0" w:type="dxa"/>
            <w:vAlign w:val="bottom"/>
          </w:tcPr>
          <w:p>
            <w:pPr>
              <w:jc w:val="center"/>
              <w:ind w:left="1392"/>
              <w:spacing w:after="0"/>
              <w:rPr>
                <w:sz w:val="20"/>
                <w:szCs w:val="20"/>
                <w:color w:val="auto"/>
              </w:rPr>
            </w:pPr>
            <w:r>
              <w:rPr>
                <w:rFonts w:ascii="Arial" w:cs="Arial" w:eastAsia="Arial" w:hAnsi="Arial"/>
                <w:sz w:val="18"/>
                <w:szCs w:val="18"/>
                <w:b w:val="1"/>
                <w:bCs w:val="1"/>
                <w:color w:val="auto"/>
              </w:rPr>
              <w:t>PART I: FINANCIAL INFORMATION</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780" w:type="dxa"/>
            <w:vAlign w:val="bottom"/>
            <w:gridSpan w:val="2"/>
          </w:tcPr>
          <w:p>
            <w:pPr>
              <w:spacing w:after="0"/>
              <w:rPr>
                <w:sz w:val="20"/>
                <w:szCs w:val="20"/>
                <w:color w:val="auto"/>
              </w:rPr>
            </w:pPr>
            <w:r>
              <w:rPr>
                <w:rFonts w:ascii="Arial" w:cs="Arial" w:eastAsia="Arial" w:hAnsi="Arial"/>
                <w:sz w:val="18"/>
                <w:szCs w:val="18"/>
                <w:b w:val="1"/>
                <w:bCs w:val="1"/>
                <w:color w:val="auto"/>
              </w:rPr>
              <w:t>Item 1.</w:t>
            </w:r>
          </w:p>
        </w:tc>
        <w:tc>
          <w:tcPr>
            <w:tcW w:w="8400" w:type="dxa"/>
            <w:vAlign w:val="bottom"/>
          </w:tcPr>
          <w:p>
            <w:pPr>
              <w:ind w:left="260"/>
              <w:spacing w:after="0"/>
              <w:rPr>
                <w:sz w:val="20"/>
                <w:szCs w:val="20"/>
                <w:color w:val="auto"/>
              </w:rPr>
            </w:pPr>
            <w:r>
              <w:rPr>
                <w:rFonts w:ascii="Arial" w:cs="Arial" w:eastAsia="Arial" w:hAnsi="Arial"/>
                <w:sz w:val="18"/>
                <w:szCs w:val="18"/>
                <w:b w:val="1"/>
                <w:bCs w:val="1"/>
                <w:color w:val="auto"/>
              </w:rPr>
              <w:t>Financial Statements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8"/>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0" w:type="dxa"/>
            <w:vAlign w:val="bottom"/>
          </w:tcPr>
          <w:p>
            <w:pPr>
              <w:jc w:val="center"/>
              <w:ind w:left="1392"/>
              <w:spacing w:after="0"/>
              <w:rPr>
                <w:sz w:val="20"/>
                <w:szCs w:val="20"/>
                <w:color w:val="auto"/>
              </w:rPr>
            </w:pPr>
            <w:r>
              <w:rPr>
                <w:rFonts w:ascii="Arial" w:cs="Arial" w:eastAsia="Arial" w:hAnsi="Arial"/>
                <w:sz w:val="18"/>
                <w:szCs w:val="18"/>
                <w:b w:val="1"/>
                <w:bCs w:val="1"/>
                <w:color w:val="auto"/>
                <w:w w:val="99"/>
              </w:rPr>
              <w:t>MARVELL TECHNOLOGY GROUP LTD.</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0" w:type="dxa"/>
            <w:vAlign w:val="bottom"/>
          </w:tcPr>
          <w:p>
            <w:pPr>
              <w:jc w:val="center"/>
              <w:ind w:left="1372"/>
              <w:spacing w:after="0"/>
              <w:rPr>
                <w:sz w:val="20"/>
                <w:szCs w:val="20"/>
                <w:color w:val="auto"/>
              </w:rPr>
            </w:pPr>
            <w:r>
              <w:rPr>
                <w:rFonts w:ascii="Arial" w:cs="Arial" w:eastAsia="Arial" w:hAnsi="Arial"/>
                <w:sz w:val="18"/>
                <w:szCs w:val="18"/>
                <w:b w:val="1"/>
                <w:bCs w:val="1"/>
                <w:color w:val="auto"/>
                <w:w w:val="97"/>
              </w:rPr>
              <w:t>UNAUDITED CONDENSED CONSOLIDATED BALANCE SHEETS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0" w:type="dxa"/>
            <w:vAlign w:val="bottom"/>
          </w:tcPr>
          <w:p>
            <w:pPr>
              <w:jc w:val="center"/>
              <w:ind w:left="1372"/>
              <w:spacing w:after="0"/>
              <w:rPr>
                <w:sz w:val="20"/>
                <w:szCs w:val="20"/>
                <w:color w:val="auto"/>
              </w:rPr>
            </w:pPr>
            <w:r>
              <w:rPr>
                <w:rFonts w:ascii="Arial" w:cs="Arial" w:eastAsia="Arial" w:hAnsi="Arial"/>
                <w:sz w:val="18"/>
                <w:szCs w:val="18"/>
                <w:b w:val="1"/>
                <w:bCs w:val="1"/>
                <w:color w:val="auto"/>
                <w:w w:val="85"/>
              </w:rPr>
              <w:t>(in thousands)</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400" w:type="dxa"/>
            <w:vAlign w:val="bottom"/>
          </w:tcPr>
          <w:p>
            <w:pPr>
              <w:spacing w:after="0"/>
              <w:rPr>
                <w:sz w:val="24"/>
                <w:szCs w:val="24"/>
                <w:color w:val="auto"/>
              </w:rPr>
            </w:pPr>
          </w:p>
        </w:tc>
        <w:tc>
          <w:tcPr>
            <w:tcW w:w="1140" w:type="dxa"/>
            <w:vAlign w:val="bottom"/>
            <w:gridSpan w:val="3"/>
          </w:tcPr>
          <w:p>
            <w:pPr>
              <w:ind w:left="20"/>
              <w:spacing w:after="0"/>
              <w:rPr>
                <w:sz w:val="20"/>
                <w:szCs w:val="20"/>
                <w:color w:val="auto"/>
              </w:rPr>
            </w:pPr>
            <w:r>
              <w:rPr>
                <w:rFonts w:ascii="Arial" w:cs="Arial" w:eastAsia="Arial" w:hAnsi="Arial"/>
                <w:sz w:val="14"/>
                <w:szCs w:val="14"/>
                <w:b w:val="1"/>
                <w:bCs w:val="1"/>
                <w:color w:val="auto"/>
              </w:rPr>
              <w:t>July 31, 2010</w:t>
            </w:r>
          </w:p>
        </w:tc>
        <w:tc>
          <w:tcPr>
            <w:tcW w:w="1100" w:type="dxa"/>
            <w:vAlign w:val="bottom"/>
            <w:gridSpan w:val="3"/>
          </w:tcPr>
          <w:p>
            <w:pPr>
              <w:spacing w:after="0"/>
              <w:rPr>
                <w:sz w:val="20"/>
                <w:szCs w:val="20"/>
                <w:color w:val="auto"/>
              </w:rPr>
            </w:pPr>
            <w:r>
              <w:rPr>
                <w:rFonts w:ascii="Arial" w:cs="Arial" w:eastAsia="Arial" w:hAnsi="Arial"/>
                <w:sz w:val="14"/>
                <w:szCs w:val="14"/>
                <w:b w:val="1"/>
                <w:bCs w:val="1"/>
                <w:color w:val="auto"/>
                <w:w w:val="96"/>
              </w:rPr>
              <w:t>January 30, 2010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400" w:type="dxa"/>
            <w:vAlign w:val="bottom"/>
            <w:shd w:val="clear" w:color="auto" w:fill="CCEEFF"/>
          </w:tcPr>
          <w:p>
            <w:pPr>
              <w:ind w:left="3320"/>
              <w:spacing w:after="0"/>
              <w:rPr>
                <w:sz w:val="20"/>
                <w:szCs w:val="20"/>
                <w:color w:val="auto"/>
              </w:rPr>
            </w:pPr>
            <w:r>
              <w:rPr>
                <w:rFonts w:ascii="Arial" w:cs="Arial" w:eastAsia="Arial" w:hAnsi="Arial"/>
                <w:sz w:val="18"/>
                <w:szCs w:val="18"/>
                <w:b w:val="1"/>
                <w:bCs w:val="1"/>
                <w:color w:val="auto"/>
              </w:rPr>
              <w:t>ASSETS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spacing w:after="0"/>
              <w:rPr>
                <w:sz w:val="20"/>
                <w:szCs w:val="20"/>
                <w:color w:val="auto"/>
              </w:rPr>
            </w:pPr>
            <w:r>
              <w:rPr>
                <w:rFonts w:ascii="Arial" w:cs="Arial" w:eastAsia="Arial" w:hAnsi="Arial"/>
                <w:sz w:val="18"/>
                <w:szCs w:val="18"/>
                <w:color w:val="auto"/>
              </w:rPr>
              <w:t>Current assets: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Cash and cash equivalents</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1,330,152</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9"/>
              </w:rPr>
              <w:t>1,105,428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ind w:left="420"/>
              <w:spacing w:after="0"/>
              <w:rPr>
                <w:sz w:val="20"/>
                <w:szCs w:val="20"/>
                <w:color w:val="auto"/>
              </w:rPr>
            </w:pPr>
            <w:r>
              <w:rPr>
                <w:rFonts w:ascii="Arial" w:cs="Arial" w:eastAsia="Arial" w:hAnsi="Arial"/>
                <w:sz w:val="18"/>
                <w:szCs w:val="18"/>
                <w:color w:val="auto"/>
              </w:rPr>
              <w:t>Short-term investments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1,049,799</w:t>
            </w: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691,289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Accounts receivable, net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490,755</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356,796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ind w:left="42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239,320</w:t>
            </w: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241,541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Prepaids and other current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64,081</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62,527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160" w:type="dxa"/>
            <w:vAlign w:val="bottom"/>
            <w:gridSpan w:val="2"/>
          </w:tcPr>
          <w:p>
            <w:pPr>
              <w:ind w:left="420"/>
              <w:spacing w:after="0"/>
              <w:rPr>
                <w:sz w:val="20"/>
                <w:szCs w:val="20"/>
                <w:color w:val="auto"/>
              </w:rPr>
            </w:pPr>
            <w:r>
              <w:rPr>
                <w:rFonts w:ascii="Arial" w:cs="Arial" w:eastAsia="Arial" w:hAnsi="Arial"/>
                <w:sz w:val="18"/>
                <w:szCs w:val="18"/>
                <w:color w:val="auto"/>
              </w:rPr>
              <w:t>Deferred income taxes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7,964</w:t>
            </w:r>
          </w:p>
        </w:tc>
        <w:tc>
          <w:tcPr>
            <w:tcW w:w="34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7,964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4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current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3,182,071</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9"/>
              </w:rPr>
              <w:t>2,465,545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spacing w:after="0"/>
              <w:rPr>
                <w:sz w:val="20"/>
                <w:szCs w:val="20"/>
                <w:color w:val="auto"/>
              </w:rPr>
            </w:pPr>
            <w:r>
              <w:rPr>
                <w:rFonts w:ascii="Arial" w:cs="Arial" w:eastAsia="Arial" w:hAnsi="Arial"/>
                <w:sz w:val="18"/>
                <w:szCs w:val="18"/>
                <w:color w:val="auto"/>
              </w:rPr>
              <w:t>Property and equipment, net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343,445</w:t>
            </w: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342,497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34,184</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34,281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tcPr>
          <w:p>
            <w:pPr>
              <w:spacing w:after="0"/>
              <w:rPr>
                <w:sz w:val="20"/>
                <w:szCs w:val="20"/>
                <w:color w:val="auto"/>
              </w:rPr>
            </w:pPr>
            <w:r>
              <w:rPr>
                <w:rFonts w:ascii="Arial" w:cs="Arial" w:eastAsia="Arial" w:hAnsi="Arial"/>
                <w:sz w:val="18"/>
                <w:szCs w:val="18"/>
                <w:color w:val="auto"/>
              </w:rPr>
              <w:t>Goodwill</w:t>
            </w:r>
          </w:p>
        </w:tc>
        <w:tc>
          <w:tcPr>
            <w:tcW w:w="8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2,000,544</w:t>
            </w: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w w:val="99"/>
              </w:rPr>
              <w:t>1,997,662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152,880</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179,101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160" w:type="dxa"/>
            <w:vAlign w:val="bottom"/>
            <w:gridSpan w:val="2"/>
          </w:tcPr>
          <w:p>
            <w:pPr>
              <w:spacing w:after="0"/>
              <w:rPr>
                <w:sz w:val="20"/>
                <w:szCs w:val="20"/>
                <w:color w:val="auto"/>
              </w:rPr>
            </w:pPr>
            <w:r>
              <w:rPr>
                <w:rFonts w:ascii="Arial" w:cs="Arial" w:eastAsia="Arial" w:hAnsi="Arial"/>
                <w:sz w:val="18"/>
                <w:szCs w:val="18"/>
                <w:color w:val="auto"/>
              </w:rPr>
              <w:t>Other non-current assets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154,153</w:t>
            </w:r>
          </w:p>
        </w:tc>
        <w:tc>
          <w:tcPr>
            <w:tcW w:w="34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151,854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4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assets</w:t>
            </w:r>
          </w:p>
        </w:tc>
        <w:tc>
          <w:tcPr>
            <w:tcW w:w="80" w:type="dxa"/>
            <w:vAlign w:val="bottom"/>
            <w:shd w:val="clear" w:color="auto" w:fill="CCEEFF"/>
          </w:tcPr>
          <w:p>
            <w:pPr>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5,867,277</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9"/>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400" w:type="dxa"/>
            <w:vAlign w:val="bottom"/>
            <w:vMerge w:val="restart"/>
          </w:tcPr>
          <w:p>
            <w:pPr>
              <w:ind w:left="1740"/>
              <w:spacing w:after="0"/>
              <w:rPr>
                <w:sz w:val="20"/>
                <w:szCs w:val="20"/>
                <w:color w:val="auto"/>
              </w:rPr>
            </w:pPr>
            <w:r>
              <w:rPr>
                <w:rFonts w:ascii="Arial" w:cs="Arial" w:eastAsia="Arial" w:hAnsi="Arial"/>
                <w:sz w:val="18"/>
                <w:szCs w:val="18"/>
                <w:b w:val="1"/>
                <w:bCs w:val="1"/>
                <w:color w:val="auto"/>
              </w:rPr>
              <w:t>LIABILITIES AND SHAREHOLDERS’ EQUITY</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40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ind w:left="42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385,509</w:t>
            </w:r>
          </w:p>
        </w:tc>
        <w:tc>
          <w:tcPr>
            <w:tcW w:w="340" w:type="dxa"/>
            <w:vAlign w:val="bottom"/>
          </w:tcPr>
          <w:p>
            <w:pPr>
              <w:spacing w:after="0"/>
              <w:rPr>
                <w:sz w:val="18"/>
                <w:szCs w:val="18"/>
                <w:color w:val="auto"/>
              </w:rPr>
            </w:pP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277,405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Accrued liabilities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82,573</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82,067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ind w:left="42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119,214</w:t>
            </w: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125,810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Income taxes payable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19,204</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19,992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ind w:left="42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86,019</w:t>
            </w: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59,396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1,501</w:t>
            </w:r>
          </w:p>
        </w:tc>
        <w:tc>
          <w:tcPr>
            <w:tcW w:w="3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0" w:type="dxa"/>
            <w:vAlign w:val="bottom"/>
          </w:tcPr>
          <w:p>
            <w:pPr>
              <w:ind w:left="100"/>
              <w:spacing w:after="0"/>
              <w:rPr>
                <w:sz w:val="20"/>
                <w:szCs w:val="20"/>
                <w:color w:val="auto"/>
              </w:rPr>
            </w:pPr>
            <w:r>
              <w:rPr>
                <w:rFonts w:ascii="Arial" w:cs="Arial" w:eastAsia="Arial" w:hAnsi="Arial"/>
                <w:sz w:val="18"/>
                <w:szCs w:val="18"/>
                <w:color w:val="auto"/>
              </w:rPr>
              <w:t>Total current liabilities</w:t>
            </w: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694,020</w:t>
            </w:r>
          </w:p>
        </w:tc>
        <w:tc>
          <w:tcPr>
            <w:tcW w:w="3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566,610</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spacing w:after="0"/>
              <w:rPr>
                <w:sz w:val="20"/>
                <w:szCs w:val="20"/>
                <w:color w:val="auto"/>
              </w:rPr>
            </w:pPr>
            <w:r>
              <w:rPr>
                <w:rFonts w:ascii="Arial" w:cs="Arial" w:eastAsia="Arial" w:hAnsi="Arial"/>
                <w:sz w:val="18"/>
                <w:szCs w:val="18"/>
                <w:color w:val="auto"/>
              </w:rPr>
              <w:t>Non-current income taxes payable</w:t>
            </w:r>
          </w:p>
        </w:tc>
        <w:tc>
          <w:tcPr>
            <w:tcW w:w="80" w:type="dxa"/>
            <w:vAlign w:val="bottom"/>
          </w:tcPr>
          <w:p>
            <w:pPr>
              <w:spacing w:after="0"/>
              <w:rPr>
                <w:sz w:val="18"/>
                <w:szCs w:val="18"/>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8"/>
                <w:szCs w:val="18"/>
                <w:color w:val="auto"/>
              </w:rPr>
              <w:t>119,881</w:t>
            </w: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117,240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70,471</w:t>
            </w:r>
          </w:p>
        </w:tc>
        <w:tc>
          <w:tcPr>
            <w:tcW w:w="3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68,600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8400" w:type="dxa"/>
            <w:vAlign w:val="bottom"/>
          </w:tcPr>
          <w:p>
            <w:pPr>
              <w:ind w:left="100"/>
              <w:spacing w:after="0"/>
              <w:rPr>
                <w:sz w:val="20"/>
                <w:szCs w:val="20"/>
                <w:color w:val="auto"/>
              </w:rPr>
            </w:pPr>
            <w:r>
              <w:rPr>
                <w:rFonts w:ascii="Arial" w:cs="Arial" w:eastAsia="Arial" w:hAnsi="Arial"/>
                <w:sz w:val="18"/>
                <w:szCs w:val="18"/>
                <w:color w:val="auto"/>
              </w:rPr>
              <w:t>Total liabilities</w:t>
            </w:r>
          </w:p>
        </w:tc>
        <w:tc>
          <w:tcPr>
            <w:tcW w:w="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884,372</w:t>
            </w:r>
          </w:p>
        </w:tc>
        <w:tc>
          <w:tcPr>
            <w:tcW w:w="3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rPr>
              <w:t>752,961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Commitments and contingencies (Note 9)</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spacing w:after="0"/>
              <w:rPr>
                <w:sz w:val="20"/>
                <w:szCs w:val="20"/>
                <w:color w:val="auto"/>
              </w:rPr>
            </w:pPr>
            <w:r>
              <w:rPr>
                <w:rFonts w:ascii="Arial" w:cs="Arial" w:eastAsia="Arial" w:hAnsi="Arial"/>
                <w:sz w:val="18"/>
                <w:szCs w:val="18"/>
                <w:color w:val="auto"/>
              </w:rPr>
              <w:t>Shareholders’ equity:</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Common shares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tcPr>
          <w:p>
            <w:pPr>
              <w:ind w:left="420"/>
              <w:spacing w:after="0"/>
              <w:rPr>
                <w:sz w:val="20"/>
                <w:szCs w:val="20"/>
                <w:color w:val="auto"/>
              </w:rPr>
            </w:pPr>
            <w:r>
              <w:rPr>
                <w:rFonts w:ascii="Arial" w:cs="Arial" w:eastAsia="Arial" w:hAnsi="Arial"/>
                <w:sz w:val="18"/>
                <w:szCs w:val="18"/>
                <w:color w:val="auto"/>
              </w:rPr>
              <w:t>Additional paid-in capital</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4,745,787</w:t>
            </w: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w w:val="99"/>
              </w:rPr>
              <w:t>4,607,844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1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Accumulated other comprehensive income (loss)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160" w:type="dxa"/>
            <w:vAlign w:val="bottom"/>
            <w:gridSpan w:val="2"/>
          </w:tcPr>
          <w:p>
            <w:pPr>
              <w:ind w:left="420"/>
              <w:spacing w:after="0"/>
              <w:rPr>
                <w:sz w:val="20"/>
                <w:szCs w:val="20"/>
                <w:color w:val="auto"/>
              </w:rPr>
            </w:pPr>
            <w:r>
              <w:rPr>
                <w:rFonts w:ascii="Arial" w:cs="Arial" w:eastAsia="Arial" w:hAnsi="Arial"/>
                <w:sz w:val="18"/>
                <w:szCs w:val="18"/>
                <w:color w:val="auto"/>
              </w:rPr>
              <w:t>Retained earnings (accumulated deficit)</w:t>
            </w: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235,287</w:t>
            </w:r>
          </w:p>
        </w:tc>
        <w:tc>
          <w:tcPr>
            <w:tcW w:w="3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20" w:type="dxa"/>
            <w:vAlign w:val="bottom"/>
            <w:gridSpan w:val="2"/>
          </w:tcPr>
          <w:p>
            <w:pPr>
              <w:jc w:val="right"/>
              <w:ind w:right="40"/>
              <w:spacing w:after="0"/>
              <w:rPr>
                <w:sz w:val="20"/>
                <w:szCs w:val="20"/>
                <w:color w:val="auto"/>
              </w:rPr>
            </w:pPr>
            <w:r>
              <w:rPr>
                <w:rFonts w:ascii="Arial" w:cs="Arial" w:eastAsia="Arial" w:hAnsi="Arial"/>
                <w:sz w:val="18"/>
                <w:szCs w:val="18"/>
                <w:color w:val="auto"/>
              </w:rPr>
              <w:t>(190,257)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4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shareholders’ equity</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4,982,905</w:t>
            </w:r>
          </w:p>
        </w:tc>
        <w:tc>
          <w:tcPr>
            <w:tcW w:w="340" w:type="dxa"/>
            <w:vAlign w:val="bottom"/>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4,417,979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400" w:type="dxa"/>
            <w:vAlign w:val="bottom"/>
          </w:tcPr>
          <w:p>
            <w:pPr>
              <w:ind w:left="100"/>
              <w:spacing w:after="0"/>
              <w:rPr>
                <w:sz w:val="20"/>
                <w:szCs w:val="20"/>
                <w:color w:val="auto"/>
              </w:rPr>
            </w:pPr>
            <w:r>
              <w:rPr>
                <w:rFonts w:ascii="Arial" w:cs="Arial" w:eastAsia="Arial" w:hAnsi="Arial"/>
                <w:sz w:val="18"/>
                <w:szCs w:val="18"/>
                <w:color w:val="auto"/>
              </w:rPr>
              <w:t>Total liabilities and shareholders’ equity</w:t>
            </w:r>
          </w:p>
        </w:tc>
        <w:tc>
          <w:tcPr>
            <w:tcW w:w="80" w:type="dxa"/>
            <w:vAlign w:val="bottom"/>
          </w:tcPr>
          <w:p>
            <w:pPr>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5,867,277</w:t>
            </w:r>
          </w:p>
        </w:tc>
        <w:tc>
          <w:tcPr>
            <w:tcW w:w="340" w:type="dxa"/>
            <w:vAlign w:val="bottom"/>
          </w:tcPr>
          <w:p>
            <w:pPr>
              <w:spacing w:after="0"/>
              <w:rPr>
                <w:sz w:val="19"/>
                <w:szCs w:val="19"/>
                <w:color w:val="auto"/>
              </w:rPr>
            </w:pPr>
          </w:p>
        </w:tc>
        <w:tc>
          <w:tcPr>
            <w:tcW w:w="180" w:type="dxa"/>
            <w:vAlign w:val="bottom"/>
          </w:tcPr>
          <w:p>
            <w:pPr>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100"/>
              <w:spacing w:after="0"/>
              <w:rPr>
                <w:sz w:val="20"/>
                <w:szCs w:val="20"/>
                <w:color w:val="auto"/>
              </w:rPr>
            </w:pPr>
            <w:r>
              <w:rPr>
                <w:rFonts w:ascii="Arial" w:cs="Arial" w:eastAsia="Arial" w:hAnsi="Arial"/>
                <w:sz w:val="18"/>
                <w:szCs w:val="18"/>
                <w:color w:val="auto"/>
                <w:w w:val="99"/>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2540"/>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2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6"/>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93"/>
              </w:rPr>
              <w:t>July 31,</w:t>
            </w: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August 1,</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rPr>
              <w:t>July 31,</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34"/>
              <w:spacing w:after="0" w:line="129" w:lineRule="exact"/>
              <w:rPr>
                <w:sz w:val="20"/>
                <w:szCs w:val="20"/>
                <w:color w:val="auto"/>
              </w:rPr>
            </w:pPr>
            <w:r>
              <w:rPr>
                <w:rFonts w:ascii="Arial" w:cs="Arial" w:eastAsia="Arial" w:hAnsi="Arial"/>
                <w:sz w:val="14"/>
                <w:szCs w:val="14"/>
                <w:b w:val="1"/>
                <w:bCs w:val="1"/>
                <w:color w:val="auto"/>
                <w:w w:val="90"/>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5"/>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896,474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640,620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1,752,053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1,162,054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366,682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288,059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710,667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545,689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228,211</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196,190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447,322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402,279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36,863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32,908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75,286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66,818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25,440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29,468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48,548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132,196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21,214</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26,446</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43,763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8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80" w:type="dxa"/>
            <w:vAlign w:val="bottom"/>
            <w:tcBorders>
              <w:bottom w:val="single" w:sz="8" w:color="auto"/>
            </w:tcBorders>
          </w:tcPr>
          <w:p>
            <w:pPr>
              <w:spacing w:after="0"/>
              <w:rPr>
                <w:sz w:val="20"/>
                <w:szCs w:val="20"/>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678,410</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573,071</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1,325,586</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1,203,784</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218,064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67,549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426,467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(41,730)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4,253</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1,793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552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1,721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(1,514)</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(1,602)</w:t>
            </w:r>
          </w:p>
        </w:tc>
        <w:tc>
          <w:tcPr>
            <w:tcW w:w="0" w:type="dxa"/>
            <w:vAlign w:val="bottom"/>
          </w:tcPr>
          <w:p>
            <w:pPr>
              <w:spacing w:after="0"/>
              <w:rPr>
                <w:sz w:val="1"/>
                <w:szCs w:val="1"/>
                <w:color w:val="auto"/>
              </w:rPr>
            </w:pPr>
          </w:p>
        </w:tc>
      </w:tr>
      <w:tr>
        <w:trPr>
          <w:trHeight w:val="20"/>
        </w:trPr>
        <w:tc>
          <w:tcPr>
            <w:tcW w:w="740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8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40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222,276</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67,828</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426,927</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(41,611)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2,499</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9,335</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40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219,777</w:t>
            </w:r>
          </w:p>
        </w:tc>
        <w:tc>
          <w:tcPr>
            <w:tcW w:w="3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58,493</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425,544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(52,964)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w:t>
            </w: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Basic</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0.34</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0.09</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0.66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0.63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20"/>
        </w:trPr>
        <w:tc>
          <w:tcPr>
            <w:tcW w:w="740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00" w:type="dxa"/>
            <w:vAlign w:val="bottom"/>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648,028</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620,881</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644,477</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619,779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38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675,220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648,110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676,639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619,779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2520"/>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3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rPr>
              <w:t>July 31,</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3"/>
              <w:spacing w:after="0" w:line="129" w:lineRule="exact"/>
              <w:rPr>
                <w:sz w:val="20"/>
                <w:szCs w:val="20"/>
                <w:color w:val="auto"/>
              </w:rPr>
            </w:pPr>
            <w:r>
              <w:rPr>
                <w:rFonts w:ascii="Arial" w:cs="Arial" w:eastAsia="Arial" w:hAnsi="Arial"/>
                <w:sz w:val="14"/>
                <w:szCs w:val="14"/>
                <w:b w:val="1"/>
                <w:bCs w:val="1"/>
                <w:color w:val="auto"/>
                <w:w w:val="87"/>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3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425,544</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(52,964)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45,851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50,405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57,585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61,663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43,763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56,802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Facilities impairment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Amortization of marketable securities premium</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4,812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Fair market value adjustment to Intel inventory sold</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(1,990)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(229)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 taxes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(1,457)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(133,959)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(106,361)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128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3,916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100,587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6,454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8,921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128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98,775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133,781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liabilities and other</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69,059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128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(6,100)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Income taxes payable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4,928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tcPr>
          <w:p>
            <w:pPr>
              <w:ind w:left="128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26,623</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(1,708)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574,829</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326,862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0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(710,810)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Sales and maturities of investments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347,745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acquisition, net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(20,679)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(39,298)</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(7,179)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(6,819)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(12,550)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80" w:type="dxa"/>
            <w:vAlign w:val="bottom"/>
            <w:vMerge w:val="restart"/>
          </w:tcPr>
          <w:p>
            <w:pPr>
              <w:ind w:left="172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9380" w:type="dxa"/>
            <w:vAlign w:val="bottom"/>
            <w:vMerge w:val="continue"/>
          </w:tcPr>
          <w:p>
            <w:pPr>
              <w:spacing w:after="0"/>
              <w:rPr>
                <w:sz w:val="20"/>
                <w:szCs w:val="20"/>
                <w:color w:val="auto"/>
              </w:rPr>
            </w:pPr>
          </w:p>
        </w:tc>
        <w:tc>
          <w:tcPr>
            <w:tcW w:w="80" w:type="dxa"/>
            <w:vAlign w:val="bottom"/>
          </w:tcPr>
          <w:p>
            <w:pPr>
              <w:spacing w:after="0"/>
              <w:rPr>
                <w:sz w:val="20"/>
                <w:szCs w:val="20"/>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(429,861)</w:t>
            </w:r>
          </w:p>
        </w:tc>
        <w:tc>
          <w:tcPr>
            <w:tcW w:w="80" w:type="dxa"/>
            <w:vAlign w:val="bottom"/>
          </w:tcPr>
          <w:p>
            <w:pPr>
              <w:spacing w:after="0"/>
              <w:rPr>
                <w:sz w:val="20"/>
                <w:szCs w:val="20"/>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(19,679)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80,477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21,021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(950)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229</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financing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79,756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20,215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Net increase in cash and cash equivalents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224,724</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327,398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1,105,428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0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1,330,152</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1,254,807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Company’s broad product portfolio includes devices for data storage, enterprise-class Ethernet data switching, Ethernet physical-layer transceiver handheld cellular, Ethernet-based wireless networking, personal area networking, Ethernet-based PC connectivity, control plane communications, powerline communications, video-image processing and power management solutions.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2011 and fiscal 2010 are comprised of 52-week periods.</w:t>
      </w:r>
    </w:p>
    <w:p>
      <w:pPr>
        <w:spacing w:after="0" w:line="140"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July 31, 2010, the results of its operations for the three and six months ended July 31, 2010 and August 1, 2009, and its cash flows for the six months ended July 31, 2010 and August 1, 2009. The January 30, 2010 condensed consolidated balance sheet data was derived from audited consolidated financial statements included in the Company’s Annual Report on Form 10-K for the year ended January 30, 2010 but does not include all disclosures required for annual periods. Certain reclassifications have been made to conform to the current period’s presentation.</w:t>
      </w:r>
    </w:p>
    <w:p>
      <w:pPr>
        <w:spacing w:after="0" w:line="11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for the year ended January 30, 2010 included in the Company’s Annual Report on Form 10-K for the year ended January 30, 2010 as filed on March 31, 2010 with the Securities and Exchange Commission. The results of operations for the three and six months ended July 31, 2010 are not necessarily indicative of the results that may be expected for any other interim period or for the full fiscal year.</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uncollectible receivables, inventory excess and obsolescence, investment fair values, goodwill and other intangible assets, income taxes, revenue recognition and contingencies. In addition, the Company uses assumptions when employing the Black-Scholes option valuation model to calculate the fair value of stock-based awards granted. Actual results could differ from these estimates, and such differences could affect the results of operations reported in future periods.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 and Accounting Changes</w:t>
      </w:r>
    </w:p>
    <w:p>
      <w:pPr>
        <w:spacing w:after="0" w:line="96" w:lineRule="exact"/>
        <w:rPr>
          <w:sz w:val="20"/>
          <w:szCs w:val="20"/>
          <w:color w:val="auto"/>
        </w:rPr>
      </w:pPr>
    </w:p>
    <w:p>
      <w:pPr>
        <w:jc w:val="both"/>
        <w:ind w:right="240" w:firstLine="456"/>
        <w:spacing w:after="0" w:line="294" w:lineRule="auto"/>
        <w:rPr>
          <w:sz w:val="20"/>
          <w:szCs w:val="20"/>
          <w:color w:val="auto"/>
        </w:rPr>
      </w:pPr>
      <w:r>
        <w:rPr>
          <w:rFonts w:ascii="Arial" w:cs="Arial" w:eastAsia="Arial" w:hAnsi="Arial"/>
          <w:sz w:val="16"/>
          <w:szCs w:val="16"/>
          <w:color w:val="auto"/>
        </w:rPr>
        <w:t>In September 2009, the FASB issued new accounting guidance related to the revenue recognition of multiple element arrangements. The new guidance states that if vendor specific objective evidence or third party evidence for deliverables in an arrangement cannot be determined, companies will be required to develop an estimate of the selling price to separate deliverables and allocate arrangement consideration using the relative selling price method. The accounting guidance was adopted during the three months ended May 1, 2010, however, as the Company does not generally enter into multiple element arrangements, its adoption did not impact the Company’s financial position or results of operations.</w:t>
      </w:r>
    </w:p>
    <w:p>
      <w:pPr>
        <w:spacing w:after="0" w:line="1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December 2009, the Financial Accounting Standard Board (the “FASB”) issued revised guidance that amends the consolidation rules related to variable interest entities by replacing the previous quantitative-based analysis with a framework that is based more on qualitative judgments. The determination of whether a company is required to consolidate an entity is based on, among other things, an entity’s purpose and design, a company’s ability to direct the activities of the entity that most significantly impact the entity’s economic performance and an a company’s obligation to absorb losses or a right to receive benefits that could potentially be significant to the variable interest entity. This guidance requires ongoing reassessments of whether an enterprise is the primary beneficiary of the variable interest entity. This guidance became effective during the three months ended May 1, 2010 and its adoption did not have a material impact on the Company’s financial position or results of operations.</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January 2010, the FASB issued guidance that expands the interim and annual disclosure requirements of fair value measurements, including the information about movement of assets between Level 1 and 2 of the three-tier fair value hierarchy established under its fair value measurement guidance. This guidance also requires separate disclosure for purchases, sales, issuances and settlements in the reconciliation for fair value measurements using significant unobservable inputs using Level 3 methodologies. Except for the detailed disclosure in the Level 3 reconciliation, which is effective for the fiscal years beginning after December 15, 2010, all the other disclosures under this guidance became effective during the three months ended May 1, 2010. The adoption of this guidance did not have a material impact on the Company’s financial position or results of operations.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60" w:type="dxa"/>
            <w:vAlign w:val="bottom"/>
            <w:tcBorders>
              <w:bottom w:val="single" w:sz="8" w:color="auto"/>
            </w:tcBorders>
            <w:gridSpan w:val="5"/>
          </w:tcPr>
          <w:p>
            <w:pPr>
              <w:jc w:val="right"/>
              <w:ind w:right="760"/>
              <w:spacing w:after="0"/>
              <w:rPr>
                <w:sz w:val="20"/>
                <w:szCs w:val="20"/>
                <w:color w:val="auto"/>
              </w:rPr>
            </w:pPr>
            <w:r>
              <w:rPr>
                <w:rFonts w:ascii="Arial" w:cs="Arial" w:eastAsia="Arial" w:hAnsi="Arial"/>
                <w:sz w:val="14"/>
                <w:szCs w:val="14"/>
                <w:b w:val="1"/>
                <w:bCs w:val="1"/>
                <w:color w:val="auto"/>
              </w:rPr>
              <w:t>As of July 31, 2010</w:t>
            </w: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880" w:type="dxa"/>
            <w:vAlign w:val="bottom"/>
          </w:tcPr>
          <w:p>
            <w:pPr>
              <w:spacing w:after="0"/>
              <w:rPr>
                <w:sz w:val="11"/>
                <w:szCs w:val="11"/>
                <w:color w:val="auto"/>
              </w:rPr>
            </w:pPr>
          </w:p>
        </w:tc>
        <w:tc>
          <w:tcPr>
            <w:tcW w:w="24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jc w:val="right"/>
              <w:ind w:right="79"/>
              <w:spacing w:after="0" w:line="129" w:lineRule="exact"/>
              <w:rPr>
                <w:sz w:val="20"/>
                <w:szCs w:val="20"/>
                <w:color w:val="auto"/>
              </w:rPr>
            </w:pPr>
            <w:r>
              <w:rPr>
                <w:rFonts w:ascii="Arial" w:cs="Arial" w:eastAsia="Arial" w:hAnsi="Arial"/>
                <w:sz w:val="14"/>
                <w:szCs w:val="14"/>
                <w:b w:val="1"/>
                <w:bCs w:val="1"/>
                <w:color w:val="auto"/>
                <w:w w:val="83"/>
              </w:rPr>
              <w:t>Gross</w:t>
            </w: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2"/>
          </w:tcPr>
          <w:p>
            <w:pPr>
              <w:jc w:val="right"/>
              <w:ind w:right="660"/>
              <w:spacing w:after="0" w:line="129" w:lineRule="exact"/>
              <w:rPr>
                <w:sz w:val="20"/>
                <w:szCs w:val="20"/>
                <w:color w:val="auto"/>
              </w:rPr>
            </w:pPr>
            <w:r>
              <w:rPr>
                <w:rFonts w:ascii="Arial" w:cs="Arial" w:eastAsia="Arial" w:hAnsi="Arial"/>
                <w:sz w:val="14"/>
                <w:szCs w:val="14"/>
                <w:b w:val="1"/>
                <w:bCs w:val="1"/>
                <w:color w:val="auto"/>
                <w:w w:val="88"/>
              </w:rPr>
              <w:t>Gross</w:t>
            </w: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8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2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0"/>
              </w:rPr>
              <w:t>Amortized</w:t>
            </w:r>
          </w:p>
        </w:tc>
        <w:tc>
          <w:tcPr>
            <w:tcW w:w="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Unrealized</w:t>
            </w:r>
          </w:p>
        </w:tc>
        <w:tc>
          <w:tcPr>
            <w:tcW w:w="400" w:type="dxa"/>
            <w:vAlign w:val="bottom"/>
          </w:tcPr>
          <w:p>
            <w:pPr>
              <w:spacing w:after="0"/>
              <w:rPr>
                <w:sz w:val="12"/>
                <w:szCs w:val="12"/>
                <w:color w:val="auto"/>
              </w:rPr>
            </w:pPr>
          </w:p>
        </w:tc>
        <w:tc>
          <w:tcPr>
            <w:tcW w:w="11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00" w:type="dxa"/>
            <w:vAlign w:val="bottom"/>
          </w:tcPr>
          <w:p>
            <w:pPr>
              <w:spacing w:after="0"/>
              <w:rPr>
                <w:sz w:val="12"/>
                <w:szCs w:val="12"/>
                <w:color w:val="auto"/>
              </w:rPr>
            </w:pPr>
          </w:p>
        </w:tc>
        <w:tc>
          <w:tcPr>
            <w:tcW w:w="720" w:type="dxa"/>
            <w:vAlign w:val="bottom"/>
            <w:gridSpan w:val="2"/>
          </w:tcPr>
          <w:p>
            <w:pPr>
              <w:jc w:val="right"/>
              <w:ind w:right="120"/>
              <w:spacing w:after="0" w:line="149" w:lineRule="exact"/>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2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83"/>
              </w:rPr>
              <w:t>Cost</w:t>
            </w:r>
          </w:p>
        </w:tc>
        <w:tc>
          <w:tcPr>
            <w:tcW w:w="120" w:type="dxa"/>
            <w:vAlign w:val="bottom"/>
          </w:tcPr>
          <w:p>
            <w:pPr>
              <w:spacing w:after="0"/>
              <w:rPr>
                <w:sz w:val="14"/>
                <w:szCs w:val="14"/>
                <w:color w:val="auto"/>
              </w:rPr>
            </w:pPr>
          </w:p>
        </w:tc>
        <w:tc>
          <w:tcPr>
            <w:tcW w:w="520" w:type="dxa"/>
            <w:vAlign w:val="bottom"/>
          </w:tcPr>
          <w:p>
            <w:pPr>
              <w:jc w:val="right"/>
              <w:ind w:right="79"/>
              <w:spacing w:after="0"/>
              <w:rPr>
                <w:sz w:val="20"/>
                <w:szCs w:val="20"/>
                <w:color w:val="auto"/>
              </w:rPr>
            </w:pPr>
            <w:r>
              <w:rPr>
                <w:rFonts w:ascii="Arial" w:cs="Arial" w:eastAsia="Arial" w:hAnsi="Arial"/>
                <w:sz w:val="14"/>
                <w:szCs w:val="14"/>
                <w:b w:val="1"/>
                <w:bCs w:val="1"/>
                <w:color w:val="auto"/>
                <w:w w:val="87"/>
              </w:rPr>
              <w:t>Gains</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4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w w:val="78"/>
              </w:rPr>
              <w:t>Losses</w:t>
            </w:r>
          </w:p>
        </w:tc>
        <w:tc>
          <w:tcPr>
            <w:tcW w:w="100" w:type="dxa"/>
            <w:vAlign w:val="bottom"/>
          </w:tcPr>
          <w:p>
            <w:pPr>
              <w:spacing w:after="0"/>
              <w:rPr>
                <w:sz w:val="14"/>
                <w:szCs w:val="14"/>
                <w:color w:val="auto"/>
              </w:rPr>
            </w:pPr>
          </w:p>
        </w:tc>
        <w:tc>
          <w:tcPr>
            <w:tcW w:w="72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w w:val="86"/>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24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spacing w:after="0"/>
              <w:rPr>
                <w:sz w:val="20"/>
                <w:szCs w:val="20"/>
                <w:color w:val="auto"/>
              </w:rPr>
            </w:pPr>
            <w:r>
              <w:rPr>
                <w:rFonts w:ascii="Arial" w:cs="Arial" w:eastAsia="Arial" w:hAnsi="Arial"/>
                <w:sz w:val="18"/>
                <w:szCs w:val="18"/>
                <w:color w:val="auto"/>
              </w:rPr>
              <w:t>Available-for-sale:</w:t>
            </w:r>
          </w:p>
        </w:tc>
        <w:tc>
          <w:tcPr>
            <w:tcW w:w="2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536,980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2,512</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(251)</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539,241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2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509,876</w:t>
            </w: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691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(9)</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510,558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88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2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7"/>
              </w:rPr>
              <w:t>1,046,856</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3,203</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(260)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1,049,799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390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24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2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36,450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20" w:type="dxa"/>
            <w:vAlign w:val="bottom"/>
          </w:tcPr>
          <w:p>
            <w:pPr>
              <w:jc w:val="right"/>
              <w:ind w:right="19"/>
              <w:spacing w:after="0"/>
              <w:rPr>
                <w:sz w:val="20"/>
                <w:szCs w:val="20"/>
                <w:color w:val="auto"/>
              </w:rPr>
            </w:pPr>
            <w:r>
              <w:rPr>
                <w:rFonts w:ascii="Arial" w:cs="Arial" w:eastAsia="Arial" w:hAnsi="Arial"/>
                <w:sz w:val="18"/>
                <w:szCs w:val="18"/>
                <w:color w:val="auto"/>
              </w:rPr>
              <w:t>—</w:t>
            </w:r>
          </w:p>
        </w:tc>
        <w:tc>
          <w:tcPr>
            <w:tcW w:w="500" w:type="dxa"/>
            <w:vAlign w:val="bottom"/>
            <w:gridSpan w:val="2"/>
          </w:tcPr>
          <w:p>
            <w:pPr>
              <w:ind w:left="400"/>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w w:val="98"/>
              </w:rPr>
              <w:t>(2,266)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34,184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880" w:type="dxa"/>
            <w:vAlign w:val="bottom"/>
          </w:tcPr>
          <w:p>
            <w:pPr>
              <w:spacing w:after="0"/>
              <w:rPr>
                <w:sz w:val="2"/>
                <w:szCs w:val="2"/>
                <w:color w:val="auto"/>
              </w:rPr>
            </w:pPr>
          </w:p>
        </w:tc>
        <w:tc>
          <w:tcPr>
            <w:tcW w:w="24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2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36,450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98"/>
              </w:rPr>
              <w:t>(2,266)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34,184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0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24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3900" w:type="dxa"/>
            <w:vAlign w:val="bottom"/>
            <w:gridSpan w:val="2"/>
            <w:vMerge w:val="continue"/>
          </w:tcPr>
          <w:p>
            <w:pPr>
              <w:spacing w:after="0"/>
              <w:rPr>
                <w:sz w:val="18"/>
                <w:szCs w:val="18"/>
                <w:color w:val="auto"/>
              </w:rPr>
            </w:pPr>
          </w:p>
        </w:tc>
        <w:tc>
          <w:tcPr>
            <w:tcW w:w="2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w w:val="87"/>
              </w:rPr>
              <w:t>1,083,306</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3,203</w:t>
            </w:r>
          </w:p>
        </w:tc>
        <w:tc>
          <w:tcPr>
            <w:tcW w:w="500" w:type="dxa"/>
            <w:vAlign w:val="bottom"/>
            <w:gridSpan w:val="2"/>
          </w:tcPr>
          <w:p>
            <w:pPr>
              <w:ind w:left="400"/>
              <w:spacing w:after="0"/>
              <w:rPr>
                <w:sz w:val="20"/>
                <w:szCs w:val="20"/>
                <w:color w:val="auto"/>
              </w:rPr>
            </w:pPr>
            <w:r>
              <w:rPr>
                <w:rFonts w:ascii="Arial" w:cs="Arial" w:eastAsia="Arial" w:hAnsi="Arial"/>
                <w:sz w:val="18"/>
                <w:szCs w:val="18"/>
                <w:color w:val="auto"/>
                <w:w w:val="79"/>
              </w:rPr>
              <w:t>$</w:t>
            </w: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w w:val="98"/>
              </w:rPr>
              <w:t>(2,526)</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w w:val="84"/>
              </w:rPr>
              <w:t>1,083,983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80" w:type="dxa"/>
            <w:vAlign w:val="bottom"/>
          </w:tcPr>
          <w:p>
            <w:pPr>
              <w:spacing w:after="0" w:line="20" w:lineRule="exact"/>
              <w:rPr>
                <w:sz w:val="1"/>
                <w:szCs w:val="1"/>
                <w:color w:val="auto"/>
              </w:rPr>
            </w:pPr>
          </w:p>
        </w:tc>
        <w:tc>
          <w:tcPr>
            <w:tcW w:w="2420" w:type="dxa"/>
            <w:vAlign w:val="bottom"/>
            <w:vMerge w:val="restart"/>
          </w:tcPr>
          <w:p>
            <w:pPr>
              <w:jc w:val="right"/>
              <w:ind w:right="93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242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5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40" w:type="dxa"/>
            <w:vAlign w:val="bottom"/>
            <w:tcBorders>
              <w:bottom w:val="single" w:sz="8" w:color="auto"/>
            </w:tcBorders>
            <w:gridSpan w:val="5"/>
          </w:tcPr>
          <w:p>
            <w:pPr>
              <w:ind w:left="120"/>
              <w:spacing w:after="0"/>
              <w:rPr>
                <w:sz w:val="20"/>
                <w:szCs w:val="20"/>
                <w:color w:val="auto"/>
              </w:rPr>
            </w:pPr>
            <w:r>
              <w:rPr>
                <w:rFonts w:ascii="Arial" w:cs="Arial" w:eastAsia="Arial" w:hAnsi="Arial"/>
                <w:sz w:val="14"/>
                <w:szCs w:val="14"/>
                <w:b w:val="1"/>
                <w:bCs w:val="1"/>
                <w:color w:val="auto"/>
              </w:rPr>
              <w:t>As of January 30, 2010</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w w:val="88"/>
              </w:rPr>
              <w:t>Gross</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580" w:type="dxa"/>
            <w:vAlign w:val="bottom"/>
          </w:tcPr>
          <w:p>
            <w:pPr>
              <w:spacing w:after="0"/>
              <w:rPr>
                <w:sz w:val="12"/>
                <w:szCs w:val="12"/>
                <w:color w:val="auto"/>
              </w:rPr>
            </w:pPr>
          </w:p>
        </w:tc>
        <w:tc>
          <w:tcPr>
            <w:tcW w:w="680" w:type="dxa"/>
            <w:vAlign w:val="bottom"/>
            <w:gridSpan w:val="2"/>
          </w:tcPr>
          <w:p>
            <w:pPr>
              <w:jc w:val="right"/>
              <w:spacing w:after="0" w:line="149" w:lineRule="exact"/>
              <w:rPr>
                <w:sz w:val="20"/>
                <w:szCs w:val="20"/>
                <w:color w:val="auto"/>
              </w:rPr>
            </w:pPr>
            <w:r>
              <w:rPr>
                <w:rFonts w:ascii="Arial" w:cs="Arial" w:eastAsia="Arial" w:hAnsi="Arial"/>
                <w:sz w:val="14"/>
                <w:szCs w:val="14"/>
                <w:b w:val="1"/>
                <w:bCs w:val="1"/>
                <w:color w:val="auto"/>
                <w:w w:val="90"/>
              </w:rPr>
              <w:t>Amortized</w:t>
            </w:r>
          </w:p>
        </w:tc>
        <w:tc>
          <w:tcPr>
            <w:tcW w:w="380" w:type="dxa"/>
            <w:vAlign w:val="bottom"/>
          </w:tcPr>
          <w:p>
            <w:pPr>
              <w:spacing w:after="0"/>
              <w:rPr>
                <w:sz w:val="12"/>
                <w:szCs w:val="12"/>
                <w:color w:val="auto"/>
              </w:rPr>
            </w:pPr>
          </w:p>
        </w:tc>
        <w:tc>
          <w:tcPr>
            <w:tcW w:w="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Unrealized</w:t>
            </w:r>
          </w:p>
        </w:tc>
        <w:tc>
          <w:tcPr>
            <w:tcW w:w="400" w:type="dxa"/>
            <w:vAlign w:val="bottom"/>
          </w:tcPr>
          <w:p>
            <w:pPr>
              <w:spacing w:after="0"/>
              <w:rPr>
                <w:sz w:val="12"/>
                <w:szCs w:val="12"/>
                <w:color w:val="auto"/>
              </w:rPr>
            </w:pPr>
          </w:p>
        </w:tc>
        <w:tc>
          <w:tcPr>
            <w:tcW w:w="11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700" w:type="dxa"/>
            <w:vAlign w:val="bottom"/>
            <w:gridSpan w:val="3"/>
          </w:tcPr>
          <w:p>
            <w:pPr>
              <w:jc w:val="right"/>
              <w:ind w:right="60"/>
              <w:spacing w:after="0" w:line="149" w:lineRule="exact"/>
              <w:rPr>
                <w:sz w:val="20"/>
                <w:szCs w:val="20"/>
                <w:color w:val="auto"/>
              </w:rPr>
            </w:pPr>
            <w:r>
              <w:rPr>
                <w:rFonts w:ascii="Arial" w:cs="Arial" w:eastAsia="Arial" w:hAnsi="Arial"/>
                <w:sz w:val="14"/>
                <w:szCs w:val="14"/>
                <w:b w:val="1"/>
                <w:bCs w:val="1"/>
                <w:color w:val="auto"/>
                <w:w w:val="92"/>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35"/>
              <w:spacing w:after="0"/>
              <w:rPr>
                <w:sz w:val="20"/>
                <w:szCs w:val="20"/>
                <w:color w:val="auto"/>
              </w:rPr>
            </w:pPr>
            <w:r>
              <w:rPr>
                <w:rFonts w:ascii="Arial" w:cs="Arial" w:eastAsia="Arial" w:hAnsi="Arial"/>
                <w:sz w:val="14"/>
                <w:szCs w:val="14"/>
                <w:b w:val="1"/>
                <w:bCs w:val="1"/>
                <w:color w:val="auto"/>
              </w:rPr>
              <w:t>Cost</w:t>
            </w: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ind w:left="40"/>
              <w:spacing w:after="0"/>
              <w:rPr>
                <w:sz w:val="20"/>
                <w:szCs w:val="20"/>
                <w:color w:val="auto"/>
              </w:rPr>
            </w:pPr>
            <w:r>
              <w:rPr>
                <w:rFonts w:ascii="Arial" w:cs="Arial" w:eastAsia="Arial" w:hAnsi="Arial"/>
                <w:sz w:val="14"/>
                <w:szCs w:val="14"/>
                <w:b w:val="1"/>
                <w:bCs w:val="1"/>
                <w:color w:val="auto"/>
              </w:rPr>
              <w:t>Gains</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680"/>
              <w:spacing w:after="0"/>
              <w:rPr>
                <w:sz w:val="20"/>
                <w:szCs w:val="20"/>
                <w:color w:val="auto"/>
              </w:rPr>
            </w:pPr>
            <w:r>
              <w:rPr>
                <w:rFonts w:ascii="Arial" w:cs="Arial" w:eastAsia="Arial" w:hAnsi="Arial"/>
                <w:sz w:val="14"/>
                <w:szCs w:val="14"/>
                <w:b w:val="1"/>
                <w:bCs w:val="1"/>
                <w:color w:val="auto"/>
                <w:w w:val="97"/>
              </w:rPr>
              <w:t>Loss</w:t>
            </w:r>
          </w:p>
        </w:tc>
        <w:tc>
          <w:tcPr>
            <w:tcW w:w="7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spacing w:after="0"/>
              <w:rPr>
                <w:sz w:val="20"/>
                <w:szCs w:val="20"/>
                <w:color w:val="auto"/>
              </w:rPr>
            </w:pPr>
            <w:r>
              <w:rPr>
                <w:rFonts w:ascii="Arial" w:cs="Arial" w:eastAsia="Arial" w:hAnsi="Arial"/>
                <w:sz w:val="18"/>
                <w:szCs w:val="18"/>
                <w:color w:val="auto"/>
              </w:rPr>
              <w:t>Available-for-sale:</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227,610</w:t>
            </w: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w w:val="79"/>
              </w:rPr>
              <w:t>934</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(75)</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228,469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457,592</w:t>
            </w: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ind w:left="260"/>
              <w:spacing w:after="0"/>
              <w:rPr>
                <w:sz w:val="20"/>
                <w:szCs w:val="20"/>
                <w:color w:val="auto"/>
              </w:rPr>
            </w:pPr>
            <w:r>
              <w:rPr>
                <w:rFonts w:ascii="Arial" w:cs="Arial" w:eastAsia="Arial" w:hAnsi="Arial"/>
                <w:sz w:val="18"/>
                <w:szCs w:val="18"/>
                <w:color w:val="auto"/>
                <w:w w:val="79"/>
              </w:rPr>
              <w:t>258</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(30)</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457,820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Trading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580" w:type="dxa"/>
            <w:vAlign w:val="bottom"/>
          </w:tcPr>
          <w:p>
            <w:pPr>
              <w:ind w:left="420"/>
              <w:spacing w:after="0"/>
              <w:rPr>
                <w:sz w:val="20"/>
                <w:szCs w:val="20"/>
                <w:color w:val="auto"/>
              </w:rPr>
            </w:pPr>
            <w:r>
              <w:rPr>
                <w:rFonts w:ascii="Arial" w:cs="Arial" w:eastAsia="Arial" w:hAnsi="Arial"/>
                <w:sz w:val="18"/>
                <w:szCs w:val="18"/>
                <w:color w:val="auto"/>
              </w:rPr>
              <w:t>Auction rate security and settlement option</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w:t>
            </w:r>
          </w:p>
        </w:tc>
        <w:tc>
          <w:tcPr>
            <w:tcW w:w="3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ind w:left="26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690,202</w:t>
            </w:r>
          </w:p>
        </w:tc>
        <w:tc>
          <w:tcPr>
            <w:tcW w:w="50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120"/>
              <w:spacing w:after="0"/>
              <w:rPr>
                <w:sz w:val="20"/>
                <w:szCs w:val="20"/>
                <w:color w:val="auto"/>
              </w:rPr>
            </w:pPr>
            <w:r>
              <w:rPr>
                <w:rFonts w:ascii="Arial" w:cs="Arial" w:eastAsia="Arial" w:hAnsi="Arial"/>
                <w:sz w:val="18"/>
                <w:szCs w:val="18"/>
                <w:color w:val="auto"/>
                <w:w w:val="84"/>
              </w:rPr>
              <w:t>1,192</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(105)</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691,289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660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8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36,600</w:t>
            </w:r>
          </w:p>
        </w:tc>
        <w:tc>
          <w:tcPr>
            <w:tcW w:w="38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500" w:type="dxa"/>
            <w:vAlign w:val="bottom"/>
            <w:gridSpan w:val="2"/>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98"/>
              </w:rPr>
              <w:t>(2,319)</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34,281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5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8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36,600</w:t>
            </w: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8"/>
              </w:rPr>
              <w:t>(2,319)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60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726,802</w:t>
            </w:r>
          </w:p>
        </w:tc>
        <w:tc>
          <w:tcPr>
            <w:tcW w:w="500" w:type="dxa"/>
            <w:vAlign w:val="bottom"/>
            <w:gridSpan w:val="2"/>
          </w:tcPr>
          <w:p>
            <w:pPr>
              <w:ind w:left="380"/>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120"/>
              <w:spacing w:after="0"/>
              <w:rPr>
                <w:sz w:val="20"/>
                <w:szCs w:val="20"/>
                <w:color w:val="auto"/>
              </w:rPr>
            </w:pPr>
            <w:r>
              <w:rPr>
                <w:rFonts w:ascii="Arial" w:cs="Arial" w:eastAsia="Arial" w:hAnsi="Arial"/>
                <w:sz w:val="18"/>
                <w:szCs w:val="18"/>
                <w:color w:val="auto"/>
                <w:w w:val="84"/>
              </w:rPr>
              <w:t>1,192</w:t>
            </w:r>
          </w:p>
        </w:tc>
        <w:tc>
          <w:tcPr>
            <w:tcW w:w="500" w:type="dxa"/>
            <w:vAlign w:val="bottom"/>
            <w:gridSpan w:val="2"/>
          </w:tcPr>
          <w:p>
            <w:pPr>
              <w:ind w:left="40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98"/>
              </w:rPr>
              <w:t>(2,424)</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725,570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of July 31, 2010, the Company’s investment portfolio included $36.5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the Company used a discounted cash flow model based on estimated timing and amount of future interest and principal payments, credit quality of the underlying securities and illiquidity considerations, the collateralization of underlying security investments, the credit worthiness of the issuer of the securities, the probability of full repayment and other considerations. As of July 31, 2010, the fair value of auction rate securities was $2.3 million less than par value and was recorded in long-term investments. During the three months ended July 31, 2010, the Company sold one $5 million auction rate security.</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Based on the Company’s assessment of its cash flow projections, a balance of approximately $2.4 billion in cash, cash equivalents and short-term investments other than auction rate securities and the fact that the Company continues to generate positive cash flow on a quarterly basis, the Company does not anticipate having to sell these securities below par value in order to operate its business. The Company does not have the intent to sell these auction rate securities until recovery and it is more likely than not that it will not be required to sell the auction rate securities prior to recovery. Thus, the Company considers the impairment to be temporary and recorded the unrealized loss to accumulated other comprehensive income (loss), a component of shareholders’ equity.</w:t>
      </w:r>
    </w:p>
    <w:p>
      <w:pPr>
        <w:spacing w:after="0" w:line="11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contractual maturities of available-for-sale and trading debt securities excluding cash and cash equivalents at July 31, 2010, and January 30, 2010 are presented in the following table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20" w:type="dxa"/>
            <w:vAlign w:val="bottom"/>
            <w:gridSpan w:val="5"/>
          </w:tcPr>
          <w:p>
            <w:pPr>
              <w:ind w:left="480"/>
              <w:spacing w:after="0"/>
              <w:rPr>
                <w:sz w:val="20"/>
                <w:szCs w:val="20"/>
                <w:color w:val="auto"/>
              </w:rPr>
            </w:pPr>
            <w:r>
              <w:rPr>
                <w:rFonts w:ascii="Arial" w:cs="Arial" w:eastAsia="Arial" w:hAnsi="Arial"/>
                <w:sz w:val="14"/>
                <w:szCs w:val="14"/>
                <w:b w:val="1"/>
                <w:bCs w:val="1"/>
                <w:color w:val="auto"/>
              </w:rPr>
              <w:t>July 31, 2010</w:t>
            </w:r>
          </w:p>
        </w:tc>
        <w:tc>
          <w:tcPr>
            <w:tcW w:w="1700" w:type="dxa"/>
            <w:vAlign w:val="bottom"/>
            <w:gridSpan w:val="5"/>
          </w:tcPr>
          <w:p>
            <w:pPr>
              <w:jc w:val="right"/>
              <w:ind w:right="360"/>
              <w:spacing w:after="0"/>
              <w:rPr>
                <w:sz w:val="20"/>
                <w:szCs w:val="20"/>
                <w:color w:val="auto"/>
              </w:rPr>
            </w:pPr>
            <w:r>
              <w:rPr>
                <w:rFonts w:ascii="Arial" w:cs="Arial" w:eastAsia="Arial" w:hAnsi="Arial"/>
                <w:sz w:val="14"/>
                <w:szCs w:val="14"/>
                <w:b w:val="1"/>
                <w:bCs w:val="1"/>
                <w:color w:val="auto"/>
              </w:rPr>
              <w:t>January 30, 2010</w:t>
            </w:r>
          </w:p>
        </w:tc>
        <w:tc>
          <w:tcPr>
            <w:tcW w:w="0" w:type="dxa"/>
            <w:vAlign w:val="bottom"/>
          </w:tcPr>
          <w:p>
            <w:pPr>
              <w:spacing w:after="0"/>
              <w:rPr>
                <w:sz w:val="1"/>
                <w:szCs w:val="1"/>
                <w:color w:val="auto"/>
              </w:rPr>
            </w:pPr>
          </w:p>
        </w:tc>
      </w:tr>
      <w:tr>
        <w:trPr>
          <w:trHeight w:val="129"/>
        </w:trPr>
        <w:tc>
          <w:tcPr>
            <w:tcW w:w="3740" w:type="dxa"/>
            <w:vAlign w:val="bottom"/>
          </w:tcPr>
          <w:p>
            <w:pPr>
              <w:spacing w:after="0"/>
              <w:rPr>
                <w:sz w:val="11"/>
                <w:szCs w:val="11"/>
                <w:color w:val="auto"/>
              </w:rPr>
            </w:pPr>
          </w:p>
        </w:tc>
        <w:tc>
          <w:tcPr>
            <w:tcW w:w="28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32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39"/>
              <w:spacing w:after="0" w:line="129" w:lineRule="exact"/>
              <w:rPr>
                <w:sz w:val="20"/>
                <w:szCs w:val="20"/>
                <w:color w:val="auto"/>
              </w:rPr>
            </w:pPr>
            <w:r>
              <w:rPr>
                <w:rFonts w:ascii="Arial" w:cs="Arial" w:eastAsia="Arial" w:hAnsi="Arial"/>
                <w:sz w:val="14"/>
                <w:szCs w:val="14"/>
                <w:b w:val="1"/>
                <w:bCs w:val="1"/>
                <w:color w:val="auto"/>
                <w:w w:val="86"/>
              </w:rPr>
              <w:t>Estimated</w:t>
            </w:r>
          </w:p>
        </w:tc>
        <w:tc>
          <w:tcPr>
            <w:tcW w:w="300" w:type="dxa"/>
            <w:vAlign w:val="bottom"/>
          </w:tcPr>
          <w:p>
            <w:pPr>
              <w:spacing w:after="0"/>
              <w:rPr>
                <w:sz w:val="11"/>
                <w:szCs w:val="11"/>
                <w:color w:val="auto"/>
              </w:rPr>
            </w:pPr>
          </w:p>
        </w:tc>
        <w:tc>
          <w:tcPr>
            <w:tcW w:w="840" w:type="dxa"/>
            <w:vAlign w:val="bottom"/>
            <w:tcBorders>
              <w:top w:val="single" w:sz="8" w:color="auto"/>
            </w:tcBorders>
            <w:gridSpan w:val="2"/>
          </w:tcPr>
          <w:p>
            <w:pPr>
              <w:jc w:val="center"/>
              <w:ind w:right="140"/>
              <w:spacing w:after="0" w:line="129" w:lineRule="exact"/>
              <w:rPr>
                <w:sz w:val="20"/>
                <w:szCs w:val="20"/>
                <w:color w:val="auto"/>
              </w:rPr>
            </w:pPr>
            <w:r>
              <w:rPr>
                <w:rFonts w:ascii="Arial" w:cs="Arial" w:eastAsia="Arial" w:hAnsi="Arial"/>
                <w:sz w:val="14"/>
                <w:szCs w:val="14"/>
                <w:b w:val="1"/>
                <w:bCs w:val="1"/>
                <w:color w:val="auto"/>
                <w:w w:val="90"/>
              </w:rPr>
              <w:t>Amortized</w:t>
            </w:r>
          </w:p>
        </w:tc>
        <w:tc>
          <w:tcPr>
            <w:tcW w:w="1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9"/>
              </w:rPr>
              <w:t>Estimated</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28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
              <w:spacing w:after="0"/>
              <w:rPr>
                <w:sz w:val="20"/>
                <w:szCs w:val="20"/>
                <w:color w:val="auto"/>
              </w:rPr>
            </w:pPr>
            <w:r>
              <w:rPr>
                <w:rFonts w:ascii="Arial" w:cs="Arial" w:eastAsia="Arial" w:hAnsi="Arial"/>
                <w:sz w:val="14"/>
                <w:szCs w:val="14"/>
                <w:b w:val="1"/>
                <w:bCs w:val="1"/>
                <w:color w:val="auto"/>
                <w:w w:val="89"/>
              </w:rPr>
              <w:t>Fair Value</w:t>
            </w:r>
          </w:p>
        </w:tc>
        <w:tc>
          <w:tcPr>
            <w:tcW w:w="30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Cost</w:t>
            </w: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2"/>
              </w:rPr>
              <w:t>Fair Value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2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489,515</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489,933</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7"/>
              </w:rPr>
              <w:t>$357,179</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$ 357,348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8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557,341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559,866</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333,023</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333,941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in over five years</w:t>
            </w:r>
          </w:p>
        </w:tc>
        <w:tc>
          <w:tcPr>
            <w:tcW w:w="28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36,450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34,184</w:t>
            </w: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36,600</w:t>
            </w: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8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740" w:type="dxa"/>
            <w:vAlign w:val="bottom"/>
          </w:tcPr>
          <w:p>
            <w:pPr>
              <w:spacing w:after="0"/>
              <w:rPr>
                <w:sz w:val="19"/>
                <w:szCs w:val="19"/>
                <w:color w:val="auto"/>
              </w:rPr>
            </w:pPr>
          </w:p>
        </w:tc>
        <w:tc>
          <w:tcPr>
            <w:tcW w:w="29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1,083,306</w:t>
            </w: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1,083,983</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726,802</w:t>
            </w:r>
          </w:p>
        </w:tc>
        <w:tc>
          <w:tcPr>
            <w:tcW w:w="860" w:type="dxa"/>
            <w:vAlign w:val="bottom"/>
            <w:gridSpan w:val="3"/>
          </w:tcPr>
          <w:p>
            <w:pPr>
              <w:jc w:val="right"/>
              <w:ind w:right="20"/>
              <w:spacing w:after="0"/>
              <w:rPr>
                <w:sz w:val="20"/>
                <w:szCs w:val="20"/>
                <w:color w:val="auto"/>
              </w:rPr>
            </w:pPr>
            <w:r>
              <w:rPr>
                <w:rFonts w:ascii="Arial" w:cs="Arial" w:eastAsia="Arial" w:hAnsi="Arial"/>
                <w:sz w:val="18"/>
                <w:szCs w:val="18"/>
                <w:color w:val="auto"/>
              </w:rPr>
              <w:t>$ 725,570</w:t>
            </w: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880" w:type="dxa"/>
            <w:vAlign w:val="bottom"/>
            <w:vMerge w:val="restart"/>
          </w:tcPr>
          <w:p>
            <w:pPr>
              <w:jc w:val="right"/>
              <w:ind w:right="1232"/>
              <w:spacing w:after="0"/>
              <w:rPr>
                <w:sz w:val="20"/>
                <w:szCs w:val="20"/>
                <w:color w:val="auto"/>
              </w:rPr>
            </w:pPr>
            <w:r>
              <w:rPr>
                <w:rFonts w:ascii="Arial" w:cs="Arial" w:eastAsia="Arial" w:hAnsi="Arial"/>
                <w:sz w:val="18"/>
                <w:szCs w:val="18"/>
                <w:color w:val="auto"/>
              </w:rPr>
              <w:t>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40" w:type="dxa"/>
            <w:vAlign w:val="bottom"/>
          </w:tcPr>
          <w:p>
            <w:pPr>
              <w:spacing w:after="0"/>
              <w:rPr>
                <w:sz w:val="24"/>
                <w:szCs w:val="24"/>
                <w:color w:val="auto"/>
              </w:rPr>
            </w:pPr>
          </w:p>
        </w:tc>
        <w:tc>
          <w:tcPr>
            <w:tcW w:w="28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5"/>
          </w:tcPr>
          <w:p>
            <w:pPr>
              <w:jc w:val="center"/>
              <w:ind w:right="300"/>
              <w:spacing w:after="0"/>
              <w:rPr>
                <w:sz w:val="20"/>
                <w:szCs w:val="20"/>
                <w:color w:val="auto"/>
              </w:rPr>
            </w:pPr>
            <w:r>
              <w:rPr>
                <w:rFonts w:ascii="Arial" w:cs="Arial" w:eastAsia="Arial" w:hAnsi="Arial"/>
                <w:sz w:val="14"/>
                <w:szCs w:val="14"/>
                <w:b w:val="1"/>
                <w:bCs w:val="1"/>
                <w:color w:val="auto"/>
                <w:w w:val="87"/>
              </w:rPr>
              <w:t>July 31, 2010</w:t>
            </w: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60" w:type="dxa"/>
            <w:vAlign w:val="bottom"/>
            <w:gridSpan w:val="5"/>
          </w:tcPr>
          <w:p>
            <w:pPr>
              <w:ind w:left="8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540" w:type="dxa"/>
            <w:vAlign w:val="bottom"/>
            <w:gridSpan w:val="5"/>
          </w:tcPr>
          <w:p>
            <w:pPr>
              <w:ind w:left="80"/>
              <w:spacing w:after="0" w:line="142" w:lineRule="exact"/>
              <w:rPr>
                <w:sz w:val="20"/>
                <w:szCs w:val="20"/>
                <w:color w:val="auto"/>
              </w:rPr>
            </w:pPr>
            <w:r>
              <w:rPr>
                <w:rFonts w:ascii="Arial" w:cs="Arial" w:eastAsia="Arial" w:hAnsi="Arial"/>
                <w:sz w:val="14"/>
                <w:szCs w:val="14"/>
                <w:b w:val="1"/>
                <w:bCs w:val="1"/>
                <w:color w:val="auto"/>
              </w:rPr>
              <w:t>12 months or more</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tcPr>
          <w:p>
            <w:pPr>
              <w:ind w:left="52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61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3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rPr>
              <w:t>Fair</w:t>
            </w:r>
          </w:p>
        </w:tc>
        <w:tc>
          <w:tcPr>
            <w:tcW w:w="2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80" w:type="dxa"/>
            <w:vAlign w:val="bottom"/>
          </w:tcPr>
          <w:p>
            <w:pPr>
              <w:spacing w:after="0"/>
              <w:rPr>
                <w:sz w:val="14"/>
                <w:szCs w:val="14"/>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2"/>
              </w:rPr>
              <w:t>Fair Value</w:t>
            </w:r>
          </w:p>
        </w:tc>
        <w:tc>
          <w:tcPr>
            <w:tcW w:w="220" w:type="dxa"/>
            <w:vAlign w:val="bottom"/>
          </w:tcPr>
          <w:p>
            <w:pPr>
              <w:spacing w:after="0"/>
              <w:rPr>
                <w:sz w:val="14"/>
                <w:szCs w:val="14"/>
                <w:color w:val="auto"/>
              </w:rPr>
            </w:pPr>
          </w:p>
        </w:tc>
        <w:tc>
          <w:tcPr>
            <w:tcW w:w="6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0"/>
              </w:rPr>
              <w:t>(Losses)</w:t>
            </w:r>
          </w:p>
        </w:tc>
        <w:tc>
          <w:tcPr>
            <w:tcW w:w="3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w w:val="90"/>
              </w:rPr>
              <w:t>Value</w:t>
            </w:r>
          </w:p>
        </w:tc>
        <w:tc>
          <w:tcPr>
            <w:tcW w:w="200" w:type="dxa"/>
            <w:vAlign w:val="bottom"/>
          </w:tcPr>
          <w:p>
            <w:pPr>
              <w:spacing w:after="0"/>
              <w:rPr>
                <w:sz w:val="14"/>
                <w:szCs w:val="14"/>
                <w:color w:val="auto"/>
              </w:rPr>
            </w:pPr>
          </w:p>
        </w:tc>
        <w:tc>
          <w:tcPr>
            <w:tcW w:w="6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3"/>
              </w:rPr>
              <w:t>(Losses)</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Fair Value</w:t>
            </w:r>
          </w:p>
        </w:tc>
        <w:tc>
          <w:tcPr>
            <w:tcW w:w="220" w:type="dxa"/>
            <w:vAlign w:val="bottom"/>
          </w:tcPr>
          <w:p>
            <w:pPr>
              <w:spacing w:after="0"/>
              <w:rPr>
                <w:sz w:val="14"/>
                <w:szCs w:val="14"/>
                <w:color w:val="auto"/>
              </w:rPr>
            </w:pPr>
          </w:p>
        </w:tc>
        <w:tc>
          <w:tcPr>
            <w:tcW w:w="64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w w:val="93"/>
              </w:rPr>
              <w:t>(Losses)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U.S. Federal and State debt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82,214</w:t>
            </w:r>
          </w:p>
        </w:tc>
        <w:tc>
          <w:tcPr>
            <w:tcW w:w="4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82,214</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6180" w:type="dxa"/>
            <w:vAlign w:val="bottom"/>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159,863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(251)</w:t>
            </w:r>
          </w:p>
        </w:tc>
        <w:tc>
          <w:tcPr>
            <w:tcW w:w="80" w:type="dxa"/>
            <w:vAlign w:val="bottom"/>
          </w:tcPr>
          <w:p>
            <w:pPr>
              <w:spacing w:after="0"/>
              <w:rPr>
                <w:sz w:val="18"/>
                <w:szCs w:val="18"/>
                <w:color w:val="auto"/>
              </w:rPr>
            </w:pPr>
          </w:p>
        </w:tc>
        <w:tc>
          <w:tcPr>
            <w:tcW w:w="500" w:type="dxa"/>
            <w:vAlign w:val="bottom"/>
          </w:tcPr>
          <w:p>
            <w:pPr>
              <w:jc w:val="right"/>
              <w:ind w:right="2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159,863</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(251)</w:t>
            </w: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34,184</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4"/>
              </w:rPr>
              <w:t>(2,266)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34,184</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(2,266)</w:t>
            </w:r>
          </w:p>
        </w:tc>
        <w:tc>
          <w:tcPr>
            <w:tcW w:w="0" w:type="dxa"/>
            <w:vAlign w:val="bottom"/>
          </w:tcPr>
          <w:p>
            <w:pPr>
              <w:spacing w:after="0"/>
              <w:rPr>
                <w:sz w:val="1"/>
                <w:szCs w:val="1"/>
                <w:color w:val="auto"/>
              </w:rPr>
            </w:pPr>
          </w:p>
        </w:tc>
      </w:tr>
      <w:tr>
        <w:trPr>
          <w:trHeight w:val="20"/>
        </w:trPr>
        <w:tc>
          <w:tcPr>
            <w:tcW w:w="61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180" w:type="dxa"/>
            <w:vAlign w:val="bottom"/>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242,077</w:t>
            </w:r>
          </w:p>
        </w:tc>
        <w:tc>
          <w:tcPr>
            <w:tcW w:w="42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(260)</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34,184</w:t>
            </w:r>
          </w:p>
        </w:tc>
        <w:tc>
          <w:tcPr>
            <w:tcW w:w="34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w w:val="94"/>
              </w:rPr>
              <w:t>(2,266)</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276,261</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(2,526)</w:t>
            </w:r>
          </w:p>
        </w:tc>
        <w:tc>
          <w:tcPr>
            <w:tcW w:w="0" w:type="dxa"/>
            <w:vAlign w:val="bottom"/>
          </w:tcPr>
          <w:p>
            <w:pPr>
              <w:spacing w:after="0"/>
              <w:rPr>
                <w:sz w:val="1"/>
                <w:szCs w:val="1"/>
                <w:color w:val="auto"/>
              </w:rPr>
            </w:pPr>
          </w:p>
        </w:tc>
      </w:tr>
      <w:tr>
        <w:trPr>
          <w:trHeight w:val="20"/>
        </w:trPr>
        <w:tc>
          <w:tcPr>
            <w:tcW w:w="6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618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54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7"/>
              </w:rPr>
              <w:t>January 30, 2010</w:t>
            </w:r>
          </w:p>
        </w:tc>
        <w:tc>
          <w:tcPr>
            <w:tcW w:w="1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6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60" w:type="dxa"/>
            <w:vAlign w:val="bottom"/>
            <w:gridSpan w:val="5"/>
          </w:tcPr>
          <w:p>
            <w:pPr>
              <w:ind w:left="8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540" w:type="dxa"/>
            <w:vAlign w:val="bottom"/>
            <w:gridSpan w:val="5"/>
          </w:tcPr>
          <w:p>
            <w:pPr>
              <w:ind w:left="80"/>
              <w:spacing w:after="0" w:line="142" w:lineRule="exact"/>
              <w:rPr>
                <w:sz w:val="20"/>
                <w:szCs w:val="20"/>
                <w:color w:val="auto"/>
              </w:rPr>
            </w:pPr>
            <w:r>
              <w:rPr>
                <w:rFonts w:ascii="Arial" w:cs="Arial" w:eastAsia="Arial" w:hAnsi="Arial"/>
                <w:sz w:val="14"/>
                <w:szCs w:val="14"/>
                <w:b w:val="1"/>
                <w:bCs w:val="1"/>
                <w:color w:val="auto"/>
              </w:rPr>
              <w:t>12 months or more</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3"/>
          </w:tcPr>
          <w:p>
            <w:pPr>
              <w:ind w:left="520"/>
              <w:spacing w:after="0" w:line="142" w:lineRule="exact"/>
              <w:rPr>
                <w:sz w:val="20"/>
                <w:szCs w:val="20"/>
                <w:color w:val="auto"/>
              </w:rPr>
            </w:pPr>
            <w:r>
              <w:rPr>
                <w:rFonts w:ascii="Arial" w:cs="Arial" w:eastAsia="Arial" w:hAnsi="Arial"/>
                <w:sz w:val="14"/>
                <w:szCs w:val="14"/>
                <w:b w:val="1"/>
                <w:bCs w:val="1"/>
                <w:color w:val="auto"/>
              </w:rPr>
              <w:t>Total</w:t>
            </w: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61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39"/>
              <w:spacing w:after="0" w:line="129" w:lineRule="exact"/>
              <w:rPr>
                <w:sz w:val="20"/>
                <w:szCs w:val="20"/>
                <w:color w:val="auto"/>
              </w:rPr>
            </w:pPr>
            <w:r>
              <w:rPr>
                <w:rFonts w:ascii="Arial" w:cs="Arial" w:eastAsia="Arial" w:hAnsi="Arial"/>
                <w:sz w:val="14"/>
                <w:szCs w:val="14"/>
                <w:b w:val="1"/>
                <w:bCs w:val="1"/>
                <w:color w:val="auto"/>
              </w:rPr>
              <w:t>Fair</w:t>
            </w:r>
          </w:p>
        </w:tc>
        <w:tc>
          <w:tcPr>
            <w:tcW w:w="2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3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rPr>
              <w:t>Fair</w:t>
            </w:r>
          </w:p>
        </w:tc>
        <w:tc>
          <w:tcPr>
            <w:tcW w:w="2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center"/>
              <w:ind w:right="19"/>
              <w:spacing w:after="0" w:line="129" w:lineRule="exact"/>
              <w:rPr>
                <w:sz w:val="20"/>
                <w:szCs w:val="20"/>
                <w:color w:val="auto"/>
              </w:rPr>
            </w:pPr>
            <w:r>
              <w:rPr>
                <w:rFonts w:ascii="Arial" w:cs="Arial" w:eastAsia="Arial" w:hAnsi="Arial"/>
                <w:sz w:val="14"/>
                <w:szCs w:val="14"/>
                <w:b w:val="1"/>
                <w:bCs w:val="1"/>
                <w:color w:val="auto"/>
                <w:w w:val="93"/>
              </w:rPr>
              <w:t>Fair</w:t>
            </w:r>
          </w:p>
        </w:tc>
        <w:tc>
          <w:tcPr>
            <w:tcW w:w="2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Value</w:t>
            </w:r>
          </w:p>
        </w:tc>
        <w:tc>
          <w:tcPr>
            <w:tcW w:w="220" w:type="dxa"/>
            <w:vAlign w:val="bottom"/>
          </w:tcPr>
          <w:p>
            <w:pPr>
              <w:spacing w:after="0"/>
              <w:rPr>
                <w:sz w:val="14"/>
                <w:szCs w:val="14"/>
                <w:color w:val="auto"/>
              </w:rPr>
            </w:pPr>
          </w:p>
        </w:tc>
        <w:tc>
          <w:tcPr>
            <w:tcW w:w="62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0"/>
              </w:rPr>
              <w:t>(Losses)</w:t>
            </w:r>
          </w:p>
        </w:tc>
        <w:tc>
          <w:tcPr>
            <w:tcW w:w="3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w w:val="90"/>
              </w:rPr>
              <w:t>Value</w:t>
            </w:r>
          </w:p>
        </w:tc>
        <w:tc>
          <w:tcPr>
            <w:tcW w:w="200" w:type="dxa"/>
            <w:vAlign w:val="bottom"/>
          </w:tcPr>
          <w:p>
            <w:pPr>
              <w:spacing w:after="0"/>
              <w:rPr>
                <w:sz w:val="14"/>
                <w:szCs w:val="14"/>
                <w:color w:val="auto"/>
              </w:rPr>
            </w:pPr>
          </w:p>
        </w:tc>
        <w:tc>
          <w:tcPr>
            <w:tcW w:w="6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3"/>
              </w:rPr>
              <w:t>(Losses)</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9"/>
              <w:spacing w:after="0"/>
              <w:rPr>
                <w:sz w:val="20"/>
                <w:szCs w:val="20"/>
                <w:color w:val="auto"/>
              </w:rPr>
            </w:pPr>
            <w:r>
              <w:rPr>
                <w:rFonts w:ascii="Arial" w:cs="Arial" w:eastAsia="Arial" w:hAnsi="Arial"/>
                <w:sz w:val="14"/>
                <w:szCs w:val="14"/>
                <w:b w:val="1"/>
                <w:bCs w:val="1"/>
                <w:color w:val="auto"/>
                <w:w w:val="85"/>
              </w:rPr>
              <w:t>Value</w:t>
            </w:r>
          </w:p>
        </w:tc>
        <w:tc>
          <w:tcPr>
            <w:tcW w:w="220" w:type="dxa"/>
            <w:vAlign w:val="bottom"/>
          </w:tcPr>
          <w:p>
            <w:pPr>
              <w:spacing w:after="0"/>
              <w:rPr>
                <w:sz w:val="14"/>
                <w:szCs w:val="14"/>
                <w:color w:val="auto"/>
              </w:rPr>
            </w:pPr>
          </w:p>
        </w:tc>
        <w:tc>
          <w:tcPr>
            <w:tcW w:w="64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w w:val="93"/>
              </w:rPr>
              <w:t>(Losses)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U.S. Federal and State debt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94,220</w:t>
            </w:r>
          </w:p>
        </w:tc>
        <w:tc>
          <w:tcPr>
            <w:tcW w:w="4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94,220</w:t>
            </w:r>
          </w:p>
        </w:tc>
        <w:tc>
          <w:tcPr>
            <w:tcW w:w="36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6180" w:type="dxa"/>
            <w:vAlign w:val="bottom"/>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28,428</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(75)</w:t>
            </w:r>
          </w:p>
        </w:tc>
        <w:tc>
          <w:tcPr>
            <w:tcW w:w="80" w:type="dxa"/>
            <w:vAlign w:val="bottom"/>
          </w:tcPr>
          <w:p>
            <w:pPr>
              <w:spacing w:after="0"/>
              <w:rPr>
                <w:sz w:val="18"/>
                <w:szCs w:val="18"/>
                <w:color w:val="auto"/>
              </w:rPr>
            </w:pPr>
          </w:p>
        </w:tc>
        <w:tc>
          <w:tcPr>
            <w:tcW w:w="500" w:type="dxa"/>
            <w:vAlign w:val="bottom"/>
          </w:tcPr>
          <w:p>
            <w:pPr>
              <w:jc w:val="right"/>
              <w:ind w:right="2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28,428</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34,281</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4"/>
              </w:rPr>
              <w:t>(2,319)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2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(2,319)</w:t>
            </w:r>
          </w:p>
        </w:tc>
        <w:tc>
          <w:tcPr>
            <w:tcW w:w="0" w:type="dxa"/>
            <w:vAlign w:val="bottom"/>
          </w:tcPr>
          <w:p>
            <w:pPr>
              <w:spacing w:after="0"/>
              <w:rPr>
                <w:sz w:val="1"/>
                <w:szCs w:val="1"/>
                <w:color w:val="auto"/>
              </w:rPr>
            </w:pPr>
          </w:p>
        </w:tc>
      </w:tr>
      <w:tr>
        <w:trPr>
          <w:trHeight w:val="20"/>
        </w:trPr>
        <w:tc>
          <w:tcPr>
            <w:tcW w:w="61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180" w:type="dxa"/>
            <w:vAlign w:val="bottom"/>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122,648</w:t>
            </w:r>
          </w:p>
        </w:tc>
        <w:tc>
          <w:tcPr>
            <w:tcW w:w="42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280"/>
              <w:spacing w:after="0"/>
              <w:rPr>
                <w:sz w:val="20"/>
                <w:szCs w:val="20"/>
                <w:color w:val="auto"/>
              </w:rPr>
            </w:pPr>
            <w:r>
              <w:rPr>
                <w:rFonts w:ascii="Arial" w:cs="Arial" w:eastAsia="Arial" w:hAnsi="Arial"/>
                <w:sz w:val="18"/>
                <w:szCs w:val="18"/>
                <w:color w:val="auto"/>
              </w:rPr>
              <w:t>(105)</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34,281</w:t>
            </w:r>
          </w:p>
        </w:tc>
        <w:tc>
          <w:tcPr>
            <w:tcW w:w="34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w w:val="94"/>
              </w:rPr>
              <w:t>(2,319)</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156,929</w:t>
            </w:r>
          </w:p>
        </w:tc>
        <w:tc>
          <w:tcPr>
            <w:tcW w:w="36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(2,424)</w:t>
            </w:r>
          </w:p>
        </w:tc>
        <w:tc>
          <w:tcPr>
            <w:tcW w:w="0" w:type="dxa"/>
            <w:vAlign w:val="bottom"/>
          </w:tcPr>
          <w:p>
            <w:pPr>
              <w:spacing w:after="0"/>
              <w:rPr>
                <w:sz w:val="1"/>
                <w:szCs w:val="1"/>
                <w:color w:val="auto"/>
              </w:rPr>
            </w:pPr>
          </w:p>
        </w:tc>
      </w:tr>
      <w:tr>
        <w:trPr>
          <w:trHeight w:val="20"/>
        </w:trPr>
        <w:tc>
          <w:tcPr>
            <w:tcW w:w="6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Inventories</w:t>
      </w:r>
    </w:p>
    <w:p>
      <w:pPr>
        <w:spacing w:after="0" w:line="195"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14"/>
                <w:szCs w:val="14"/>
                <w:color w:val="auto"/>
              </w:rPr>
            </w:pPr>
          </w:p>
        </w:tc>
        <w:tc>
          <w:tcPr>
            <w:tcW w:w="840" w:type="dxa"/>
            <w:vAlign w:val="bottom"/>
            <w:gridSpan w:val="3"/>
          </w:tcPr>
          <w:p>
            <w:pPr>
              <w:jc w:val="right"/>
              <w:ind w:right="20"/>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980" w:type="dxa"/>
            <w:vAlign w:val="bottom"/>
            <w:gridSpan w:val="2"/>
          </w:tcPr>
          <w:p>
            <w:pPr>
              <w:spacing w:after="0"/>
              <w:rPr>
                <w:sz w:val="14"/>
                <w:szCs w:val="14"/>
                <w:color w:val="auto"/>
              </w:rPr>
            </w:pPr>
          </w:p>
        </w:tc>
        <w:tc>
          <w:tcPr>
            <w:tcW w:w="680" w:type="dxa"/>
            <w:vAlign w:val="bottom"/>
            <w:tcBorders>
              <w:bottom w:val="single" w:sz="8" w:color="auto"/>
            </w:tcBorders>
            <w:gridSpan w:val="2"/>
          </w:tcPr>
          <w:p>
            <w:pPr>
              <w:jc w:val="right"/>
              <w:ind w:right="220"/>
              <w:spacing w:after="0"/>
              <w:rPr>
                <w:sz w:val="20"/>
                <w:szCs w:val="20"/>
                <w:color w:val="auto"/>
              </w:rPr>
            </w:pPr>
            <w:r>
              <w:rPr>
                <w:rFonts w:ascii="Arial" w:cs="Arial" w:eastAsia="Arial" w:hAnsi="Arial"/>
                <w:sz w:val="14"/>
                <w:szCs w:val="14"/>
                <w:b w:val="1"/>
                <w:bCs w:val="1"/>
                <w:color w:val="auto"/>
              </w:rPr>
              <w:t>2010</w:t>
            </w:r>
          </w:p>
        </w:tc>
        <w:tc>
          <w:tcPr>
            <w:tcW w:w="420" w:type="dxa"/>
            <w:vAlign w:val="bottom"/>
            <w:gridSpan w:val="2"/>
          </w:tcPr>
          <w:p>
            <w:pPr>
              <w:spacing w:after="0"/>
              <w:rPr>
                <w:sz w:val="14"/>
                <w:szCs w:val="14"/>
                <w:color w:val="auto"/>
              </w:rPr>
            </w:pPr>
          </w:p>
        </w:tc>
        <w:tc>
          <w:tcPr>
            <w:tcW w:w="580" w:type="dxa"/>
            <w:vAlign w:val="bottom"/>
            <w:tcBorders>
              <w:bottom w:val="single" w:sz="8" w:color="auto"/>
            </w:tcBorders>
          </w:tcPr>
          <w:p>
            <w:pPr>
              <w:jc w:val="right"/>
              <w:ind w:right="22"/>
              <w:spacing w:after="0"/>
              <w:rPr>
                <w:sz w:val="20"/>
                <w:szCs w:val="20"/>
                <w:color w:val="auto"/>
              </w:rPr>
            </w:pPr>
            <w:r>
              <w:rPr>
                <w:rFonts w:ascii="Arial" w:cs="Arial" w:eastAsia="Arial" w:hAnsi="Arial"/>
                <w:sz w:val="14"/>
                <w:szCs w:val="14"/>
                <w:b w:val="1"/>
                <w:bCs w:val="1"/>
                <w:color w:val="auto"/>
              </w:rPr>
              <w:t>2010</w:t>
            </w:r>
          </w:p>
        </w:tc>
        <w:tc>
          <w:tcPr>
            <w:tcW w:w="1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366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$128,108</w:t>
            </w:r>
          </w:p>
        </w:tc>
        <w:tc>
          <w:tcPr>
            <w:tcW w:w="11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$ 128,371</w:t>
            </w: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Finished goods</w:t>
            </w:r>
          </w:p>
        </w:tc>
        <w:tc>
          <w:tcPr>
            <w:tcW w:w="2980" w:type="dxa"/>
            <w:vAlign w:val="bottom"/>
            <w:gridSpan w:val="2"/>
          </w:tcPr>
          <w:p>
            <w:pPr>
              <w:spacing w:after="0"/>
              <w:rPr>
                <w:sz w:val="19"/>
                <w:szCs w:val="19"/>
                <w:color w:val="auto"/>
              </w:rPr>
            </w:pPr>
          </w:p>
        </w:tc>
        <w:tc>
          <w:tcPr>
            <w:tcW w:w="68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w w:val="98"/>
              </w:rPr>
              <w:t>111,212</w:t>
            </w:r>
          </w:p>
        </w:tc>
        <w:tc>
          <w:tcPr>
            <w:tcW w:w="420" w:type="dxa"/>
            <w:vAlign w:val="bottom"/>
            <w:gridSpan w:val="2"/>
          </w:tcPr>
          <w:p>
            <w:pPr>
              <w:spacing w:after="0"/>
              <w:rPr>
                <w:sz w:val="19"/>
                <w:szCs w:val="19"/>
                <w:color w:val="auto"/>
              </w:rPr>
            </w:pPr>
          </w:p>
        </w:tc>
        <w:tc>
          <w:tcPr>
            <w:tcW w:w="70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113,170</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366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239,320</w:t>
            </w:r>
          </w:p>
        </w:tc>
        <w:tc>
          <w:tcPr>
            <w:tcW w:w="112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$ 241,541</w:t>
            </w:r>
          </w:p>
        </w:tc>
        <w:tc>
          <w:tcPr>
            <w:tcW w:w="0" w:type="dxa"/>
            <w:vAlign w:val="bottom"/>
          </w:tcPr>
          <w:p>
            <w:pPr>
              <w:spacing w:after="0"/>
              <w:rPr>
                <w:sz w:val="1"/>
                <w:szCs w:val="1"/>
                <w:color w:val="auto"/>
              </w:rPr>
            </w:pPr>
          </w:p>
        </w:tc>
      </w:tr>
      <w:tr>
        <w:trPr>
          <w:trHeight w:val="20"/>
        </w:trPr>
        <w:tc>
          <w:tcPr>
            <w:tcW w:w="50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Property and equipment, net</w:t>
            </w:r>
          </w:p>
        </w:tc>
        <w:tc>
          <w:tcPr>
            <w:tcW w:w="2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040" w:type="dxa"/>
            <w:vAlign w:val="bottom"/>
            <w:gridSpan w:val="2"/>
            <w:vMerge w:val="continue"/>
          </w:tcPr>
          <w:p>
            <w:pPr>
              <w:spacing w:after="0"/>
              <w:rPr>
                <w:sz w:val="24"/>
                <w:szCs w:val="24"/>
                <w:color w:val="auto"/>
              </w:rPr>
            </w:pPr>
          </w:p>
        </w:tc>
        <w:tc>
          <w:tcPr>
            <w:tcW w:w="2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96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July 31,</w:t>
            </w:r>
          </w:p>
        </w:tc>
        <w:tc>
          <w:tcPr>
            <w:tcW w:w="280" w:type="dxa"/>
            <w:vAlign w:val="bottom"/>
          </w:tcPr>
          <w:p>
            <w:pPr>
              <w:spacing w:after="0"/>
              <w:rPr>
                <w:sz w:val="24"/>
                <w:szCs w:val="2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720" w:type="dxa"/>
            <w:vAlign w:val="bottom"/>
            <w:tcBorders>
              <w:bottom w:val="single" w:sz="8" w:color="auto"/>
            </w:tcBorders>
            <w:gridSpan w:val="2"/>
          </w:tcPr>
          <w:p>
            <w:pPr>
              <w:jc w:val="right"/>
              <w:ind w:right="166"/>
              <w:spacing w:after="0"/>
              <w:rPr>
                <w:sz w:val="20"/>
                <w:szCs w:val="20"/>
                <w:color w:val="auto"/>
              </w:rPr>
            </w:pPr>
            <w:r>
              <w:rPr>
                <w:rFonts w:ascii="Arial" w:cs="Arial" w:eastAsia="Arial" w:hAnsi="Arial"/>
                <w:sz w:val="14"/>
                <w:szCs w:val="14"/>
                <w:b w:val="1"/>
                <w:bCs w:val="1"/>
                <w:color w:val="auto"/>
              </w:rPr>
              <w:t>2010</w:t>
            </w:r>
          </w:p>
        </w:tc>
        <w:tc>
          <w:tcPr>
            <w:tcW w:w="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Borders>
              <w:bottom w:val="single" w:sz="8" w:color="auto"/>
            </w:tcBorders>
            <w:gridSpan w:val="2"/>
          </w:tcPr>
          <w:p>
            <w:pPr>
              <w:jc w:val="right"/>
              <w:ind w:right="142"/>
              <w:spacing w:after="0"/>
              <w:rPr>
                <w:sz w:val="20"/>
                <w:szCs w:val="20"/>
                <w:color w:val="auto"/>
              </w:rPr>
            </w:pPr>
            <w:r>
              <w:rPr>
                <w:rFonts w:ascii="Arial" w:cs="Arial" w:eastAsia="Arial" w:hAnsi="Arial"/>
                <w:sz w:val="14"/>
                <w:szCs w:val="14"/>
                <w:b w:val="1"/>
                <w:bCs w:val="1"/>
                <w:color w:val="auto"/>
              </w:rPr>
              <w:t>2010</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$ 407,947</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$ 371,281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72,281</w:t>
            </w:r>
          </w:p>
        </w:tc>
        <w:tc>
          <w:tcPr>
            <w:tcW w:w="2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66,643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23,426</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23,335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Leasehold improvements</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32,080</w:t>
            </w:r>
          </w:p>
        </w:tc>
        <w:tc>
          <w:tcPr>
            <w:tcW w:w="2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33,224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40,921</w:t>
            </w:r>
          </w:p>
        </w:tc>
        <w:tc>
          <w:tcPr>
            <w:tcW w:w="2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45,631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700" w:type="dxa"/>
            <w:vAlign w:val="bottom"/>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4,083</w:t>
            </w:r>
          </w:p>
        </w:tc>
        <w:tc>
          <w:tcPr>
            <w:tcW w:w="2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5,174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18"/>
                <w:szCs w:val="18"/>
                <w:color w:val="auto"/>
              </w:rPr>
            </w:pP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794,580</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762,780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700" w:type="dxa"/>
            <w:vAlign w:val="bottom"/>
          </w:tcPr>
          <w:p>
            <w:pPr>
              <w:spacing w:after="0"/>
              <w:rPr>
                <w:sz w:val="18"/>
                <w:szCs w:val="18"/>
                <w:color w:val="auto"/>
              </w:rPr>
            </w:pPr>
          </w:p>
        </w:tc>
        <w:tc>
          <w:tcPr>
            <w:tcW w:w="960" w:type="dxa"/>
            <w:vAlign w:val="bottom"/>
            <w:gridSpan w:val="3"/>
          </w:tcPr>
          <w:p>
            <w:pPr>
              <w:jc w:val="right"/>
              <w:ind w:right="180"/>
              <w:spacing w:after="0"/>
              <w:rPr>
                <w:sz w:val="20"/>
                <w:szCs w:val="20"/>
                <w:color w:val="auto"/>
              </w:rPr>
            </w:pPr>
            <w:r>
              <w:rPr>
                <w:rFonts w:ascii="Arial" w:cs="Arial" w:eastAsia="Arial" w:hAnsi="Arial"/>
                <w:sz w:val="18"/>
                <w:szCs w:val="18"/>
                <w:color w:val="auto"/>
                <w:w w:val="98"/>
              </w:rPr>
              <w:t>(451,135)</w:t>
            </w:r>
          </w:p>
        </w:tc>
        <w:tc>
          <w:tcPr>
            <w:tcW w:w="1120" w:type="dxa"/>
            <w:vAlign w:val="bottom"/>
            <w:gridSpan w:val="4"/>
          </w:tcPr>
          <w:p>
            <w:pPr>
              <w:jc w:val="right"/>
              <w:ind w:right="60"/>
              <w:spacing w:after="0"/>
              <w:rPr>
                <w:sz w:val="20"/>
                <w:szCs w:val="20"/>
                <w:color w:val="auto"/>
              </w:rPr>
            </w:pPr>
            <w:r>
              <w:rPr>
                <w:rFonts w:ascii="Arial" w:cs="Arial" w:eastAsia="Arial" w:hAnsi="Arial"/>
                <w:sz w:val="18"/>
                <w:szCs w:val="18"/>
                <w:color w:val="auto"/>
              </w:rPr>
              <w:t>(420,283)</w:t>
            </w:r>
          </w:p>
        </w:tc>
        <w:tc>
          <w:tcPr>
            <w:tcW w:w="0" w:type="dxa"/>
            <w:vAlign w:val="bottom"/>
          </w:tcPr>
          <w:p>
            <w:pPr>
              <w:spacing w:after="0"/>
              <w:rPr>
                <w:sz w:val="1"/>
                <w:szCs w:val="1"/>
                <w:color w:val="auto"/>
              </w:rPr>
            </w:pPr>
          </w:p>
        </w:tc>
      </w:tr>
      <w:tr>
        <w:trPr>
          <w:trHeight w:val="27"/>
        </w:trPr>
        <w:tc>
          <w:tcPr>
            <w:tcW w:w="1140" w:type="dxa"/>
            <w:vAlign w:val="bottom"/>
            <w:vMerge w:val="restart"/>
          </w:tcPr>
          <w:p>
            <w:pPr>
              <w:spacing w:after="0"/>
              <w:rPr>
                <w:sz w:val="2"/>
                <w:szCs w:val="2"/>
                <w:color w:val="auto"/>
              </w:rPr>
            </w:pPr>
          </w:p>
        </w:tc>
        <w:tc>
          <w:tcPr>
            <w:tcW w:w="3900" w:type="dxa"/>
            <w:vAlign w:val="bottom"/>
          </w:tcPr>
          <w:p>
            <w:pPr>
              <w:spacing w:after="0"/>
              <w:rPr>
                <w:sz w:val="2"/>
                <w:szCs w:val="2"/>
                <w:color w:val="auto"/>
              </w:rPr>
            </w:pPr>
          </w:p>
        </w:tc>
        <w:tc>
          <w:tcPr>
            <w:tcW w:w="270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$ 343,445</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$ 342,497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2700" w:type="dxa"/>
            <w:vAlign w:val="bottom"/>
            <w:vMerge w:val="restart"/>
          </w:tcPr>
          <w:p>
            <w:pPr>
              <w:jc w:val="right"/>
              <w:ind w:right="2132"/>
              <w:spacing w:after="0"/>
              <w:rPr>
                <w:sz w:val="20"/>
                <w:szCs w:val="20"/>
                <w:color w:val="auto"/>
              </w:rPr>
            </w:pPr>
            <w:r>
              <w:rPr>
                <w:rFonts w:ascii="Arial" w:cs="Arial" w:eastAsia="Arial" w:hAnsi="Arial"/>
                <w:sz w:val="18"/>
                <w:szCs w:val="18"/>
                <w:color w:val="auto"/>
              </w:rPr>
              <w:t>9</w:t>
            </w:r>
          </w:p>
        </w:tc>
        <w:tc>
          <w:tcPr>
            <w:tcW w:w="2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1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Other non-current assets</w:t>
      </w:r>
    </w:p>
    <w:p>
      <w:pPr>
        <w:spacing w:after="0" w:line="195"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47"/>
              <w:spacing w:after="0"/>
              <w:rPr>
                <w:sz w:val="20"/>
                <w:szCs w:val="20"/>
                <w:color w:val="auto"/>
              </w:rPr>
            </w:pPr>
            <w:r>
              <w:rPr>
                <w:rFonts w:ascii="Arial" w:cs="Arial" w:eastAsia="Arial" w:hAnsi="Arial"/>
                <w:sz w:val="14"/>
                <w:szCs w:val="14"/>
                <w:b w:val="1"/>
                <w:bCs w:val="1"/>
                <w:color w:val="auto"/>
                <w:w w:val="85"/>
              </w:rPr>
              <w:t>July 31,</w:t>
            </w:r>
          </w:p>
        </w:tc>
        <w:tc>
          <w:tcPr>
            <w:tcW w:w="1120" w:type="dxa"/>
            <w:vAlign w:val="bottom"/>
            <w:gridSpan w:val="3"/>
          </w:tcPr>
          <w:p>
            <w:pPr>
              <w:ind w:left="42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3080" w:type="dxa"/>
            <w:vAlign w:val="bottom"/>
          </w:tcPr>
          <w:p>
            <w:pPr>
              <w:spacing w:after="0"/>
              <w:rPr>
                <w:sz w:val="14"/>
                <w:szCs w:val="14"/>
                <w:color w:val="auto"/>
              </w:rPr>
            </w:pPr>
          </w:p>
        </w:tc>
        <w:tc>
          <w:tcPr>
            <w:tcW w:w="680" w:type="dxa"/>
            <w:vAlign w:val="bottom"/>
            <w:tcBorders>
              <w:bottom w:val="single" w:sz="8" w:color="auto"/>
            </w:tcBorders>
            <w:gridSpan w:val="2"/>
          </w:tcPr>
          <w:p>
            <w:pPr>
              <w:jc w:val="right"/>
              <w:ind w:right="147"/>
              <w:spacing w:after="0"/>
              <w:rPr>
                <w:sz w:val="20"/>
                <w:szCs w:val="20"/>
                <w:color w:val="auto"/>
              </w:rPr>
            </w:pPr>
            <w:r>
              <w:rPr>
                <w:rFonts w:ascii="Arial" w:cs="Arial" w:eastAsia="Arial" w:hAnsi="Arial"/>
                <w:sz w:val="14"/>
                <w:szCs w:val="14"/>
                <w:b w:val="1"/>
                <w:bCs w:val="1"/>
                <w:color w:val="auto"/>
              </w:rPr>
              <w:t>2010</w:t>
            </w: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2010</w:t>
            </w: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$ 56,371</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57,261</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Deferred tax assets, non-current</w:t>
            </w:r>
          </w:p>
        </w:tc>
        <w:tc>
          <w:tcPr>
            <w:tcW w:w="3760" w:type="dxa"/>
            <w:vAlign w:val="bottom"/>
            <w:gridSpan w:val="3"/>
          </w:tcPr>
          <w:p>
            <w:pPr>
              <w:jc w:val="right"/>
              <w:spacing w:after="0"/>
              <w:rPr>
                <w:sz w:val="20"/>
                <w:szCs w:val="20"/>
                <w:color w:val="auto"/>
              </w:rPr>
            </w:pPr>
            <w:r>
              <w:rPr>
                <w:rFonts w:ascii="Arial" w:cs="Arial" w:eastAsia="Arial" w:hAnsi="Arial"/>
                <w:sz w:val="18"/>
                <w:szCs w:val="18"/>
                <w:color w:val="auto"/>
              </w:rPr>
              <w:t>36,095</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34,638</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licenses</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34,417</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33,486</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Long-term prepayments for foundry capacity</w:t>
            </w:r>
          </w:p>
        </w:tc>
        <w:tc>
          <w:tcPr>
            <w:tcW w:w="3760" w:type="dxa"/>
            <w:vAlign w:val="bottom"/>
            <w:gridSpan w:val="3"/>
          </w:tcPr>
          <w:p>
            <w:pPr>
              <w:jc w:val="right"/>
              <w:spacing w:after="0"/>
              <w:rPr>
                <w:sz w:val="20"/>
                <w:szCs w:val="20"/>
                <w:color w:val="auto"/>
              </w:rPr>
            </w:pPr>
            <w:r>
              <w:rPr>
                <w:rFonts w:ascii="Arial" w:cs="Arial" w:eastAsia="Arial" w:hAnsi="Arial"/>
                <w:sz w:val="18"/>
                <w:szCs w:val="18"/>
                <w:color w:val="auto"/>
              </w:rPr>
              <w:t>8,940</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8,504</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Equity investments in privately held companies</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8,064</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6,314</w:t>
            </w: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Other</w:t>
            </w:r>
          </w:p>
        </w:tc>
        <w:tc>
          <w:tcPr>
            <w:tcW w:w="3080" w:type="dxa"/>
            <w:vAlign w:val="bottom"/>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10,266</w:t>
            </w:r>
          </w:p>
        </w:tc>
        <w:tc>
          <w:tcPr>
            <w:tcW w:w="4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11,651</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154,153</w:t>
            </w:r>
          </w:p>
        </w:tc>
        <w:tc>
          <w:tcPr>
            <w:tcW w:w="1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$ 151,854</w:t>
            </w:r>
          </w:p>
        </w:tc>
        <w:tc>
          <w:tcPr>
            <w:tcW w:w="0" w:type="dxa"/>
            <w:vAlign w:val="bottom"/>
          </w:tcPr>
          <w:p>
            <w:pPr>
              <w:spacing w:after="0"/>
              <w:rPr>
                <w:sz w:val="1"/>
                <w:szCs w:val="1"/>
                <w:color w:val="auto"/>
              </w:rPr>
            </w:pPr>
          </w:p>
        </w:tc>
      </w:tr>
      <w:tr>
        <w:trPr>
          <w:trHeight w:val="20"/>
        </w:trPr>
        <w:tc>
          <w:tcPr>
            <w:tcW w:w="49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Accrued liabilities</w:t>
            </w:r>
          </w:p>
        </w:tc>
        <w:tc>
          <w:tcPr>
            <w:tcW w:w="30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940" w:type="dxa"/>
            <w:vAlign w:val="bottom"/>
            <w:gridSpan w:val="2"/>
            <w:vMerge w:val="continue"/>
          </w:tcPr>
          <w:p>
            <w:pPr>
              <w:spacing w:after="0"/>
              <w:rPr>
                <w:sz w:val="24"/>
                <w:szCs w:val="24"/>
                <w:color w:val="auto"/>
              </w:rPr>
            </w:pPr>
          </w:p>
        </w:tc>
        <w:tc>
          <w:tcPr>
            <w:tcW w:w="3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5"/>
              </w:rPr>
              <w:t>July 31,</w:t>
            </w:r>
          </w:p>
        </w:tc>
        <w:tc>
          <w:tcPr>
            <w:tcW w:w="1120" w:type="dxa"/>
            <w:vAlign w:val="bottom"/>
            <w:gridSpan w:val="3"/>
          </w:tcPr>
          <w:p>
            <w:pPr>
              <w:ind w:left="42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3180" w:type="dxa"/>
            <w:vAlign w:val="bottom"/>
            <w:gridSpan w:val="2"/>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2010</w:t>
            </w: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2010</w:t>
            </w: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rebates</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$19,438</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13,404</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Accrued royalties</w:t>
            </w:r>
          </w:p>
        </w:tc>
        <w:tc>
          <w:tcPr>
            <w:tcW w:w="3760" w:type="dxa"/>
            <w:vAlign w:val="bottom"/>
            <w:gridSpan w:val="3"/>
          </w:tcPr>
          <w:p>
            <w:pPr>
              <w:jc w:val="right"/>
              <w:spacing w:after="0"/>
              <w:rPr>
                <w:sz w:val="20"/>
                <w:szCs w:val="20"/>
                <w:color w:val="auto"/>
              </w:rPr>
            </w:pPr>
            <w:r>
              <w:rPr>
                <w:rFonts w:ascii="Arial" w:cs="Arial" w:eastAsia="Arial" w:hAnsi="Arial"/>
                <w:sz w:val="18"/>
                <w:szCs w:val="18"/>
                <w:color w:val="auto"/>
              </w:rPr>
              <w:t>16,808</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12,651</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10,780</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13,585</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Customer advances</w:t>
            </w:r>
          </w:p>
        </w:tc>
        <w:tc>
          <w:tcPr>
            <w:tcW w:w="3760" w:type="dxa"/>
            <w:vAlign w:val="bottom"/>
            <w:gridSpan w:val="3"/>
          </w:tcPr>
          <w:p>
            <w:pPr>
              <w:jc w:val="right"/>
              <w:spacing w:after="0"/>
              <w:rPr>
                <w:sz w:val="20"/>
                <w:szCs w:val="20"/>
                <w:color w:val="auto"/>
              </w:rPr>
            </w:pPr>
            <w:r>
              <w:rPr>
                <w:rFonts w:ascii="Arial" w:cs="Arial" w:eastAsia="Arial" w:hAnsi="Arial"/>
                <w:sz w:val="18"/>
                <w:szCs w:val="18"/>
                <w:color w:val="auto"/>
              </w:rPr>
              <w:t>5,327</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8,167</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tapeouts</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5,625</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5,957</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Accrued sales/goods and services tax</w:t>
            </w:r>
          </w:p>
        </w:tc>
        <w:tc>
          <w:tcPr>
            <w:tcW w:w="3760" w:type="dxa"/>
            <w:vAlign w:val="bottom"/>
            <w:gridSpan w:val="3"/>
          </w:tcPr>
          <w:p>
            <w:pPr>
              <w:jc w:val="right"/>
              <w:spacing w:after="0"/>
              <w:rPr>
                <w:sz w:val="20"/>
                <w:szCs w:val="20"/>
                <w:color w:val="auto"/>
              </w:rPr>
            </w:pPr>
            <w:r>
              <w:rPr>
                <w:rFonts w:ascii="Arial" w:cs="Arial" w:eastAsia="Arial" w:hAnsi="Arial"/>
                <w:sz w:val="18"/>
                <w:szCs w:val="18"/>
                <w:color w:val="auto"/>
              </w:rPr>
              <w:t>4,173</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6,082</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3180" w:type="dxa"/>
            <w:vAlign w:val="bottom"/>
            <w:gridSpan w:val="2"/>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20,422</w:t>
            </w:r>
          </w:p>
        </w:tc>
        <w:tc>
          <w:tcPr>
            <w:tcW w:w="4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22,221</w:t>
            </w:r>
          </w:p>
        </w:tc>
        <w:tc>
          <w:tcPr>
            <w:tcW w:w="0" w:type="dxa"/>
            <w:vAlign w:val="bottom"/>
          </w:tcPr>
          <w:p>
            <w:pPr>
              <w:spacing w:after="0"/>
              <w:rPr>
                <w:sz w:val="1"/>
                <w:szCs w:val="1"/>
                <w:color w:val="auto"/>
              </w:rPr>
            </w:pPr>
          </w:p>
        </w:tc>
      </w:tr>
      <w:tr>
        <w:trPr>
          <w:trHeight w:val="221"/>
        </w:trPr>
        <w:tc>
          <w:tcPr>
            <w:tcW w:w="4940" w:type="dxa"/>
            <w:vAlign w:val="bottom"/>
            <w:gridSpan w:val="2"/>
          </w:tcPr>
          <w:p>
            <w:pPr>
              <w:ind w:left="1140"/>
              <w:spacing w:after="0"/>
              <w:rPr>
                <w:sz w:val="20"/>
                <w:szCs w:val="20"/>
                <w:color w:val="auto"/>
              </w:rPr>
            </w:pPr>
            <w:r>
              <w:rPr>
                <w:rFonts w:ascii="Arial" w:cs="Arial" w:eastAsia="Arial" w:hAnsi="Arial"/>
                <w:sz w:val="18"/>
                <w:szCs w:val="18"/>
                <w:color w:val="auto"/>
              </w:rPr>
              <w:t>Accrued liabilities</w:t>
            </w:r>
          </w:p>
        </w:tc>
        <w:tc>
          <w:tcPr>
            <w:tcW w:w="376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82,573</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4"/>
              </w:rPr>
              <w:t>82,067</w:t>
            </w:r>
          </w:p>
        </w:tc>
        <w:tc>
          <w:tcPr>
            <w:tcW w:w="0" w:type="dxa"/>
            <w:vAlign w:val="bottom"/>
          </w:tcPr>
          <w:p>
            <w:pPr>
              <w:spacing w:after="0"/>
              <w:rPr>
                <w:sz w:val="1"/>
                <w:szCs w:val="1"/>
                <w:color w:val="auto"/>
              </w:rPr>
            </w:pPr>
          </w:p>
        </w:tc>
      </w:tr>
      <w:tr>
        <w:trPr>
          <w:trHeight w:val="20"/>
        </w:trPr>
        <w:tc>
          <w:tcPr>
            <w:tcW w:w="49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Other long-term liabilities</w:t>
            </w:r>
          </w:p>
        </w:tc>
        <w:tc>
          <w:tcPr>
            <w:tcW w:w="30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940" w:type="dxa"/>
            <w:vAlign w:val="bottom"/>
            <w:gridSpan w:val="2"/>
            <w:vMerge w:val="continue"/>
          </w:tcPr>
          <w:p>
            <w:pPr>
              <w:spacing w:after="0"/>
              <w:rPr>
                <w:sz w:val="24"/>
                <w:szCs w:val="24"/>
                <w:color w:val="auto"/>
              </w:rPr>
            </w:pPr>
          </w:p>
        </w:tc>
        <w:tc>
          <w:tcPr>
            <w:tcW w:w="3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5"/>
              </w:rPr>
              <w:t>July 31,</w:t>
            </w:r>
          </w:p>
        </w:tc>
        <w:tc>
          <w:tcPr>
            <w:tcW w:w="1120" w:type="dxa"/>
            <w:vAlign w:val="bottom"/>
            <w:gridSpan w:val="3"/>
          </w:tcPr>
          <w:p>
            <w:pPr>
              <w:ind w:left="42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3180" w:type="dxa"/>
            <w:vAlign w:val="bottom"/>
            <w:gridSpan w:val="2"/>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2010</w:t>
            </w: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2010</w:t>
            </w: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$54,990</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53,549</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Technology license obligation</w:t>
            </w:r>
          </w:p>
        </w:tc>
        <w:tc>
          <w:tcPr>
            <w:tcW w:w="3760" w:type="dxa"/>
            <w:vAlign w:val="bottom"/>
            <w:gridSpan w:val="3"/>
          </w:tcPr>
          <w:p>
            <w:pPr>
              <w:jc w:val="right"/>
              <w:spacing w:after="0"/>
              <w:rPr>
                <w:sz w:val="20"/>
                <w:szCs w:val="20"/>
                <w:color w:val="auto"/>
              </w:rPr>
            </w:pPr>
            <w:r>
              <w:rPr>
                <w:rFonts w:ascii="Arial" w:cs="Arial" w:eastAsia="Arial" w:hAnsi="Arial"/>
                <w:sz w:val="18"/>
                <w:szCs w:val="18"/>
                <w:color w:val="auto"/>
              </w:rPr>
              <w:t>4,500</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4,500</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Long-term facilities consolidation</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3,226</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3,305</w:t>
            </w: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Other</w:t>
            </w:r>
          </w:p>
        </w:tc>
        <w:tc>
          <w:tcPr>
            <w:tcW w:w="3180" w:type="dxa"/>
            <w:vAlign w:val="bottom"/>
            <w:gridSpan w:val="2"/>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7,755</w:t>
            </w:r>
          </w:p>
        </w:tc>
        <w:tc>
          <w:tcPr>
            <w:tcW w:w="4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7,246</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70,471</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68,600</w:t>
            </w: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c>
          <w:tcPr>
            <w:tcW w:w="3080" w:type="dxa"/>
            <w:vAlign w:val="bottom"/>
            <w:vMerge w:val="restart"/>
          </w:tcPr>
          <w:p>
            <w:pPr>
              <w:jc w:val="right"/>
              <w:ind w:right="2372"/>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1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30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459" w:right="1440"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9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reports both basic net income (loss) per share, which is based upon the weighted average number of common shares outstanding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Pr>
          <w:p>
            <w:pPr>
              <w:spacing w:after="0"/>
              <w:rPr>
                <w:sz w:val="14"/>
                <w:szCs w:val="14"/>
                <w:color w:val="auto"/>
              </w:rPr>
            </w:pPr>
          </w:p>
        </w:tc>
        <w:tc>
          <w:tcPr>
            <w:tcW w:w="1660" w:type="dxa"/>
            <w:vAlign w:val="bottom"/>
            <w:gridSpan w:val="6"/>
          </w:tcPr>
          <w:p>
            <w:pPr>
              <w:jc w:val="right"/>
              <w:ind w:right="40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68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9"/>
              <w:spacing w:after="0" w:line="129" w:lineRule="exact"/>
              <w:rPr>
                <w:sz w:val="20"/>
                <w:szCs w:val="20"/>
                <w:color w:val="auto"/>
              </w:rPr>
            </w:pPr>
            <w:r>
              <w:rPr>
                <w:rFonts w:ascii="Arial" w:cs="Arial" w:eastAsia="Arial" w:hAnsi="Arial"/>
                <w:sz w:val="14"/>
                <w:szCs w:val="14"/>
                <w:b w:val="1"/>
                <w:bCs w:val="1"/>
                <w:color w:val="auto"/>
                <w:w w:val="85"/>
              </w:rPr>
              <w:t>July 31,</w:t>
            </w:r>
          </w:p>
        </w:tc>
        <w:tc>
          <w:tcPr>
            <w:tcW w:w="3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1,</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center"/>
              <w:ind w:right="240"/>
              <w:spacing w:after="0" w:line="129" w:lineRule="exact"/>
              <w:rPr>
                <w:sz w:val="20"/>
                <w:szCs w:val="20"/>
                <w:color w:val="auto"/>
              </w:rPr>
            </w:pPr>
            <w:r>
              <w:rPr>
                <w:rFonts w:ascii="Arial" w:cs="Arial" w:eastAsia="Arial" w:hAnsi="Arial"/>
                <w:sz w:val="14"/>
                <w:szCs w:val="14"/>
                <w:b w:val="1"/>
                <w:bCs w:val="1"/>
                <w:color w:val="auto"/>
                <w:w w:val="85"/>
              </w:rPr>
              <w:t>July 31,</w:t>
            </w:r>
          </w:p>
        </w:tc>
        <w:tc>
          <w:tcPr>
            <w:tcW w:w="1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2010</w:t>
            </w: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0" w:type="dxa"/>
            <w:vAlign w:val="bottom"/>
          </w:tcPr>
          <w:p>
            <w:pPr>
              <w:ind w:left="440"/>
              <w:spacing w:after="0"/>
              <w:rPr>
                <w:sz w:val="20"/>
                <w:szCs w:val="20"/>
                <w:color w:val="auto"/>
              </w:rPr>
            </w:pPr>
            <w:r>
              <w:rPr>
                <w:rFonts w:ascii="Arial" w:cs="Arial" w:eastAsia="Arial" w:hAnsi="Arial"/>
                <w:sz w:val="18"/>
                <w:szCs w:val="18"/>
                <w:color w:val="auto"/>
              </w:rPr>
              <w:t>Net income (loss)</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219,777</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58,493</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425,544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(52,964)</w:t>
            </w:r>
          </w:p>
        </w:tc>
        <w:tc>
          <w:tcPr>
            <w:tcW w:w="0" w:type="dxa"/>
            <w:vAlign w:val="bottom"/>
          </w:tcPr>
          <w:p>
            <w:pPr>
              <w:spacing w:after="0"/>
              <w:rPr>
                <w:sz w:val="1"/>
                <w:szCs w:val="1"/>
                <w:color w:val="auto"/>
              </w:rPr>
            </w:pPr>
          </w:p>
        </w:tc>
      </w:tr>
      <w:tr>
        <w:trPr>
          <w:trHeight w:val="20"/>
        </w:trPr>
        <w:tc>
          <w:tcPr>
            <w:tcW w:w="6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0" w:type="dxa"/>
            <w:vAlign w:val="bottom"/>
          </w:tcPr>
          <w:p>
            <w:pPr>
              <w:spacing w:after="0"/>
              <w:rPr>
                <w:sz w:val="20"/>
                <w:szCs w:val="20"/>
                <w:color w:val="auto"/>
              </w:rPr>
            </w:pPr>
            <w:r>
              <w:rPr>
                <w:rFonts w:ascii="Arial" w:cs="Arial" w:eastAsia="Arial" w:hAnsi="Arial"/>
                <w:sz w:val="18"/>
                <w:szCs w:val="18"/>
                <w:color w:val="auto"/>
              </w:rPr>
              <w:t>Weighted average common shares outstanding</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648,028</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620,881</w:t>
            </w: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644,477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619,779</w:t>
            </w:r>
          </w:p>
        </w:tc>
        <w:tc>
          <w:tcPr>
            <w:tcW w:w="0" w:type="dxa"/>
            <w:vAlign w:val="bottom"/>
          </w:tcPr>
          <w:p>
            <w:pPr>
              <w:spacing w:after="0"/>
              <w:rPr>
                <w:sz w:val="1"/>
                <w:szCs w:val="1"/>
                <w:color w:val="auto"/>
              </w:rPr>
            </w:pPr>
          </w:p>
        </w:tc>
      </w:tr>
      <w:tr>
        <w:trPr>
          <w:trHeight w:val="216"/>
        </w:trPr>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27,192</w:t>
            </w: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27,229</w:t>
            </w: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32,162</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68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6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675,220</w:t>
            </w:r>
          </w:p>
        </w:tc>
        <w:tc>
          <w:tcPr>
            <w:tcW w:w="3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648,110</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676,639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619,779</w:t>
            </w:r>
          </w:p>
        </w:tc>
        <w:tc>
          <w:tcPr>
            <w:tcW w:w="0" w:type="dxa"/>
            <w:vAlign w:val="bottom"/>
          </w:tcPr>
          <w:p>
            <w:pPr>
              <w:spacing w:after="0"/>
              <w:rPr>
                <w:sz w:val="1"/>
                <w:szCs w:val="1"/>
                <w:color w:val="auto"/>
              </w:rPr>
            </w:pPr>
          </w:p>
        </w:tc>
      </w:tr>
      <w:tr>
        <w:trPr>
          <w:trHeight w:val="20"/>
        </w:trPr>
        <w:tc>
          <w:tcPr>
            <w:tcW w:w="680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80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8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0.09</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0.66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222"/>
        </w:trPr>
        <w:tc>
          <w:tcPr>
            <w:tcW w:w="6800" w:type="dxa"/>
            <w:vAlign w:val="bottom"/>
          </w:tcPr>
          <w:p>
            <w:pPr>
              <w:ind w:left="440"/>
              <w:spacing w:after="0"/>
              <w:rPr>
                <w:sz w:val="20"/>
                <w:szCs w:val="20"/>
                <w:color w:val="auto"/>
              </w:rPr>
            </w:pPr>
            <w:r>
              <w:rPr>
                <w:rFonts w:ascii="Arial" w:cs="Arial" w:eastAsia="Arial" w:hAnsi="Arial"/>
                <w:sz w:val="18"/>
                <w:szCs w:val="18"/>
                <w:color w:val="auto"/>
              </w:rPr>
              <w:t>Diluted</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0.33</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0.09</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0.63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Options to purchase 12.7 million weighted-average shares at a weighted average exercise price of $21.15 have been excluded from the computation of diluted net income per share for the three months ended July 31, 2010 because including them would have been anti-dilutive. Options to purchase 27.1 million weighted-average shares at a weighted average exercise price of $17.08 have been excluded from the computation of diluted net income per share for the three months ended August 1, 2009 because including them would have been anti-dilutive.</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Options to purchase 10.1 million weighted-average shares at a weighted average exercise price of $22.03 have been excluded from the computation of diluted net income per share for the six months ended July 31, 2010 because including them would have been anti-dilutive. The effects of common share options, restricted stock units and other securities totaling 22.1 million shares were excluded from diluted net loss per share for the six months ended August 1, 2009 as the impact is anti-dilutive in net loss periods.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(loss)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900" w:type="dxa"/>
            <w:vAlign w:val="bottom"/>
            <w:gridSpan w:val="7"/>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580" w:type="dxa"/>
            <w:vAlign w:val="bottom"/>
            <w:gridSpan w:val="6"/>
          </w:tcPr>
          <w:p>
            <w:pPr>
              <w:ind w:left="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4020" w:type="dxa"/>
            <w:vAlign w:val="bottom"/>
          </w:tcPr>
          <w:p>
            <w:pPr>
              <w:spacing w:after="0"/>
              <w:rPr>
                <w:sz w:val="11"/>
                <w:szCs w:val="11"/>
                <w:color w:val="auto"/>
              </w:rPr>
            </w:pPr>
          </w:p>
        </w:tc>
        <w:tc>
          <w:tcPr>
            <w:tcW w:w="166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rPr>
              <w:t>July 31</w:t>
            </w:r>
          </w:p>
        </w:tc>
        <w:tc>
          <w:tcPr>
            <w:tcW w:w="1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ind w:right="20"/>
              <w:spacing w:after="0" w:line="129" w:lineRule="exact"/>
              <w:rPr>
                <w:sz w:val="20"/>
                <w:szCs w:val="20"/>
                <w:color w:val="auto"/>
              </w:rPr>
            </w:pPr>
            <w:r>
              <w:rPr>
                <w:rFonts w:ascii="Arial" w:cs="Arial" w:eastAsia="Arial" w:hAnsi="Arial"/>
                <w:sz w:val="14"/>
                <w:szCs w:val="14"/>
                <w:b w:val="1"/>
                <w:bCs w:val="1"/>
                <w:color w:val="auto"/>
                <w:w w:val="84"/>
              </w:rPr>
              <w:t>August 1,</w:t>
            </w:r>
          </w:p>
        </w:tc>
        <w:tc>
          <w:tcPr>
            <w:tcW w:w="2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40" w:type="dxa"/>
            <w:vAlign w:val="bottom"/>
            <w:tcBorders>
              <w:top w:val="single" w:sz="8" w:color="auto"/>
            </w:tcBorders>
            <w:gridSpan w:val="5"/>
          </w:tcPr>
          <w:p>
            <w:pPr>
              <w:ind w:left="140"/>
              <w:spacing w:after="0" w:line="129" w:lineRule="exact"/>
              <w:rPr>
                <w:sz w:val="20"/>
                <w:szCs w:val="20"/>
                <w:color w:val="auto"/>
              </w:rPr>
            </w:pPr>
            <w:r>
              <w:rPr>
                <w:rFonts w:ascii="Arial" w:cs="Arial" w:eastAsia="Arial" w:hAnsi="Arial"/>
                <w:sz w:val="14"/>
                <w:szCs w:val="14"/>
                <w:b w:val="1"/>
                <w:bCs w:val="1"/>
                <w:color w:val="auto"/>
              </w:rPr>
              <w:t>July 31</w:t>
            </w:r>
          </w:p>
        </w:tc>
        <w:tc>
          <w:tcPr>
            <w:tcW w:w="1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680" w:type="dxa"/>
            <w:vAlign w:val="bottom"/>
            <w:tcBorders>
              <w:bottom w:val="single" w:sz="8" w:color="auto"/>
            </w:tcBorders>
          </w:tcPr>
          <w:p>
            <w:pPr>
              <w:jc w:val="right"/>
              <w:ind w:right="127"/>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220" w:type="dxa"/>
            <w:vAlign w:val="bottom"/>
            <w:gridSpan w:val="2"/>
          </w:tcPr>
          <w:p>
            <w:pPr>
              <w:spacing w:after="0"/>
              <w:rPr>
                <w:sz w:val="14"/>
                <w:szCs w:val="14"/>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2009</w:t>
            </w:r>
          </w:p>
        </w:tc>
        <w:tc>
          <w:tcPr>
            <w:tcW w:w="10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Borders>
              <w:bottom w:val="single" w:sz="8" w:color="auto"/>
            </w:tcBorders>
            <w:gridSpan w:val="3"/>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Borders>
              <w:bottom w:val="single" w:sz="8" w:color="auto"/>
            </w:tcBorders>
          </w:tcPr>
          <w:p>
            <w:pPr>
              <w:jc w:val="right"/>
              <w:ind w:right="126"/>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$219,777</w:t>
            </w:r>
          </w:p>
        </w:tc>
        <w:tc>
          <w:tcPr>
            <w:tcW w:w="180" w:type="dxa"/>
            <w:vAlign w:val="bottom"/>
            <w:shd w:val="clear" w:color="auto" w:fill="CCEEFF"/>
          </w:tcPr>
          <w:p>
            <w:pPr>
              <w:spacing w:after="0"/>
              <w:rPr>
                <w:sz w:val="18"/>
                <w:szCs w:val="18"/>
                <w:color w:val="auto"/>
              </w:rPr>
            </w:pPr>
          </w:p>
        </w:tc>
        <w:tc>
          <w:tcPr>
            <w:tcW w:w="1040" w:type="dxa"/>
            <w:vAlign w:val="bottom"/>
            <w:gridSpan w:val="5"/>
            <w:shd w:val="clear" w:color="auto" w:fill="CCEEFF"/>
          </w:tcPr>
          <w:p>
            <w:pPr>
              <w:jc w:val="right"/>
              <w:ind w:right="240"/>
              <w:spacing w:after="0"/>
              <w:rPr>
                <w:sz w:val="20"/>
                <w:szCs w:val="20"/>
                <w:color w:val="auto"/>
              </w:rPr>
            </w:pPr>
            <w:r>
              <w:rPr>
                <w:rFonts w:ascii="Arial" w:cs="Arial" w:eastAsia="Arial" w:hAnsi="Arial"/>
                <w:sz w:val="18"/>
                <w:szCs w:val="18"/>
                <w:color w:val="auto"/>
              </w:rPr>
              <w:t>$58,493</w:t>
            </w:r>
          </w:p>
        </w:tc>
        <w:tc>
          <w:tcPr>
            <w:tcW w:w="980" w:type="dxa"/>
            <w:vAlign w:val="bottom"/>
            <w:gridSpan w:val="5"/>
            <w:shd w:val="clear" w:color="auto" w:fill="CCEEFF"/>
          </w:tcPr>
          <w:p>
            <w:pPr>
              <w:jc w:val="right"/>
              <w:ind w:right="140"/>
              <w:spacing w:after="0"/>
              <w:rPr>
                <w:sz w:val="20"/>
                <w:szCs w:val="20"/>
                <w:color w:val="auto"/>
              </w:rPr>
            </w:pPr>
            <w:r>
              <w:rPr>
                <w:rFonts w:ascii="Arial" w:cs="Arial" w:eastAsia="Arial" w:hAnsi="Arial"/>
                <w:sz w:val="18"/>
                <w:szCs w:val="18"/>
                <w:color w:val="auto"/>
              </w:rPr>
              <w:t>$425,544</w:t>
            </w:r>
          </w:p>
        </w:tc>
        <w:tc>
          <w:tcPr>
            <w:tcW w:w="12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 (52,964)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gridSpan w:val="2"/>
          </w:tcPr>
          <w:p>
            <w:pPr>
              <w:spacing w:after="0"/>
              <w:rPr>
                <w:sz w:val="20"/>
                <w:szCs w:val="20"/>
                <w:color w:val="auto"/>
              </w:rPr>
            </w:pPr>
            <w:r>
              <w:rPr>
                <w:rFonts w:ascii="Arial" w:cs="Arial" w:eastAsia="Arial" w:hAnsi="Arial"/>
                <w:sz w:val="18"/>
                <w:szCs w:val="18"/>
                <w:color w:val="auto"/>
              </w:rPr>
              <w:t>Other comprehensive income</w:t>
            </w:r>
          </w:p>
        </w:tc>
        <w:tc>
          <w:tcPr>
            <w:tcW w:w="16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Change in unrealized gains on marketable securities</w:t>
            </w:r>
          </w:p>
        </w:tc>
        <w:tc>
          <w:tcPr>
            <w:tcW w:w="2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1,733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8"/>
              </w:rPr>
              <w:t>1,856</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gridSpan w:val="2"/>
          </w:tcPr>
          <w:p>
            <w:pPr>
              <w:ind w:left="420"/>
              <w:spacing w:after="0"/>
              <w:rPr>
                <w:sz w:val="20"/>
                <w:szCs w:val="20"/>
                <w:color w:val="auto"/>
              </w:rPr>
            </w:pPr>
            <w:r>
              <w:rPr>
                <w:rFonts w:ascii="Arial" w:cs="Arial" w:eastAsia="Arial" w:hAnsi="Arial"/>
                <w:sz w:val="18"/>
                <w:szCs w:val="18"/>
                <w:color w:val="auto"/>
                <w:w w:val="91"/>
              </w:rPr>
              <w:t>Change in unrealized gains (losses) on auction rate securities</w:t>
            </w:r>
          </w:p>
        </w:tc>
        <w:tc>
          <w:tcPr>
            <w:tcW w:w="234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180" w:type="dxa"/>
            <w:vAlign w:val="bottom"/>
          </w:tcPr>
          <w:p>
            <w:pPr>
              <w:spacing w:after="0"/>
              <w:rPr>
                <w:sz w:val="18"/>
                <w:szCs w:val="18"/>
                <w:color w:val="auto"/>
              </w:rPr>
            </w:pPr>
          </w:p>
        </w:tc>
        <w:tc>
          <w:tcPr>
            <w:tcW w:w="1040" w:type="dxa"/>
            <w:vAlign w:val="bottom"/>
            <w:gridSpan w:val="5"/>
          </w:tcPr>
          <w:p>
            <w:pPr>
              <w:jc w:val="right"/>
              <w:ind w:right="180"/>
              <w:spacing w:after="0"/>
              <w:rPr>
                <w:sz w:val="20"/>
                <w:szCs w:val="20"/>
                <w:color w:val="auto"/>
              </w:rPr>
            </w:pPr>
            <w:r>
              <w:rPr>
                <w:rFonts w:ascii="Arial" w:cs="Arial" w:eastAsia="Arial" w:hAnsi="Arial"/>
                <w:sz w:val="18"/>
                <w:szCs w:val="18"/>
                <w:color w:val="auto"/>
              </w:rPr>
              <w:t>(274)</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2"/>
          </w:tcPr>
          <w:p>
            <w:pPr>
              <w:jc w:val="right"/>
              <w:ind w:right="140"/>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18"/>
                <w:szCs w:val="18"/>
                <w:color w:val="auto"/>
              </w:rPr>
            </w:pPr>
          </w:p>
        </w:tc>
        <w:tc>
          <w:tcPr>
            <w:tcW w:w="900" w:type="dxa"/>
            <w:vAlign w:val="bottom"/>
            <w:gridSpan w:val="3"/>
          </w:tcPr>
          <w:p>
            <w:pPr>
              <w:jc w:val="right"/>
              <w:ind w:right="40"/>
              <w:spacing w:after="0"/>
              <w:rPr>
                <w:sz w:val="20"/>
                <w:szCs w:val="20"/>
                <w:color w:val="auto"/>
              </w:rPr>
            </w:pPr>
            <w:r>
              <w:rPr>
                <w:rFonts w:ascii="Arial" w:cs="Arial" w:eastAsia="Arial" w:hAnsi="Arial"/>
                <w:sz w:val="18"/>
                <w:szCs w:val="18"/>
                <w:color w:val="auto"/>
              </w:rPr>
              <w:t>(1,160)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8"/>
              </w:rPr>
              <w:t>Change in unrealized gains (losses) on cash flow hedges</w:t>
            </w:r>
          </w:p>
        </w:tc>
        <w:tc>
          <w:tcPr>
            <w:tcW w:w="25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(690)</w:t>
            </w:r>
          </w:p>
        </w:tc>
        <w:tc>
          <w:tcPr>
            <w:tcW w:w="1040" w:type="dxa"/>
            <w:vAlign w:val="bottom"/>
            <w:gridSpan w:val="5"/>
            <w:shd w:val="clear" w:color="auto" w:fill="CCEEFF"/>
          </w:tcPr>
          <w:p>
            <w:pPr>
              <w:jc w:val="right"/>
              <w:ind w:right="240"/>
              <w:spacing w:after="0"/>
              <w:rPr>
                <w:sz w:val="20"/>
                <w:szCs w:val="20"/>
                <w:color w:val="auto"/>
              </w:rPr>
            </w:pPr>
            <w:r>
              <w:rPr>
                <w:rFonts w:ascii="Arial" w:cs="Arial" w:eastAsia="Arial" w:hAnsi="Arial"/>
                <w:sz w:val="18"/>
                <w:szCs w:val="18"/>
                <w:color w:val="auto"/>
              </w:rPr>
              <w:t>2,866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(491)</w:t>
            </w:r>
          </w:p>
        </w:tc>
        <w:tc>
          <w:tcPr>
            <w:tcW w:w="12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1,790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20" w:type="dxa"/>
            <w:vAlign w:val="bottom"/>
            <w:gridSpan w:val="2"/>
          </w:tcPr>
          <w:p>
            <w:pPr>
              <w:ind w:left="420"/>
              <w:spacing w:after="0"/>
              <w:rPr>
                <w:sz w:val="20"/>
                <w:szCs w:val="20"/>
                <w:color w:val="auto"/>
              </w:rPr>
            </w:pPr>
            <w:r>
              <w:rPr>
                <w:rFonts w:ascii="Arial" w:cs="Arial" w:eastAsia="Arial" w:hAnsi="Arial"/>
                <w:sz w:val="18"/>
                <w:szCs w:val="18"/>
                <w:color w:val="auto"/>
              </w:rPr>
              <w:t>Change in other</w:t>
            </w:r>
          </w:p>
        </w:tc>
        <w:tc>
          <w:tcPr>
            <w:tcW w:w="166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(1)</w:t>
            </w:r>
          </w:p>
        </w:tc>
        <w:tc>
          <w:tcPr>
            <w:tcW w:w="1040" w:type="dxa"/>
            <w:vAlign w:val="bottom"/>
            <w:gridSpan w:val="5"/>
          </w:tcPr>
          <w:p>
            <w:pPr>
              <w:jc w:val="right"/>
              <w:ind w:right="180"/>
              <w:spacing w:after="0"/>
              <w:rPr>
                <w:sz w:val="20"/>
                <w:szCs w:val="20"/>
                <w:color w:val="auto"/>
              </w:rPr>
            </w:pPr>
            <w:r>
              <w:rPr>
                <w:rFonts w:ascii="Arial" w:cs="Arial" w:eastAsia="Arial" w:hAnsi="Arial"/>
                <w:sz w:val="18"/>
                <w:szCs w:val="18"/>
                <w:color w:val="auto"/>
              </w:rPr>
              <w:t>(585)</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 w:type="dxa"/>
            <w:vAlign w:val="bottom"/>
            <w:gridSpan w:val="2"/>
          </w:tcPr>
          <w:p>
            <w:pPr>
              <w:jc w:val="right"/>
              <w:ind w:right="80"/>
              <w:spacing w:after="0"/>
              <w:rPr>
                <w:sz w:val="20"/>
                <w:szCs w:val="20"/>
                <w:color w:val="auto"/>
              </w:rPr>
            </w:pPr>
            <w:r>
              <w:rPr>
                <w:rFonts w:ascii="Arial" w:cs="Arial" w:eastAsia="Arial" w:hAnsi="Arial"/>
                <w:sz w:val="18"/>
                <w:szCs w:val="18"/>
                <w:color w:val="auto"/>
              </w:rPr>
              <w:t>(2)</w:t>
            </w:r>
          </w:p>
        </w:tc>
        <w:tc>
          <w:tcPr>
            <w:tcW w:w="120" w:type="dxa"/>
            <w:vAlign w:val="bottom"/>
          </w:tcPr>
          <w:p>
            <w:pPr>
              <w:spacing w:after="0"/>
              <w:rPr>
                <w:sz w:val="18"/>
                <w:szCs w:val="18"/>
                <w:color w:val="auto"/>
              </w:rPr>
            </w:pPr>
          </w:p>
        </w:tc>
        <w:tc>
          <w:tcPr>
            <w:tcW w:w="900" w:type="dxa"/>
            <w:vAlign w:val="bottom"/>
            <w:gridSpan w:val="3"/>
          </w:tcPr>
          <w:p>
            <w:pPr>
              <w:jc w:val="right"/>
              <w:ind w:right="40"/>
              <w:spacing w:after="0"/>
              <w:rPr>
                <w:sz w:val="20"/>
                <w:szCs w:val="20"/>
                <w:color w:val="auto"/>
              </w:rPr>
            </w:pPr>
            <w:r>
              <w:rPr>
                <w:rFonts w:ascii="Arial" w:cs="Arial" w:eastAsia="Arial" w:hAnsi="Arial"/>
                <w:sz w:val="18"/>
                <w:szCs w:val="18"/>
                <w:color w:val="auto"/>
              </w:rPr>
              <w:t>(585)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00" w:type="dxa"/>
            <w:vAlign w:val="bottom"/>
          </w:tcPr>
          <w:p>
            <w:pPr>
              <w:spacing w:after="0"/>
              <w:rPr>
                <w:sz w:val="2"/>
                <w:szCs w:val="2"/>
                <w:color w:val="auto"/>
              </w:rPr>
            </w:pPr>
          </w:p>
        </w:tc>
        <w:tc>
          <w:tcPr>
            <w:tcW w:w="4020" w:type="dxa"/>
            <w:vAlign w:val="bottom"/>
          </w:tcPr>
          <w:p>
            <w:pPr>
              <w:spacing w:after="0"/>
              <w:rPr>
                <w:sz w:val="2"/>
                <w:szCs w:val="2"/>
                <w:color w:val="auto"/>
              </w:rPr>
            </w:pPr>
          </w:p>
        </w:tc>
        <w:tc>
          <w:tcPr>
            <w:tcW w:w="16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comprehensive income (loss)</w:t>
            </w:r>
          </w:p>
        </w:tc>
        <w:tc>
          <w:tcPr>
            <w:tcW w:w="2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$220,868</w:t>
            </w:r>
          </w:p>
        </w:tc>
        <w:tc>
          <w:tcPr>
            <w:tcW w:w="180" w:type="dxa"/>
            <w:vAlign w:val="bottom"/>
            <w:shd w:val="clear" w:color="auto" w:fill="CCEEFF"/>
          </w:tcPr>
          <w:p>
            <w:pPr>
              <w:spacing w:after="0"/>
              <w:rPr>
                <w:sz w:val="18"/>
                <w:szCs w:val="18"/>
                <w:color w:val="auto"/>
              </w:rPr>
            </w:pPr>
          </w:p>
        </w:tc>
        <w:tc>
          <w:tcPr>
            <w:tcW w:w="1040" w:type="dxa"/>
            <w:vAlign w:val="bottom"/>
            <w:gridSpan w:val="5"/>
            <w:shd w:val="clear" w:color="auto" w:fill="CCEEFF"/>
          </w:tcPr>
          <w:p>
            <w:pPr>
              <w:jc w:val="right"/>
              <w:ind w:right="240"/>
              <w:spacing w:after="0"/>
              <w:rPr>
                <w:sz w:val="20"/>
                <w:szCs w:val="20"/>
                <w:color w:val="auto"/>
              </w:rPr>
            </w:pPr>
            <w:r>
              <w:rPr>
                <w:rFonts w:ascii="Arial" w:cs="Arial" w:eastAsia="Arial" w:hAnsi="Arial"/>
                <w:sz w:val="18"/>
                <w:szCs w:val="18"/>
                <w:color w:val="auto"/>
              </w:rPr>
              <w:t>$60,500</w:t>
            </w:r>
          </w:p>
        </w:tc>
        <w:tc>
          <w:tcPr>
            <w:tcW w:w="980" w:type="dxa"/>
            <w:vAlign w:val="bottom"/>
            <w:gridSpan w:val="5"/>
            <w:shd w:val="clear" w:color="auto" w:fill="CCEEFF"/>
          </w:tcPr>
          <w:p>
            <w:pPr>
              <w:jc w:val="right"/>
              <w:ind w:right="140"/>
              <w:spacing w:after="0"/>
              <w:rPr>
                <w:sz w:val="20"/>
                <w:szCs w:val="20"/>
                <w:color w:val="auto"/>
              </w:rPr>
            </w:pPr>
            <w:r>
              <w:rPr>
                <w:rFonts w:ascii="Arial" w:cs="Arial" w:eastAsia="Arial" w:hAnsi="Arial"/>
                <w:sz w:val="18"/>
                <w:szCs w:val="18"/>
                <w:color w:val="auto"/>
              </w:rPr>
              <w:t>$426,960</w:t>
            </w:r>
          </w:p>
        </w:tc>
        <w:tc>
          <w:tcPr>
            <w:tcW w:w="12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 (52,919)</w:t>
            </w:r>
          </w:p>
        </w:tc>
        <w:tc>
          <w:tcPr>
            <w:tcW w:w="0" w:type="dxa"/>
            <w:vAlign w:val="bottom"/>
          </w:tcPr>
          <w:p>
            <w:pPr>
              <w:spacing w:after="0"/>
              <w:rPr>
                <w:sz w:val="1"/>
                <w:szCs w:val="1"/>
                <w:color w:val="auto"/>
              </w:rPr>
            </w:pPr>
          </w:p>
        </w:tc>
      </w:tr>
      <w:tr>
        <w:trPr>
          <w:trHeight w:val="376"/>
        </w:trPr>
        <w:tc>
          <w:tcPr>
            <w:tcW w:w="7460" w:type="dxa"/>
            <w:vAlign w:val="bottom"/>
            <w:gridSpan w:val="6"/>
          </w:tcPr>
          <w:p>
            <w:pPr>
              <w:spacing w:after="0"/>
              <w:rPr>
                <w:sz w:val="20"/>
                <w:szCs w:val="20"/>
                <w:color w:val="auto"/>
              </w:rPr>
            </w:pPr>
            <w:r>
              <w:rPr>
                <w:rFonts w:ascii="Arial" w:cs="Arial" w:eastAsia="Arial" w:hAnsi="Arial"/>
                <w:sz w:val="18"/>
                <w:szCs w:val="18"/>
                <w:color w:val="auto"/>
                <w:w w:val="93"/>
              </w:rPr>
              <w:t>The components of accumulated other comprehensive income (loss) were as follows (in thousands):</w:t>
            </w: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40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gridSpan w:val="4"/>
          </w:tcPr>
          <w:p>
            <w:pPr>
              <w:jc w:val="right"/>
              <w:ind w:right="400"/>
              <w:spacing w:after="0"/>
              <w:rPr>
                <w:sz w:val="20"/>
                <w:szCs w:val="20"/>
                <w:color w:val="auto"/>
              </w:rPr>
            </w:pPr>
            <w:r>
              <w:rPr>
                <w:rFonts w:ascii="Arial" w:cs="Arial" w:eastAsia="Arial" w:hAnsi="Arial"/>
                <w:sz w:val="14"/>
                <w:szCs w:val="14"/>
                <w:b w:val="1"/>
                <w:bCs w:val="1"/>
                <w:color w:val="auto"/>
                <w:w w:val="93"/>
              </w:rPr>
              <w:t>July 31,</w:t>
            </w:r>
          </w:p>
        </w:tc>
        <w:tc>
          <w:tcPr>
            <w:tcW w:w="160" w:type="dxa"/>
            <w:vAlign w:val="bottom"/>
          </w:tcPr>
          <w:p>
            <w:pPr>
              <w:spacing w:after="0"/>
              <w:rPr>
                <w:sz w:val="24"/>
                <w:szCs w:val="24"/>
                <w:color w:val="auto"/>
              </w:rPr>
            </w:pPr>
          </w:p>
        </w:tc>
        <w:tc>
          <w:tcPr>
            <w:tcW w:w="940" w:type="dxa"/>
            <w:vAlign w:val="bottom"/>
            <w:gridSpan w:val="5"/>
          </w:tcPr>
          <w:p>
            <w:pPr>
              <w:ind w:left="140"/>
              <w:spacing w:after="0"/>
              <w:rPr>
                <w:sz w:val="20"/>
                <w:szCs w:val="20"/>
                <w:color w:val="auto"/>
              </w:rPr>
            </w:pPr>
            <w:r>
              <w:rPr>
                <w:rFonts w:ascii="Arial" w:cs="Arial" w:eastAsia="Arial" w:hAnsi="Arial"/>
                <w:sz w:val="14"/>
                <w:szCs w:val="14"/>
                <w:b w:val="1"/>
                <w:bCs w:val="1"/>
                <w:color w:val="auto"/>
              </w:rPr>
              <w:t>January 30,</w:t>
            </w: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60" w:type="dxa"/>
            <w:vAlign w:val="bottom"/>
            <w:tcBorders>
              <w:bottom w:val="single" w:sz="8" w:color="auto"/>
            </w:tcBorders>
            <w:gridSpan w:val="2"/>
          </w:tcPr>
          <w:p>
            <w:pPr>
              <w:jc w:val="right"/>
              <w:ind w:right="86"/>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2010</w:t>
            </w:r>
          </w:p>
        </w:tc>
        <w:tc>
          <w:tcPr>
            <w:tcW w:w="14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gains on marketable securities</w:t>
            </w:r>
          </w:p>
        </w:tc>
        <w:tc>
          <w:tcPr>
            <w:tcW w:w="16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$ 2,943</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2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1,087</w:t>
            </w:r>
          </w:p>
        </w:tc>
        <w:tc>
          <w:tcPr>
            <w:tcW w:w="120" w:type="dxa"/>
            <w:vAlign w:val="bottom"/>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020" w:type="dxa"/>
            <w:vAlign w:val="bottom"/>
          </w:tcPr>
          <w:p>
            <w:pPr>
              <w:spacing w:after="0"/>
              <w:rPr>
                <w:sz w:val="20"/>
                <w:szCs w:val="20"/>
                <w:color w:val="auto"/>
              </w:rPr>
            </w:pPr>
            <w:r>
              <w:rPr>
                <w:rFonts w:ascii="Arial" w:cs="Arial" w:eastAsia="Arial" w:hAnsi="Arial"/>
                <w:sz w:val="18"/>
                <w:szCs w:val="18"/>
                <w:color w:val="auto"/>
              </w:rPr>
              <w:t>Unrealized losses on auction rate securities</w:t>
            </w:r>
          </w:p>
        </w:tc>
        <w:tc>
          <w:tcPr>
            <w:tcW w:w="16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0" w:type="dxa"/>
            <w:vAlign w:val="bottom"/>
            <w:gridSpan w:val="4"/>
          </w:tcPr>
          <w:p>
            <w:pPr>
              <w:jc w:val="right"/>
              <w:ind w:right="60"/>
              <w:spacing w:after="0"/>
              <w:rPr>
                <w:sz w:val="20"/>
                <w:szCs w:val="20"/>
                <w:color w:val="auto"/>
              </w:rPr>
            </w:pPr>
            <w:r>
              <w:rPr>
                <w:rFonts w:ascii="Arial" w:cs="Arial" w:eastAsia="Arial" w:hAnsi="Arial"/>
                <w:sz w:val="18"/>
                <w:szCs w:val="18"/>
                <w:color w:val="auto"/>
              </w:rPr>
              <w:t>(2,266)</w:t>
            </w: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gridSpan w:val="3"/>
          </w:tcPr>
          <w:p>
            <w:pPr>
              <w:jc w:val="right"/>
              <w:ind w:right="60"/>
              <w:spacing w:after="0"/>
              <w:rPr>
                <w:sz w:val="20"/>
                <w:szCs w:val="20"/>
                <w:color w:val="auto"/>
              </w:rPr>
            </w:pPr>
            <w:r>
              <w:rPr>
                <w:rFonts w:ascii="Arial" w:cs="Arial" w:eastAsia="Arial" w:hAnsi="Arial"/>
                <w:sz w:val="18"/>
                <w:szCs w:val="18"/>
                <w:color w:val="auto"/>
              </w:rPr>
              <w:t>(2,319)</w:t>
            </w: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gains (losses) on cash flow hedges</w:t>
            </w:r>
          </w:p>
        </w:tc>
        <w:tc>
          <w:tcPr>
            <w:tcW w:w="16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(150)</w:t>
            </w: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341</w:t>
            </w:r>
          </w:p>
        </w:tc>
        <w:tc>
          <w:tcPr>
            <w:tcW w:w="120" w:type="dxa"/>
            <w:vAlign w:val="bottom"/>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4020" w:type="dxa"/>
            <w:vAlign w:val="bottom"/>
          </w:tcPr>
          <w:p>
            <w:pPr>
              <w:spacing w:after="0"/>
              <w:rPr>
                <w:sz w:val="20"/>
                <w:szCs w:val="20"/>
                <w:color w:val="auto"/>
              </w:rPr>
            </w:pPr>
            <w:r>
              <w:rPr>
                <w:rFonts w:ascii="Arial" w:cs="Arial" w:eastAsia="Arial" w:hAnsi="Arial"/>
                <w:sz w:val="18"/>
                <w:szCs w:val="18"/>
                <w:color w:val="auto"/>
              </w:rPr>
              <w:t>Other</w:t>
            </w:r>
          </w:p>
        </w:tc>
        <w:tc>
          <w:tcPr>
            <w:tcW w:w="16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6</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w w:val="97"/>
              </w:rPr>
              <w:t>Accumulated other comprehensive income (losses)</w:t>
            </w:r>
          </w:p>
        </w:tc>
        <w:tc>
          <w:tcPr>
            <w:tcW w:w="166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531</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2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(885)</w:t>
            </w: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4020" w:type="dxa"/>
            <w:vAlign w:val="bottom"/>
          </w:tcPr>
          <w:p>
            <w:pPr>
              <w:spacing w:after="0" w:line="20" w:lineRule="exact"/>
              <w:rPr>
                <w:sz w:val="1"/>
                <w:szCs w:val="1"/>
                <w:color w:val="auto"/>
              </w:rPr>
            </w:pPr>
          </w:p>
        </w:tc>
        <w:tc>
          <w:tcPr>
            <w:tcW w:w="1660" w:type="dxa"/>
            <w:vAlign w:val="bottom"/>
            <w:vMerge w:val="restart"/>
          </w:tcPr>
          <w:p>
            <w:pPr>
              <w:jc w:val="right"/>
              <w:ind w:right="1172"/>
              <w:spacing w:after="0"/>
              <w:rPr>
                <w:sz w:val="20"/>
                <w:szCs w:val="20"/>
                <w:color w:val="auto"/>
              </w:rPr>
            </w:pPr>
            <w:r>
              <w:rPr>
                <w:rFonts w:ascii="Arial" w:cs="Arial" w:eastAsia="Arial" w:hAnsi="Arial"/>
                <w:sz w:val="18"/>
                <w:szCs w:val="18"/>
                <w:color w:val="auto"/>
              </w:rPr>
              <w:t>11</w:t>
            </w:r>
          </w:p>
        </w:tc>
        <w:tc>
          <w:tcPr>
            <w:tcW w:w="6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4020" w:type="dxa"/>
            <w:vAlign w:val="bottom"/>
          </w:tcPr>
          <w:p>
            <w:pPr>
              <w:spacing w:after="0"/>
              <w:rPr>
                <w:sz w:val="24"/>
                <w:szCs w:val="24"/>
                <w:color w:val="auto"/>
              </w:rPr>
            </w:pPr>
          </w:p>
        </w:tc>
        <w:tc>
          <w:tcPr>
            <w:tcW w:w="166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459" w:right="31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hedge contracts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10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560" w:type="dxa"/>
            <w:vAlign w:val="bottom"/>
            <w:tcBorders>
              <w:bottom w:val="single" w:sz="8" w:color="auto"/>
            </w:tcBorders>
            <w:gridSpan w:val="3"/>
          </w:tcPr>
          <w:p>
            <w:pPr>
              <w:ind w:left="540"/>
              <w:spacing w:after="0"/>
              <w:rPr>
                <w:sz w:val="20"/>
                <w:szCs w:val="20"/>
                <w:color w:val="auto"/>
              </w:rPr>
            </w:pPr>
            <w:r>
              <w:rPr>
                <w:rFonts w:ascii="Arial" w:cs="Arial" w:eastAsia="Arial" w:hAnsi="Arial"/>
                <w:sz w:val="14"/>
                <w:szCs w:val="14"/>
                <w:b w:val="1"/>
                <w:bCs w:val="1"/>
                <w:color w:val="auto"/>
              </w:rPr>
              <w:t>July 31, 2010</w:t>
            </w:r>
          </w:p>
        </w:tc>
        <w:tc>
          <w:tcPr>
            <w:tcW w:w="500" w:type="dxa"/>
            <w:vAlign w:val="bottom"/>
            <w:tcBorders>
              <w:bottom w:val="single" w:sz="8" w:color="auto"/>
            </w:tcBorders>
          </w:tcPr>
          <w:p>
            <w:pPr>
              <w:spacing w:after="0"/>
              <w:rPr>
                <w:sz w:val="14"/>
                <w:szCs w:val="14"/>
                <w:color w:val="auto"/>
              </w:rPr>
            </w:pPr>
          </w:p>
        </w:tc>
        <w:tc>
          <w:tcPr>
            <w:tcW w:w="6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gridSpan w:val="3"/>
          </w:tcPr>
          <w:p>
            <w:pPr>
              <w:ind w:left="420"/>
              <w:spacing w:after="0"/>
              <w:rPr>
                <w:sz w:val="20"/>
                <w:szCs w:val="20"/>
                <w:color w:val="auto"/>
              </w:rPr>
            </w:pPr>
            <w:r>
              <w:rPr>
                <w:rFonts w:ascii="Arial" w:cs="Arial" w:eastAsia="Arial" w:hAnsi="Arial"/>
                <w:sz w:val="14"/>
                <w:szCs w:val="14"/>
                <w:b w:val="1"/>
                <w:bCs w:val="1"/>
                <w:color w:val="auto"/>
                <w:w w:val="94"/>
              </w:rPr>
              <w:t>January 30, 2010</w:t>
            </w:r>
          </w:p>
        </w:tc>
        <w:tc>
          <w:tcPr>
            <w:tcW w:w="5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10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46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Buy Contracts</w:t>
            </w: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600" w:type="dxa"/>
            <w:vAlign w:val="bottom"/>
          </w:tcPr>
          <w:p>
            <w:pPr>
              <w:spacing w:after="0"/>
              <w:rPr>
                <w:sz w:val="12"/>
                <w:szCs w:val="12"/>
                <w:color w:val="auto"/>
              </w:rPr>
            </w:pPr>
          </w:p>
        </w:tc>
        <w:tc>
          <w:tcPr>
            <w:tcW w:w="144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Buy Contracts</w:t>
            </w:r>
          </w:p>
        </w:tc>
        <w:tc>
          <w:tcPr>
            <w:tcW w:w="84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100" w:type="dxa"/>
            <w:vAlign w:val="bottom"/>
          </w:tcPr>
          <w:p>
            <w:pPr>
              <w:spacing w:after="0"/>
              <w:rPr>
                <w:sz w:val="12"/>
                <w:szCs w:val="12"/>
                <w:color w:val="auto"/>
              </w:rPr>
            </w:pPr>
          </w:p>
        </w:tc>
      </w:tr>
      <w:tr>
        <w:trPr>
          <w:trHeight w:val="20"/>
        </w:trPr>
        <w:tc>
          <w:tcPr>
            <w:tcW w:w="310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3100" w:type="dxa"/>
            <w:vAlign w:val="bottom"/>
            <w:shd w:val="clear" w:color="auto" w:fill="CCEEFF"/>
          </w:tcPr>
          <w:p>
            <w:pPr>
              <w:spacing w:after="0"/>
              <w:rPr>
                <w:sz w:val="20"/>
                <w:szCs w:val="20"/>
                <w:color w:val="auto"/>
              </w:rPr>
            </w:pPr>
            <w:r>
              <w:rPr>
                <w:rFonts w:ascii="Arial" w:cs="Arial" w:eastAsia="Arial" w:hAnsi="Arial"/>
                <w:sz w:val="18"/>
                <w:szCs w:val="18"/>
                <w:color w:val="auto"/>
              </w:rPr>
              <w:t>Israeli shekel</w:t>
            </w:r>
          </w:p>
        </w:tc>
        <w:tc>
          <w:tcPr>
            <w:tcW w:w="2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43,155</w:t>
            </w:r>
          </w:p>
        </w:tc>
        <w:tc>
          <w:tcPr>
            <w:tcW w:w="3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29,512</w:t>
            </w:r>
          </w:p>
        </w:tc>
        <w:tc>
          <w:tcPr>
            <w:tcW w:w="2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(1,163)</w:t>
            </w:r>
          </w:p>
        </w:tc>
      </w:tr>
    </w:tbl>
    <w:p>
      <w:pPr>
        <w:spacing w:after="0" w:line="154" w:lineRule="exact"/>
        <w:rPr>
          <w:sz w:val="20"/>
          <w:szCs w:val="20"/>
          <w:color w:val="auto"/>
        </w:rPr>
      </w:pPr>
    </w:p>
    <w:p>
      <w:pPr>
        <w:ind w:right="26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(“OCI”) and is subsequently reclassified to operating expense when the hedged expense is recognized. Ineffectiveness is recorded in interest and other income, net.</w:t>
      </w:r>
    </w:p>
    <w:p>
      <w:pPr>
        <w:spacing w:after="0" w:line="143"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payments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Israeli shekels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and balance sheet classification of foreign exchange contract derivatives are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1900" w:type="dxa"/>
            <w:vAlign w:val="bottom"/>
            <w:gridSpan w:val="3"/>
          </w:tcPr>
          <w:p>
            <w:pPr>
              <w:ind w:left="1120"/>
              <w:spacing w:after="0"/>
              <w:rPr>
                <w:sz w:val="20"/>
                <w:szCs w:val="20"/>
                <w:color w:val="auto"/>
              </w:rPr>
            </w:pPr>
            <w:r>
              <w:rPr>
                <w:rFonts w:ascii="Arial" w:cs="Arial" w:eastAsia="Arial" w:hAnsi="Arial"/>
                <w:sz w:val="14"/>
                <w:szCs w:val="14"/>
                <w:b w:val="1"/>
                <w:bCs w:val="1"/>
                <w:color w:val="auto"/>
                <w:w w:val="87"/>
              </w:rPr>
              <w:t>July 31, 2010</w:t>
            </w:r>
          </w:p>
        </w:tc>
        <w:tc>
          <w:tcPr>
            <w:tcW w:w="1940" w:type="dxa"/>
            <w:vAlign w:val="bottom"/>
            <w:gridSpan w:val="4"/>
          </w:tcPr>
          <w:p>
            <w:pPr>
              <w:ind w:left="820"/>
              <w:spacing w:after="0"/>
              <w:rPr>
                <w:sz w:val="20"/>
                <w:szCs w:val="20"/>
                <w:color w:val="auto"/>
              </w:rPr>
            </w:pPr>
            <w:r>
              <w:rPr>
                <w:rFonts w:ascii="Arial" w:cs="Arial" w:eastAsia="Arial" w:hAnsi="Arial"/>
                <w:sz w:val="14"/>
                <w:szCs w:val="14"/>
                <w:b w:val="1"/>
                <w:bCs w:val="1"/>
                <w:color w:val="auto"/>
                <w:w w:val="98"/>
              </w:rPr>
              <w:t>January 30, 2010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1140" w:type="dxa"/>
            <w:vAlign w:val="bottom"/>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Derivative assets designated as hedging instruments:</w:t>
            </w: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flow hedges</w:t>
            </w:r>
          </w:p>
        </w:tc>
        <w:tc>
          <w:tcPr>
            <w:tcW w:w="1420" w:type="dxa"/>
            <w:vAlign w:val="bottom"/>
            <w:gridSpan w:val="2"/>
            <w:shd w:val="clear" w:color="auto" w:fill="CCEEFF"/>
          </w:tcPr>
          <w:p>
            <w:pPr>
              <w:ind w:left="11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w w:val="79"/>
              </w:rPr>
              <w:t>836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420"/>
              <w:spacing w:after="0"/>
              <w:rPr>
                <w:sz w:val="20"/>
                <w:szCs w:val="20"/>
                <w:color w:val="auto"/>
              </w:rPr>
            </w:pPr>
            <w:r>
              <w:rPr>
                <w:rFonts w:ascii="Arial" w:cs="Arial" w:eastAsia="Arial" w:hAnsi="Arial"/>
                <w:sz w:val="18"/>
                <w:szCs w:val="18"/>
                <w:color w:val="auto"/>
              </w:rPr>
              <w:t>Other forward contracts</w:t>
            </w: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ind w:left="200"/>
              <w:spacing w:after="0"/>
              <w:rPr>
                <w:sz w:val="20"/>
                <w:szCs w:val="20"/>
                <w:color w:val="auto"/>
              </w:rPr>
            </w:pPr>
            <w:r>
              <w:rPr>
                <w:rFonts w:ascii="Arial" w:cs="Arial" w:eastAsia="Arial" w:hAnsi="Arial"/>
                <w:sz w:val="18"/>
                <w:szCs w:val="18"/>
                <w:color w:val="auto"/>
              </w:rPr>
              <w:t>—</w:t>
            </w:r>
          </w:p>
        </w:tc>
        <w:tc>
          <w:tcPr>
            <w:tcW w:w="8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00" w:type="dxa"/>
            <w:vAlign w:val="bottom"/>
            <w:gridSpan w:val="2"/>
          </w:tcPr>
          <w:p>
            <w:pPr>
              <w:ind w:left="44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82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Total derivative assets</w:t>
            </w:r>
          </w:p>
        </w:tc>
        <w:tc>
          <w:tcPr>
            <w:tcW w:w="1420" w:type="dxa"/>
            <w:vAlign w:val="bottom"/>
            <w:gridSpan w:val="2"/>
            <w:shd w:val="clear" w:color="auto" w:fill="CCEEFF"/>
          </w:tcPr>
          <w:p>
            <w:pPr>
              <w:ind w:left="11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w w:val="79"/>
              </w:rPr>
              <w:t>830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840" w:type="dxa"/>
            <w:vAlign w:val="bottom"/>
            <w:gridSpan w:val="2"/>
            <w:vMerge w:val="restart"/>
          </w:tcPr>
          <w:p>
            <w:pPr>
              <w:spacing w:after="0"/>
              <w:rPr>
                <w:sz w:val="20"/>
                <w:szCs w:val="20"/>
                <w:color w:val="auto"/>
              </w:rPr>
            </w:pPr>
            <w:r>
              <w:rPr>
                <w:rFonts w:ascii="Arial" w:cs="Arial" w:eastAsia="Arial" w:hAnsi="Arial"/>
                <w:sz w:val="18"/>
                <w:szCs w:val="18"/>
                <w:color w:val="auto"/>
              </w:rPr>
              <w:t>Accrued liabilities:</w:t>
            </w:r>
          </w:p>
        </w:tc>
        <w:tc>
          <w:tcPr>
            <w:tcW w:w="11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840" w:type="dxa"/>
            <w:vAlign w:val="bottom"/>
            <w:gridSpan w:val="2"/>
            <w:vMerge w:val="continue"/>
          </w:tcPr>
          <w:p>
            <w:pPr>
              <w:spacing w:after="0"/>
              <w:rPr>
                <w:sz w:val="18"/>
                <w:szCs w:val="18"/>
                <w:color w:val="auto"/>
              </w:rPr>
            </w:pPr>
          </w:p>
        </w:tc>
        <w:tc>
          <w:tcPr>
            <w:tcW w:w="1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Derivative assets designated as hedging instruments:</w:t>
            </w:r>
          </w:p>
        </w:tc>
        <w:tc>
          <w:tcPr>
            <w:tcW w:w="1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420"/>
              <w:spacing w:after="0"/>
              <w:rPr>
                <w:sz w:val="20"/>
                <w:szCs w:val="20"/>
                <w:color w:val="auto"/>
              </w:rPr>
            </w:pPr>
            <w:r>
              <w:rPr>
                <w:rFonts w:ascii="Arial" w:cs="Arial" w:eastAsia="Arial" w:hAnsi="Arial"/>
                <w:sz w:val="18"/>
                <w:szCs w:val="18"/>
                <w:color w:val="auto"/>
              </w:rPr>
              <w:t>Cash flow hedges</w:t>
            </w:r>
          </w:p>
        </w:tc>
        <w:tc>
          <w:tcPr>
            <w:tcW w:w="1420" w:type="dxa"/>
            <w:vAlign w:val="bottom"/>
            <w:gridSpan w:val="2"/>
          </w:tcPr>
          <w:p>
            <w:pPr>
              <w:ind w:left="11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88</w:t>
            </w:r>
          </w:p>
        </w:tc>
        <w:tc>
          <w:tcPr>
            <w:tcW w:w="1240" w:type="dxa"/>
            <w:vAlign w:val="bottom"/>
            <w:gridSpan w:val="2"/>
          </w:tcPr>
          <w:p>
            <w:pPr>
              <w:ind w:left="820"/>
              <w:spacing w:after="0"/>
              <w:rPr>
                <w:sz w:val="20"/>
                <w:szCs w:val="20"/>
                <w:color w:val="auto"/>
              </w:rPr>
            </w:pPr>
            <w:r>
              <w:rPr>
                <w:rFonts w:ascii="Arial" w:cs="Arial" w:eastAsia="Arial" w:hAnsi="Arial"/>
                <w:sz w:val="18"/>
                <w:szCs w:val="18"/>
                <w:color w:val="auto"/>
              </w:rPr>
              <w:t>$</w:t>
            </w:r>
          </w:p>
        </w:tc>
        <w:tc>
          <w:tcPr>
            <w:tcW w:w="7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82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Total derivative liabilities</w:t>
            </w:r>
          </w:p>
        </w:tc>
        <w:tc>
          <w:tcPr>
            <w:tcW w:w="1420" w:type="dxa"/>
            <w:vAlign w:val="bottom"/>
            <w:gridSpan w:val="2"/>
            <w:shd w:val="clear" w:color="auto" w:fill="CCEEFF"/>
          </w:tcPr>
          <w:p>
            <w:pPr>
              <w:ind w:left="11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w:t>
            </w:r>
          </w:p>
        </w:tc>
        <w:tc>
          <w:tcPr>
            <w:tcW w:w="1240" w:type="dxa"/>
            <w:vAlign w:val="bottom"/>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pre-tax effect of foreign exchange contract derivatives by cash flow hedges.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Cash Flow Hedges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96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gridSpan w:val="4"/>
          </w:tcPr>
          <w:p>
            <w:pPr>
              <w:ind w:left="300"/>
              <w:spacing w:after="0"/>
              <w:rPr>
                <w:sz w:val="20"/>
                <w:szCs w:val="20"/>
                <w:color w:val="auto"/>
              </w:rPr>
            </w:pPr>
            <w:r>
              <w:rPr>
                <w:rFonts w:ascii="Arial" w:cs="Arial" w:eastAsia="Arial" w:hAnsi="Arial"/>
                <w:sz w:val="14"/>
                <w:szCs w:val="14"/>
                <w:b w:val="1"/>
                <w:bCs w:val="1"/>
                <w:color w:val="auto"/>
                <w:w w:val="90"/>
              </w:rPr>
              <w:t>Three Months Ended</w:t>
            </w:r>
          </w:p>
        </w:tc>
        <w:tc>
          <w:tcPr>
            <w:tcW w:w="520" w:type="dxa"/>
            <w:vAlign w:val="bottom"/>
            <w:tcBorders>
              <w:bottom w:val="single" w:sz="8" w:color="auto"/>
            </w:tcBorders>
          </w:tcPr>
          <w:p>
            <w:pPr>
              <w:spacing w:after="0"/>
              <w:rPr>
                <w:sz w:val="14"/>
                <w:szCs w:val="14"/>
                <w:color w:val="auto"/>
              </w:rPr>
            </w:pPr>
          </w:p>
        </w:tc>
        <w:tc>
          <w:tcPr>
            <w:tcW w:w="3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gridSpan w:val="4"/>
          </w:tcPr>
          <w:p>
            <w:pPr>
              <w:ind w:left="380"/>
              <w:spacing w:after="0"/>
              <w:rPr>
                <w:sz w:val="20"/>
                <w:szCs w:val="20"/>
                <w:color w:val="auto"/>
              </w:rPr>
            </w:pPr>
            <w:r>
              <w:rPr>
                <w:rFonts w:ascii="Arial" w:cs="Arial" w:eastAsia="Arial" w:hAnsi="Arial"/>
                <w:sz w:val="14"/>
                <w:szCs w:val="14"/>
                <w:b w:val="1"/>
                <w:bCs w:val="1"/>
                <w:color w:val="auto"/>
                <w:w w:val="97"/>
              </w:rPr>
              <w:t>Six Months Ended</w:t>
            </w:r>
          </w:p>
        </w:tc>
        <w:tc>
          <w:tcPr>
            <w:tcW w:w="5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960" w:type="dxa"/>
            <w:vAlign w:val="bottom"/>
          </w:tcPr>
          <w:p>
            <w:pPr>
              <w:spacing w:after="0"/>
              <w:rPr>
                <w:sz w:val="12"/>
                <w:szCs w:val="12"/>
                <w:color w:val="auto"/>
              </w:rPr>
            </w:pPr>
          </w:p>
        </w:tc>
        <w:tc>
          <w:tcPr>
            <w:tcW w:w="760" w:type="dxa"/>
            <w:vAlign w:val="bottom"/>
            <w:tcBorders>
              <w:bottom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85"/>
              </w:rPr>
              <w:t>July 31, 2010</w:t>
            </w:r>
          </w:p>
        </w:tc>
        <w:tc>
          <w:tcPr>
            <w:tcW w:w="4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80" w:type="dxa"/>
            <w:vAlign w:val="bottom"/>
            <w:tcBorders>
              <w:bottom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w w:val="84"/>
              </w:rPr>
              <w:t>August 1, 2009</w:t>
            </w:r>
          </w:p>
        </w:tc>
        <w:tc>
          <w:tcPr>
            <w:tcW w:w="3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760" w:type="dxa"/>
            <w:vAlign w:val="bottom"/>
            <w:tcBorders>
              <w:bottom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85"/>
              </w:rPr>
              <w:t>July 31, 2010</w:t>
            </w:r>
          </w:p>
        </w:tc>
        <w:tc>
          <w:tcPr>
            <w:tcW w:w="4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80" w:type="dxa"/>
            <w:vAlign w:val="bottom"/>
            <w:tcBorders>
              <w:bottom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w w:val="84"/>
              </w:rPr>
              <w:t>August 1, 2009</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Accumulated OCI, beginning of period</w:t>
            </w:r>
          </w:p>
        </w:tc>
        <w:tc>
          <w:tcPr>
            <w:tcW w:w="2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540</w:t>
            </w:r>
          </w:p>
        </w:tc>
        <w:tc>
          <w:tcPr>
            <w:tcW w:w="6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8"/>
              </w:rPr>
              <w:t>(1,076)</w:t>
            </w:r>
          </w:p>
        </w:tc>
        <w:tc>
          <w:tcPr>
            <w:tcW w:w="60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341</w:t>
            </w:r>
          </w:p>
        </w:tc>
        <w:tc>
          <w:tcPr>
            <w:tcW w:w="6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Gains (losses) recorded in OCI (effective portion)</w:t>
            </w:r>
          </w:p>
        </w:tc>
        <w:tc>
          <w:tcPr>
            <w:tcW w:w="260" w:type="dxa"/>
            <w:vAlign w:val="bottom"/>
          </w:tcPr>
          <w:p>
            <w:pPr>
              <w:spacing w:after="0"/>
              <w:rPr>
                <w:sz w:val="18"/>
                <w:szCs w:val="18"/>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(267)</w:t>
            </w:r>
          </w:p>
        </w:tc>
        <w:tc>
          <w:tcPr>
            <w:tcW w:w="3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00" w:type="dxa"/>
            <w:vAlign w:val="bottom"/>
            <w:gridSpan w:val="2"/>
          </w:tcPr>
          <w:p>
            <w:pPr>
              <w:jc w:val="right"/>
              <w:ind w:right="380"/>
              <w:spacing w:after="0"/>
              <w:rPr>
                <w:sz w:val="20"/>
                <w:szCs w:val="20"/>
                <w:color w:val="auto"/>
              </w:rPr>
            </w:pPr>
            <w:r>
              <w:rPr>
                <w:rFonts w:ascii="Arial" w:cs="Arial" w:eastAsia="Arial" w:hAnsi="Arial"/>
                <w:sz w:val="18"/>
                <w:szCs w:val="18"/>
                <w:color w:val="auto"/>
              </w:rPr>
              <w:t>3,656</w:t>
            </w:r>
          </w:p>
        </w:tc>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(17)</w:t>
            </w:r>
          </w:p>
        </w:tc>
        <w:tc>
          <w:tcPr>
            <w:tcW w:w="3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20" w:type="dxa"/>
            <w:vAlign w:val="bottom"/>
            <w:gridSpan w:val="2"/>
          </w:tcPr>
          <w:p>
            <w:pPr>
              <w:jc w:val="right"/>
              <w:ind w:right="100"/>
              <w:spacing w:after="0"/>
              <w:rPr>
                <w:sz w:val="20"/>
                <w:szCs w:val="20"/>
                <w:color w:val="auto"/>
              </w:rPr>
            </w:pPr>
            <w:r>
              <w:rPr>
                <w:rFonts w:ascii="Arial" w:cs="Arial" w:eastAsia="Arial" w:hAnsi="Arial"/>
                <w:sz w:val="18"/>
                <w:szCs w:val="18"/>
                <w:color w:val="auto"/>
              </w:rPr>
              <w:t>2,580</w:t>
            </w:r>
          </w:p>
        </w:tc>
        <w:tc>
          <w:tcPr>
            <w:tcW w:w="0" w:type="dxa"/>
            <w:vAlign w:val="bottom"/>
          </w:tcPr>
          <w:p>
            <w:pPr>
              <w:spacing w:after="0"/>
              <w:rPr>
                <w:sz w:val="1"/>
                <w:szCs w:val="1"/>
                <w:color w:val="auto"/>
              </w:rPr>
            </w:pPr>
          </w:p>
        </w:tc>
      </w:tr>
      <w:tr>
        <w:trPr>
          <w:trHeight w:val="208"/>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Losses reclassified from OCI to operating expense (effective</w:t>
            </w:r>
          </w:p>
        </w:tc>
        <w:tc>
          <w:tcPr>
            <w:tcW w:w="2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49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portion)</w:t>
            </w:r>
          </w:p>
        </w:tc>
        <w:tc>
          <w:tcPr>
            <w:tcW w:w="260" w:type="dxa"/>
            <w:vAlign w:val="bottom"/>
            <w:shd w:val="clear" w:color="auto" w:fill="CCEEFF"/>
          </w:tcPr>
          <w:p>
            <w:pPr>
              <w:spacing w:after="0"/>
              <w:rPr>
                <w:sz w:val="19"/>
                <w:szCs w:val="19"/>
                <w:color w:val="auto"/>
              </w:rPr>
            </w:pPr>
          </w:p>
        </w:tc>
        <w:tc>
          <w:tcPr>
            <w:tcW w:w="9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(423)</w:t>
            </w:r>
          </w:p>
        </w:tc>
        <w:tc>
          <w:tcPr>
            <w:tcW w:w="3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(790)</w:t>
            </w:r>
          </w:p>
        </w:tc>
        <w:tc>
          <w:tcPr>
            <w:tcW w:w="3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(474)</w:t>
            </w:r>
          </w:p>
        </w:tc>
        <w:tc>
          <w:tcPr>
            <w:tcW w:w="3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(790)</w:t>
            </w:r>
          </w:p>
        </w:tc>
        <w:tc>
          <w:tcPr>
            <w:tcW w:w="0" w:type="dxa"/>
            <w:vAlign w:val="bottom"/>
          </w:tcPr>
          <w:p>
            <w:pPr>
              <w:spacing w:after="0"/>
              <w:rPr>
                <w:sz w:val="1"/>
                <w:szCs w:val="1"/>
                <w:color w:val="auto"/>
              </w:rPr>
            </w:pPr>
          </w:p>
        </w:tc>
      </w:tr>
      <w:tr>
        <w:trPr>
          <w:trHeight w:val="20"/>
        </w:trPr>
        <w:tc>
          <w:tcPr>
            <w:tcW w:w="4960" w:type="dxa"/>
            <w:vAlign w:val="bottom"/>
            <w:vMerge w:val="restart"/>
          </w:tcPr>
          <w:p>
            <w:pPr>
              <w:spacing w:after="0"/>
              <w:rPr>
                <w:sz w:val="20"/>
                <w:szCs w:val="20"/>
                <w:color w:val="auto"/>
              </w:rPr>
            </w:pPr>
            <w:r>
              <w:rPr>
                <w:rFonts w:ascii="Arial" w:cs="Arial" w:eastAsia="Arial" w:hAnsi="Arial"/>
                <w:sz w:val="18"/>
                <w:szCs w:val="18"/>
                <w:color w:val="auto"/>
              </w:rPr>
              <w:t>Accumulated OCI, end of period</w:t>
            </w:r>
          </w:p>
        </w:tc>
        <w:tc>
          <w:tcPr>
            <w:tcW w:w="26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960" w:type="dxa"/>
            <w:vAlign w:val="bottom"/>
            <w:vMerge w:val="continue"/>
          </w:tcPr>
          <w:p>
            <w:pPr>
              <w:spacing w:after="0"/>
              <w:rPr>
                <w:sz w:val="19"/>
                <w:szCs w:val="19"/>
                <w:color w:val="auto"/>
              </w:rPr>
            </w:pPr>
          </w:p>
        </w:tc>
        <w:tc>
          <w:tcPr>
            <w:tcW w:w="260" w:type="dxa"/>
            <w:vAlign w:val="bottom"/>
          </w:tcPr>
          <w:p>
            <w:pPr>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(150)</w:t>
            </w: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80"/>
              <w:spacing w:after="0"/>
              <w:rPr>
                <w:sz w:val="20"/>
                <w:szCs w:val="20"/>
                <w:color w:val="auto"/>
              </w:rPr>
            </w:pPr>
            <w:r>
              <w:rPr>
                <w:rFonts w:ascii="Arial" w:cs="Arial" w:eastAsia="Arial" w:hAnsi="Arial"/>
                <w:sz w:val="18"/>
                <w:szCs w:val="18"/>
                <w:color w:val="auto"/>
              </w:rPr>
              <w:t>1,790</w:t>
            </w:r>
          </w:p>
        </w:tc>
        <w:tc>
          <w:tcPr>
            <w:tcW w:w="60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40"/>
              <w:spacing w:after="0"/>
              <w:rPr>
                <w:sz w:val="20"/>
                <w:szCs w:val="20"/>
                <w:color w:val="auto"/>
              </w:rPr>
            </w:pPr>
            <w:r>
              <w:rPr>
                <w:rFonts w:ascii="Arial" w:cs="Arial" w:eastAsia="Arial" w:hAnsi="Arial"/>
                <w:sz w:val="18"/>
                <w:szCs w:val="18"/>
                <w:color w:val="auto"/>
              </w:rPr>
              <w:t>(150)</w:t>
            </w: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100"/>
              <w:spacing w:after="0"/>
              <w:rPr>
                <w:sz w:val="20"/>
                <w:szCs w:val="20"/>
                <w:color w:val="auto"/>
              </w:rPr>
            </w:pPr>
            <w:r>
              <w:rPr>
                <w:rFonts w:ascii="Arial" w:cs="Arial" w:eastAsia="Arial" w:hAnsi="Arial"/>
                <w:sz w:val="18"/>
                <w:szCs w:val="18"/>
                <w:color w:val="auto"/>
              </w:rPr>
              <w:t>1,790</w:t>
            </w:r>
          </w:p>
        </w:tc>
        <w:tc>
          <w:tcPr>
            <w:tcW w:w="0" w:type="dxa"/>
            <w:vAlign w:val="bottom"/>
          </w:tcPr>
          <w:p>
            <w:pPr>
              <w:spacing w:after="0"/>
              <w:rPr>
                <w:sz w:val="1"/>
                <w:szCs w:val="1"/>
                <w:color w:val="auto"/>
              </w:rPr>
            </w:pPr>
          </w:p>
        </w:tc>
      </w:tr>
      <w:tr>
        <w:trPr>
          <w:trHeight w:val="20"/>
        </w:trPr>
        <w:tc>
          <w:tcPr>
            <w:tcW w:w="496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The Company anticipates reclassifying the accumulated loss recorded as of July 31, 2010 from accumulated other comprehensive income to operating expense within 12 months.</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40"/>
          </w:cols>
          <w:pgMar w:left="240" w:top="459" w:right="31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measures its cash equivalents and marketable securities at fair value. The Company’s cash equivalents and marketable securities are primarily classified within Level 1 and Level 2 with the exception of its investments in auction rate securities, which are classified within Level 3.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The total amount of assets measured using Level 3 valuation methodologies represented 0.6% of total assets as of July 31, 2010. Cash equivalents and marketable securities are valued primarily using quoted market prices utilizing market observable inputs. The Company’s investments in corporate debt securities are classified within Level 2 as the market inputs to value these instruments consist of market yields, reported trades and broker/dealer quotes. In addition, foreign currency contracts are classified within Level 2 as the valuation inputs are based on quoted prices and market observable data of similar instruments.</w:t>
      </w:r>
    </w:p>
    <w:p>
      <w:pPr>
        <w:spacing w:after="0" w:line="118" w:lineRule="exact"/>
        <w:rPr>
          <w:sz w:val="20"/>
          <w:szCs w:val="20"/>
          <w:color w:val="auto"/>
        </w:rPr>
      </w:pPr>
    </w:p>
    <w:p>
      <w:pPr>
        <w:ind w:right="32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July 31, 2010 and January 30, 2010.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560" w:type="dxa"/>
            <w:vAlign w:val="bottom"/>
            <w:gridSpan w:val="3"/>
          </w:tcPr>
          <w:p>
            <w:pPr>
              <w:ind w:left="420"/>
              <w:spacing w:after="0"/>
              <w:rPr>
                <w:sz w:val="20"/>
                <w:szCs w:val="20"/>
                <w:color w:val="auto"/>
              </w:rPr>
            </w:pPr>
            <w:r>
              <w:rPr>
                <w:rFonts w:ascii="Arial" w:cs="Arial" w:eastAsia="Arial" w:hAnsi="Arial"/>
                <w:sz w:val="14"/>
                <w:szCs w:val="14"/>
                <w:b w:val="1"/>
                <w:bCs w:val="1"/>
                <w:color w:val="auto"/>
                <w:w w:val="87"/>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140" w:type="dxa"/>
            <w:vAlign w:val="bottom"/>
            <w:gridSpan w:val="2"/>
          </w:tcPr>
          <w:p>
            <w:pPr>
              <w:jc w:val="right"/>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0" w:type="dxa"/>
            <w:vAlign w:val="bottom"/>
          </w:tcPr>
          <w:p>
            <w:pPr>
              <w:jc w:val="right"/>
              <w:ind w:right="116"/>
              <w:spacing w:after="0" w:line="149" w:lineRule="exact"/>
              <w:rPr>
                <w:sz w:val="20"/>
                <w:szCs w:val="20"/>
                <w:color w:val="auto"/>
              </w:rPr>
            </w:pPr>
            <w:r>
              <w:rPr>
                <w:rFonts w:ascii="Arial" w:cs="Arial" w:eastAsia="Arial" w:hAnsi="Arial"/>
                <w:sz w:val="14"/>
                <w:szCs w:val="14"/>
                <w:b w:val="1"/>
                <w:bCs w:val="1"/>
                <w:color w:val="auto"/>
                <w:w w:val="93"/>
              </w:rPr>
              <w:t>Fair Value at</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Level 1</w:t>
            </w:r>
          </w:p>
        </w:tc>
        <w:tc>
          <w:tcPr>
            <w:tcW w:w="100" w:type="dxa"/>
            <w:vAlign w:val="bottom"/>
          </w:tcPr>
          <w:p>
            <w:pPr>
              <w:spacing w:after="0"/>
              <w:rPr>
                <w:sz w:val="14"/>
                <w:szCs w:val="14"/>
                <w:color w:val="auto"/>
              </w:rPr>
            </w:pPr>
          </w:p>
        </w:tc>
        <w:tc>
          <w:tcPr>
            <w:tcW w:w="98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92"/>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0" w:type="dxa"/>
            <w:vAlign w:val="bottom"/>
          </w:tcPr>
          <w:p>
            <w:pPr>
              <w:jc w:val="right"/>
              <w:ind w:right="116"/>
              <w:spacing w:after="0"/>
              <w:rPr>
                <w:sz w:val="20"/>
                <w:szCs w:val="20"/>
                <w:color w:val="auto"/>
              </w:rPr>
            </w:pPr>
            <w:r>
              <w:rPr>
                <w:rFonts w:ascii="Arial" w:cs="Arial" w:eastAsia="Arial" w:hAnsi="Arial"/>
                <w:sz w:val="14"/>
                <w:szCs w:val="14"/>
                <w:b w:val="1"/>
                <w:bCs w:val="1"/>
                <w:color w:val="auto"/>
                <w:w w:val="90"/>
              </w:rPr>
              <w:t>July 31, 2010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Items measured at fair value on a recurring basis:</w:t>
            </w:r>
          </w:p>
        </w:tc>
        <w:tc>
          <w:tcPr>
            <w:tcW w:w="17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Assets</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8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611,080</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611,080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62,766</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62,766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7,674</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7,674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510,558</w:t>
            </w:r>
          </w:p>
        </w:tc>
        <w:tc>
          <w:tcPr>
            <w:tcW w:w="100" w:type="dxa"/>
            <w:vAlign w:val="bottom"/>
          </w:tcPr>
          <w:p>
            <w:pPr>
              <w:spacing w:after="0"/>
              <w:rPr>
                <w:sz w:val="18"/>
                <w:szCs w:val="18"/>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510,558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539,241</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539,241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Long-term investments:</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34,184</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Severance pay fund</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9,310</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47,061</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56,371</w:t>
            </w:r>
          </w:p>
        </w:tc>
        <w:tc>
          <w:tcPr>
            <w:tcW w:w="0" w:type="dxa"/>
            <w:vAlign w:val="bottom"/>
          </w:tcPr>
          <w:p>
            <w:pPr>
              <w:spacing w:after="0"/>
              <w:rPr>
                <w:sz w:val="1"/>
                <w:szCs w:val="1"/>
                <w:color w:val="auto"/>
              </w:rPr>
            </w:pPr>
          </w:p>
        </w:tc>
      </w:tr>
      <w:tr>
        <w:trPr>
          <w:trHeight w:val="20"/>
        </w:trPr>
        <w:tc>
          <w:tcPr>
            <w:tcW w:w="4320" w:type="dxa"/>
            <w:vAlign w:val="bottom"/>
            <w:gridSpan w:val="2"/>
            <w:vMerge w:val="restart"/>
          </w:tcPr>
          <w:p>
            <w:pPr>
              <w:spacing w:after="0"/>
              <w:rPr>
                <w:sz w:val="20"/>
                <w:szCs w:val="20"/>
                <w:color w:val="auto"/>
              </w:rPr>
            </w:pPr>
            <w:r>
              <w:rPr>
                <w:rFonts w:ascii="Arial" w:cs="Arial" w:eastAsia="Arial" w:hAnsi="Arial"/>
                <w:sz w:val="18"/>
                <w:szCs w:val="18"/>
                <w:color w:val="auto"/>
              </w:rPr>
              <w:t>Total assets</w:t>
            </w:r>
          </w:p>
        </w:tc>
        <w:tc>
          <w:tcPr>
            <w:tcW w:w="17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0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320" w:type="dxa"/>
            <w:vAlign w:val="bottom"/>
            <w:gridSpan w:val="2"/>
            <w:vMerge w:val="continue"/>
          </w:tcPr>
          <w:p>
            <w:pPr>
              <w:spacing w:after="0"/>
              <w:rPr>
                <w:sz w:val="19"/>
                <w:szCs w:val="19"/>
                <w:color w:val="auto"/>
              </w:rPr>
            </w:pPr>
          </w:p>
        </w:tc>
        <w:tc>
          <w:tcPr>
            <w:tcW w:w="176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1,193,714</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w w:val="86"/>
              </w:rPr>
              <w:t>593,976</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34,184</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1,821,874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300" w:type="dxa"/>
            <w:vAlign w:val="bottom"/>
          </w:tcPr>
          <w:p>
            <w:pPr>
              <w:spacing w:after="0"/>
              <w:rPr>
                <w:sz w:val="8"/>
                <w:szCs w:val="8"/>
                <w:color w:val="auto"/>
              </w:rPr>
            </w:pPr>
          </w:p>
        </w:tc>
        <w:tc>
          <w:tcPr>
            <w:tcW w:w="176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4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0" w:type="dxa"/>
            <w:vAlign w:val="bottom"/>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4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Liabilities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Accrued liabilities:</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Forward contracts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88</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1760" w:type="dxa"/>
            <w:vAlign w:val="bottom"/>
            <w:vMerge w:val="restart"/>
          </w:tcPr>
          <w:p>
            <w:pPr>
              <w:jc w:val="right"/>
              <w:ind w:right="652"/>
              <w:spacing w:after="0"/>
              <w:rPr>
                <w:sz w:val="20"/>
                <w:szCs w:val="20"/>
                <w:color w:val="auto"/>
              </w:rPr>
            </w:pPr>
            <w:r>
              <w:rPr>
                <w:rFonts w:ascii="Arial" w:cs="Arial" w:eastAsia="Arial" w:hAnsi="Arial"/>
                <w:sz w:val="18"/>
                <w:szCs w:val="18"/>
                <w:color w:val="auto"/>
              </w:rPr>
              <w:t>13</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7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580" w:type="dxa"/>
            <w:vAlign w:val="bottom"/>
            <w:gridSpan w:val="4"/>
          </w:tcPr>
          <w:p>
            <w:pPr>
              <w:jc w:val="center"/>
              <w:ind w:left="319"/>
              <w:spacing w:after="0"/>
              <w:rPr>
                <w:sz w:val="20"/>
                <w:szCs w:val="20"/>
                <w:color w:val="auto"/>
              </w:rPr>
            </w:pPr>
            <w:r>
              <w:rPr>
                <w:rFonts w:ascii="Arial" w:cs="Arial" w:eastAsia="Arial" w:hAnsi="Arial"/>
                <w:sz w:val="14"/>
                <w:szCs w:val="14"/>
                <w:b w:val="1"/>
                <w:bCs w:val="1"/>
                <w:color w:val="auto"/>
                <w:w w:val="89"/>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160" w:type="dxa"/>
            <w:vAlign w:val="bottom"/>
            <w:gridSpan w:val="3"/>
          </w:tcPr>
          <w:p>
            <w:pPr>
              <w:jc w:val="center"/>
              <w:ind w:right="4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8"/>
              </w:rPr>
              <w:t>Fair Value at</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Level 1</w:t>
            </w:r>
          </w:p>
        </w:tc>
        <w:tc>
          <w:tcPr>
            <w:tcW w:w="100" w:type="dxa"/>
            <w:vAlign w:val="bottom"/>
          </w:tcPr>
          <w:p>
            <w:pPr>
              <w:spacing w:after="0"/>
              <w:rPr>
                <w:sz w:val="14"/>
                <w:szCs w:val="14"/>
                <w:color w:val="auto"/>
              </w:rPr>
            </w:pPr>
          </w:p>
        </w:tc>
        <w:tc>
          <w:tcPr>
            <w:tcW w:w="980" w:type="dxa"/>
            <w:vAlign w:val="bottom"/>
            <w:gridSpan w:val="2"/>
          </w:tcPr>
          <w:p>
            <w:pPr>
              <w:ind w:left="40"/>
              <w:spacing w:after="0"/>
              <w:rPr>
                <w:sz w:val="20"/>
                <w:szCs w:val="20"/>
                <w:color w:val="auto"/>
              </w:rPr>
            </w:pPr>
            <w:r>
              <w:rPr>
                <w:rFonts w:ascii="Arial" w:cs="Arial" w:eastAsia="Arial" w:hAnsi="Arial"/>
                <w:sz w:val="14"/>
                <w:szCs w:val="14"/>
                <w:b w:val="1"/>
                <w:bCs w:val="1"/>
                <w:color w:val="auto"/>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4"/>
                <w:szCs w:val="14"/>
                <w:color w:val="auto"/>
              </w:rPr>
            </w:pPr>
          </w:p>
        </w:tc>
        <w:tc>
          <w:tcPr>
            <w:tcW w:w="116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7"/>
              </w:rPr>
              <w:t>January 30, 2010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Items measured at fair value on a recurring basis:</w:t>
            </w: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542,574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542,574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105,304</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105,304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4,000</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4,000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457,820</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457,820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228,469</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228,469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Auction rate securities and settlement option</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5,000</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34,281</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34,281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830</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830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9,156</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48,105</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57,261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00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4"/>
              </w:rPr>
              <w:t>1,114,854</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281,404</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39,281</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1,435,539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tables summarize the change in fair value for Level 3 items during the six months ended July 31, 2010 and August 1, 2009 (in thousands):</w:t>
      </w:r>
    </w:p>
    <w:p>
      <w:pPr>
        <w:spacing w:after="0" w:line="23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63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210"/>
        </w:trPr>
        <w:tc>
          <w:tcPr>
            <w:tcW w:w="63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six months ended July 31, 2010 (pre-tax):</w:t>
            </w:r>
          </w:p>
        </w:tc>
        <w:tc>
          <w:tcPr>
            <w:tcW w:w="700" w:type="dxa"/>
            <w:vAlign w:val="bottom"/>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Beginning balance at January 31, 2010</w:t>
            </w:r>
          </w:p>
        </w:tc>
        <w:tc>
          <w:tcPr>
            <w:tcW w:w="1280" w:type="dxa"/>
            <w:vAlign w:val="bottom"/>
            <w:gridSpan w:val="2"/>
          </w:tcPr>
          <w:p>
            <w:pPr>
              <w:jc w:val="right"/>
              <w:spacing w:after="0"/>
              <w:rPr>
                <w:sz w:val="20"/>
                <w:szCs w:val="20"/>
                <w:color w:val="auto"/>
              </w:rPr>
            </w:pPr>
            <w:r>
              <w:rPr>
                <w:rFonts w:ascii="Arial" w:cs="Arial" w:eastAsia="Arial" w:hAnsi="Arial"/>
                <w:sz w:val="18"/>
                <w:szCs w:val="18"/>
                <w:color w:val="auto"/>
              </w:rPr>
              <w:t>$39,281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7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Sales, redemption and settlement</w:t>
            </w:r>
          </w:p>
        </w:tc>
        <w:tc>
          <w:tcPr>
            <w:tcW w:w="1400" w:type="dxa"/>
            <w:vAlign w:val="bottom"/>
            <w:gridSpan w:val="3"/>
          </w:tcPr>
          <w:p>
            <w:pPr>
              <w:jc w:val="right"/>
              <w:ind w:right="60"/>
              <w:spacing w:after="0"/>
              <w:rPr>
                <w:sz w:val="20"/>
                <w:szCs w:val="20"/>
                <w:color w:val="auto"/>
              </w:rPr>
            </w:pPr>
            <w:r>
              <w:rPr>
                <w:rFonts w:ascii="Arial" w:cs="Arial" w:eastAsia="Arial" w:hAnsi="Arial"/>
                <w:sz w:val="18"/>
                <w:szCs w:val="18"/>
                <w:color w:val="auto"/>
              </w:rPr>
              <w:t>(5,150)</w:t>
            </w: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included in accumulated other comprehensive income</w:t>
            </w:r>
          </w:p>
        </w:tc>
        <w:tc>
          <w:tcPr>
            <w:tcW w:w="70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360" w:type="dxa"/>
            <w:vAlign w:val="bottom"/>
          </w:tcPr>
          <w:p>
            <w:pPr>
              <w:spacing w:after="0"/>
              <w:rPr>
                <w:sz w:val="20"/>
                <w:szCs w:val="20"/>
                <w:color w:val="auto"/>
              </w:rPr>
            </w:pPr>
            <w:r>
              <w:rPr>
                <w:rFonts w:ascii="Arial" w:cs="Arial" w:eastAsia="Arial" w:hAnsi="Arial"/>
                <w:sz w:val="18"/>
                <w:szCs w:val="18"/>
                <w:color w:val="auto"/>
              </w:rPr>
              <w:t>Ending balance at July 31, 2010</w:t>
            </w:r>
          </w:p>
        </w:tc>
        <w:tc>
          <w:tcPr>
            <w:tcW w:w="70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34,184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3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63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210"/>
        </w:trPr>
        <w:tc>
          <w:tcPr>
            <w:tcW w:w="63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7"/>
              </w:rPr>
              <w:t>Changes in fair value during the six months ended August 1, 2009 (pre-tax):</w:t>
            </w:r>
          </w:p>
        </w:tc>
        <w:tc>
          <w:tcPr>
            <w:tcW w:w="700" w:type="dxa"/>
            <w:vAlign w:val="bottom"/>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Beginning balance at February 1, 2009</w:t>
            </w:r>
          </w:p>
        </w:tc>
        <w:tc>
          <w:tcPr>
            <w:tcW w:w="1280" w:type="dxa"/>
            <w:vAlign w:val="bottom"/>
            <w:gridSpan w:val="2"/>
          </w:tcPr>
          <w:p>
            <w:pPr>
              <w:jc w:val="right"/>
              <w:spacing w:after="0"/>
              <w:rPr>
                <w:sz w:val="20"/>
                <w:szCs w:val="20"/>
                <w:color w:val="auto"/>
              </w:rPr>
            </w:pPr>
            <w:r>
              <w:rPr>
                <w:rFonts w:ascii="Arial" w:cs="Arial" w:eastAsia="Arial" w:hAnsi="Arial"/>
                <w:sz w:val="18"/>
                <w:szCs w:val="18"/>
                <w:color w:val="auto"/>
              </w:rPr>
              <w:t>$40,541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7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Sales and redemption</w:t>
            </w:r>
          </w:p>
        </w:tc>
        <w:tc>
          <w:tcPr>
            <w:tcW w:w="1400" w:type="dxa"/>
            <w:vAlign w:val="bottom"/>
            <w:gridSpan w:val="3"/>
          </w:tcPr>
          <w:p>
            <w:pPr>
              <w:jc w:val="right"/>
              <w:ind w:right="6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accumulated other comprehensive loss</w:t>
            </w:r>
          </w:p>
        </w:tc>
        <w:tc>
          <w:tcPr>
            <w:tcW w:w="7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(1,158)</w:t>
            </w:r>
          </w:p>
        </w:tc>
        <w:tc>
          <w:tcPr>
            <w:tcW w:w="0" w:type="dxa"/>
            <w:vAlign w:val="bottom"/>
          </w:tcPr>
          <w:p>
            <w:pPr>
              <w:spacing w:after="0"/>
              <w:rPr>
                <w:sz w:val="1"/>
                <w:szCs w:val="1"/>
                <w:color w:val="auto"/>
              </w:rPr>
            </w:pPr>
          </w:p>
        </w:tc>
      </w:tr>
      <w:tr>
        <w:trPr>
          <w:trHeight w:val="221"/>
        </w:trPr>
        <w:tc>
          <w:tcPr>
            <w:tcW w:w="6360" w:type="dxa"/>
            <w:vAlign w:val="bottom"/>
          </w:tcPr>
          <w:p>
            <w:pPr>
              <w:spacing w:after="0"/>
              <w:rPr>
                <w:sz w:val="20"/>
                <w:szCs w:val="20"/>
                <w:color w:val="auto"/>
              </w:rPr>
            </w:pPr>
            <w:r>
              <w:rPr>
                <w:rFonts w:ascii="Arial" w:cs="Arial" w:eastAsia="Arial" w:hAnsi="Arial"/>
                <w:sz w:val="18"/>
                <w:szCs w:val="18"/>
                <w:color w:val="auto"/>
              </w:rPr>
              <w:t>Ending balance at August 1, 2009</w:t>
            </w:r>
          </w:p>
        </w:tc>
        <w:tc>
          <w:tcPr>
            <w:tcW w:w="700" w:type="dxa"/>
            <w:vAlign w:val="bottom"/>
          </w:tcPr>
          <w:p>
            <w:pPr>
              <w:spacing w:after="0"/>
              <w:rPr>
                <w:sz w:val="19"/>
                <w:szCs w:val="19"/>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39,333</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360" w:type="dxa"/>
            <w:vAlign w:val="bottom"/>
            <w:vMerge w:val="restart"/>
          </w:tcPr>
          <w:p>
            <w:pPr>
              <w:ind w:left="3780"/>
              <w:spacing w:after="0"/>
              <w:rPr>
                <w:sz w:val="20"/>
                <w:szCs w:val="20"/>
                <w:color w:val="auto"/>
              </w:rPr>
            </w:pPr>
            <w:r>
              <w:rPr>
                <w:rFonts w:ascii="Arial" w:cs="Arial" w:eastAsia="Arial" w:hAnsi="Arial"/>
                <w:sz w:val="18"/>
                <w:szCs w:val="18"/>
                <w:color w:val="auto"/>
              </w:rPr>
              <w:t>14</w:t>
            </w:r>
          </w:p>
        </w:tc>
        <w:tc>
          <w:tcPr>
            <w:tcW w:w="7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6360" w:type="dxa"/>
            <w:vAlign w:val="bottom"/>
            <w:vMerge w:val="continue"/>
          </w:tcPr>
          <w:p>
            <w:pPr>
              <w:spacing w:after="0"/>
              <w:rPr>
                <w:sz w:val="24"/>
                <w:szCs w:val="24"/>
                <w:color w:val="auto"/>
              </w:rPr>
            </w:pPr>
          </w:p>
        </w:tc>
        <w:tc>
          <w:tcPr>
            <w:tcW w:w="7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9" w:right="4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Acquired Intangible Assets, Net (in thousands)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85"/>
              </w:rPr>
              <w:t>July 31, 2010</w:t>
            </w: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gridSpan w:val="3"/>
          </w:tcPr>
          <w:p>
            <w:pPr>
              <w:jc w:val="center"/>
              <w:ind w:right="80"/>
              <w:spacing w:after="0"/>
              <w:rPr>
                <w:sz w:val="20"/>
                <w:szCs w:val="20"/>
                <w:color w:val="auto"/>
              </w:rPr>
            </w:pPr>
            <w:r>
              <w:rPr>
                <w:rFonts w:ascii="Arial" w:cs="Arial" w:eastAsia="Arial" w:hAnsi="Arial"/>
                <w:sz w:val="14"/>
                <w:szCs w:val="14"/>
                <w:b w:val="1"/>
                <w:bCs w:val="1"/>
                <w:color w:val="auto"/>
                <w:w w:val="89"/>
              </w:rPr>
              <w:t>January 30, 2010</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160" w:type="dxa"/>
            <w:vAlign w:val="bottom"/>
          </w:tcPr>
          <w:p>
            <w:pPr>
              <w:spacing w:after="0"/>
              <w:rPr>
                <w:sz w:val="11"/>
                <w:szCs w:val="11"/>
                <w:color w:val="auto"/>
              </w:rPr>
            </w:pPr>
          </w:p>
        </w:tc>
        <w:tc>
          <w:tcPr>
            <w:tcW w:w="3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2"/>
          </w:tcPr>
          <w:p>
            <w:pPr>
              <w:jc w:val="center"/>
              <w:ind w:right="1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0" w:type="dxa"/>
            <w:vAlign w:val="bottom"/>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88"/>
              </w:rPr>
              <w:t>Accumulated</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160" w:type="dxa"/>
            <w:vAlign w:val="bottom"/>
          </w:tcPr>
          <w:p>
            <w:pPr>
              <w:spacing w:after="0"/>
              <w:rPr>
                <w:sz w:val="12"/>
                <w:szCs w:val="12"/>
                <w:color w:val="auto"/>
              </w:rPr>
            </w:pPr>
          </w:p>
        </w:tc>
        <w:tc>
          <w:tcPr>
            <w:tcW w:w="35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rPr>
              <w:t>Gross</w:t>
            </w:r>
          </w:p>
        </w:tc>
        <w:tc>
          <w:tcPr>
            <w:tcW w:w="100" w:type="dxa"/>
            <w:vAlign w:val="bottom"/>
          </w:tcPr>
          <w:p>
            <w:pPr>
              <w:spacing w:after="0"/>
              <w:rPr>
                <w:sz w:val="12"/>
                <w:szCs w:val="12"/>
                <w:color w:val="auto"/>
              </w:rPr>
            </w:pPr>
          </w:p>
        </w:tc>
        <w:tc>
          <w:tcPr>
            <w:tcW w:w="9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Net</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Gross</w:t>
            </w:r>
          </w:p>
        </w:tc>
        <w:tc>
          <w:tcPr>
            <w:tcW w:w="16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1160" w:type="dxa"/>
            <w:vAlign w:val="bottom"/>
          </w:tcPr>
          <w:p>
            <w:pPr>
              <w:spacing w:after="0"/>
              <w:rPr>
                <w:sz w:val="12"/>
                <w:szCs w:val="12"/>
                <w:color w:val="auto"/>
              </w:rPr>
            </w:pPr>
          </w:p>
        </w:tc>
        <w:tc>
          <w:tcPr>
            <w:tcW w:w="3520" w:type="dxa"/>
            <w:vAlign w:val="bottom"/>
          </w:tcPr>
          <w:p>
            <w:pPr>
              <w:spacing w:after="0"/>
              <w:rPr>
                <w:sz w:val="12"/>
                <w:szCs w:val="12"/>
                <w:color w:val="auto"/>
              </w:rPr>
            </w:pPr>
          </w:p>
        </w:tc>
        <w:tc>
          <w:tcPr>
            <w:tcW w:w="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Range of</w:t>
            </w:r>
          </w:p>
        </w:tc>
        <w:tc>
          <w:tcPr>
            <w:tcW w:w="80" w:type="dxa"/>
            <w:vAlign w:val="bottom"/>
          </w:tcPr>
          <w:p>
            <w:pPr>
              <w:spacing w:after="0"/>
              <w:rPr>
                <w:sz w:val="12"/>
                <w:szCs w:val="12"/>
                <w:color w:val="auto"/>
              </w:rPr>
            </w:pPr>
          </w:p>
        </w:tc>
        <w:tc>
          <w:tcPr>
            <w:tcW w:w="82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97"/>
              </w:rPr>
              <w:t>Carrying</w:t>
            </w:r>
          </w:p>
        </w:tc>
        <w:tc>
          <w:tcPr>
            <w:tcW w:w="100" w:type="dxa"/>
            <w:vAlign w:val="bottom"/>
          </w:tcPr>
          <w:p>
            <w:pPr>
              <w:spacing w:after="0"/>
              <w:rPr>
                <w:sz w:val="12"/>
                <w:szCs w:val="12"/>
                <w:color w:val="auto"/>
              </w:rPr>
            </w:pPr>
          </w:p>
        </w:tc>
        <w:tc>
          <w:tcPr>
            <w:tcW w:w="9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and</w:t>
            </w:r>
          </w:p>
        </w:tc>
        <w:tc>
          <w:tcPr>
            <w:tcW w:w="140" w:type="dxa"/>
            <w:vAlign w:val="bottom"/>
          </w:tcPr>
          <w:p>
            <w:pPr>
              <w:spacing w:after="0"/>
              <w:rPr>
                <w:sz w:val="12"/>
                <w:szCs w:val="12"/>
                <w:color w:val="auto"/>
              </w:rPr>
            </w:pPr>
          </w:p>
        </w:tc>
        <w:tc>
          <w:tcPr>
            <w:tcW w:w="6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3"/>
              </w:rPr>
              <w:t>Carrying</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gridSpan w:val="2"/>
          </w:tcPr>
          <w:p>
            <w:pPr>
              <w:jc w:val="right"/>
              <w:ind w:right="200"/>
              <w:spacing w:after="0" w:line="149" w:lineRule="exact"/>
              <w:rPr>
                <w:sz w:val="20"/>
                <w:szCs w:val="20"/>
                <w:color w:val="auto"/>
              </w:rPr>
            </w:pPr>
            <w:r>
              <w:rPr>
                <w:rFonts w:ascii="Arial" w:cs="Arial" w:eastAsia="Arial" w:hAnsi="Arial"/>
                <w:sz w:val="14"/>
                <w:szCs w:val="14"/>
                <w:b w:val="1"/>
                <w:bCs w:val="1"/>
                <w:color w:val="auto"/>
                <w:w w:val="93"/>
              </w:rPr>
              <w:t>Carrying</w:t>
            </w:r>
          </w:p>
        </w:tc>
        <w:tc>
          <w:tcPr>
            <w:tcW w:w="16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7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Carrying</w:t>
            </w:r>
          </w:p>
        </w:tc>
        <w:tc>
          <w:tcPr>
            <w:tcW w:w="0" w:type="dxa"/>
            <w:vAlign w:val="bottom"/>
          </w:tcPr>
          <w:p>
            <w:pPr>
              <w:spacing w:after="0"/>
              <w:rPr>
                <w:sz w:val="1"/>
                <w:szCs w:val="1"/>
                <w:color w:val="auto"/>
              </w:rPr>
            </w:pPr>
          </w:p>
        </w:tc>
      </w:tr>
      <w:tr>
        <w:trPr>
          <w:trHeight w:val="161"/>
        </w:trPr>
        <w:tc>
          <w:tcPr>
            <w:tcW w:w="116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Useful Lives</w:t>
            </w: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38"/>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Write-Offs</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Amount</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w w:val="88"/>
              </w:rPr>
              <w:t>Amounts</w:t>
            </w: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Write-Offs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94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4"/>
              </w:rPr>
              <w:t>1 -7 years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718,540</w:t>
            </w:r>
          </w:p>
        </w:tc>
        <w:tc>
          <w:tcPr>
            <w:tcW w:w="10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9"/>
              </w:rPr>
              <w:t>$ (685,814)</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32,726</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714,640</w:t>
            </w:r>
          </w:p>
        </w:tc>
        <w:tc>
          <w:tcPr>
            <w:tcW w:w="11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 (665,010)</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49,630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940" w:type="dxa"/>
            <w:vAlign w:val="bottom"/>
            <w:gridSpan w:val="2"/>
          </w:tcPr>
          <w:p>
            <w:pPr>
              <w:jc w:val="center"/>
              <w:ind w:right="220"/>
              <w:spacing w:after="0"/>
              <w:rPr>
                <w:sz w:val="20"/>
                <w:szCs w:val="20"/>
                <w:color w:val="auto"/>
              </w:rPr>
            </w:pPr>
            <w:r>
              <w:rPr>
                <w:rFonts w:ascii="Arial" w:cs="Arial" w:eastAsia="Arial" w:hAnsi="Arial"/>
                <w:sz w:val="18"/>
                <w:szCs w:val="18"/>
                <w:color w:val="auto"/>
                <w:w w:val="84"/>
              </w:rPr>
              <w:t>1 -8 years</w:t>
            </w:r>
          </w:p>
        </w:tc>
        <w:tc>
          <w:tcPr>
            <w:tcW w:w="8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212,650</w:t>
            </w:r>
          </w:p>
        </w:tc>
        <w:tc>
          <w:tcPr>
            <w:tcW w:w="1080" w:type="dxa"/>
            <w:vAlign w:val="bottom"/>
            <w:gridSpan w:val="3"/>
          </w:tcPr>
          <w:p>
            <w:pPr>
              <w:jc w:val="right"/>
              <w:ind w:right="140"/>
              <w:spacing w:after="0"/>
              <w:rPr>
                <w:sz w:val="20"/>
                <w:szCs w:val="20"/>
                <w:color w:val="auto"/>
              </w:rPr>
            </w:pPr>
            <w:r>
              <w:rPr>
                <w:rFonts w:ascii="Arial" w:cs="Arial" w:eastAsia="Arial" w:hAnsi="Arial"/>
                <w:sz w:val="18"/>
                <w:szCs w:val="18"/>
                <w:color w:val="auto"/>
              </w:rPr>
              <w:t>(142,583)</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70,067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212,650</w:t>
            </w:r>
          </w:p>
        </w:tc>
        <w:tc>
          <w:tcPr>
            <w:tcW w:w="1160" w:type="dxa"/>
            <w:vAlign w:val="bottom"/>
            <w:gridSpan w:val="3"/>
          </w:tcPr>
          <w:p>
            <w:pPr>
              <w:jc w:val="right"/>
              <w:ind w:right="160"/>
              <w:spacing w:after="0"/>
              <w:rPr>
                <w:sz w:val="20"/>
                <w:szCs w:val="20"/>
                <w:color w:val="auto"/>
              </w:rPr>
            </w:pPr>
            <w:r>
              <w:rPr>
                <w:rFonts w:ascii="Arial" w:cs="Arial" w:eastAsia="Arial" w:hAnsi="Arial"/>
                <w:sz w:val="18"/>
                <w:szCs w:val="18"/>
                <w:color w:val="auto"/>
              </w:rPr>
              <w:t>(129,478)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83,172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w:t>
            </w:r>
          </w:p>
        </w:tc>
        <w:tc>
          <w:tcPr>
            <w:tcW w:w="94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4"/>
              </w:rPr>
              <w:t>1 -5 years</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350</w:t>
            </w:r>
          </w:p>
        </w:tc>
        <w:tc>
          <w:tcPr>
            <w:tcW w:w="10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(279)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11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(259)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gridSpan w:val="2"/>
          </w:tcPr>
          <w:p>
            <w:pPr>
              <w:spacing w:after="0"/>
              <w:rPr>
                <w:sz w:val="20"/>
                <w:szCs w:val="20"/>
                <w:color w:val="auto"/>
              </w:rPr>
            </w:pPr>
            <w:r>
              <w:rPr>
                <w:rFonts w:ascii="Arial" w:cs="Arial" w:eastAsia="Arial" w:hAnsi="Arial"/>
                <w:sz w:val="18"/>
                <w:szCs w:val="18"/>
                <w:color w:val="auto"/>
              </w:rPr>
              <w:t>Customer contracts</w:t>
            </w:r>
          </w:p>
        </w:tc>
        <w:tc>
          <w:tcPr>
            <w:tcW w:w="940" w:type="dxa"/>
            <w:vAlign w:val="bottom"/>
            <w:gridSpan w:val="2"/>
          </w:tcPr>
          <w:p>
            <w:pPr>
              <w:jc w:val="center"/>
              <w:ind w:right="220"/>
              <w:spacing w:after="0"/>
              <w:rPr>
                <w:sz w:val="20"/>
                <w:szCs w:val="20"/>
                <w:color w:val="auto"/>
              </w:rPr>
            </w:pPr>
            <w:r>
              <w:rPr>
                <w:rFonts w:ascii="Arial" w:cs="Arial" w:eastAsia="Arial" w:hAnsi="Arial"/>
                <w:sz w:val="18"/>
                <w:szCs w:val="18"/>
                <w:color w:val="auto"/>
                <w:w w:val="84"/>
              </w:rPr>
              <w:t>4 -7 years</w:t>
            </w:r>
          </w:p>
        </w:tc>
        <w:tc>
          <w:tcPr>
            <w:tcW w:w="8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187,200</w:t>
            </w:r>
          </w:p>
        </w:tc>
        <w:tc>
          <w:tcPr>
            <w:tcW w:w="1080" w:type="dxa"/>
            <w:vAlign w:val="bottom"/>
            <w:gridSpan w:val="3"/>
          </w:tcPr>
          <w:p>
            <w:pPr>
              <w:jc w:val="right"/>
              <w:ind w:right="140"/>
              <w:spacing w:after="0"/>
              <w:rPr>
                <w:sz w:val="20"/>
                <w:szCs w:val="20"/>
                <w:color w:val="auto"/>
              </w:rPr>
            </w:pPr>
            <w:r>
              <w:rPr>
                <w:rFonts w:ascii="Arial" w:cs="Arial" w:eastAsia="Arial" w:hAnsi="Arial"/>
                <w:sz w:val="18"/>
                <w:szCs w:val="18"/>
                <w:color w:val="auto"/>
              </w:rPr>
              <w:t>(146,887)</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40,313</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183,300</w:t>
            </w:r>
          </w:p>
        </w:tc>
        <w:tc>
          <w:tcPr>
            <w:tcW w:w="1160" w:type="dxa"/>
            <w:vAlign w:val="bottom"/>
            <w:gridSpan w:val="3"/>
          </w:tcPr>
          <w:p>
            <w:pPr>
              <w:jc w:val="right"/>
              <w:ind w:right="160"/>
              <w:spacing w:after="0"/>
              <w:rPr>
                <w:sz w:val="20"/>
                <w:szCs w:val="20"/>
                <w:color w:val="auto"/>
              </w:rPr>
            </w:pPr>
            <w:r>
              <w:rPr>
                <w:rFonts w:ascii="Arial" w:cs="Arial" w:eastAsia="Arial" w:hAnsi="Arial"/>
                <w:sz w:val="18"/>
                <w:szCs w:val="18"/>
                <w:color w:val="auto"/>
              </w:rPr>
              <w:t>(137,163)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46,137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Non-compete agreements</w:t>
            </w:r>
          </w:p>
        </w:tc>
        <w:tc>
          <w:tcPr>
            <w:tcW w:w="940" w:type="dxa"/>
            <w:vAlign w:val="bottom"/>
            <w:gridSpan w:val="2"/>
            <w:shd w:val="clear" w:color="auto" w:fill="CCEEFF"/>
          </w:tcPr>
          <w:p>
            <w:pPr>
              <w:jc w:val="center"/>
              <w:ind w:right="240"/>
              <w:spacing w:after="0"/>
              <w:rPr>
                <w:sz w:val="20"/>
                <w:szCs w:val="20"/>
                <w:color w:val="auto"/>
              </w:rPr>
            </w:pPr>
            <w:r>
              <w:rPr>
                <w:rFonts w:ascii="Arial" w:cs="Arial" w:eastAsia="Arial" w:hAnsi="Arial"/>
                <w:sz w:val="18"/>
                <w:szCs w:val="18"/>
                <w:color w:val="auto"/>
                <w:w w:val="84"/>
              </w:rPr>
              <w:t>3 years</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700</w:t>
            </w:r>
          </w:p>
        </w:tc>
        <w:tc>
          <w:tcPr>
            <w:tcW w:w="10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(697)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700</w:t>
            </w:r>
          </w:p>
        </w:tc>
        <w:tc>
          <w:tcPr>
            <w:tcW w:w="11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(629)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80" w:type="dxa"/>
            <w:vAlign w:val="bottom"/>
            <w:gridSpan w:val="2"/>
          </w:tcPr>
          <w:p>
            <w:pPr>
              <w:spacing w:after="0"/>
              <w:rPr>
                <w:sz w:val="20"/>
                <w:szCs w:val="20"/>
                <w:color w:val="auto"/>
              </w:rPr>
            </w:pPr>
            <w:r>
              <w:rPr>
                <w:rFonts w:ascii="Arial" w:cs="Arial" w:eastAsia="Arial" w:hAnsi="Arial"/>
                <w:sz w:val="18"/>
                <w:szCs w:val="18"/>
                <w:color w:val="auto"/>
              </w:rPr>
              <w:t>In-process research and development</w:t>
            </w:r>
          </w:p>
        </w:tc>
        <w:tc>
          <w:tcPr>
            <w:tcW w:w="720" w:type="dxa"/>
            <w:vAlign w:val="bottom"/>
          </w:tcPr>
          <w:p>
            <w:pPr>
              <w:jc w:val="center"/>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9,700</w:t>
            </w:r>
          </w:p>
        </w:tc>
        <w:tc>
          <w:tcPr>
            <w:tcW w:w="100" w:type="dxa"/>
            <w:vAlign w:val="bottom"/>
          </w:tcPr>
          <w:p>
            <w:pPr>
              <w:spacing w:after="0"/>
              <w:rPr>
                <w:sz w:val="18"/>
                <w:szCs w:val="18"/>
                <w:color w:val="auto"/>
              </w:rPr>
            </w:pPr>
          </w:p>
        </w:tc>
        <w:tc>
          <w:tcPr>
            <w:tcW w:w="9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9,700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160" w:type="dxa"/>
            <w:vAlign w:val="bottom"/>
          </w:tcPr>
          <w:p>
            <w:pPr>
              <w:spacing w:after="0"/>
              <w:rPr>
                <w:sz w:val="2"/>
                <w:szCs w:val="2"/>
                <w:color w:val="auto"/>
              </w:rPr>
            </w:pPr>
          </w:p>
        </w:tc>
        <w:tc>
          <w:tcPr>
            <w:tcW w:w="3520" w:type="dxa"/>
            <w:vAlign w:val="bottom"/>
          </w:tcPr>
          <w:p>
            <w:pPr>
              <w:spacing w:after="0"/>
              <w:rPr>
                <w:sz w:val="2"/>
                <w:szCs w:val="2"/>
                <w:color w:val="auto"/>
              </w:rPr>
            </w:pPr>
          </w:p>
        </w:tc>
        <w:tc>
          <w:tcPr>
            <w:tcW w:w="72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Total intangible assets, net</w:t>
            </w: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4"/>
              </w:rPr>
              <w:t>1,129,140</w:t>
            </w:r>
          </w:p>
        </w:tc>
        <w:tc>
          <w:tcPr>
            <w:tcW w:w="10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9"/>
              </w:rPr>
              <w:t>$ (976,260)</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152,880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4"/>
              </w:rPr>
              <w:t>1,111,640</w:t>
            </w:r>
          </w:p>
        </w:tc>
        <w:tc>
          <w:tcPr>
            <w:tcW w:w="11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 (932,539)</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179,101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16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1160" w:type="dxa"/>
            <w:vAlign w:val="bottom"/>
            <w:tcBorders>
              <w:bottom w:val="single" w:sz="8" w:color="auto"/>
            </w:tcBorders>
          </w:tcPr>
          <w:p>
            <w:pPr>
              <w:spacing w:after="0"/>
              <w:rPr>
                <w:sz w:val="8"/>
                <w:szCs w:val="8"/>
                <w:color w:val="auto"/>
              </w:rPr>
            </w:pPr>
          </w:p>
        </w:tc>
        <w:tc>
          <w:tcPr>
            <w:tcW w:w="3520" w:type="dxa"/>
            <w:vAlign w:val="bottom"/>
          </w:tcPr>
          <w:p>
            <w:pPr>
              <w:spacing w:after="0"/>
              <w:rPr>
                <w:sz w:val="8"/>
                <w:szCs w:val="8"/>
                <w:color w:val="auto"/>
              </w:rPr>
            </w:pPr>
          </w:p>
        </w:tc>
        <w:tc>
          <w:tcPr>
            <w:tcW w:w="7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7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220" w:right="220" w:hanging="212"/>
        <w:spacing w:after="0" w:line="268"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the project, the related in-process research and development (“IPR&amp;D”) assets will be amortized over its estimated useful life. If any of the projects are abandoned, the Company will be required to impair the related IPR&amp;D asset.</w:t>
      </w:r>
    </w:p>
    <w:p>
      <w:pPr>
        <w:spacing w:after="0" w:line="132"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Based on the identified intangible assets recorded at July 31, 2010, the future amortization expense of identified intangibles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38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jc w:val="right"/>
              <w:ind w:right="35"/>
              <w:spacing w:after="0"/>
              <w:rPr>
                <w:sz w:val="20"/>
                <w:szCs w:val="20"/>
                <w:color w:val="auto"/>
              </w:rPr>
            </w:pPr>
            <w:r>
              <w:rPr>
                <w:rFonts w:ascii="Arial" w:cs="Arial" w:eastAsia="Arial" w:hAnsi="Arial"/>
                <w:sz w:val="14"/>
                <w:szCs w:val="14"/>
                <w:b w:val="1"/>
                <w:bCs w:val="1"/>
                <w:color w:val="auto"/>
                <w:w w:val="86"/>
              </w:rPr>
              <w:t>Amount</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Reminder of fiscal 2011</w:t>
            </w: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2012</w:t>
            </w:r>
          </w:p>
        </w:tc>
        <w:tc>
          <w:tcPr>
            <w:tcW w:w="3720" w:type="dxa"/>
            <w:vAlign w:val="bottom"/>
          </w:tcPr>
          <w:p>
            <w:pPr>
              <w:spacing w:after="0"/>
              <w:rPr>
                <w:sz w:val="18"/>
                <w:szCs w:val="18"/>
                <w:color w:val="auto"/>
              </w:rPr>
            </w:pPr>
          </w:p>
        </w:tc>
        <w:tc>
          <w:tcPr>
            <w:tcW w:w="2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44,099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2013</w:t>
            </w:r>
          </w:p>
        </w:tc>
        <w:tc>
          <w:tcPr>
            <w:tcW w:w="3720" w:type="dxa"/>
            <w:vAlign w:val="bottom"/>
            <w:shd w:val="clear" w:color="auto" w:fill="CCEEFF"/>
          </w:tcPr>
          <w:p>
            <w:pPr>
              <w:spacing w:after="0"/>
              <w:rPr>
                <w:sz w:val="18"/>
                <w:szCs w:val="18"/>
                <w:color w:val="auto"/>
              </w:rPr>
            </w:pPr>
          </w:p>
        </w:tc>
        <w:tc>
          <w:tcPr>
            <w:tcW w:w="2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2014</w:t>
            </w:r>
          </w:p>
        </w:tc>
        <w:tc>
          <w:tcPr>
            <w:tcW w:w="3720" w:type="dxa"/>
            <w:vAlign w:val="bottom"/>
          </w:tcPr>
          <w:p>
            <w:pPr>
              <w:spacing w:after="0"/>
              <w:rPr>
                <w:sz w:val="18"/>
                <w:szCs w:val="18"/>
                <w:color w:val="auto"/>
              </w:rPr>
            </w:pPr>
          </w:p>
        </w:tc>
        <w:tc>
          <w:tcPr>
            <w:tcW w:w="27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23,592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3720" w:type="dxa"/>
            <w:vAlign w:val="bottom"/>
            <w:shd w:val="clear" w:color="auto" w:fill="CCEEFF"/>
          </w:tcPr>
          <w:p>
            <w:pPr>
              <w:spacing w:after="0"/>
              <w:rPr>
                <w:sz w:val="18"/>
                <w:szCs w:val="18"/>
                <w:color w:val="auto"/>
              </w:rPr>
            </w:pPr>
          </w:p>
        </w:tc>
        <w:tc>
          <w:tcPr>
            <w:tcW w:w="27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6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7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720" w:type="dxa"/>
            <w:vAlign w:val="bottom"/>
            <w:shd w:val="clear" w:color="auto" w:fill="CCEEFF"/>
          </w:tcPr>
          <w:p>
            <w:pPr>
              <w:spacing w:after="0"/>
              <w:rPr>
                <w:sz w:val="18"/>
                <w:szCs w:val="18"/>
                <w:color w:val="auto"/>
              </w:rPr>
            </w:pPr>
          </w:p>
        </w:tc>
        <w:tc>
          <w:tcPr>
            <w:tcW w:w="27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143,180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During the three months ended July 31, 2010, the Company purchased the assets of a company engaged in the development of powerline communication for home networking and broadband over powerline applications. Under the purchase method of accounting, the total purchase price was allocated to tangible and intangible assets based on their fair values as of the date of the completion of the purchase. The purchase price was not significant.</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During the three months ended July 31, 2010, as a result of the anticipated sale of one of its facilities, the Company classified the carrying value of the building as held for sale within prepaids and other current assets. This resulted in a charge of $1.1 million to write-down the carrying value to fair value in research and development. In addition, the Company continued to make payments and incur on-going operating expenses from its reserved facilities. During the six months ended July 31, 2010, the Company subleased one its reserved facilities and recorded an adjustment to the restructuring liabilities.</w:t>
      </w:r>
    </w:p>
    <w:p>
      <w:pPr>
        <w:spacing w:after="0" w:line="11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During the three months ended August 1, 2009, the Company continued to implement certain cost reduction measures that included reductions in workforce in all functions of the organization worldwide. As a result, a restructuring charge of $5.0 million consisting of $1.1 million of severance and related employee benefits to the terminated employees, $1.5 million for equipment and other related charges and $2.4 million for additional facilities impairment charges. During the six months ended August 1, 2009, a restructuring charge of $13.3 million consisting of $8.5 million of severance and related employee benefits to the terminated employees, $2.4 million for equipment and other related charges and $2.4 million for additional facilities impairment charges.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an analysis of the components of the restructuring charges and the payments made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660" w:type="dxa"/>
            <w:vAlign w:val="bottom"/>
          </w:tcPr>
          <w:p>
            <w:pPr>
              <w:spacing w:after="0"/>
              <w:rPr>
                <w:sz w:val="14"/>
                <w:szCs w:val="14"/>
                <w:color w:val="auto"/>
              </w:rPr>
            </w:pPr>
          </w:p>
        </w:tc>
        <w:tc>
          <w:tcPr>
            <w:tcW w:w="186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w w:val="99"/>
              </w:rPr>
              <w:t>Three Months Ended</w:t>
            </w:r>
          </w:p>
        </w:tc>
        <w:tc>
          <w:tcPr>
            <w:tcW w:w="200" w:type="dxa"/>
            <w:vAlign w:val="bottom"/>
          </w:tcPr>
          <w:p>
            <w:pPr>
              <w:spacing w:after="0"/>
              <w:rPr>
                <w:sz w:val="14"/>
                <w:szCs w:val="14"/>
                <w:color w:val="auto"/>
              </w:rPr>
            </w:pPr>
          </w:p>
        </w:tc>
        <w:tc>
          <w:tcPr>
            <w:tcW w:w="178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rPr>
              <w:t>Six Months Ended</w:t>
            </w:r>
          </w:p>
        </w:tc>
      </w:tr>
      <w:tr>
        <w:trPr>
          <w:trHeight w:val="129"/>
        </w:trPr>
        <w:tc>
          <w:tcPr>
            <w:tcW w:w="6660" w:type="dxa"/>
            <w:vAlign w:val="bottom"/>
          </w:tcPr>
          <w:p>
            <w:pPr>
              <w:spacing w:after="0"/>
              <w:rPr>
                <w:sz w:val="11"/>
                <w:szCs w:val="11"/>
                <w:color w:val="auto"/>
              </w:rPr>
            </w:pPr>
          </w:p>
        </w:tc>
        <w:tc>
          <w:tcPr>
            <w:tcW w:w="82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93"/>
              </w:rPr>
              <w:t>July 31,</w:t>
            </w:r>
          </w:p>
        </w:tc>
        <w:tc>
          <w:tcPr>
            <w:tcW w:w="2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2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93"/>
              </w:rPr>
              <w:t>July 31,</w:t>
            </w:r>
          </w:p>
        </w:tc>
        <w:tc>
          <w:tcPr>
            <w:tcW w:w="2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August 1,</w:t>
            </w:r>
          </w:p>
        </w:tc>
        <w:tc>
          <w:tcPr>
            <w:tcW w:w="100" w:type="dxa"/>
            <w:vAlign w:val="bottom"/>
          </w:tcPr>
          <w:p>
            <w:pPr>
              <w:spacing w:after="0"/>
              <w:rPr>
                <w:sz w:val="11"/>
                <w:szCs w:val="11"/>
                <w:color w:val="auto"/>
              </w:rPr>
            </w:pPr>
          </w:p>
        </w:tc>
      </w:tr>
      <w:tr>
        <w:trPr>
          <w:trHeight w:val="161"/>
        </w:trPr>
        <w:tc>
          <w:tcPr>
            <w:tcW w:w="6660" w:type="dxa"/>
            <w:vAlign w:val="bottom"/>
          </w:tcPr>
          <w:p>
            <w:pPr>
              <w:spacing w:after="0"/>
              <w:rPr>
                <w:sz w:val="14"/>
                <w:szCs w:val="14"/>
                <w:color w:val="auto"/>
              </w:rPr>
            </w:pPr>
          </w:p>
        </w:tc>
        <w:tc>
          <w:tcPr>
            <w:tcW w:w="56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Borders>
              <w:bottom w:val="single" w:sz="8" w:color="auto"/>
            </w:tcBorders>
          </w:tcPr>
          <w:p>
            <w:pPr>
              <w:jc w:val="right"/>
              <w:ind w:right="66"/>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60" w:type="dxa"/>
            <w:vAlign w:val="bottom"/>
            <w:tcBorders>
              <w:bottom w:val="single" w:sz="8" w:color="auto"/>
            </w:tcBorders>
          </w:tcPr>
          <w:p>
            <w:pPr>
              <w:jc w:val="right"/>
              <w:ind w:right="64"/>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r>
      <w:tr>
        <w:trPr>
          <w:trHeight w:val="210"/>
        </w:trPr>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beginning of period</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$ 4,964</w:t>
            </w:r>
          </w:p>
        </w:tc>
        <w:tc>
          <w:tcPr>
            <w:tcW w:w="2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$ 7,367</w:t>
            </w:r>
          </w:p>
        </w:tc>
        <w:tc>
          <w:tcPr>
            <w:tcW w:w="2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$ 5,397</w:t>
            </w:r>
          </w:p>
        </w:tc>
        <w:tc>
          <w:tcPr>
            <w:tcW w:w="26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7,685</w:t>
            </w:r>
          </w:p>
        </w:tc>
      </w:tr>
      <w:tr>
        <w:trPr>
          <w:trHeight w:val="216"/>
        </w:trPr>
        <w:tc>
          <w:tcPr>
            <w:tcW w:w="6660" w:type="dxa"/>
            <w:vAlign w:val="bottom"/>
          </w:tcPr>
          <w:p>
            <w:pPr>
              <w:ind w:left="440"/>
              <w:spacing w:after="0"/>
              <w:rPr>
                <w:sz w:val="20"/>
                <w:szCs w:val="20"/>
                <w:color w:val="auto"/>
              </w:rPr>
            </w:pPr>
            <w:r>
              <w:rPr>
                <w:rFonts w:ascii="Arial" w:cs="Arial" w:eastAsia="Arial" w:hAnsi="Arial"/>
                <w:sz w:val="18"/>
                <w:szCs w:val="18"/>
                <w:color w:val="auto"/>
              </w:rPr>
              <w:t>Equipment and other related charges</w:t>
            </w:r>
          </w:p>
        </w:tc>
        <w:tc>
          <w:tcPr>
            <w:tcW w:w="560" w:type="dxa"/>
            <w:vAlign w:val="bottom"/>
          </w:tcPr>
          <w:p>
            <w:pPr>
              <w:jc w:val="right"/>
              <w:spacing w:after="0"/>
              <w:rPr>
                <w:sz w:val="20"/>
                <w:szCs w:val="20"/>
                <w:color w:val="auto"/>
              </w:rPr>
            </w:pPr>
            <w:r>
              <w:rPr>
                <w:rFonts w:ascii="Arial" w:cs="Arial" w:eastAsia="Arial" w:hAnsi="Arial"/>
                <w:sz w:val="18"/>
                <w:szCs w:val="18"/>
                <w:color w:val="auto"/>
              </w:rPr>
              <w:t>520</w:t>
            </w:r>
          </w:p>
        </w:tc>
        <w:tc>
          <w:tcPr>
            <w:tcW w:w="26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1,516</w:t>
            </w:r>
          </w:p>
        </w:tc>
        <w:tc>
          <w:tcPr>
            <w:tcW w:w="28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888</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00"/>
              <w:spacing w:after="0"/>
              <w:rPr>
                <w:sz w:val="20"/>
                <w:szCs w:val="20"/>
                <w:color w:val="auto"/>
              </w:rPr>
            </w:pPr>
            <w:r>
              <w:rPr>
                <w:rFonts w:ascii="Arial" w:cs="Arial" w:eastAsia="Arial" w:hAnsi="Arial"/>
                <w:sz w:val="18"/>
                <w:szCs w:val="18"/>
                <w:color w:val="auto"/>
              </w:rPr>
              <w:t>2,432</w:t>
            </w:r>
          </w:p>
        </w:tc>
      </w:tr>
      <w:tr>
        <w:trPr>
          <w:trHeight w:val="216"/>
        </w:trPr>
        <w:tc>
          <w:tcPr>
            <w:tcW w:w="66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and related charges</w:t>
            </w:r>
          </w:p>
        </w:tc>
        <w:tc>
          <w:tcPr>
            <w:tcW w:w="82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1,104</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8,524</w:t>
            </w:r>
          </w:p>
        </w:tc>
      </w:tr>
      <w:tr>
        <w:trPr>
          <w:trHeight w:val="216"/>
        </w:trPr>
        <w:tc>
          <w:tcPr>
            <w:tcW w:w="6660" w:type="dxa"/>
            <w:vAlign w:val="bottom"/>
          </w:tcPr>
          <w:p>
            <w:pPr>
              <w:ind w:left="440"/>
              <w:spacing w:after="0"/>
              <w:rPr>
                <w:sz w:val="20"/>
                <w:szCs w:val="20"/>
                <w:color w:val="auto"/>
              </w:rPr>
            </w:pPr>
            <w:r>
              <w:rPr>
                <w:rFonts w:ascii="Arial" w:cs="Arial" w:eastAsia="Arial" w:hAnsi="Arial"/>
                <w:sz w:val="18"/>
                <w:szCs w:val="18"/>
                <w:color w:val="auto"/>
              </w:rPr>
              <w:t>Facilities and related charges</w:t>
            </w:r>
          </w:p>
        </w:tc>
        <w:tc>
          <w:tcPr>
            <w:tcW w:w="560" w:type="dxa"/>
            <w:vAlign w:val="bottom"/>
          </w:tcPr>
          <w:p>
            <w:pPr>
              <w:jc w:val="right"/>
              <w:spacing w:after="0"/>
              <w:rPr>
                <w:sz w:val="20"/>
                <w:szCs w:val="20"/>
                <w:color w:val="auto"/>
              </w:rPr>
            </w:pPr>
            <w:r>
              <w:rPr>
                <w:rFonts w:ascii="Arial" w:cs="Arial" w:eastAsia="Arial" w:hAnsi="Arial"/>
                <w:sz w:val="18"/>
                <w:szCs w:val="18"/>
                <w:color w:val="auto"/>
              </w:rPr>
              <w:t>1,140</w:t>
            </w:r>
          </w:p>
        </w:tc>
        <w:tc>
          <w:tcPr>
            <w:tcW w:w="26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2,336</w:t>
            </w:r>
          </w:p>
        </w:tc>
        <w:tc>
          <w:tcPr>
            <w:tcW w:w="280" w:type="dxa"/>
            <w:vAlign w:val="bottom"/>
          </w:tcPr>
          <w:p>
            <w:pPr>
              <w:spacing w:after="0"/>
              <w:rPr>
                <w:sz w:val="18"/>
                <w:szCs w:val="18"/>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1,140</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100"/>
              <w:spacing w:after="0"/>
              <w:rPr>
                <w:sz w:val="20"/>
                <w:szCs w:val="20"/>
                <w:color w:val="auto"/>
              </w:rPr>
            </w:pPr>
            <w:r>
              <w:rPr>
                <w:rFonts w:ascii="Arial" w:cs="Arial" w:eastAsia="Arial" w:hAnsi="Arial"/>
                <w:sz w:val="18"/>
                <w:szCs w:val="18"/>
                <w:color w:val="auto"/>
              </w:rPr>
              <w:t>2,336</w:t>
            </w:r>
          </w:p>
        </w:tc>
      </w:tr>
      <w:tr>
        <w:trPr>
          <w:trHeight w:val="216"/>
        </w:trPr>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Non-cash adjustment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(1,140)</w:t>
            </w:r>
          </w:p>
        </w:tc>
        <w:tc>
          <w:tcPr>
            <w:tcW w:w="104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(239)</w:t>
            </w:r>
          </w:p>
        </w:tc>
        <w:tc>
          <w:tcPr>
            <w:tcW w:w="10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(1,140)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(239)</w:t>
            </w:r>
          </w:p>
        </w:tc>
      </w:tr>
      <w:tr>
        <w:trPr>
          <w:trHeight w:val="216"/>
        </w:trPr>
        <w:tc>
          <w:tcPr>
            <w:tcW w:w="6660" w:type="dxa"/>
            <w:vAlign w:val="bottom"/>
          </w:tcPr>
          <w:p>
            <w:pPr>
              <w:spacing w:after="0"/>
              <w:rPr>
                <w:sz w:val="20"/>
                <w:szCs w:val="20"/>
                <w:color w:val="auto"/>
              </w:rPr>
            </w:pPr>
            <w:r>
              <w:rPr>
                <w:rFonts w:ascii="Arial" w:cs="Arial" w:eastAsia="Arial" w:hAnsi="Arial"/>
                <w:sz w:val="18"/>
                <w:szCs w:val="18"/>
                <w:color w:val="auto"/>
              </w:rPr>
              <w:t>Net cash payments</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(642)</w:t>
            </w:r>
          </w:p>
        </w:tc>
        <w:tc>
          <w:tcPr>
            <w:tcW w:w="1040" w:type="dxa"/>
            <w:vAlign w:val="bottom"/>
            <w:gridSpan w:val="3"/>
          </w:tcPr>
          <w:p>
            <w:pPr>
              <w:jc w:val="right"/>
              <w:ind w:right="220"/>
              <w:spacing w:after="0"/>
              <w:rPr>
                <w:sz w:val="20"/>
                <w:szCs w:val="20"/>
                <w:color w:val="auto"/>
              </w:rPr>
            </w:pPr>
            <w:r>
              <w:rPr>
                <w:rFonts w:ascii="Arial" w:cs="Arial" w:eastAsia="Arial" w:hAnsi="Arial"/>
                <w:sz w:val="18"/>
                <w:szCs w:val="18"/>
                <w:color w:val="auto"/>
              </w:rPr>
              <w:t>(6,850)</w:t>
            </w:r>
          </w:p>
        </w:tc>
        <w:tc>
          <w:tcPr>
            <w:tcW w:w="1020" w:type="dxa"/>
            <w:vAlign w:val="bottom"/>
            <w:gridSpan w:val="3"/>
          </w:tcPr>
          <w:p>
            <w:pPr>
              <w:jc w:val="right"/>
              <w:ind w:right="200"/>
              <w:spacing w:after="0"/>
              <w:rPr>
                <w:sz w:val="20"/>
                <w:szCs w:val="20"/>
                <w:color w:val="auto"/>
              </w:rPr>
            </w:pPr>
            <w:r>
              <w:rPr>
                <w:rFonts w:ascii="Arial" w:cs="Arial" w:eastAsia="Arial" w:hAnsi="Arial"/>
                <w:sz w:val="18"/>
                <w:szCs w:val="18"/>
                <w:color w:val="auto"/>
              </w:rPr>
              <w:t>(1,661)</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w w:val="89"/>
              </w:rPr>
              <w:t>(15,504)</w:t>
            </w:r>
          </w:p>
        </w:tc>
      </w:tr>
      <w:tr>
        <w:trPr>
          <w:trHeight w:val="216"/>
        </w:trPr>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previous assumptions</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ind w:right="6"/>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218</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r>
      <w:tr>
        <w:trPr>
          <w:trHeight w:val="222"/>
        </w:trPr>
        <w:tc>
          <w:tcPr>
            <w:tcW w:w="6660" w:type="dxa"/>
            <w:vAlign w:val="bottom"/>
          </w:tcPr>
          <w:p>
            <w:pPr>
              <w:spacing w:after="0"/>
              <w:rPr>
                <w:sz w:val="20"/>
                <w:szCs w:val="20"/>
                <w:color w:val="auto"/>
              </w:rPr>
            </w:pPr>
            <w:r>
              <w:rPr>
                <w:rFonts w:ascii="Arial" w:cs="Arial" w:eastAsia="Arial" w:hAnsi="Arial"/>
                <w:sz w:val="18"/>
                <w:szCs w:val="18"/>
                <w:color w:val="auto"/>
              </w:rPr>
              <w:t>Restructuring liabilities, end of period</w:t>
            </w:r>
          </w:p>
        </w:tc>
        <w:tc>
          <w:tcPr>
            <w:tcW w:w="560" w:type="dxa"/>
            <w:vAlign w:val="bottom"/>
          </w:tcPr>
          <w:p>
            <w:pPr>
              <w:jc w:val="right"/>
              <w:spacing w:after="0"/>
              <w:rPr>
                <w:sz w:val="20"/>
                <w:szCs w:val="20"/>
                <w:color w:val="auto"/>
              </w:rPr>
            </w:pPr>
            <w:r>
              <w:rPr>
                <w:rFonts w:ascii="Arial" w:cs="Arial" w:eastAsia="Arial" w:hAnsi="Arial"/>
                <w:sz w:val="18"/>
                <w:szCs w:val="18"/>
                <w:color w:val="auto"/>
                <w:w w:val="89"/>
              </w:rPr>
              <w:t>$ 4,842</w:t>
            </w:r>
          </w:p>
        </w:tc>
        <w:tc>
          <w:tcPr>
            <w:tcW w:w="260" w:type="dxa"/>
            <w:vAlign w:val="bottom"/>
          </w:tcPr>
          <w:p>
            <w:pPr>
              <w:spacing w:after="0"/>
              <w:rPr>
                <w:sz w:val="19"/>
                <w:szCs w:val="19"/>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$ 5,234</w:t>
            </w:r>
          </w:p>
        </w:tc>
        <w:tc>
          <w:tcPr>
            <w:tcW w:w="280" w:type="dxa"/>
            <w:vAlign w:val="bottom"/>
          </w:tcPr>
          <w:p>
            <w:pPr>
              <w:spacing w:after="0"/>
              <w:rPr>
                <w:sz w:val="19"/>
                <w:szCs w:val="19"/>
                <w:color w:val="auto"/>
              </w:rPr>
            </w:pP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$ 4,842</w:t>
            </w:r>
          </w:p>
        </w:tc>
        <w:tc>
          <w:tcPr>
            <w:tcW w:w="260" w:type="dxa"/>
            <w:vAlign w:val="bottom"/>
          </w:tcPr>
          <w:p>
            <w:pPr>
              <w:spacing w:after="0"/>
              <w:rPr>
                <w:sz w:val="19"/>
                <w:szCs w:val="19"/>
                <w:color w:val="auto"/>
              </w:rPr>
            </w:pP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100"/>
              <w:spacing w:after="0"/>
              <w:rPr>
                <w:sz w:val="20"/>
                <w:szCs w:val="20"/>
                <w:color w:val="auto"/>
              </w:rPr>
            </w:pPr>
            <w:r>
              <w:rPr>
                <w:rFonts w:ascii="Arial" w:cs="Arial" w:eastAsia="Arial" w:hAnsi="Arial"/>
                <w:sz w:val="18"/>
                <w:szCs w:val="18"/>
                <w:color w:val="auto"/>
              </w:rPr>
              <w:t>5,234</w:t>
            </w:r>
          </w:p>
        </w:tc>
      </w:tr>
      <w:tr>
        <w:trPr>
          <w:trHeight w:val="20"/>
        </w:trPr>
        <w:tc>
          <w:tcPr>
            <w:tcW w:w="66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7360" w:type="dxa"/>
            <w:vAlign w:val="bottom"/>
          </w:tcPr>
          <w:p>
            <w:pPr>
              <w:spacing w:after="0"/>
              <w:rPr>
                <w:sz w:val="14"/>
                <w:szCs w:val="14"/>
                <w:color w:val="auto"/>
              </w:rPr>
            </w:pPr>
          </w:p>
        </w:tc>
        <w:tc>
          <w:tcPr>
            <w:tcW w:w="1620" w:type="dxa"/>
            <w:vAlign w:val="bottom"/>
            <w:gridSpan w:val="5"/>
          </w:tcPr>
          <w:p>
            <w:pPr>
              <w:jc w:val="right"/>
              <w:ind w:right="260"/>
              <w:spacing w:after="0"/>
              <w:rPr>
                <w:sz w:val="20"/>
                <w:szCs w:val="20"/>
                <w:color w:val="auto"/>
              </w:rPr>
            </w:pPr>
            <w:r>
              <w:rPr>
                <w:rFonts w:ascii="Arial" w:cs="Arial" w:eastAsia="Arial" w:hAnsi="Arial"/>
                <w:sz w:val="14"/>
                <w:szCs w:val="14"/>
                <w:b w:val="1"/>
                <w:bCs w:val="1"/>
                <w:color w:val="auto"/>
                <w:w w:val="96"/>
              </w:rPr>
              <w:t>Three Months Ended</w:t>
            </w:r>
          </w:p>
        </w:tc>
        <w:tc>
          <w:tcPr>
            <w:tcW w:w="140" w:type="dxa"/>
            <w:vAlign w:val="bottom"/>
          </w:tcPr>
          <w:p>
            <w:pPr>
              <w:spacing w:after="0"/>
              <w:rPr>
                <w:sz w:val="14"/>
                <w:szCs w:val="14"/>
                <w:color w:val="auto"/>
              </w:rPr>
            </w:pPr>
          </w:p>
        </w:tc>
        <w:tc>
          <w:tcPr>
            <w:tcW w:w="1400" w:type="dxa"/>
            <w:vAlign w:val="bottom"/>
            <w:gridSpan w:val="6"/>
          </w:tcPr>
          <w:p>
            <w:pPr>
              <w:jc w:val="right"/>
              <w:ind w:right="180"/>
              <w:spacing w:after="0"/>
              <w:rPr>
                <w:sz w:val="20"/>
                <w:szCs w:val="20"/>
                <w:color w:val="auto"/>
              </w:rPr>
            </w:pPr>
            <w:r>
              <w:rPr>
                <w:rFonts w:ascii="Arial" w:cs="Arial" w:eastAsia="Arial" w:hAnsi="Arial"/>
                <w:sz w:val="14"/>
                <w:szCs w:val="14"/>
                <w:b w:val="1"/>
                <w:bCs w:val="1"/>
                <w:color w:val="auto"/>
                <w:w w:val="98"/>
              </w:rPr>
              <w:t>Six Months Ended</w:t>
            </w:r>
          </w:p>
        </w:tc>
      </w:tr>
      <w:tr>
        <w:trPr>
          <w:trHeight w:val="129"/>
        </w:trPr>
        <w:tc>
          <w:tcPr>
            <w:tcW w:w="7360" w:type="dxa"/>
            <w:vAlign w:val="bottom"/>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July 31,</w:t>
            </w:r>
          </w:p>
        </w:tc>
        <w:tc>
          <w:tcPr>
            <w:tcW w:w="3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7"/>
              </w:rPr>
              <w:t>August 1,</w:t>
            </w: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Borders>
              <w:top w:val="single" w:sz="8" w:color="auto"/>
            </w:tcBorders>
            <w:gridSpan w:val="2"/>
          </w:tcPr>
          <w:p>
            <w:pPr>
              <w:jc w:val="right"/>
              <w:ind w:right="180"/>
              <w:spacing w:after="0" w:line="129" w:lineRule="exact"/>
              <w:rPr>
                <w:sz w:val="20"/>
                <w:szCs w:val="20"/>
                <w:color w:val="auto"/>
              </w:rPr>
            </w:pPr>
            <w:r>
              <w:rPr>
                <w:rFonts w:ascii="Arial" w:cs="Arial" w:eastAsia="Arial" w:hAnsi="Arial"/>
                <w:sz w:val="14"/>
                <w:szCs w:val="14"/>
                <w:b w:val="1"/>
                <w:bCs w:val="1"/>
                <w:color w:val="auto"/>
                <w:w w:val="89"/>
              </w:rPr>
              <w:t>July 31,</w:t>
            </w:r>
          </w:p>
        </w:tc>
        <w:tc>
          <w:tcPr>
            <w:tcW w:w="14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20" w:type="dxa"/>
            <w:vAlign w:val="bottom"/>
          </w:tcPr>
          <w:p>
            <w:pPr>
              <w:spacing w:after="0"/>
              <w:rPr>
                <w:sz w:val="11"/>
                <w:szCs w:val="11"/>
                <w:color w:val="auto"/>
              </w:rPr>
            </w:pPr>
          </w:p>
        </w:tc>
      </w:tr>
      <w:tr>
        <w:trPr>
          <w:trHeight w:val="161"/>
        </w:trPr>
        <w:tc>
          <w:tcPr>
            <w:tcW w:w="7360" w:type="dxa"/>
            <w:vAlign w:val="bottom"/>
          </w:tcPr>
          <w:p>
            <w:pPr>
              <w:spacing w:after="0"/>
              <w:rPr>
                <w:sz w:val="14"/>
                <w:szCs w:val="14"/>
                <w:color w:val="auto"/>
              </w:rPr>
            </w:pPr>
          </w:p>
        </w:tc>
        <w:tc>
          <w:tcPr>
            <w:tcW w:w="540" w:type="dxa"/>
            <w:vAlign w:val="bottom"/>
            <w:tcBorders>
              <w:bottom w:val="single" w:sz="8" w:color="auto"/>
            </w:tcBorders>
          </w:tcPr>
          <w:p>
            <w:pPr>
              <w:jc w:val="right"/>
              <w:ind w:right="41"/>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2009</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Borders>
              <w:bottom w:val="single" w:sz="8" w:color="auto"/>
            </w:tcBorders>
          </w:tcPr>
          <w:p>
            <w:pPr>
              <w:jc w:val="right"/>
              <w:ind w:right="47"/>
              <w:spacing w:after="0"/>
              <w:rPr>
                <w:sz w:val="20"/>
                <w:szCs w:val="20"/>
                <w:color w:val="auto"/>
              </w:rPr>
            </w:pPr>
            <w:r>
              <w:rPr>
                <w:rFonts w:ascii="Arial" w:cs="Arial" w:eastAsia="Arial" w:hAnsi="Arial"/>
                <w:sz w:val="14"/>
                <w:szCs w:val="14"/>
                <w:b w:val="1"/>
                <w:bCs w:val="1"/>
                <w:color w:val="auto"/>
              </w:rPr>
              <w:t>2010</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2009</w:t>
            </w:r>
          </w:p>
        </w:tc>
        <w:tc>
          <w:tcPr>
            <w:tcW w:w="20" w:type="dxa"/>
            <w:vAlign w:val="bottom"/>
          </w:tcPr>
          <w:p>
            <w:pPr>
              <w:spacing w:after="0"/>
              <w:rPr>
                <w:sz w:val="14"/>
                <w:szCs w:val="14"/>
                <w:color w:val="auto"/>
              </w:rPr>
            </w:pPr>
          </w:p>
        </w:tc>
      </w:tr>
      <w:tr>
        <w:trPr>
          <w:trHeight w:val="210"/>
        </w:trPr>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$ 1,370</w:t>
            </w: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3,526</w:t>
            </w:r>
          </w:p>
        </w:tc>
        <w:tc>
          <w:tcPr>
            <w:tcW w:w="8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$1,499</w:t>
            </w:r>
          </w:p>
        </w:tc>
        <w:tc>
          <w:tcPr>
            <w:tcW w:w="2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9,366</w:t>
            </w:r>
          </w:p>
        </w:tc>
        <w:tc>
          <w:tcPr>
            <w:tcW w:w="20" w:type="dxa"/>
            <w:vAlign w:val="bottom"/>
          </w:tcPr>
          <w:p>
            <w:pPr>
              <w:spacing w:after="0"/>
              <w:rPr>
                <w:sz w:val="18"/>
                <w:szCs w:val="18"/>
                <w:color w:val="auto"/>
              </w:rPr>
            </w:pPr>
          </w:p>
        </w:tc>
      </w:tr>
      <w:tr>
        <w:trPr>
          <w:trHeight w:val="216"/>
        </w:trPr>
        <w:tc>
          <w:tcPr>
            <w:tcW w:w="7360" w:type="dxa"/>
            <w:vAlign w:val="bottom"/>
          </w:tcPr>
          <w:p>
            <w:pPr>
              <w:spacing w:after="0"/>
              <w:rPr>
                <w:sz w:val="20"/>
                <w:szCs w:val="20"/>
                <w:color w:val="auto"/>
              </w:rPr>
            </w:pPr>
            <w:r>
              <w:rPr>
                <w:rFonts w:ascii="Arial" w:cs="Arial" w:eastAsia="Arial" w:hAnsi="Arial"/>
                <w:sz w:val="18"/>
                <w:szCs w:val="18"/>
                <w:color w:val="auto"/>
              </w:rPr>
              <w:t>Selling and marketing</w:t>
            </w:r>
          </w:p>
        </w:tc>
        <w:tc>
          <w:tcPr>
            <w:tcW w:w="540" w:type="dxa"/>
            <w:vAlign w:val="bottom"/>
          </w:tcPr>
          <w:p>
            <w:pPr>
              <w:jc w:val="right"/>
              <w:ind w:right="1"/>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rPr>
              <w:t>524</w:t>
            </w:r>
          </w:p>
        </w:tc>
        <w:tc>
          <w:tcPr>
            <w:tcW w:w="140" w:type="dxa"/>
            <w:vAlign w:val="bottom"/>
          </w:tcPr>
          <w:p>
            <w:pPr>
              <w:spacing w:after="0"/>
              <w:rPr>
                <w:sz w:val="18"/>
                <w:szCs w:val="18"/>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1,788</w:t>
            </w:r>
          </w:p>
        </w:tc>
        <w:tc>
          <w:tcPr>
            <w:tcW w:w="20" w:type="dxa"/>
            <w:vAlign w:val="bottom"/>
          </w:tcPr>
          <w:p>
            <w:pPr>
              <w:spacing w:after="0"/>
              <w:rPr>
                <w:sz w:val="18"/>
                <w:szCs w:val="18"/>
                <w:color w:val="auto"/>
              </w:rPr>
            </w:pPr>
          </w:p>
        </w:tc>
      </w:tr>
      <w:tr>
        <w:trPr>
          <w:trHeight w:val="216"/>
        </w:trPr>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906</w:t>
            </w:r>
          </w:p>
        </w:tc>
        <w:tc>
          <w:tcPr>
            <w:tcW w:w="8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747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2,138</w:t>
            </w:r>
          </w:p>
        </w:tc>
        <w:tc>
          <w:tcPr>
            <w:tcW w:w="20" w:type="dxa"/>
            <w:vAlign w:val="bottom"/>
          </w:tcPr>
          <w:p>
            <w:pPr>
              <w:spacing w:after="0"/>
              <w:rPr>
                <w:sz w:val="18"/>
                <w:szCs w:val="18"/>
                <w:color w:val="auto"/>
              </w:rPr>
            </w:pPr>
          </w:p>
        </w:tc>
      </w:tr>
      <w:tr>
        <w:trPr>
          <w:trHeight w:val="20"/>
        </w:trPr>
        <w:tc>
          <w:tcPr>
            <w:tcW w:w="736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22"/>
        </w:trPr>
        <w:tc>
          <w:tcPr>
            <w:tcW w:w="736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86"/>
              </w:rPr>
              <w:t>$ 1,660</w:t>
            </w:r>
          </w:p>
        </w:tc>
        <w:tc>
          <w:tcPr>
            <w:tcW w:w="30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rPr>
              <w:t>4,956</w:t>
            </w:r>
          </w:p>
        </w:tc>
        <w:tc>
          <w:tcPr>
            <w:tcW w:w="800" w:type="dxa"/>
            <w:vAlign w:val="bottom"/>
            <w:gridSpan w:val="3"/>
          </w:tcPr>
          <w:p>
            <w:pPr>
              <w:jc w:val="right"/>
              <w:ind w:right="1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2,246</w:t>
            </w:r>
          </w:p>
        </w:tc>
        <w:tc>
          <w:tcPr>
            <w:tcW w:w="240" w:type="dxa"/>
            <w:vAlign w:val="bottom"/>
            <w:gridSpan w:val="2"/>
          </w:tcPr>
          <w:p>
            <w:pPr>
              <w:ind w:left="140"/>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w w:val="83"/>
              </w:rPr>
              <w:t>13,292</w:t>
            </w:r>
          </w:p>
        </w:tc>
      </w:tr>
      <w:tr>
        <w:trPr>
          <w:trHeight w:val="20"/>
        </w:trPr>
        <w:tc>
          <w:tcPr>
            <w:tcW w:w="736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remaining facility lease charges included in the restructuring liabilities will be paid out through fiscal 2018.</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repayment of all expenses incurred through the date of cancellation. As of July 31, 2010, these foundries had incurred $407.3 million of manufacturing expenses on the Company’s outstanding purchase orders.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IPO Securities Litigation</w:t>
      </w:r>
      <w:r>
        <w:rPr>
          <w:rFonts w:ascii="Arial" w:cs="Arial" w:eastAsia="Arial" w:hAnsi="Arial"/>
          <w:sz w:val="16"/>
          <w:szCs w:val="16"/>
          <w:color w:val="auto"/>
        </w:rPr>
        <w:t>. In 2001, two putative class action lawsuits were filed in the United States District Court for the Southern District of New York</w:t>
      </w:r>
      <w:r>
        <w:rPr>
          <w:rFonts w:ascii="Arial" w:cs="Arial" w:eastAsia="Arial" w:hAnsi="Arial"/>
          <w:sz w:val="16"/>
          <w:szCs w:val="16"/>
          <w:i w:val="1"/>
          <w:iCs w:val="1"/>
          <w:color w:val="auto"/>
        </w:rPr>
        <w:t xml:space="preserve"> </w:t>
      </w:r>
      <w:r>
        <w:rPr>
          <w:rFonts w:ascii="Arial" w:cs="Arial" w:eastAsia="Arial" w:hAnsi="Arial"/>
          <w:sz w:val="16"/>
          <w:szCs w:val="16"/>
          <w:color w:val="auto"/>
        </w:rPr>
        <w:t>concerning certain alleged underwriting practices related to the Company’s initial public offering (the “IPO”) on June 29, 2000. The actions were consolidated and a consolidated complaint was filed, naming as defendants certain investment banks that participated in the IPO, the Company, and two of its officers, one of whom is also a director. Plaintiffs claim that defendants violated certain provisions of the Securities Act of 1933, as amended, and the Securities Exchange Act of 1934, as amended (the “Exchange Act”), by allegedly failing to disclose that the underwriters received “excessive” and undisclosed commissions and entered into unlawful “tie-in” agreements with certain of their clients. The consolidated complaint seeks unspecified damages, interest and fees. In addition, this case has been coordinated with hundreds of other lawsuits filed by plaintiffs against underwriters and issuers for approximately 300 other IPOs. Defendants in the coordinated proceedings moved to dismiss the actions. In February 2003, the trial court granted the motions in part and denied them in part, allowing certain claims to proceed.</w:t>
      </w:r>
    </w:p>
    <w:p>
      <w:pPr>
        <w:spacing w:after="0" w:line="120"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The parties have reached a global settlement of the coordinated litigation. Under the settlement, the insurers will pay the full amount of settlement share allocated to the Company, and the Company will bear no financial liability. The Company, as well as the officer and director defendants who were previously dismissed from the action pursuant to tolling agreements, will receive complete dismissals from the case. On October 5, 2009, the Court issued an order of final approval of the settlement. Certain objectors have filed appeals. If for any reason the settlement does not become effective, the Company believes it has meritorious defenses to the claims against it and intends to defend the action vigorously.</w:t>
      </w:r>
    </w:p>
    <w:p>
      <w:pPr>
        <w:spacing w:after="0" w:line="1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Section 16(b) Litigation</w:t>
      </w:r>
      <w:r>
        <w:rPr>
          <w:rFonts w:ascii="Arial" w:cs="Arial" w:eastAsia="Arial" w:hAnsi="Arial"/>
          <w:sz w:val="16"/>
          <w:szCs w:val="16"/>
          <w:color w:val="auto"/>
        </w:rPr>
        <w:t>. 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w:t>
      </w:r>
    </w:p>
    <w:p>
      <w:pPr>
        <w:ind w:right="120"/>
        <w:spacing w:after="0" w:line="286" w:lineRule="auto"/>
        <w:rPr>
          <w:sz w:val="20"/>
          <w:szCs w:val="20"/>
          <w:color w:val="auto"/>
        </w:rPr>
      </w:pPr>
      <w:r>
        <w:rPr>
          <w:rFonts w:ascii="Arial" w:cs="Arial" w:eastAsia="Arial" w:hAnsi="Arial"/>
          <w:sz w:val="16"/>
          <w:szCs w:val="16"/>
          <w:color w:val="auto"/>
        </w:rPr>
        <w:t>No. C07-1632 filed in District Court for the Western District of Washington, seeks the recovery of short swing profits. The Company is named as a nominal defendant. No recovery is sought from the Company. Numerous similar suits were filed by the same plaintiff against other underwriters relating to other issuers. The underwriter defendants and some of the issuer defendants (excluding the Company) filed a motion to dismiss, and on March 12, 2009, the district court ordered dismissal of all claims against the moving issuer defendants without prejudice. The court also ordered dismissal of all claims against the underwriter defendants with prejudice. On April 10, 2009, the plaintiffs filed their notice of appeal to those dismissal orders. In accordance with the briefing schedule set by the Ninth Circuit Court of Appeals on August 18, 2009, plaintiff filed her opening brief on August 26, 2009. On October 2, 2009, the underwriter defendants/appellees/cross-appellants filed their answering brief, and the moving issuers/appellees filed their principal brief as well. Plaintiff/appellant/cross-appellee filed her response and reply briefs on November 2, 2009. The underwriter defendants/appellees/cross-appellants filed their reply brief on November 17, 2009. Pursuant to an order entered by the Ninth Circuit on August 26, 2010, oral argument in this matter has been scheduled for October 5, 2010. No discovery has taken place.</w:t>
      </w:r>
    </w:p>
    <w:p>
      <w:pPr>
        <w:spacing w:after="0" w:line="124" w:lineRule="exact"/>
        <w:rPr>
          <w:sz w:val="20"/>
          <w:szCs w:val="20"/>
          <w:color w:val="auto"/>
        </w:rPr>
      </w:pPr>
    </w:p>
    <w:p>
      <w:pPr>
        <w:ind w:right="60" w:firstLine="351"/>
        <w:spacing w:after="0" w:line="294"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 alleging</w:t>
      </w:r>
      <w:r>
        <w:rPr>
          <w:rFonts w:ascii="Arial" w:cs="Arial" w:eastAsia="Arial" w:hAnsi="Arial"/>
          <w:sz w:val="16"/>
          <w:szCs w:val="16"/>
          <w:i w:val="1"/>
          <w:iCs w:val="1"/>
          <w:color w:val="auto"/>
        </w:rPr>
        <w:t xml:space="preserve"> </w:t>
      </w:r>
      <w:r>
        <w:rPr>
          <w:rFonts w:ascii="Arial" w:cs="Arial" w:eastAsia="Arial" w:hAnsi="Arial"/>
          <w:sz w:val="16"/>
          <w:szCs w:val="16"/>
          <w:color w:val="auto"/>
        </w:rPr>
        <w:t>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 officers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and a second amended cross complaint was filed in May 2007 adding additional causes of action for declaratory relief against Jasmine. The second amended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 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defeated Jasmine’s demurrer to certain of the causes of action in the cross complaint and Jasmine filed its answer.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21"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 closely than is necessary to determine it is privileged.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(2007) 42 Cal.4</w:t>
      </w:r>
      <w:r>
        <w:rPr>
          <w:rFonts w:ascii="Arial" w:cs="Arial" w:eastAsia="Arial" w:hAnsi="Arial"/>
          <w:sz w:val="10"/>
          <w:szCs w:val="10"/>
          <w:color w:val="auto"/>
        </w:rPr>
        <w:t>th</w:t>
      </w:r>
      <w:r>
        <w:rPr>
          <w:rFonts w:ascii="Arial" w:cs="Arial" w:eastAsia="Arial" w:hAnsi="Arial"/>
          <w:sz w:val="16"/>
          <w:szCs w:val="16"/>
          <w:color w:val="auto"/>
        </w:rPr>
        <w:t xml:space="preserve"> 807. Following its decision in </w:t>
      </w:r>
      <w:r>
        <w:rPr>
          <w:rFonts w:ascii="Arial" w:cs="Arial" w:eastAsia="Arial" w:hAnsi="Arial"/>
          <w:sz w:val="16"/>
          <w:szCs w:val="16"/>
          <w:i w:val="1"/>
          <w:iCs w:val="1"/>
          <w:color w:val="auto"/>
        </w:rPr>
        <w:t>Rico v. Mitsubishi</w:t>
      </w:r>
      <w:r>
        <w:rPr>
          <w:rFonts w:ascii="Arial" w:cs="Arial" w:eastAsia="Arial" w:hAnsi="Arial"/>
          <w:sz w:val="16"/>
          <w:szCs w:val="16"/>
          <w:color w:val="auto"/>
        </w:rPr>
        <w:t>, on April 23, 2008, the California Supreme Court issued an order dismissing the Company’s petition for review. As a result the decision of the Court of Appeal, which remains unpublished, became final.</w:t>
      </w:r>
    </w:p>
    <w:p>
      <w:pPr>
        <w:spacing w:after="0" w:line="12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case then proceeded in the trial court. On January 13, 2009, the Court granted a motion disqualifying the Company’s counsel and the Company engaged new counsel. The trial date was continued from March 2, 2009 to May 4, 2009. The claims against the three Company officers were dropped. The parties engaged in extensive discovery. Motions for summary judgment and/or summary adjudication filed by the parties were heard on February 3, 2009 and were all denied except for Jasmine’s motions directed to the Company’s declaratory judgment claims, which were granted. On June 3, 2009, the Court granted the Company’s motion to dismiss Jasmine’s Second Amended Complaint in its entirety with prejudice, for lack of standing. On December 29, 2009, the Court of Appeal, Sixth Appellate District reversed that dismissal with directions to proceed in the trial court. On February 10, 2010, the California Supreme Court declined to review that decision. In April 2010, the trial court set a new trial date for September 20, 2010.</w:t>
      </w:r>
    </w:p>
    <w:p>
      <w:pPr>
        <w:spacing w:after="0" w:line="118"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i w:val="1"/>
          <w:iCs w:val="1"/>
          <w:color w:val="auto"/>
        </w:rPr>
        <w:t>CSIRO Litigation</w:t>
      </w:r>
      <w:r>
        <w:rPr>
          <w:rFonts w:ascii="Arial" w:cs="Arial" w:eastAsia="Arial" w:hAnsi="Arial"/>
          <w:sz w:val="18"/>
          <w:szCs w:val="18"/>
          <w:color w:val="auto"/>
        </w:rPr>
        <w:t>. Australia’s Commonwealth Scientific and Industrial Research Organisation (“CSIRO”) has been and continues to be involved in several</w:t>
      </w:r>
      <w:r>
        <w:rPr>
          <w:rFonts w:ascii="Arial" w:cs="Arial" w:eastAsia="Arial" w:hAnsi="Arial"/>
          <w:sz w:val="18"/>
          <w:szCs w:val="18"/>
          <w:i w:val="1"/>
          <w:iCs w:val="1"/>
          <w:color w:val="auto"/>
        </w:rPr>
        <w:t xml:space="preserve"> </w:t>
      </w:r>
      <w:r>
        <w:rPr>
          <w:rFonts w:ascii="Arial" w:cs="Arial" w:eastAsia="Arial" w:hAnsi="Arial"/>
          <w:sz w:val="18"/>
          <w:szCs w:val="18"/>
          <w:color w:val="auto"/>
        </w:rPr>
        <w:t>patent litigations in the Eastern District of Texas, in which it has accused a number of wireless LAN system manufacturers, including some of the Company’s customers, of infringing CSIRO’s patent, U.S. Patent No. 5,487,069 (the “069 Patent”). CSIRO’s claims of infringement relate to wireless standards known as IEEE 802.11a, 802.11g and 802.11n. As a result of CSIRO’s claims for patent infringement, a number of the Company’s customers have sought, or may in the future seek, indemnification from the Company. In response to these demands for indemnification, the Company has acknowledged certain of the demands and incurred costs in response to them.</w:t>
      </w:r>
    </w:p>
    <w:p>
      <w:pPr>
        <w:spacing w:after="0" w:line="144"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May 4, 2007, Marvell Semiconductor, Inc., (“MSI”), Marvell Asia Pte., Ltd. (“MAPL”), and Marvell International Ltd. (“MIL”) (collectively, the “Company’s Subsidiaries”) filed an action in the United States District Court for the Eastern District of Texas (the “Marvell CSIRO Litigation”) seeking a declaratory judgment against CSIRO that the ’069 Patent is invalid and unenforceable and that the Company’s Subsidiaries and the Company’s customers do not infringe the ’069 Patent. The complaint also seeks damages and a license that also covers the Company’s customers on reasonable and non-discriminatory terms in the event the Company’s 802.11a/g/n wireless LAN products are found to infringe and the ’069 Patent is found to be valid and enforceable.</w:t>
      </w:r>
    </w:p>
    <w:p>
      <w:pPr>
        <w:spacing w:after="0" w:line="1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On December 5, 2007, CSIRO filed its answer to the complaint filed by the Company’s Subsidiaries, as well as counterclaims for willful and deliberate infringement of the ’069 Patent. CSIRO’s counterclaims included a claim for monetary damages, including treble damages based on its allegation of willful and deliberate infringement, attorneys’ fees and injunctive relief. On April 10, 2008, the Company’s Subsidiaries filed a First Amended Complaint and First Amended Reply to CSIRO’s Answer and Counterclaims. On April 23, 2008, CSIRO filed its Answer and Counterclaims to the First Amended Complaint. On May 12, 2008, the Company’s Subsidiaries filed a Reply and Affirmative Defenses to CSIRO’s amended counterclaims.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The trial for the Marvell CSIRO Litigation was scheduled to commence on May 10, 2010. The pretrial conference was held on April 22, 2010. On April 27, 2010, the Court issued a supplemental claim construction ruling. On April 30, 2010, the parties reached a tentative settlement which has been accounted for in the results for the three months ended May 1, 2010. The final dismissal was entered by the court on August 26, 2010.</w:t>
      </w:r>
    </w:p>
    <w:p>
      <w:pPr>
        <w:spacing w:after="0" w:line="10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October 31, 2007, Wi-LAN, Inc. (“Wi-LAN”) sued two groups of system and chip manufacturers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for the Eastern District of Texas, in both cases naming MSI as a defendant and alleging patent infringement. The complaints seek unspecified damages and an injunction. In the first case, Wi-LAN alleges that defendants infringe U.S. Patent Nos. 5,282,222 and RE 37,802 (the “’222 and ’802 patents”) that allegedly relate to the 802.11 wireless standards. In the second case, Wi-LAN alleges that defendants infringe the same ’222 and ’802 patents, and in addition Wi-LAN alleges that some of the defendants in the second case infringe a third patent that allegedly relates to Asymmetric Digital Subscriber Line (“ADSL”) technology. In the second case, MSI is not accused of infringing the ADSL patent.</w:t>
      </w:r>
    </w:p>
    <w:p>
      <w:pPr>
        <w:spacing w:after="0" w:line="12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On September 10, 2008, the Court granted the defendant’s motion to consolidate both actions but denied as premature having the defendant suppliers’ case proceed first. On February 3, 2009, the Court granted Wi-LAN’s motion to add an additional patent, U.S. Patent No. 6,549,759 (the “’759 Patent”). The claim construction hearing for the ’222 and ’802 patents was held on March 11, 2010, and a ruling was issued on May 11, 2010. The claim construction hearing for the ’759 patent is scheduled for September 1, 2010. The trial for all three patents is presently scheduled for January 4, 2011.</w:t>
      </w:r>
    </w:p>
    <w:p>
      <w:pPr>
        <w:spacing w:after="0" w:line="113" w:lineRule="exact"/>
        <w:rPr>
          <w:sz w:val="20"/>
          <w:szCs w:val="20"/>
          <w:color w:val="auto"/>
        </w:rPr>
      </w:pPr>
    </w:p>
    <w:p>
      <w:pPr>
        <w:jc w:val="both"/>
        <w:ind w:right="200" w:firstLine="456"/>
        <w:spacing w:after="0" w:line="259" w:lineRule="auto"/>
        <w:rPr>
          <w:sz w:val="20"/>
          <w:szCs w:val="20"/>
          <w:color w:val="auto"/>
        </w:rPr>
      </w:pPr>
      <w:r>
        <w:rPr>
          <w:rFonts w:ascii="Arial" w:cs="Arial" w:eastAsia="Arial" w:hAnsi="Arial"/>
          <w:sz w:val="18"/>
          <w:szCs w:val="18"/>
          <w:color w:val="auto"/>
        </w:rPr>
        <w:t>On June 4, 2010, Wi-LAN filed another patent litigation against MSI and other system and chip manufacturers in the United States District Court for the Eastern District of Texas. Wi-LAN alleges that defendants infringe the ’759 patent and U.S. Patent No. 5,515,369 (the “’369 patent”) that allegedly relate to the Bluetooth standards. MSI filed its answer and counterclaims on August 6, 2010.</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MSI believes it does not infringe any valid and enforceable claims of the asserted Wi-LAN patents and will vigorously defend itself in these matters.</w:t>
      </w:r>
    </w:p>
    <w:p>
      <w:pPr>
        <w:spacing w:after="0" w:line="19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On April 29, 2010, MSI and the Company filed their amended answers and counterclaims. The Court has not yet scheduled a trial date. MSI and the Company believe that they do not infringe any valid and enforceable claims of the asserted CMU patents and intend to contest this action vigorously.</w:t>
      </w:r>
    </w:p>
    <w:p>
      <w:pPr>
        <w:spacing w:after="0" w:line="118"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PACid Patent Litigation. </w:t>
      </w:r>
      <w:r>
        <w:rPr>
          <w:rFonts w:ascii="Arial" w:cs="Arial" w:eastAsia="Arial" w:hAnsi="Arial"/>
          <w:sz w:val="18"/>
          <w:szCs w:val="18"/>
          <w:color w:val="auto"/>
        </w:rPr>
        <w:t>On March 30, 2009, The PACid Group, LLC filed a complaint in the United States District Court for the Eastern District of Texas,</w:t>
      </w:r>
      <w:r>
        <w:rPr>
          <w:rFonts w:ascii="Arial" w:cs="Arial" w:eastAsia="Arial" w:hAnsi="Arial"/>
          <w:sz w:val="18"/>
          <w:szCs w:val="18"/>
          <w:i w:val="1"/>
          <w:iCs w:val="1"/>
          <w:color w:val="auto"/>
        </w:rPr>
        <w:t xml:space="preserve"> </w:t>
      </w:r>
      <w:r>
        <w:rPr>
          <w:rFonts w:ascii="Arial" w:cs="Arial" w:eastAsia="Arial" w:hAnsi="Arial"/>
          <w:sz w:val="18"/>
          <w:szCs w:val="18"/>
          <w:color w:val="auto"/>
        </w:rPr>
        <w:t>case no. 6:09-cv-00143 LED, which named MSI, Marvell Technology, Inc. (“MTI”), Marvell Semiconductor, Ltd. (“MSL”), the Company and 15 other companies as defendants. The complaint alleged infringement of two patents purportedly relating to encryption: U.S. Patent Nos. 5,963,646 and 6,049,612. The complaint seeks unspecified damages and an injunction. On May 22, 2009, MSI filed its answer and counterclaims to the complaint. On June 1, 2009, MTI, MSL and the Company were dismissed without prejudice. The claim construction hearing was held on March 25, 2010, and a ruling was issued on July 15, 2010. Trial is presently scheduled for February 14, 2011. MSI believes that it does not infringe any valid and enforceable claims of the asserted PACid patents and intends to contest this action vigorously.</w:t>
      </w:r>
    </w:p>
    <w:p>
      <w:pPr>
        <w:spacing w:after="0" w:line="147"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i w:val="1"/>
          <w:iCs w:val="1"/>
          <w:color w:val="auto"/>
        </w:rPr>
        <w:t>Xpoint Patent Litigation</w:t>
      </w:r>
      <w:r>
        <w:rPr>
          <w:rFonts w:ascii="Arial" w:cs="Arial" w:eastAsia="Arial" w:hAnsi="Arial"/>
          <w:sz w:val="16"/>
          <w:szCs w:val="16"/>
          <w:color w:val="auto"/>
        </w:rPr>
        <w:t>. On August 21, 2009, Xpoint Technologies, Inc. filed a complaint in the United States District of Delaware, which names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MSI and thirty-six other companies as defendants. The complaint alleged infringement of U.S. Patent No. 5,913,028 which purportedly relates to data traffic delivery. The complaint seeks unspecified damages and an injunction. On September 18, 2009 an amended complaint was filed. On October 28, 2009, the Company was dismissed from the lawsuit, although MSI remains a defendant. MSI filed its answers and counterclaims on December 18, 2009. The Court has scheduled a claim construction hearing for January 13, 2012, and trial for May 7, 2012. MSI intends to contest this action vigorously. Because this action is in the early stages, the Company is unable to predict the outcome of this litigation at this time.</w:t>
      </w:r>
    </w:p>
    <w:p>
      <w:pPr>
        <w:spacing w:after="0" w:line="120" w:lineRule="exact"/>
        <w:rPr>
          <w:sz w:val="20"/>
          <w:szCs w:val="20"/>
          <w:color w:val="auto"/>
        </w:rPr>
      </w:pPr>
    </w:p>
    <w:p>
      <w:pPr>
        <w:ind w:firstLine="351"/>
        <w:spacing w:after="0" w:line="253" w:lineRule="auto"/>
        <w:rPr>
          <w:sz w:val="20"/>
          <w:szCs w:val="20"/>
          <w:color w:val="auto"/>
        </w:rPr>
      </w:pPr>
      <w:r>
        <w:rPr>
          <w:rFonts w:ascii="Arial" w:cs="Arial" w:eastAsia="Arial" w:hAnsi="Arial"/>
          <w:sz w:val="18"/>
          <w:szCs w:val="18"/>
          <w:i w:val="1"/>
          <w:iCs w:val="1"/>
          <w:color w:val="auto"/>
        </w:rPr>
        <w:t xml:space="preserve">Intravisual Patent Litigation. </w:t>
      </w:r>
      <w:r>
        <w:rPr>
          <w:rFonts w:ascii="Arial" w:cs="Arial" w:eastAsia="Arial" w:hAnsi="Arial"/>
          <w:sz w:val="18"/>
          <w:szCs w:val="18"/>
          <w:color w:val="auto"/>
        </w:rPr>
        <w:t>On March 15, 2010, Intravisual, Inc. filed a Complaint in the United States District Court in the Eastern District of Texas.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Complaint names MSI and eight other Defendants, and alleges infringement of United States Patent No. 6,614,845 (the “’845 patent”). The ’845 patent is purportedly directed to a method and apparatus for differential macroblock encoding in video coders and decoders. The Complaint seeks unspecified damages and a permanent injunction. MSI filed its answer and counterclaims on May 10, 2010. On June 1, 2010, Intravisual filed an Amended Complaint in the case, naming several additional defendants including the Company. On June 18, 2010, MSI filed its answer to the amended complaint. At this time, the Court has not set a schedule for the case. MSI intends to vigorously defend this action. Because this action is in the very early stages, the Company is unable to predict the outcome of this litigation at this time.</w:t>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Eastern District of Texas, in which USEI has</w:t>
      </w:r>
      <w:r>
        <w:rPr>
          <w:rFonts w:ascii="Arial" w:cs="Arial" w:eastAsia="Arial" w:hAnsi="Arial"/>
          <w:sz w:val="18"/>
          <w:szCs w:val="18"/>
          <w:i w:val="1"/>
          <w:iCs w:val="1"/>
          <w:color w:val="auto"/>
        </w:rPr>
        <w:t xml:space="preserve"> </w:t>
      </w:r>
      <w:r>
        <w:rPr>
          <w:rFonts w:ascii="Arial" w:cs="Arial" w:eastAsia="Arial" w:hAnsi="Arial"/>
          <w:sz w:val="18"/>
          <w:szCs w:val="18"/>
          <w:color w:val="auto"/>
        </w:rPr>
        <w:t>accused a number of system manufacturers, including the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w:t>
      </w:r>
    </w:p>
    <w:p>
      <w:pPr>
        <w:spacing w:after="0" w:line="14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On May 4, 2010, MSI filed a motion to intervene in the USEI litigation, which was granted on May 19, 2010. On July 13, 2010, the Court issued an order granting the Defendants’ motion to transfer the action to the Northern District of California. MSI believes that it does not infringe any valid and enforceable claim of the USEI patents in suit, and intends to litigate this action vigorously.</w:t>
      </w:r>
    </w:p>
    <w:p>
      <w:pPr>
        <w:spacing w:after="0" w:line="14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i w:val="1"/>
          <w:iCs w:val="1"/>
          <w:color w:val="auto"/>
        </w:rPr>
        <w:t xml:space="preserve">Lake Cherokee Patent Litigation. </w:t>
      </w:r>
      <w:r>
        <w:rPr>
          <w:rFonts w:ascii="Arial" w:cs="Arial" w:eastAsia="Arial" w:hAnsi="Arial"/>
          <w:sz w:val="16"/>
          <w:szCs w:val="16"/>
          <w:color w:val="auto"/>
        </w:rPr>
        <w:t>On June 30, 2010, Lake Cherokee Hard Drive Technologies, L.L.C. filed a Complaint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in the Eastern District of Texas. The Complaint names MSI and seven other Defendants, and alleges infringement of United States Patent Nos. 5,844,738 and 5,978,162 (collectively, the “Lake Cherokee patents in suit”). The Lake Cherokee patents in suit are purportedly relating to read-channel integrated circuit devices and the hard disk drive products incorporating such devices. The Complaint seeks unspecified damages and a permanent injunction. MSI intends to vigorously defend this action. Because this action is in the early stages, the Company is unable to predict the outcome of this litigation at this time.</w:t>
      </w:r>
    </w:p>
    <w:p>
      <w:pPr>
        <w:spacing w:after="0" w:line="1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Indemnities, Commitments and Guarantees</w:t>
      </w:r>
    </w:p>
    <w:p>
      <w:pPr>
        <w:spacing w:after="0" w:line="9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unaudited condensed consolidated balance sheets. The Company does, however, accrue for losses for any known contingent liability, including those that may arise from indemnification provisions, when future payment is probable.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Stock-Based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gridSpan w:val="4"/>
          </w:tcPr>
          <w:p>
            <w:pPr>
              <w:jc w:val="right"/>
              <w:ind w:right="36"/>
              <w:spacing w:after="0"/>
              <w:rPr>
                <w:sz w:val="20"/>
                <w:szCs w:val="20"/>
                <w:color w:val="auto"/>
              </w:rPr>
            </w:pPr>
            <w:r>
              <w:rPr>
                <w:rFonts w:ascii="Arial" w:cs="Arial" w:eastAsia="Arial" w:hAnsi="Arial"/>
                <w:sz w:val="14"/>
                <w:szCs w:val="14"/>
                <w:b w:val="1"/>
                <w:bCs w:val="1"/>
                <w:color w:val="auto"/>
                <w:w w:val="89"/>
              </w:rPr>
              <w:t>Three Months Ended</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gridSpan w:val="5"/>
          </w:tcPr>
          <w:p>
            <w:pPr>
              <w:ind w:left="1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4580" w:type="dxa"/>
            <w:vAlign w:val="bottom"/>
          </w:tcPr>
          <w:p>
            <w:pPr>
              <w:spacing w:after="0"/>
              <w:rPr>
                <w:sz w:val="11"/>
                <w:szCs w:val="11"/>
                <w:color w:val="auto"/>
              </w:rPr>
            </w:pPr>
          </w:p>
        </w:tc>
        <w:tc>
          <w:tcPr>
            <w:tcW w:w="2660" w:type="dxa"/>
            <w:vAlign w:val="bottom"/>
          </w:tcPr>
          <w:p>
            <w:pPr>
              <w:spacing w:after="0"/>
              <w:rPr>
                <w:sz w:val="11"/>
                <w:szCs w:val="11"/>
                <w:color w:val="auto"/>
              </w:rPr>
            </w:pPr>
          </w:p>
        </w:tc>
        <w:tc>
          <w:tcPr>
            <w:tcW w:w="900" w:type="dxa"/>
            <w:vAlign w:val="bottom"/>
            <w:tcBorders>
              <w:top w:val="single" w:sz="8" w:color="auto"/>
            </w:tcBorders>
            <w:gridSpan w:val="3"/>
          </w:tcPr>
          <w:p>
            <w:pPr>
              <w:jc w:val="center"/>
              <w:ind w:right="300"/>
              <w:spacing w:after="0" w:line="129" w:lineRule="exact"/>
              <w:rPr>
                <w:sz w:val="20"/>
                <w:szCs w:val="20"/>
                <w:color w:val="auto"/>
              </w:rPr>
            </w:pPr>
            <w:r>
              <w:rPr>
                <w:rFonts w:ascii="Arial" w:cs="Arial" w:eastAsia="Arial" w:hAnsi="Arial"/>
                <w:sz w:val="14"/>
                <w:szCs w:val="14"/>
                <w:b w:val="1"/>
                <w:bCs w:val="1"/>
                <w:color w:val="auto"/>
                <w:w w:val="85"/>
              </w:rPr>
              <w:t>July 31,</w:t>
            </w: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300" w:type="dxa"/>
            <w:vAlign w:val="bottom"/>
          </w:tcPr>
          <w:p>
            <w:pPr>
              <w:spacing w:after="0"/>
              <w:rPr>
                <w:sz w:val="11"/>
                <w:szCs w:val="11"/>
                <w:color w:val="auto"/>
              </w:rPr>
            </w:pPr>
          </w:p>
        </w:tc>
        <w:tc>
          <w:tcPr>
            <w:tcW w:w="5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7"/>
              </w:rPr>
              <w:t>July 31,</w:t>
            </w:r>
          </w:p>
        </w:tc>
        <w:tc>
          <w:tcPr>
            <w:tcW w:w="3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August 1,</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58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2009</w:t>
            </w: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96"/>
              </w:rPr>
              <w:t>2009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1,692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1,810</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3,928</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5,926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8"/>
                <w:szCs w:val="18"/>
                <w:color w:val="auto"/>
                <w:w w:val="83"/>
              </w:rPr>
              <w:t>22,089</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22,193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40,940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43,930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2,397</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7,370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8"/>
                <w:szCs w:val="18"/>
                <w:color w:val="auto"/>
              </w:rPr>
              <w:t>4,511</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2,353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7,147</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4,437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26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58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3"/>
              </w:rPr>
              <w:t>30,689</w:t>
            </w: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30,015</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57,585</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61,663</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ind w:right="420"/>
        <w:spacing w:after="0" w:line="440" w:lineRule="auto"/>
        <w:rPr>
          <w:sz w:val="20"/>
          <w:szCs w:val="20"/>
          <w:color w:val="auto"/>
        </w:rPr>
      </w:pPr>
      <w:r>
        <w:rPr>
          <w:rFonts w:ascii="Arial" w:cs="Arial" w:eastAsia="Arial" w:hAnsi="Arial"/>
          <w:sz w:val="18"/>
          <w:szCs w:val="18"/>
          <w:color w:val="auto"/>
        </w:rPr>
        <w:t>Stock-based compensation of $1.0 million and $1.6 million was capitalized in inventory as of July 31, 2010 and January 30, 2010, respectively. 20</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option award on the date of grant using the Black-Scholes option pricing model:</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56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1600" w:type="dxa"/>
            <w:vAlign w:val="bottom"/>
            <w:gridSpan w:val="5"/>
          </w:tcPr>
          <w:p>
            <w:pPr>
              <w:jc w:val="center"/>
              <w:ind w:right="280"/>
              <w:spacing w:after="0"/>
              <w:rPr>
                <w:sz w:val="20"/>
                <w:szCs w:val="20"/>
                <w:color w:val="auto"/>
              </w:rPr>
            </w:pPr>
            <w:r>
              <w:rPr>
                <w:rFonts w:ascii="Arial" w:cs="Arial" w:eastAsia="Arial" w:hAnsi="Arial"/>
                <w:sz w:val="14"/>
                <w:szCs w:val="14"/>
                <w:b w:val="1"/>
                <w:bCs w:val="1"/>
                <w:color w:val="auto"/>
                <w:w w:val="87"/>
              </w:rPr>
              <w:t>Stock Option Plans</w:t>
            </w:r>
          </w:p>
        </w:tc>
        <w:tc>
          <w:tcPr>
            <w:tcW w:w="460" w:type="dxa"/>
            <w:vAlign w:val="bottom"/>
          </w:tcPr>
          <w:p>
            <w:pPr>
              <w:spacing w:after="0"/>
              <w:rPr>
                <w:sz w:val="14"/>
                <w:szCs w:val="14"/>
                <w:color w:val="auto"/>
              </w:rPr>
            </w:pPr>
          </w:p>
        </w:tc>
        <w:tc>
          <w:tcPr>
            <w:tcW w:w="4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5"/>
              </w:rPr>
              <w:t>ESPP</w:t>
            </w:r>
          </w:p>
        </w:tc>
        <w:tc>
          <w:tcPr>
            <w:tcW w:w="44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45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1320" w:type="dxa"/>
            <w:vAlign w:val="bottom"/>
            <w:tcBorders>
              <w:top w:val="single" w:sz="8" w:color="auto"/>
              <w:bottom w:val="single" w:sz="8" w:color="auto"/>
            </w:tcBorders>
            <w:gridSpan w:val="4"/>
          </w:tcPr>
          <w:p>
            <w:pPr>
              <w:jc w:val="center"/>
              <w:spacing w:after="0" w:line="142" w:lineRule="exact"/>
              <w:rPr>
                <w:sz w:val="20"/>
                <w:szCs w:val="20"/>
                <w:color w:val="auto"/>
              </w:rPr>
            </w:pPr>
            <w:r>
              <w:rPr>
                <w:rFonts w:ascii="Arial" w:cs="Arial" w:eastAsia="Arial" w:hAnsi="Arial"/>
                <w:sz w:val="14"/>
                <w:szCs w:val="14"/>
                <w:b w:val="1"/>
                <w:bCs w:val="1"/>
                <w:color w:val="auto"/>
                <w:w w:val="89"/>
              </w:rPr>
              <w:t>Three Months Ended</w:t>
            </w:r>
          </w:p>
        </w:tc>
        <w:tc>
          <w:tcPr>
            <w:tcW w:w="280" w:type="dxa"/>
            <w:vAlign w:val="bottom"/>
          </w:tcPr>
          <w:p>
            <w:pPr>
              <w:spacing w:after="0"/>
              <w:rPr>
                <w:sz w:val="12"/>
                <w:szCs w:val="12"/>
                <w:color w:val="auto"/>
              </w:rPr>
            </w:pPr>
          </w:p>
        </w:tc>
        <w:tc>
          <w:tcPr>
            <w:tcW w:w="1320" w:type="dxa"/>
            <w:vAlign w:val="bottom"/>
            <w:tcBorders>
              <w:top w:val="single" w:sz="8" w:color="auto"/>
              <w:bottom w:val="single" w:sz="8" w:color="auto"/>
            </w:tcBorders>
            <w:gridSpan w:val="5"/>
          </w:tcPr>
          <w:p>
            <w:pPr>
              <w:jc w:val="center"/>
              <w:spacing w:after="0" w:line="142" w:lineRule="exact"/>
              <w:rPr>
                <w:sz w:val="20"/>
                <w:szCs w:val="20"/>
                <w:color w:val="auto"/>
              </w:rPr>
            </w:pPr>
            <w:r>
              <w:rPr>
                <w:rFonts w:ascii="Arial" w:cs="Arial" w:eastAsia="Arial" w:hAnsi="Arial"/>
                <w:sz w:val="14"/>
                <w:szCs w:val="14"/>
                <w:b w:val="1"/>
                <w:bCs w:val="1"/>
                <w:color w:val="auto"/>
                <w:w w:val="89"/>
              </w:rPr>
              <w:t>Three Months Ended</w:t>
            </w:r>
          </w:p>
        </w:tc>
        <w:tc>
          <w:tcPr>
            <w:tcW w:w="200" w:type="dxa"/>
            <w:vAlign w:val="bottom"/>
          </w:tcPr>
          <w:p>
            <w:pPr>
              <w:spacing w:after="0"/>
              <w:rPr>
                <w:sz w:val="12"/>
                <w:szCs w:val="12"/>
                <w:color w:val="auto"/>
              </w:rPr>
            </w:pPr>
          </w:p>
        </w:tc>
      </w:tr>
      <w:tr>
        <w:trPr>
          <w:trHeight w:val="129"/>
        </w:trPr>
        <w:tc>
          <w:tcPr>
            <w:tcW w:w="4560" w:type="dxa"/>
            <w:vAlign w:val="bottom"/>
          </w:tcPr>
          <w:p>
            <w:pPr>
              <w:spacing w:after="0"/>
              <w:rPr>
                <w:sz w:val="11"/>
                <w:szCs w:val="11"/>
                <w:color w:val="auto"/>
              </w:rPr>
            </w:pPr>
          </w:p>
        </w:tc>
        <w:tc>
          <w:tcPr>
            <w:tcW w:w="2820" w:type="dxa"/>
            <w:vAlign w:val="bottom"/>
          </w:tcPr>
          <w:p>
            <w:pPr>
              <w:spacing w:after="0"/>
              <w:rPr>
                <w:sz w:val="11"/>
                <w:szCs w:val="11"/>
                <w:color w:val="auto"/>
              </w:rPr>
            </w:pPr>
          </w:p>
        </w:tc>
        <w:tc>
          <w:tcPr>
            <w:tcW w:w="760" w:type="dxa"/>
            <w:vAlign w:val="bottom"/>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July 31,</w:t>
            </w:r>
          </w:p>
        </w:tc>
        <w:tc>
          <w:tcPr>
            <w:tcW w:w="56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4"/>
              </w:rPr>
              <w:t>August 1,</w:t>
            </w:r>
          </w:p>
        </w:tc>
        <w:tc>
          <w:tcPr>
            <w:tcW w:w="280" w:type="dxa"/>
            <w:vAlign w:val="bottom"/>
          </w:tcPr>
          <w:p>
            <w:pPr>
              <w:spacing w:after="0"/>
              <w:rPr>
                <w:sz w:val="11"/>
                <w:szCs w:val="11"/>
                <w:color w:val="auto"/>
              </w:rPr>
            </w:pPr>
          </w:p>
        </w:tc>
        <w:tc>
          <w:tcPr>
            <w:tcW w:w="680" w:type="dxa"/>
            <w:vAlign w:val="bottom"/>
            <w:gridSpan w:val="2"/>
          </w:tcPr>
          <w:p>
            <w:pPr>
              <w:jc w:val="right"/>
              <w:ind w:right="152"/>
              <w:spacing w:after="0" w:line="129" w:lineRule="exact"/>
              <w:rPr>
                <w:sz w:val="20"/>
                <w:szCs w:val="20"/>
                <w:color w:val="auto"/>
              </w:rPr>
            </w:pPr>
            <w:r>
              <w:rPr>
                <w:rFonts w:ascii="Arial" w:cs="Arial" w:eastAsia="Arial" w:hAnsi="Arial"/>
                <w:sz w:val="14"/>
                <w:szCs w:val="14"/>
                <w:b w:val="1"/>
                <w:bCs w:val="1"/>
                <w:color w:val="auto"/>
                <w:w w:val="85"/>
              </w:rPr>
              <w:t>July 31,</w:t>
            </w:r>
          </w:p>
        </w:tc>
        <w:tc>
          <w:tcPr>
            <w:tcW w:w="80" w:type="dxa"/>
            <w:vAlign w:val="bottom"/>
          </w:tcPr>
          <w:p>
            <w:pPr>
              <w:spacing w:after="0"/>
              <w:rPr>
                <w:sz w:val="11"/>
                <w:szCs w:val="11"/>
                <w:color w:val="auto"/>
              </w:rPr>
            </w:pPr>
          </w:p>
        </w:tc>
        <w:tc>
          <w:tcPr>
            <w:tcW w:w="56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4"/>
              </w:rPr>
              <w:t>August 1,</w:t>
            </w:r>
          </w:p>
        </w:tc>
        <w:tc>
          <w:tcPr>
            <w:tcW w:w="200" w:type="dxa"/>
            <w:vAlign w:val="bottom"/>
          </w:tcPr>
          <w:p>
            <w:pPr>
              <w:spacing w:after="0"/>
              <w:rPr>
                <w:sz w:val="11"/>
                <w:szCs w:val="11"/>
                <w:color w:val="auto"/>
              </w:rPr>
            </w:pPr>
          </w:p>
        </w:tc>
      </w:tr>
      <w:tr>
        <w:trPr>
          <w:trHeight w:val="161"/>
        </w:trPr>
        <w:tc>
          <w:tcPr>
            <w:tcW w:w="456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46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83"/>
              </w:rPr>
              <w:t>2009</w:t>
            </w:r>
          </w:p>
        </w:tc>
        <w:tc>
          <w:tcPr>
            <w:tcW w:w="280" w:type="dxa"/>
            <w:vAlign w:val="bottom"/>
          </w:tcPr>
          <w:p>
            <w:pPr>
              <w:spacing w:after="0"/>
              <w:rPr>
                <w:sz w:val="14"/>
                <w:szCs w:val="14"/>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89"/>
              </w:rPr>
              <w:t>2009</w:t>
            </w:r>
          </w:p>
        </w:tc>
        <w:tc>
          <w:tcPr>
            <w:tcW w:w="200" w:type="dxa"/>
            <w:vAlign w:val="bottom"/>
          </w:tcPr>
          <w:p>
            <w:pPr>
              <w:spacing w:after="0"/>
              <w:rPr>
                <w:sz w:val="14"/>
                <w:szCs w:val="14"/>
                <w:color w:val="auto"/>
              </w:rPr>
            </w:pPr>
          </w:p>
        </w:tc>
      </w:tr>
      <w:tr>
        <w:trPr>
          <w:trHeight w:val="210"/>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3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$ 8.75</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5.69</w:t>
            </w:r>
          </w:p>
        </w:tc>
        <w:tc>
          <w:tcPr>
            <w:tcW w:w="2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w w:val="87"/>
              </w:rPr>
              <w:t>$ 5.14</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4.14</w:t>
            </w:r>
          </w:p>
        </w:tc>
        <w:tc>
          <w:tcPr>
            <w:tcW w:w="200" w:type="dxa"/>
            <w:vAlign w:val="bottom"/>
            <w:shd w:val="clear" w:color="auto" w:fill="CCEEFF"/>
          </w:tcPr>
          <w:p>
            <w:pPr>
              <w:spacing w:after="0"/>
              <w:rPr>
                <w:sz w:val="18"/>
                <w:szCs w:val="18"/>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Volatility</w:t>
            </w:r>
          </w:p>
        </w:tc>
        <w:tc>
          <w:tcPr>
            <w:tcW w:w="3580" w:type="dxa"/>
            <w:vAlign w:val="bottom"/>
            <w:gridSpan w:val="3"/>
          </w:tcPr>
          <w:p>
            <w:pPr>
              <w:jc w:val="right"/>
              <w:ind w:right="160"/>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53%</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51%</w:t>
            </w: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3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2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0.5</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00" w:type="dxa"/>
            <w:vAlign w:val="bottom"/>
            <w:shd w:val="clear" w:color="auto" w:fill="CCEEFF"/>
          </w:tcPr>
          <w:p>
            <w:pPr>
              <w:spacing w:after="0"/>
              <w:rPr>
                <w:sz w:val="18"/>
                <w:szCs w:val="18"/>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Risk-free interest rate</w:t>
            </w:r>
          </w:p>
        </w:tc>
        <w:tc>
          <w:tcPr>
            <w:tcW w:w="3580" w:type="dxa"/>
            <w:vAlign w:val="bottom"/>
            <w:gridSpan w:val="3"/>
          </w:tcPr>
          <w:p>
            <w:pPr>
              <w:jc w:val="right"/>
              <w:ind w:right="160"/>
              <w:spacing w:after="0"/>
              <w:rPr>
                <w:sz w:val="20"/>
                <w:szCs w:val="20"/>
                <w:color w:val="auto"/>
              </w:rPr>
            </w:pPr>
            <w:r>
              <w:rPr>
                <w:rFonts w:ascii="Arial" w:cs="Arial" w:eastAsia="Arial" w:hAnsi="Arial"/>
                <w:sz w:val="18"/>
                <w:szCs w:val="18"/>
                <w:color w:val="auto"/>
              </w:rPr>
              <w:t>2.5%</w:t>
            </w:r>
          </w:p>
        </w:tc>
        <w:tc>
          <w:tcPr>
            <w:tcW w:w="12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1.9%</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0.2%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0.7%</w:t>
            </w: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28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r>
        <w:trPr>
          <w:trHeight w:val="365"/>
        </w:trPr>
        <w:tc>
          <w:tcPr>
            <w:tcW w:w="4560" w:type="dxa"/>
            <w:vAlign w:val="bottom"/>
          </w:tcPr>
          <w:p>
            <w:pPr>
              <w:spacing w:after="0"/>
              <w:rPr>
                <w:sz w:val="24"/>
                <w:szCs w:val="24"/>
                <w:color w:val="auto"/>
              </w:rPr>
            </w:pPr>
          </w:p>
        </w:tc>
        <w:tc>
          <w:tcPr>
            <w:tcW w:w="2820" w:type="dxa"/>
            <w:vAlign w:val="bottom"/>
          </w:tcPr>
          <w:p>
            <w:pPr>
              <w:spacing w:after="0"/>
              <w:rPr>
                <w:sz w:val="24"/>
                <w:szCs w:val="24"/>
                <w:color w:val="auto"/>
              </w:rPr>
            </w:pPr>
          </w:p>
        </w:tc>
        <w:tc>
          <w:tcPr>
            <w:tcW w:w="1600" w:type="dxa"/>
            <w:vAlign w:val="bottom"/>
            <w:gridSpan w:val="5"/>
          </w:tcPr>
          <w:p>
            <w:pPr>
              <w:jc w:val="center"/>
              <w:ind w:right="280"/>
              <w:spacing w:after="0"/>
              <w:rPr>
                <w:sz w:val="20"/>
                <w:szCs w:val="20"/>
                <w:color w:val="auto"/>
              </w:rPr>
            </w:pPr>
            <w:r>
              <w:rPr>
                <w:rFonts w:ascii="Arial" w:cs="Arial" w:eastAsia="Arial" w:hAnsi="Arial"/>
                <w:sz w:val="14"/>
                <w:szCs w:val="14"/>
                <w:b w:val="1"/>
                <w:bCs w:val="1"/>
                <w:color w:val="auto"/>
                <w:w w:val="87"/>
              </w:rPr>
              <w:t>Stock Option Plans</w:t>
            </w:r>
          </w:p>
        </w:tc>
        <w:tc>
          <w:tcPr>
            <w:tcW w:w="460" w:type="dxa"/>
            <w:vAlign w:val="bottom"/>
          </w:tcPr>
          <w:p>
            <w:pPr>
              <w:spacing w:after="0"/>
              <w:rPr>
                <w:sz w:val="24"/>
                <w:szCs w:val="24"/>
                <w:color w:val="auto"/>
              </w:rPr>
            </w:pPr>
          </w:p>
        </w:tc>
        <w:tc>
          <w:tcPr>
            <w:tcW w:w="4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5"/>
              </w:rPr>
              <w:t>ESPP</w:t>
            </w:r>
          </w:p>
        </w:tc>
        <w:tc>
          <w:tcPr>
            <w:tcW w:w="44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42"/>
        </w:trPr>
        <w:tc>
          <w:tcPr>
            <w:tcW w:w="4560" w:type="dxa"/>
            <w:vAlign w:val="bottom"/>
          </w:tcPr>
          <w:p>
            <w:pPr>
              <w:spacing w:after="0"/>
              <w:rPr>
                <w:sz w:val="12"/>
                <w:szCs w:val="12"/>
                <w:color w:val="auto"/>
              </w:rPr>
            </w:pPr>
          </w:p>
        </w:tc>
        <w:tc>
          <w:tcPr>
            <w:tcW w:w="2820" w:type="dxa"/>
            <w:vAlign w:val="bottom"/>
          </w:tcPr>
          <w:p>
            <w:pPr>
              <w:spacing w:after="0"/>
              <w:rPr>
                <w:sz w:val="12"/>
                <w:szCs w:val="12"/>
                <w:color w:val="auto"/>
              </w:rPr>
            </w:pPr>
          </w:p>
        </w:tc>
        <w:tc>
          <w:tcPr>
            <w:tcW w:w="1320" w:type="dxa"/>
            <w:vAlign w:val="bottom"/>
            <w:tcBorders>
              <w:top w:val="single" w:sz="8" w:color="auto"/>
              <w:bottom w:val="single" w:sz="8" w:color="auto"/>
            </w:tcBorders>
            <w:gridSpan w:val="4"/>
          </w:tcPr>
          <w:p>
            <w:pPr>
              <w:jc w:val="center"/>
              <w:spacing w:after="0" w:line="142" w:lineRule="exact"/>
              <w:rPr>
                <w:sz w:val="20"/>
                <w:szCs w:val="20"/>
                <w:color w:val="auto"/>
              </w:rPr>
            </w:pPr>
            <w:r>
              <w:rPr>
                <w:rFonts w:ascii="Arial" w:cs="Arial" w:eastAsia="Arial" w:hAnsi="Arial"/>
                <w:sz w:val="14"/>
                <w:szCs w:val="14"/>
                <w:b w:val="1"/>
                <w:bCs w:val="1"/>
                <w:color w:val="auto"/>
                <w:w w:val="87"/>
              </w:rPr>
              <w:t>Six Months Ended</w:t>
            </w:r>
          </w:p>
        </w:tc>
        <w:tc>
          <w:tcPr>
            <w:tcW w:w="280" w:type="dxa"/>
            <w:vAlign w:val="bottom"/>
          </w:tcPr>
          <w:p>
            <w:pPr>
              <w:spacing w:after="0"/>
              <w:rPr>
                <w:sz w:val="12"/>
                <w:szCs w:val="12"/>
                <w:color w:val="auto"/>
              </w:rPr>
            </w:pPr>
          </w:p>
        </w:tc>
        <w:tc>
          <w:tcPr>
            <w:tcW w:w="1320" w:type="dxa"/>
            <w:vAlign w:val="bottom"/>
            <w:tcBorders>
              <w:top w:val="single" w:sz="8" w:color="auto"/>
              <w:bottom w:val="single" w:sz="8" w:color="auto"/>
            </w:tcBorders>
            <w:gridSpan w:val="5"/>
          </w:tcPr>
          <w:p>
            <w:pPr>
              <w:jc w:val="center"/>
              <w:spacing w:after="0" w:line="142" w:lineRule="exact"/>
              <w:rPr>
                <w:sz w:val="20"/>
                <w:szCs w:val="20"/>
                <w:color w:val="auto"/>
              </w:rPr>
            </w:pPr>
            <w:r>
              <w:rPr>
                <w:rFonts w:ascii="Arial" w:cs="Arial" w:eastAsia="Arial" w:hAnsi="Arial"/>
                <w:sz w:val="14"/>
                <w:szCs w:val="14"/>
                <w:b w:val="1"/>
                <w:bCs w:val="1"/>
                <w:color w:val="auto"/>
                <w:w w:val="87"/>
              </w:rPr>
              <w:t>Six Months Ended</w:t>
            </w:r>
          </w:p>
        </w:tc>
        <w:tc>
          <w:tcPr>
            <w:tcW w:w="200" w:type="dxa"/>
            <w:vAlign w:val="bottom"/>
          </w:tcPr>
          <w:p>
            <w:pPr>
              <w:spacing w:after="0"/>
              <w:rPr>
                <w:sz w:val="12"/>
                <w:szCs w:val="12"/>
                <w:color w:val="auto"/>
              </w:rPr>
            </w:pPr>
          </w:p>
        </w:tc>
      </w:tr>
      <w:tr>
        <w:trPr>
          <w:trHeight w:val="129"/>
        </w:trPr>
        <w:tc>
          <w:tcPr>
            <w:tcW w:w="4560" w:type="dxa"/>
            <w:vAlign w:val="bottom"/>
          </w:tcPr>
          <w:p>
            <w:pPr>
              <w:spacing w:after="0"/>
              <w:rPr>
                <w:sz w:val="11"/>
                <w:szCs w:val="11"/>
                <w:color w:val="auto"/>
              </w:rPr>
            </w:pPr>
          </w:p>
        </w:tc>
        <w:tc>
          <w:tcPr>
            <w:tcW w:w="2820" w:type="dxa"/>
            <w:vAlign w:val="bottom"/>
          </w:tcPr>
          <w:p>
            <w:pPr>
              <w:spacing w:after="0"/>
              <w:rPr>
                <w:sz w:val="11"/>
                <w:szCs w:val="11"/>
                <w:color w:val="auto"/>
              </w:rPr>
            </w:pPr>
          </w:p>
        </w:tc>
        <w:tc>
          <w:tcPr>
            <w:tcW w:w="760" w:type="dxa"/>
            <w:vAlign w:val="bottom"/>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July 31,</w:t>
            </w:r>
          </w:p>
        </w:tc>
        <w:tc>
          <w:tcPr>
            <w:tcW w:w="56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4"/>
              </w:rPr>
              <w:t>August 1,</w:t>
            </w:r>
          </w:p>
        </w:tc>
        <w:tc>
          <w:tcPr>
            <w:tcW w:w="280" w:type="dxa"/>
            <w:vAlign w:val="bottom"/>
          </w:tcPr>
          <w:p>
            <w:pPr>
              <w:spacing w:after="0"/>
              <w:rPr>
                <w:sz w:val="11"/>
                <w:szCs w:val="11"/>
                <w:color w:val="auto"/>
              </w:rPr>
            </w:pPr>
          </w:p>
        </w:tc>
        <w:tc>
          <w:tcPr>
            <w:tcW w:w="680" w:type="dxa"/>
            <w:vAlign w:val="bottom"/>
            <w:gridSpan w:val="2"/>
          </w:tcPr>
          <w:p>
            <w:pPr>
              <w:jc w:val="right"/>
              <w:ind w:right="152"/>
              <w:spacing w:after="0" w:line="129" w:lineRule="exact"/>
              <w:rPr>
                <w:sz w:val="20"/>
                <w:szCs w:val="20"/>
                <w:color w:val="auto"/>
              </w:rPr>
            </w:pPr>
            <w:r>
              <w:rPr>
                <w:rFonts w:ascii="Arial" w:cs="Arial" w:eastAsia="Arial" w:hAnsi="Arial"/>
                <w:sz w:val="14"/>
                <w:szCs w:val="14"/>
                <w:b w:val="1"/>
                <w:bCs w:val="1"/>
                <w:color w:val="auto"/>
                <w:w w:val="85"/>
              </w:rPr>
              <w:t>July 31,</w:t>
            </w:r>
          </w:p>
        </w:tc>
        <w:tc>
          <w:tcPr>
            <w:tcW w:w="80" w:type="dxa"/>
            <w:vAlign w:val="bottom"/>
          </w:tcPr>
          <w:p>
            <w:pPr>
              <w:spacing w:after="0"/>
              <w:rPr>
                <w:sz w:val="11"/>
                <w:szCs w:val="11"/>
                <w:color w:val="auto"/>
              </w:rPr>
            </w:pPr>
          </w:p>
        </w:tc>
        <w:tc>
          <w:tcPr>
            <w:tcW w:w="56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4"/>
              </w:rPr>
              <w:t>August 1,</w:t>
            </w:r>
          </w:p>
        </w:tc>
        <w:tc>
          <w:tcPr>
            <w:tcW w:w="200" w:type="dxa"/>
            <w:vAlign w:val="bottom"/>
          </w:tcPr>
          <w:p>
            <w:pPr>
              <w:spacing w:after="0"/>
              <w:rPr>
                <w:sz w:val="11"/>
                <w:szCs w:val="11"/>
                <w:color w:val="auto"/>
              </w:rPr>
            </w:pPr>
          </w:p>
        </w:tc>
      </w:tr>
      <w:tr>
        <w:trPr>
          <w:trHeight w:val="161"/>
        </w:trPr>
        <w:tc>
          <w:tcPr>
            <w:tcW w:w="4560" w:type="dxa"/>
            <w:vAlign w:val="bottom"/>
          </w:tcPr>
          <w:p>
            <w:pPr>
              <w:spacing w:after="0"/>
              <w:rPr>
                <w:sz w:val="14"/>
                <w:szCs w:val="14"/>
                <w:color w:val="auto"/>
              </w:rPr>
            </w:pPr>
          </w:p>
        </w:tc>
        <w:tc>
          <w:tcPr>
            <w:tcW w:w="2820" w:type="dxa"/>
            <w:vAlign w:val="bottom"/>
          </w:tcPr>
          <w:p>
            <w:pPr>
              <w:spacing w:after="0"/>
              <w:rPr>
                <w:sz w:val="14"/>
                <w:szCs w:val="14"/>
                <w:color w:val="auto"/>
              </w:rPr>
            </w:pPr>
          </w:p>
        </w:tc>
        <w:tc>
          <w:tcPr>
            <w:tcW w:w="460" w:type="dxa"/>
            <w:vAlign w:val="bottom"/>
            <w:tcBorders>
              <w:bottom w:val="single" w:sz="8" w:color="auto"/>
            </w:tcBorders>
          </w:tcPr>
          <w:p>
            <w:pPr>
              <w:jc w:val="right"/>
              <w:ind w:right="28"/>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w w:val="83"/>
              </w:rPr>
              <w:t>2009</w:t>
            </w:r>
          </w:p>
        </w:tc>
        <w:tc>
          <w:tcPr>
            <w:tcW w:w="280" w:type="dxa"/>
            <w:vAlign w:val="bottom"/>
          </w:tcPr>
          <w:p>
            <w:pPr>
              <w:spacing w:after="0"/>
              <w:rPr>
                <w:sz w:val="14"/>
                <w:szCs w:val="14"/>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89"/>
              </w:rPr>
              <w:t>2009</w:t>
            </w:r>
          </w:p>
        </w:tc>
        <w:tc>
          <w:tcPr>
            <w:tcW w:w="200" w:type="dxa"/>
            <w:vAlign w:val="bottom"/>
          </w:tcPr>
          <w:p>
            <w:pPr>
              <w:spacing w:after="0"/>
              <w:rPr>
                <w:sz w:val="14"/>
                <w:szCs w:val="14"/>
                <w:color w:val="auto"/>
              </w:rPr>
            </w:pPr>
          </w:p>
        </w:tc>
      </w:tr>
      <w:tr>
        <w:trPr>
          <w:trHeight w:val="210"/>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3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$ 9.45</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5.13</w:t>
            </w:r>
          </w:p>
        </w:tc>
        <w:tc>
          <w:tcPr>
            <w:tcW w:w="2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w w:val="87"/>
              </w:rPr>
              <w:t>$ 5.14</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4.14</w:t>
            </w:r>
          </w:p>
        </w:tc>
        <w:tc>
          <w:tcPr>
            <w:tcW w:w="200" w:type="dxa"/>
            <w:vAlign w:val="bottom"/>
            <w:shd w:val="clear" w:color="auto" w:fill="CCEEFF"/>
          </w:tcPr>
          <w:p>
            <w:pPr>
              <w:spacing w:after="0"/>
              <w:rPr>
                <w:sz w:val="18"/>
                <w:szCs w:val="18"/>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Volatility</w:t>
            </w:r>
          </w:p>
        </w:tc>
        <w:tc>
          <w:tcPr>
            <w:tcW w:w="3580" w:type="dxa"/>
            <w:vAlign w:val="bottom"/>
            <w:gridSpan w:val="3"/>
          </w:tcPr>
          <w:p>
            <w:pPr>
              <w:jc w:val="right"/>
              <w:ind w:right="160"/>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52%</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53%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51%</w:t>
            </w: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3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28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0.5</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00" w:type="dxa"/>
            <w:vAlign w:val="bottom"/>
            <w:shd w:val="clear" w:color="auto" w:fill="CCEEFF"/>
          </w:tcPr>
          <w:p>
            <w:pPr>
              <w:spacing w:after="0"/>
              <w:rPr>
                <w:sz w:val="18"/>
                <w:szCs w:val="18"/>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Risk-free interest rate</w:t>
            </w:r>
          </w:p>
        </w:tc>
        <w:tc>
          <w:tcPr>
            <w:tcW w:w="3580" w:type="dxa"/>
            <w:vAlign w:val="bottom"/>
            <w:gridSpan w:val="3"/>
          </w:tcPr>
          <w:p>
            <w:pPr>
              <w:jc w:val="right"/>
              <w:ind w:right="160"/>
              <w:spacing w:after="0"/>
              <w:rPr>
                <w:sz w:val="20"/>
                <w:szCs w:val="20"/>
                <w:color w:val="auto"/>
              </w:rPr>
            </w:pPr>
            <w:r>
              <w:rPr>
                <w:rFonts w:ascii="Arial" w:cs="Arial" w:eastAsia="Arial" w:hAnsi="Arial"/>
                <w:sz w:val="18"/>
                <w:szCs w:val="18"/>
                <w:color w:val="auto"/>
              </w:rPr>
              <w:t>2.3%</w:t>
            </w:r>
          </w:p>
        </w:tc>
        <w:tc>
          <w:tcPr>
            <w:tcW w:w="12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1.8%</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0.2%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0.7%</w:t>
            </w: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28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to date, had 383.4 million common shares reserved for issuance thereunder as of July 31, 2010.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48 months. Options granted under the Option Plan subsequent to March 1, 2000 may only be exercised upon or after vesting. At the Annual Meeting of Shareholders held in July 2010, the shareholders approved an amendment to the Option Plan that (i) allows the Company to grant awards other than stock options and stock appreciation rights intended to qualify as “performance-based compensation” within the meaning of the Internal Revenue Code of 1986, as amended, pursuant to an appendix to the Option Plan; and (ii) amends the Option Plan to reduce the maximum number of shares automatically added to the Option Plan each fiscal year by 50% (the “reduced evergreen”). Under the reduced evergreen provision, on the first day of each fiscal year starting January 31, 2011 and continuing until the earlier of January 31, 2013 or the termination of the Option Plan, the share reserve of the Option Plan automatically increases by the lesser of: (a) 20,000,000 shares, (b) 2.5% of outstanding shares on such date, or (c) a lesser amount determined by the Board.</w:t>
      </w:r>
    </w:p>
    <w:p>
      <w:pPr>
        <w:spacing w:after="0" w:line="121"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The 2007 Directors’ Plan had 750,000 common shares reserved for issuance thereunder as of July 31, 2010. Under the 2007 Directors’ Plan, an outside director is granted an option to purchase 50,000 common shares upon appointment to the Company’s Board of Directors. These options vest one-third on the one year anniversary of the date of grant and one-third of the shares on each anniversary thereafter. An outside director who has served on the Company’s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 the date of grant.</w:t>
      </w:r>
    </w:p>
    <w:p>
      <w:pPr>
        <w:spacing w:after="0" w:line="10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60"/>
          </w:cols>
          <w:pgMar w:left="240" w:top="459" w:right="29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by the Company at the time of grant.</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380" w:firstLine="456"/>
        <w:spacing w:after="0" w:line="298" w:lineRule="auto"/>
        <w:rPr>
          <w:sz w:val="20"/>
          <w:szCs w:val="20"/>
          <w:color w:val="auto"/>
        </w:rPr>
      </w:pPr>
      <w:r>
        <w:rPr>
          <w:rFonts w:ascii="Arial" w:cs="Arial" w:eastAsia="Arial" w:hAnsi="Arial"/>
          <w:sz w:val="16"/>
          <w:szCs w:val="16"/>
          <w:color w:val="auto"/>
        </w:rPr>
        <w:t>In June 2000, the Company adopted the 2000 Employee Stock Purchase Plan (the “Purchase Plan”), and on October 22, 2009, the Purchase Plan was amended and restated (the “Restated Purchase Plan”). The Restated Purchase Plan had 28.6 million common shares reserved for issuance thereunder as of July 31, 2010. The Restated Purchase Plan provides that beginning each calendar year, there will be added the lesser of an additional (A) 8,000,000 common shares, or (B) 1.5% of the outstanding shares of capital stock on such date, or (C) an amount determined by the Board.</w:t>
      </w:r>
    </w:p>
    <w:p>
      <w:pPr>
        <w:spacing w:after="0" w:line="11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Pursuant to the terms of the Restated Purchase Plan, the “look-back” period for the stock purchase price was changed from 24 months to six months. This change was effective for new participants who enroll in the Restated Purchase Plan in December 2009 and is applicable for each successive offering period thereafter. Offering and purchase periods will continue to begin on December 8 and June 8 of each year. New participants will be granted the right to purchase common shares at a price per share that is 85% of the lesser of the fair market value of the Company’s common shares at the beginning or the end of each six-month period. The existing two-year offering periods will be phased out and any currently enrolled participant in a current 24-month offering period will continue in the current offering period until the earlier of the end of the offering period or in the event the current offering period is reset. A reset occurs if the fair market value of Marvell common shares on any purchase date is less than it was on the first day of the offering period. Participants were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pacing w:after="0" w:line="12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Participants who will enroll under the Restated Purchase Plan will no longer be subject to a share limitation on the number of shares that may be purchased in the event that the market price of Company’s common shares decreases by more than 25% from one purchase date to the next. Participants may purchase no more than 7,500 shares per six-month offering period. Participants purchase stock using payroll deductions, which may not exceed 15% of their total cash compensation.</w:t>
      </w:r>
    </w:p>
    <w:p>
      <w:pPr>
        <w:spacing w:after="0" w:line="143"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For the three and six months ended July 31, 2010, the Company recognized $3.3 million and $8.1 million stock-based compensation expense related to the activity under the Restated Purchase Plan. The Company issued 5,425,037 shares under the Restated Purchase Plan in the three and six months ended July 31, 2010. As of July 31, 2010, there was $3.5 million of unrecognized compensation cost related to the Restated Purchase Plan.</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under the Company’s stock option plans for the six months ended July 31, 2010 is summarized below (in thousands, except per share amounts):</w:t>
      </w:r>
    </w:p>
    <w:p>
      <w:pPr>
        <w:spacing w:after="0" w:line="21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rPr>
              <w:t>Options</w:t>
            </w:r>
          </w:p>
        </w:tc>
        <w:tc>
          <w:tcPr>
            <w:tcW w:w="1120" w:type="dxa"/>
            <w:vAlign w:val="bottom"/>
            <w:gridSpan w:val="3"/>
          </w:tcPr>
          <w:p>
            <w:pPr>
              <w:ind w:left="60"/>
              <w:spacing w:after="0"/>
              <w:rPr>
                <w:sz w:val="20"/>
                <w:szCs w:val="20"/>
                <w:color w:val="auto"/>
              </w:rPr>
            </w:pPr>
            <w:r>
              <w:rPr>
                <w:rFonts w:ascii="Arial" w:cs="Arial" w:eastAsia="Arial" w:hAnsi="Arial"/>
                <w:sz w:val="14"/>
                <w:szCs w:val="14"/>
                <w:b w:val="1"/>
                <w:bCs w:val="1"/>
                <w:color w:val="auto"/>
                <w:w w:val="85"/>
              </w:rPr>
              <w:t>Weighted 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4"/>
              </w:rPr>
              <w:t>Outstanding</w:t>
            </w: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w w:val="85"/>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2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70,966</w:t>
            </w:r>
          </w:p>
        </w:tc>
        <w:tc>
          <w:tcPr>
            <w:tcW w:w="120" w:type="dxa"/>
            <w:vAlign w:val="bottom"/>
            <w:shd w:val="clear" w:color="auto" w:fill="CCEEFF"/>
          </w:tcPr>
          <w:p>
            <w:pPr>
              <w:spacing w:after="0"/>
              <w:rPr>
                <w:sz w:val="18"/>
                <w:szCs w:val="18"/>
                <w:color w:val="auto"/>
              </w:rPr>
            </w:pPr>
          </w:p>
        </w:tc>
        <w:tc>
          <w:tcPr>
            <w:tcW w:w="1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420"/>
              <w:spacing w:after="0"/>
              <w:rPr>
                <w:sz w:val="20"/>
                <w:szCs w:val="20"/>
                <w:color w:val="auto"/>
              </w:rPr>
            </w:pPr>
            <w:r>
              <w:rPr>
                <w:rFonts w:ascii="Arial" w:cs="Arial" w:eastAsia="Arial" w:hAnsi="Arial"/>
                <w:sz w:val="18"/>
                <w:szCs w:val="18"/>
                <w:color w:val="auto"/>
              </w:rPr>
              <w:t>Granted</w:t>
            </w:r>
          </w:p>
        </w:tc>
        <w:tc>
          <w:tcPr>
            <w:tcW w:w="2600" w:type="dxa"/>
            <w:vAlign w:val="bottom"/>
            <w:gridSpan w:val="2"/>
          </w:tcPr>
          <w:p>
            <w:pPr>
              <w:jc w:val="right"/>
              <w:spacing w:after="0"/>
              <w:rPr>
                <w:sz w:val="20"/>
                <w:szCs w:val="20"/>
                <w:color w:val="auto"/>
              </w:rPr>
            </w:pPr>
            <w:r>
              <w:rPr>
                <w:rFonts w:ascii="Arial" w:cs="Arial" w:eastAsia="Arial" w:hAnsi="Arial"/>
                <w:sz w:val="18"/>
                <w:szCs w:val="18"/>
                <w:color w:val="auto"/>
              </w:rPr>
              <w:t>1,886</w:t>
            </w:r>
          </w:p>
        </w:tc>
        <w:tc>
          <w:tcPr>
            <w:tcW w:w="120" w:type="dxa"/>
            <w:vAlign w:val="bottom"/>
          </w:tcPr>
          <w:p>
            <w:pPr>
              <w:spacing w:after="0"/>
              <w:rPr>
                <w:sz w:val="18"/>
                <w:szCs w:val="18"/>
                <w:color w:val="auto"/>
              </w:rPr>
            </w:pPr>
          </w:p>
        </w:tc>
        <w:tc>
          <w:tcPr>
            <w:tcW w:w="160" w:type="dxa"/>
            <w:vAlign w:val="bottom"/>
            <w:gridSpan w:val="2"/>
          </w:tcPr>
          <w:p>
            <w:pPr>
              <w:ind w:left="60"/>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20.41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Canceled/Forfeited/Expired</w:t>
            </w:r>
          </w:p>
        </w:tc>
        <w:tc>
          <w:tcPr>
            <w:tcW w:w="27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(1,846)</w:t>
            </w:r>
          </w:p>
        </w:tc>
        <w:tc>
          <w:tcPr>
            <w:tcW w:w="1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1860" w:type="dxa"/>
            <w:vAlign w:val="bottom"/>
          </w:tcPr>
          <w:p>
            <w:pPr>
              <w:spacing w:after="0"/>
              <w:rPr>
                <w:sz w:val="19"/>
                <w:szCs w:val="19"/>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8"/>
                <w:szCs w:val="18"/>
                <w:color w:val="auto"/>
              </w:rPr>
              <w:t>(6,345)</w:t>
            </w:r>
          </w:p>
        </w:tc>
        <w:tc>
          <w:tcPr>
            <w:tcW w:w="160" w:type="dxa"/>
            <w:vAlign w:val="bottom"/>
            <w:gridSpan w:val="2"/>
          </w:tcPr>
          <w:p>
            <w:pPr>
              <w:ind w:left="60"/>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8.73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31, 2010</w:t>
            </w:r>
          </w:p>
        </w:tc>
        <w:tc>
          <w:tcPr>
            <w:tcW w:w="186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64,661</w:t>
            </w:r>
          </w:p>
        </w:tc>
        <w:tc>
          <w:tcPr>
            <w:tcW w:w="120" w:type="dxa"/>
            <w:vAlign w:val="bottom"/>
            <w:shd w:val="clear" w:color="auto" w:fill="CCEEFF"/>
          </w:tcPr>
          <w:p>
            <w:pPr>
              <w:spacing w:after="0"/>
              <w:rPr>
                <w:sz w:val="18"/>
                <w:szCs w:val="18"/>
                <w:color w:val="auto"/>
              </w:rPr>
            </w:pPr>
          </w:p>
        </w:tc>
        <w:tc>
          <w:tcPr>
            <w:tcW w:w="1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11.55</w:t>
            </w:r>
          </w:p>
        </w:tc>
        <w:tc>
          <w:tcPr>
            <w:tcW w:w="0" w:type="dxa"/>
            <w:vAlign w:val="bottom"/>
          </w:tcPr>
          <w:p>
            <w:pPr>
              <w:spacing w:after="0"/>
              <w:rPr>
                <w:sz w:val="1"/>
                <w:szCs w:val="1"/>
                <w:color w:val="auto"/>
              </w:rPr>
            </w:pPr>
          </w:p>
        </w:tc>
      </w:tr>
      <w:tr>
        <w:trPr>
          <w:trHeight w:val="20"/>
        </w:trPr>
        <w:tc>
          <w:tcPr>
            <w:tcW w:w="484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July 31, 2010</w:t>
            </w:r>
          </w:p>
        </w:tc>
        <w:tc>
          <w:tcPr>
            <w:tcW w:w="186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vMerge w:val="restart"/>
          </w:tcPr>
          <w:p>
            <w:pPr>
              <w:ind w:left="60"/>
              <w:spacing w:after="0"/>
              <w:rPr>
                <w:sz w:val="20"/>
                <w:szCs w:val="20"/>
                <w:color w:val="auto"/>
              </w:rPr>
            </w:pPr>
            <w:r>
              <w:rPr>
                <w:rFonts w:ascii="Arial" w:cs="Arial" w:eastAsia="Arial" w:hAnsi="Arial"/>
                <w:sz w:val="18"/>
                <w:szCs w:val="18"/>
                <w:color w:val="auto"/>
                <w:w w:val="79"/>
              </w:rPr>
              <w:t>$</w:t>
            </w:r>
          </w:p>
        </w:tc>
        <w:tc>
          <w:tcPr>
            <w:tcW w:w="960" w:type="dxa"/>
            <w:vAlign w:val="bottom"/>
            <w:vMerge w:val="restart"/>
          </w:tcPr>
          <w:p>
            <w:pPr>
              <w:jc w:val="right"/>
              <w:spacing w:after="0"/>
              <w:rPr>
                <w:sz w:val="20"/>
                <w:szCs w:val="20"/>
                <w:color w:val="auto"/>
              </w:rPr>
            </w:pPr>
            <w:r>
              <w:rPr>
                <w:rFonts w:ascii="Arial" w:cs="Arial" w:eastAsia="Arial" w:hAnsi="Arial"/>
                <w:sz w:val="18"/>
                <w:szCs w:val="18"/>
                <w:color w:val="auto"/>
              </w:rPr>
              <w:t>11.55</w:t>
            </w:r>
          </w:p>
        </w:tc>
        <w:tc>
          <w:tcPr>
            <w:tcW w:w="0" w:type="dxa"/>
            <w:vAlign w:val="bottom"/>
          </w:tcPr>
          <w:p>
            <w:pPr>
              <w:spacing w:after="0" w:line="20" w:lineRule="exact"/>
              <w:rPr>
                <w:sz w:val="1"/>
                <w:szCs w:val="1"/>
                <w:color w:val="auto"/>
              </w:rPr>
            </w:pPr>
          </w:p>
        </w:tc>
      </w:tr>
      <w:tr>
        <w:trPr>
          <w:trHeight w:val="209"/>
        </w:trPr>
        <w:tc>
          <w:tcPr>
            <w:tcW w:w="4840" w:type="dxa"/>
            <w:vAlign w:val="bottom"/>
            <w:gridSpan w:val="2"/>
            <w:vMerge w:val="continue"/>
          </w:tcPr>
          <w:p>
            <w:pPr>
              <w:spacing w:after="0"/>
              <w:rPr>
                <w:sz w:val="18"/>
                <w:szCs w:val="18"/>
                <w:color w:val="auto"/>
              </w:rPr>
            </w:pPr>
          </w:p>
        </w:tc>
        <w:tc>
          <w:tcPr>
            <w:tcW w:w="2600" w:type="dxa"/>
            <w:vAlign w:val="bottom"/>
            <w:gridSpan w:val="2"/>
          </w:tcPr>
          <w:p>
            <w:pPr>
              <w:jc w:val="right"/>
              <w:spacing w:after="0"/>
              <w:rPr>
                <w:sz w:val="20"/>
                <w:szCs w:val="20"/>
                <w:color w:val="auto"/>
              </w:rPr>
            </w:pPr>
            <w:r>
              <w:rPr>
                <w:rFonts w:ascii="Arial" w:cs="Arial" w:eastAsia="Arial" w:hAnsi="Arial"/>
                <w:sz w:val="18"/>
                <w:szCs w:val="18"/>
                <w:color w:val="auto"/>
              </w:rPr>
              <w:t>62,714</w:t>
            </w:r>
          </w:p>
        </w:tc>
        <w:tc>
          <w:tcPr>
            <w:tcW w:w="120" w:type="dxa"/>
            <w:vAlign w:val="bottom"/>
          </w:tcPr>
          <w:p>
            <w:pPr>
              <w:spacing w:after="0"/>
              <w:rPr>
                <w:sz w:val="18"/>
                <w:szCs w:val="18"/>
                <w:color w:val="auto"/>
              </w:rPr>
            </w:pPr>
          </w:p>
        </w:tc>
        <w:tc>
          <w:tcPr>
            <w:tcW w:w="160" w:type="dxa"/>
            <w:vAlign w:val="bottom"/>
            <w:gridSpan w:val="2"/>
            <w:vMerge w:val="continue"/>
          </w:tcPr>
          <w:p>
            <w:pPr>
              <w:spacing w:after="0"/>
              <w:rPr>
                <w:sz w:val="18"/>
                <w:szCs w:val="18"/>
                <w:color w:val="auto"/>
              </w:rPr>
            </w:pPr>
          </w:p>
        </w:tc>
        <w:tc>
          <w:tcPr>
            <w:tcW w:w="9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July 31, 2010</w:t>
            </w:r>
          </w:p>
        </w:tc>
        <w:tc>
          <w:tcPr>
            <w:tcW w:w="186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43,127</w:t>
            </w:r>
          </w:p>
        </w:tc>
        <w:tc>
          <w:tcPr>
            <w:tcW w:w="120" w:type="dxa"/>
            <w:vAlign w:val="bottom"/>
            <w:shd w:val="clear" w:color="auto" w:fill="CCEEFF"/>
          </w:tcPr>
          <w:p>
            <w:pPr>
              <w:spacing w:after="0"/>
              <w:rPr>
                <w:sz w:val="18"/>
                <w:szCs w:val="18"/>
                <w:color w:val="auto"/>
              </w:rPr>
            </w:pPr>
          </w:p>
        </w:tc>
        <w:tc>
          <w:tcPr>
            <w:tcW w:w="1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11.47</w:t>
            </w:r>
          </w:p>
        </w:tc>
        <w:tc>
          <w:tcPr>
            <w:tcW w:w="0" w:type="dxa"/>
            <w:vAlign w:val="bottom"/>
          </w:tcPr>
          <w:p>
            <w:pPr>
              <w:spacing w:after="0"/>
              <w:rPr>
                <w:sz w:val="1"/>
                <w:szCs w:val="1"/>
                <w:color w:val="auto"/>
              </w:rPr>
            </w:pPr>
          </w:p>
        </w:tc>
      </w:tr>
    </w:tbl>
    <w:p>
      <w:pPr>
        <w:spacing w:after="0" w:line="16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Included in the preceding table are options for 918,000 common shares granted to certain officers at exercise prices ranging between $6.84 and $17.66 that will become exercisable only upon the achievement of specified annual earnings per share targets or achievement of certain operating performance criteria through fiscal 2014.</w:t>
      </w:r>
    </w:p>
    <w:p>
      <w:pPr>
        <w:spacing w:after="0" w:line="14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July 31, 2010 was $294.8 million and 5.27 years, respectively. The aggregate intrinsic value and weighted average remaining contractual term of options exercisable at July 31, 2010 was $212.8 million and 4.0 years, respectively. The aggregate intrinsic value is calculated based on the Company’s closing stock price for all in-the-money options as of July 30, 2010.</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Included in the table below is activity related to restricted stock units (in thousands, except per share amounts):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60" w:type="dxa"/>
            <w:vAlign w:val="bottom"/>
            <w:gridSpan w:val="3"/>
          </w:tcPr>
          <w:p>
            <w:pPr>
              <w:ind w:left="100"/>
              <w:spacing w:after="0"/>
              <w:rPr>
                <w:sz w:val="20"/>
                <w:szCs w:val="20"/>
                <w:color w:val="auto"/>
              </w:rPr>
            </w:pPr>
            <w:r>
              <w:rPr>
                <w:rFonts w:ascii="Arial" w:cs="Arial" w:eastAsia="Arial" w:hAnsi="Arial"/>
                <w:sz w:val="14"/>
                <w:szCs w:val="14"/>
                <w:b w:val="1"/>
                <w:bCs w:val="1"/>
                <w:color w:val="auto"/>
                <w:w w:val="85"/>
              </w:rPr>
              <w:t>Weighted Average</w:t>
            </w:r>
          </w:p>
        </w:tc>
      </w:tr>
      <w:tr>
        <w:trPr>
          <w:trHeight w:val="149"/>
        </w:trPr>
        <w:tc>
          <w:tcPr>
            <w:tcW w:w="2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3320" w:type="dxa"/>
            <w:vAlign w:val="bottom"/>
            <w:gridSpan w:val="3"/>
          </w:tcPr>
          <w:p>
            <w:pPr>
              <w:jc w:val="right"/>
              <w:ind w:right="160"/>
              <w:spacing w:after="0" w:line="149" w:lineRule="exact"/>
              <w:rPr>
                <w:sz w:val="20"/>
                <w:szCs w:val="20"/>
                <w:color w:val="auto"/>
              </w:rPr>
            </w:pPr>
            <w:r>
              <w:rPr>
                <w:rFonts w:ascii="Arial" w:cs="Arial" w:eastAsia="Arial" w:hAnsi="Arial"/>
                <w:sz w:val="14"/>
                <w:szCs w:val="14"/>
                <w:b w:val="1"/>
                <w:bCs w:val="1"/>
                <w:color w:val="auto"/>
              </w:rPr>
              <w:t>Restricted Stock</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20" w:type="dxa"/>
            <w:vAlign w:val="bottom"/>
          </w:tcPr>
          <w:p>
            <w:pPr>
              <w:jc w:val="right"/>
              <w:ind w:right="118"/>
              <w:spacing w:after="0" w:line="149" w:lineRule="exact"/>
              <w:rPr>
                <w:sz w:val="20"/>
                <w:szCs w:val="20"/>
                <w:color w:val="auto"/>
              </w:rPr>
            </w:pPr>
            <w:r>
              <w:rPr>
                <w:rFonts w:ascii="Arial" w:cs="Arial" w:eastAsia="Arial" w:hAnsi="Arial"/>
                <w:sz w:val="14"/>
                <w:szCs w:val="14"/>
                <w:b w:val="1"/>
                <w:bCs w:val="1"/>
                <w:color w:val="auto"/>
                <w:w w:val="97"/>
              </w:rPr>
              <w:t>Grant Date</w:t>
            </w:r>
          </w:p>
        </w:tc>
      </w:tr>
      <w:tr>
        <w:trPr>
          <w:trHeight w:val="161"/>
        </w:trPr>
        <w:tc>
          <w:tcPr>
            <w:tcW w:w="20" w:type="dxa"/>
            <w:vAlign w:val="bottom"/>
          </w:tcPr>
          <w:p>
            <w:pPr>
              <w:spacing w:after="0"/>
              <w:rPr>
                <w:sz w:val="14"/>
                <w:szCs w:val="14"/>
                <w:color w:val="auto"/>
              </w:rPr>
            </w:pPr>
          </w:p>
        </w:tc>
        <w:tc>
          <w:tcPr>
            <w:tcW w:w="418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960" w:type="dxa"/>
            <w:vAlign w:val="bottom"/>
            <w:tcBorders>
              <w:bottom w:val="single" w:sz="8" w:color="auto"/>
            </w:tcBorders>
          </w:tcPr>
          <w:p>
            <w:pPr>
              <w:jc w:val="right"/>
              <w:ind w:right="39"/>
              <w:spacing w:after="0"/>
              <w:rPr>
                <w:sz w:val="20"/>
                <w:szCs w:val="20"/>
                <w:color w:val="auto"/>
              </w:rPr>
            </w:pPr>
            <w:r>
              <w:rPr>
                <w:rFonts w:ascii="Arial" w:cs="Arial" w:eastAsia="Arial" w:hAnsi="Arial"/>
                <w:sz w:val="14"/>
                <w:szCs w:val="14"/>
                <w:b w:val="1"/>
                <w:bCs w:val="1"/>
                <w:color w:val="auto"/>
                <w:w w:val="99"/>
              </w:rPr>
              <w:t>Outstanding</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w w:val="98"/>
              </w:rPr>
              <w:t>Fair Value</w:t>
            </w:r>
          </w:p>
        </w:tc>
      </w:tr>
      <w:tr>
        <w:trPr>
          <w:trHeight w:val="210"/>
        </w:trPr>
        <w:tc>
          <w:tcPr>
            <w:tcW w:w="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3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2,746</w:t>
            </w:r>
          </w:p>
        </w:tc>
        <w:tc>
          <w:tcPr>
            <w:tcW w:w="14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8.99</w:t>
            </w:r>
          </w:p>
        </w:tc>
      </w:tr>
      <w:tr>
        <w:trPr>
          <w:trHeight w:val="216"/>
        </w:trPr>
        <w:tc>
          <w:tcPr>
            <w:tcW w:w="20" w:type="dxa"/>
            <w:vAlign w:val="bottom"/>
          </w:tcPr>
          <w:p>
            <w:pPr>
              <w:spacing w:after="0"/>
              <w:rPr>
                <w:sz w:val="18"/>
                <w:szCs w:val="18"/>
                <w:color w:val="auto"/>
              </w:rPr>
            </w:pPr>
          </w:p>
        </w:tc>
        <w:tc>
          <w:tcPr>
            <w:tcW w:w="4180" w:type="dxa"/>
            <w:vAlign w:val="bottom"/>
          </w:tcPr>
          <w:p>
            <w:pPr>
              <w:ind w:left="420"/>
              <w:spacing w:after="0"/>
              <w:rPr>
                <w:sz w:val="20"/>
                <w:szCs w:val="20"/>
                <w:color w:val="auto"/>
              </w:rPr>
            </w:pPr>
            <w:r>
              <w:rPr>
                <w:rFonts w:ascii="Arial" w:cs="Arial" w:eastAsia="Arial" w:hAnsi="Arial"/>
                <w:sz w:val="18"/>
                <w:szCs w:val="18"/>
                <w:color w:val="auto"/>
              </w:rPr>
              <w:t>Granted</w:t>
            </w:r>
          </w:p>
        </w:tc>
        <w:tc>
          <w:tcPr>
            <w:tcW w:w="3180" w:type="dxa"/>
            <w:vAlign w:val="bottom"/>
            <w:gridSpan w:val="2"/>
          </w:tcPr>
          <w:p>
            <w:pPr>
              <w:jc w:val="right"/>
              <w:spacing w:after="0"/>
              <w:rPr>
                <w:sz w:val="20"/>
                <w:szCs w:val="20"/>
                <w:color w:val="auto"/>
              </w:rPr>
            </w:pPr>
            <w:r>
              <w:rPr>
                <w:rFonts w:ascii="Arial" w:cs="Arial" w:eastAsia="Arial" w:hAnsi="Arial"/>
                <w:sz w:val="18"/>
                <w:szCs w:val="18"/>
                <w:color w:val="auto"/>
              </w:rPr>
              <w:t>4,261</w:t>
            </w:r>
          </w:p>
        </w:tc>
        <w:tc>
          <w:tcPr>
            <w:tcW w:w="140" w:type="dxa"/>
            <w:vAlign w:val="bottom"/>
          </w:tcPr>
          <w:p>
            <w:pPr>
              <w:spacing w:after="0"/>
              <w:rPr>
                <w:sz w:val="18"/>
                <w:szCs w:val="18"/>
                <w:color w:val="auto"/>
              </w:rPr>
            </w:pPr>
          </w:p>
        </w:tc>
        <w:tc>
          <w:tcPr>
            <w:tcW w:w="240" w:type="dxa"/>
            <w:vAlign w:val="bottom"/>
            <w:gridSpan w:val="2"/>
          </w:tcPr>
          <w:p>
            <w:pPr>
              <w:ind w:left="1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21.07</w:t>
            </w:r>
          </w:p>
        </w:tc>
      </w:tr>
      <w:tr>
        <w:trPr>
          <w:trHeight w:val="216"/>
        </w:trPr>
        <w:tc>
          <w:tcPr>
            <w:tcW w:w="20" w:type="dxa"/>
            <w:vAlign w:val="bottom"/>
          </w:tcPr>
          <w:p>
            <w:pPr>
              <w:spacing w:after="0"/>
              <w:rPr>
                <w:sz w:val="18"/>
                <w:szCs w:val="18"/>
                <w:color w:val="auto"/>
              </w:rPr>
            </w:pPr>
          </w:p>
        </w:tc>
        <w:tc>
          <w:tcPr>
            <w:tcW w:w="41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33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(471)</w:t>
            </w:r>
          </w:p>
        </w:tc>
        <w:tc>
          <w:tcPr>
            <w:tcW w:w="24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12.99</w:t>
            </w:r>
          </w:p>
        </w:tc>
      </w:tr>
      <w:tr>
        <w:trPr>
          <w:trHeight w:val="223"/>
        </w:trPr>
        <w:tc>
          <w:tcPr>
            <w:tcW w:w="20" w:type="dxa"/>
            <w:vAlign w:val="bottom"/>
          </w:tcPr>
          <w:p>
            <w:pPr>
              <w:spacing w:after="0"/>
              <w:rPr>
                <w:sz w:val="19"/>
                <w:szCs w:val="19"/>
                <w:color w:val="auto"/>
              </w:rPr>
            </w:pPr>
          </w:p>
        </w:tc>
        <w:tc>
          <w:tcPr>
            <w:tcW w:w="41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2220" w:type="dxa"/>
            <w:vAlign w:val="bottom"/>
          </w:tcPr>
          <w:p>
            <w:pPr>
              <w:spacing w:after="0"/>
              <w:rPr>
                <w:sz w:val="19"/>
                <w:szCs w:val="19"/>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(163)</w:t>
            </w:r>
          </w:p>
        </w:tc>
        <w:tc>
          <w:tcPr>
            <w:tcW w:w="240" w:type="dxa"/>
            <w:vAlign w:val="bottom"/>
            <w:gridSpan w:val="2"/>
          </w:tcPr>
          <w:p>
            <w:pPr>
              <w:ind w:left="1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11.69</w:t>
            </w:r>
          </w:p>
        </w:tc>
      </w:tr>
      <w:tr>
        <w:trPr>
          <w:trHeight w:val="216"/>
        </w:trPr>
        <w:tc>
          <w:tcPr>
            <w:tcW w:w="20" w:type="dxa"/>
            <w:vAlign w:val="bottom"/>
          </w:tcPr>
          <w:p>
            <w:pPr>
              <w:spacing w:after="0"/>
              <w:rPr>
                <w:sz w:val="18"/>
                <w:szCs w:val="18"/>
                <w:color w:val="auto"/>
              </w:rPr>
            </w:pPr>
          </w:p>
        </w:tc>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Balance at July 31, 2010</w:t>
            </w:r>
          </w:p>
        </w:tc>
        <w:tc>
          <w:tcPr>
            <w:tcW w:w="222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6,373</w:t>
            </w:r>
          </w:p>
        </w:tc>
        <w:tc>
          <w:tcPr>
            <w:tcW w:w="14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16.72</w:t>
            </w:r>
          </w:p>
        </w:tc>
      </w:tr>
      <w:tr>
        <w:trPr>
          <w:trHeight w:val="20"/>
        </w:trPr>
        <w:tc>
          <w:tcPr>
            <w:tcW w:w="2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222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Included in the preceding table are 557,000 restricted stock units granted to certain officers that will become exercisable only upon the achievement of certain revenue growth and/or operating performance criteria through fiscal 2012. The aggregate intrinsic value and weighted average remaining contractual term of restricted stock units vested and expected to vest as of July 31, 2010 was $83.8 million and 1.5 years, respectively.</w:t>
      </w:r>
    </w:p>
    <w:p>
      <w:pPr>
        <w:spacing w:after="0" w:line="10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Company’s current practice is to issue new shares to satisfy share option exercises. As of July 31, 2010, compensation costs related to unvested share-based awards not yet recognized amounted to $208.2 million. The unamortized compensation expense for stock options and restricted stock units will be amortized over a weighted-average period of 2.1 years and 2.6 years, respectively. The expense is recognized on a straight-line basis, except for performance-based awards which are amortized on an accelerated basis.</w:t>
      </w:r>
    </w:p>
    <w:p>
      <w:pPr>
        <w:spacing w:after="0" w:line="143" w:lineRule="exact"/>
        <w:rPr>
          <w:sz w:val="20"/>
          <w:szCs w:val="20"/>
          <w:color w:val="auto"/>
        </w:rPr>
      </w:pPr>
    </w:p>
    <w:p>
      <w:pPr>
        <w:ind w:right="500" w:firstLine="456"/>
        <w:spacing w:after="0" w:line="335" w:lineRule="auto"/>
        <w:rPr>
          <w:sz w:val="20"/>
          <w:szCs w:val="20"/>
          <w:color w:val="auto"/>
        </w:rPr>
      </w:pPr>
      <w:r>
        <w:rPr>
          <w:rFonts w:ascii="Arial" w:cs="Arial" w:eastAsia="Arial" w:hAnsi="Arial"/>
          <w:sz w:val="15"/>
          <w:szCs w:val="15"/>
          <w:color w:val="auto"/>
        </w:rPr>
        <w:t>The total tax benefit attributable to options exercised for the six months ended July 31, 2010 was $229,000 as reported on the unaudited condensed consolidated statements of cash flows in financing activities. Such excess tax benefits represent the reduction in income taxes otherwise payable during the period, attributable to the actual gross tax benefits in excess of the expected tax benefits for options exercised in current and prior periods.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Taxes</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For the three months ended July 31, 2010 and August 1, 2009, the Company’s effective tax rate was an income tax provision of 1.1% and 13.8%, respectively. For the six months ended July 31, 2010 and August 1, 2009, the Company’s effective tax rate was an income tax provision of 0.3% and 27.3%, respectively. The income tax provision for these periods was affected by non-tax-deductible expenses such as stock-based compensation expense, amortization of acquired intangibles and accrual of unrecognized tax benefits, and interest and penalties associated with unrecognized tax positions. For the three months and six ended July 31, 2010, the provision was impacted by a reduction of unrecognized tax benefits of approximately $2.3 million and $8.8 million, respectively, due to the expiration of the statute of limitation in multiple jurisdictions.</w:t>
      </w:r>
    </w:p>
    <w:p>
      <w:pPr>
        <w:spacing w:after="0" w:line="12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Company’s total unrecognized tax benefits as of July 31, 2010 and January 30, 2010 were $100.7 million and $103.3 million, respectively. The Company’s liability for potential interest and penalties as of July 31, 2010 and January 30, 2010 was $31.2 million and $29.9 million, respectively. If recognized, all of the liabilities recorded to date, except the portion attributable to the foreign exchange gains and losses, will impact the effective tax rate. During the next 12 months, the Company believes that the expiration of applicable statutes of limitations could potentially reduce its unrecognized tax benefit by up to $12.2 million. However, this amount could change because the Company may have negotiations with various tax authorities throughout the year. At this time, the Company is unable to make an estimate of the amount of payments in individual years beyond 12 months due to uncertainties in the timing of tax audit outcomes.</w:t>
      </w:r>
    </w:p>
    <w:p>
      <w:pPr>
        <w:spacing w:after="0" w:line="12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Company conducts business globally and as a result, is subject to examination by tax authorities throughout the world, including such major jurisdictions as China, Israel, Japan, Singapore, Switzerland and the United States. The Company is subject to non-U.S. and U.S. income tax examinations for years beginning with fiscal year 2002 and fiscal year 2007,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Related Party Transactions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August, 2005, through its subsidiaries MSI and MIL, the Company entered into a License and Manufacturing Services Agreement with C2 Microsystems, Inc. (“C2Micro License Agreement”). The C2Micro License Agreement has substantially similar terms as other license and manufacturing services agreements of the Company with other third parties for similar technology. The Company recognized no revenue under the C2Micro License Agreement during the three and six months ended July 31, 2010 and August 1, 2009. Dr. Sehat Sutardja, the Company’s President and Chief Executive Officer, and Weili Dai, the Vice President of Sales for Communications and Consumer Business of MSI and</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40"/>
        <w:spacing w:after="0" w:line="298" w:lineRule="auto"/>
        <w:rPr>
          <w:sz w:val="20"/>
          <w:szCs w:val="20"/>
          <w:color w:val="auto"/>
        </w:rPr>
      </w:pPr>
      <w:r>
        <w:rPr>
          <w:rFonts w:ascii="Arial" w:cs="Arial" w:eastAsia="Arial" w:hAnsi="Arial"/>
          <w:sz w:val="16"/>
          <w:szCs w:val="16"/>
          <w:color w:val="auto"/>
        </w:rPr>
        <w:t>Vice President and General Manager of Communications and Computing Business Unit of MSI, through their ownership and control of Estopia LLC, are indirect shareholders of C2 Microsystems. Dr. Sehat Sutardja and Weili Dai are husband and wife. Kuo Wei (Herbert) Chang, a member of the Company’s Board of Directors, is also an indirect shareholder of C2 Microsystems as a partner of entities who have invested in C2 Microsystems. Dr. Pantas Sutardja, the Company’s Vice President, Chief Technology Officer and Chief Research and Development Officer, is also a shareholder of C2 Microsystems.</w:t>
      </w:r>
    </w:p>
    <w:p>
      <w:pPr>
        <w:spacing w:after="0" w:line="113" w:lineRule="exact"/>
        <w:rPr>
          <w:sz w:val="20"/>
          <w:szCs w:val="20"/>
          <w:color w:val="auto"/>
        </w:rPr>
      </w:pPr>
    </w:p>
    <w:p>
      <w:pPr>
        <w:ind w:right="20" w:firstLine="456"/>
        <w:spacing w:after="0" w:line="306" w:lineRule="auto"/>
        <w:rPr>
          <w:sz w:val="20"/>
          <w:szCs w:val="20"/>
          <w:color w:val="auto"/>
        </w:rPr>
      </w:pPr>
      <w:r>
        <w:rPr>
          <w:rFonts w:ascii="Arial" w:cs="Arial" w:eastAsia="Arial" w:hAnsi="Arial"/>
          <w:sz w:val="15"/>
          <w:szCs w:val="15"/>
          <w:color w:val="auto"/>
        </w:rPr>
        <w:t>In January 2007, the Company, through MIL, entered into a Library/IP/Software Evaluation License Agreement (the “Evaluation License Agreement”) with VeriSilicon Holdings Co., Ltd. (“VeriSilicon”). The Evaluation License Agreement has no consideration. The Company incurred $48 and $2,000 of royalty expense from VeriSilicon under a core license agreement assumed from its acquisition of the semiconductor business of UTStarcom, Inc. during the three months ended July 31, 2010 and August 1, 2009, respectively. The Company incurred $48 and $6,000 of royalty expense under the same license agreement during the six months ended July 31, 2010 and August 1, 2009, respectively. This core license agreement had been assumed by VeriSilicon after its acquisition of certain assets from LSI Corporation. In March 2009, the Company entered into an addendum to this core license agreement with VeriSilicon. The Company recorded a license fee of $500,000 and maintenance fees of $80,000. In June 2009, the Company entered into a second addendum to this technology license agreement with VeriSilicon for VeriSilicon to perform services for a fee of $40,000. In December 2009, the Company entered into a third addendum to this technology agreement with VeriSilicon to license additional technology for a license fee of $275,000 with an annual support fee of $47,500. In March 2010, the Company entered into a fourth addendum to this technology agreement with VeriSilicon to license additional technology for a license fee of $2.5 million with an annual support fee of $120,000. $1.5 million of license fee and $200,000 of support fee were paid to Verisilicon during the three and six months ended July 31, 2010, respectively. $500,000 of license fee and $80,000 of support fee were paid during the three and six months ended August 1, 2009, respectively. Weili Dai’s brother (and Dr. Sehat Sutardja’s brother-in-law) is the Chairman, President and Chief Executive Officer of VeriSilicon. Ms. Dai is also a shareholder of VeriSilicon.</w:t>
      </w:r>
    </w:p>
    <w:p>
      <w:pPr>
        <w:spacing w:after="0" w:line="112" w:lineRule="exact"/>
        <w:rPr>
          <w:sz w:val="20"/>
          <w:szCs w:val="20"/>
          <w:color w:val="auto"/>
        </w:rPr>
      </w:pPr>
    </w:p>
    <w:p>
      <w:pPr>
        <w:ind w:right="80" w:firstLine="456"/>
        <w:spacing w:after="0" w:line="284" w:lineRule="auto"/>
        <w:rPr>
          <w:sz w:val="20"/>
          <w:szCs w:val="20"/>
          <w:color w:val="auto"/>
        </w:rPr>
      </w:pPr>
      <w:r>
        <w:rPr>
          <w:rFonts w:ascii="Arial" w:cs="Arial" w:eastAsia="Arial" w:hAnsi="Arial"/>
          <w:sz w:val="16"/>
          <w:szCs w:val="16"/>
          <w:color w:val="auto"/>
        </w:rPr>
        <w:t>In August 2008, the Company entered into a Technology License Agreement with Vivante. This Technology License Agreement, as amended, also had substantially similar terms as the Company would expect to obtain for license agreements with other third parties for similar technology. The Company recorded $2.0 million for the license fee and $200,000 of maintenance during the year ended January 31, 2009 in connection with this Technology License Agreement. In January 2009, the Company entered into an agreement with Vivante to disclose certain cell libraries to Vivante at no additional cost. In April 2009, the Company entered into an amendment to the Technology License Agreement with Vivante. The Company recorded $1.0 million for the license fee and $70,000 of maintenance during the three months ended May 2, 2009 in connection with the amendment to the Technology License Agreement. In June 2009, the Company entered into the second amendment to the Technology License Agreement with Vivante. The Company recorded $500,000 for the license fee and $50,000 of maintenance during the three months ended August 1, 2009. In December 2009, the Company entered into an Amended and Restated Technology License Agreement (the “Restated Technology Agreement”) with Vivante to license additional technology and to modify certain terms associated with the previously licensed technology. The total amount of the license fee was $12.0 million (paid over three years) and ten percent for maintenance fees (paid over three years). During the three and six months ended July 31, 2010, the Company paid Vivante $0.9 million and $2.6 million of license fees and $0 and $350,000 for maintenance, respectively. $1.5 million of license fees and $120,000 of maintenance fees were paid to Vivante during the six months ended August 1, 2009. The Company incurred $177,000 and $0 of royalty expense from Vivante under its agreements with Vivante during the three months ended July 31, 2010 and August 1, 2009, respectively. The Company incurred $184,000 and $0 of royalty expense from Vivante under its agreements with Vivante during the six months ended July 31, 2010 and August 1, 2009, respectively.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is also an indirect shareholder of Vivante as a partner of entities who have invested in Vivante.</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Subsequent Event</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On August 19, 2010, the Company announced that its Board of Directors approved a $500 million share repurchase program. The repurchase program does not have a scheduled expiration date.</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ind w:right="140" w:firstLine="447"/>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that involve risks and uncertainties. These statements include, without limitation, statements regarding our expectations, beliefs, intentions or strategies regarding the future.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our expectations regarding industry trends; our expectations regarding our inventory levels; our expectations regarding competition; our expectations relating to the protection of our intellectual property; our expectations regarding the amount of customer concentration in the future; our expectations regarding the amount of our future sales in Asia; our plans and expectations regarding our auction rate securities; our expectations regarding acquisitions, investments, strategic alliances and joint ventures; our expectations regarding net revenue, cash flows and expense for the third quarter ending October 30, 2010 compared with the second quarter ended July 31, 2010; our expectations regarding the impact of legal proceedings and claims; our expectations regarding the adequacy of our capital resources, capital expenditures, investment requirements and commitments to meet our capital needs for the next 12 months; our ability to attract and retain highly skilled personnel; our expectations regarding the growth in business and operations; our plan regarding forward exchange contracts and the effect of foreign exchange rates;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the worldwide financial crisis; the impact of international conflict and continued economic volatility in either domestic or foreign markets; our dependence upon the hard disk drive and mobile and wireless industry which is highly cyclical;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our ability to compete in the mobile and wireless communications markets; the impact of lengthy and expensive product sales cycles;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2"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Overview</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physical-layer transceiver (“PHY”), handheld cellular, Ethernet-based wireless networking, personal area networking, Ethernet-based PC connectivity, control plane communications, powerline communications,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0" w:lineRule="exact"/>
        <w:rPr>
          <w:sz w:val="20"/>
          <w:szCs w:val="20"/>
          <w:color w:val="auto"/>
        </w:rPr>
      </w:pPr>
    </w:p>
    <w:p>
      <w:pPr>
        <w:ind w:firstLine="351"/>
        <w:spacing w:after="0" w:line="323"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8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320"/>
          </w:cols>
          <w:pgMar w:left="240" w:top="459" w:right="3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second quarter of fiscal 2011was challenging due to lower demand for PCs, which in turn led to excess inventory build-up in the supply chain for hard disk drives. Despite these challenges, during our fiscal second quarter, we generated revenues of $896.5 million, a 5% sequential increase, and a 40% increase over the same period a year ago. We delivered diluted earnings per share of $0.33, and generated $319 million in cash from operations. We believe these results demonstrate the robustness of our business model, and our ability to sustain revenue growth and excellent profitability in spite of challenges experienced in one of the three end markets we serve. We saw better than expected results in the mobile and wireless end markets, which increased significantly compared to the first six months of fiscal 2010. Our combined revenue from the mobile and wireless end market now represents nearly one-third of our total revenue.</w:t>
      </w:r>
    </w:p>
    <w:p>
      <w:pPr>
        <w:spacing w:after="0" w:line="120"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2011 and fiscal 2010 are comprised of 52-week periods. In this Quarterly Report on Form 10-Q, we refer to the fiscal year ended January 31, 2009 as fiscal 2009, the fiscal year ended January 30, 2010 as fiscal 2010, and the fiscal year ending January 29, 2011 as fiscal 2011.</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Critical Accounting Policies and Estimates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30, 2010. As noted in “Note 2: Recent Accounting Pronouncements and Accounting Changes” in Part 1, Item 1 of this Form 10-Q, we adopted new accounting guidance related to the revenue recognition of multiple element arrangements. However, the adoption did not impact our financial condition or results of operations, therefore, there have been no material changes in any of our critical accounting policies during fiscal 2011.</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Results of Operations</w:t>
      </w:r>
    </w:p>
    <w:p>
      <w:pPr>
        <w:spacing w:after="0" w:line="9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28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1580" w:type="dxa"/>
            <w:vAlign w:val="bottom"/>
            <w:gridSpan w:val="4"/>
          </w:tcPr>
          <w:p>
            <w:pPr>
              <w:jc w:val="right"/>
              <w:ind w:right="300"/>
              <w:spacing w:after="0"/>
              <w:rPr>
                <w:sz w:val="20"/>
                <w:szCs w:val="20"/>
                <w:color w:val="auto"/>
              </w:rPr>
            </w:pPr>
            <w:r>
              <w:rPr>
                <w:rFonts w:ascii="Arial" w:cs="Arial" w:eastAsia="Arial" w:hAnsi="Arial"/>
                <w:sz w:val="14"/>
                <w:szCs w:val="14"/>
                <w:b w:val="1"/>
                <w:bCs w:val="1"/>
                <w:color w:val="auto"/>
                <w:w w:val="90"/>
              </w:rPr>
              <w:t>Three Months Ended</w:t>
            </w:r>
          </w:p>
        </w:tc>
        <w:tc>
          <w:tcPr>
            <w:tcW w:w="1560" w:type="dxa"/>
            <w:vAlign w:val="bottom"/>
            <w:gridSpan w:val="4"/>
          </w:tcPr>
          <w:p>
            <w:pPr>
              <w:jc w:val="right"/>
              <w:ind w:right="380"/>
              <w:spacing w:after="0"/>
              <w:rPr>
                <w:sz w:val="20"/>
                <w:szCs w:val="20"/>
                <w:color w:val="auto"/>
              </w:rPr>
            </w:pPr>
            <w:r>
              <w:rPr>
                <w:rFonts w:ascii="Arial" w:cs="Arial" w:eastAsia="Arial" w:hAnsi="Arial"/>
                <w:sz w:val="14"/>
                <w:szCs w:val="14"/>
                <w:b w:val="1"/>
                <w:bCs w:val="1"/>
                <w:color w:val="auto"/>
                <w:w w:val="95"/>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280" w:type="dxa"/>
            <w:vAlign w:val="bottom"/>
          </w:tcPr>
          <w:p>
            <w:pPr>
              <w:spacing w:after="0"/>
              <w:rPr>
                <w:sz w:val="11"/>
                <w:szCs w:val="11"/>
                <w:color w:val="auto"/>
              </w:rPr>
            </w:pPr>
          </w:p>
        </w:tc>
        <w:tc>
          <w:tcPr>
            <w:tcW w:w="3060" w:type="dxa"/>
            <w:vAlign w:val="bottom"/>
          </w:tcPr>
          <w:p>
            <w:pPr>
              <w:spacing w:after="0"/>
              <w:rPr>
                <w:sz w:val="11"/>
                <w:szCs w:val="11"/>
                <w:color w:val="auto"/>
              </w:rPr>
            </w:pPr>
          </w:p>
        </w:tc>
        <w:tc>
          <w:tcPr>
            <w:tcW w:w="76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85"/>
              </w:rPr>
              <w:t>July 31,</w:t>
            </w: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280" w:type="dxa"/>
            <w:vAlign w:val="bottom"/>
          </w:tcPr>
          <w:p>
            <w:pPr>
              <w:spacing w:after="0"/>
              <w:rPr>
                <w:sz w:val="11"/>
                <w:szCs w:val="11"/>
                <w:color w:val="auto"/>
              </w:rPr>
            </w:pPr>
          </w:p>
        </w:tc>
        <w:tc>
          <w:tcPr>
            <w:tcW w:w="76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July 31,</w:t>
            </w: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28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54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54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rPr>
              <w:t>2009</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8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100.0%</w:t>
            </w: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100.0%</w:t>
            </w: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100.0%</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0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382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40.9</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45.0</w:t>
            </w:r>
          </w:p>
        </w:tc>
        <w:tc>
          <w:tcPr>
            <w:tcW w:w="2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3820" w:type="dxa"/>
            <w:vAlign w:val="bottom"/>
            <w:gridSpan w:val="3"/>
          </w:tcPr>
          <w:p>
            <w:pPr>
              <w:jc w:val="right"/>
              <w:ind w:right="300"/>
              <w:spacing w:after="0"/>
              <w:rPr>
                <w:sz w:val="20"/>
                <w:szCs w:val="20"/>
                <w:color w:val="auto"/>
              </w:rPr>
            </w:pPr>
            <w:r>
              <w:rPr>
                <w:rFonts w:ascii="Arial" w:cs="Arial" w:eastAsia="Arial" w:hAnsi="Arial"/>
                <w:sz w:val="18"/>
                <w:szCs w:val="18"/>
                <w:color w:val="auto"/>
              </w:rPr>
              <w:t>25.5</w:t>
            </w:r>
          </w:p>
        </w:tc>
        <w:tc>
          <w:tcPr>
            <w:tcW w:w="540" w:type="dxa"/>
            <w:vAlign w:val="bottom"/>
          </w:tcPr>
          <w:p>
            <w:pPr>
              <w:jc w:val="right"/>
              <w:spacing w:after="0"/>
              <w:rPr>
                <w:sz w:val="20"/>
                <w:szCs w:val="20"/>
                <w:color w:val="auto"/>
              </w:rPr>
            </w:pPr>
            <w:r>
              <w:rPr>
                <w:rFonts w:ascii="Arial" w:cs="Arial" w:eastAsia="Arial" w:hAnsi="Arial"/>
                <w:sz w:val="18"/>
                <w:szCs w:val="18"/>
                <w:color w:val="auto"/>
              </w:rPr>
              <w:t>30.7</w:t>
            </w:r>
          </w:p>
        </w:tc>
        <w:tc>
          <w:tcPr>
            <w:tcW w:w="28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25.5</w:t>
            </w:r>
          </w:p>
        </w:tc>
        <w:tc>
          <w:tcPr>
            <w:tcW w:w="30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34.6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382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4.1</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2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3820" w:type="dxa"/>
            <w:vAlign w:val="bottom"/>
            <w:gridSpan w:val="3"/>
          </w:tcPr>
          <w:p>
            <w:pPr>
              <w:jc w:val="right"/>
              <w:ind w:right="300"/>
              <w:spacing w:after="0"/>
              <w:rPr>
                <w:sz w:val="20"/>
                <w:szCs w:val="20"/>
                <w:color w:val="auto"/>
              </w:rPr>
            </w:pPr>
            <w:r>
              <w:rPr>
                <w:rFonts w:ascii="Arial" w:cs="Arial" w:eastAsia="Arial" w:hAnsi="Arial"/>
                <w:sz w:val="18"/>
                <w:szCs w:val="18"/>
                <w:color w:val="auto"/>
              </w:rPr>
              <w:t>2.8</w:t>
            </w:r>
          </w:p>
        </w:tc>
        <w:tc>
          <w:tcPr>
            <w:tcW w:w="540" w:type="dxa"/>
            <w:vAlign w:val="bottom"/>
          </w:tcPr>
          <w:p>
            <w:pPr>
              <w:jc w:val="right"/>
              <w:spacing w:after="0"/>
              <w:rPr>
                <w:sz w:val="20"/>
                <w:szCs w:val="20"/>
                <w:color w:val="auto"/>
              </w:rPr>
            </w:pPr>
            <w:r>
              <w:rPr>
                <w:rFonts w:ascii="Arial" w:cs="Arial" w:eastAsia="Arial" w:hAnsi="Arial"/>
                <w:sz w:val="18"/>
                <w:szCs w:val="18"/>
                <w:color w:val="auto"/>
              </w:rPr>
              <w:t>4.6</w:t>
            </w:r>
          </w:p>
        </w:tc>
        <w:tc>
          <w:tcPr>
            <w:tcW w:w="28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2.8</w:t>
            </w:r>
          </w:p>
        </w:tc>
        <w:tc>
          <w:tcPr>
            <w:tcW w:w="30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11.4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30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2.4</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2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28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30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280" w:type="dxa"/>
            <w:vAlign w:val="bottom"/>
            <w:vMerge w:val="continue"/>
          </w:tcPr>
          <w:p>
            <w:pPr>
              <w:spacing w:after="0"/>
              <w:rPr>
                <w:sz w:val="19"/>
                <w:szCs w:val="19"/>
                <w:color w:val="auto"/>
              </w:rPr>
            </w:pPr>
          </w:p>
        </w:tc>
        <w:tc>
          <w:tcPr>
            <w:tcW w:w="3060" w:type="dxa"/>
            <w:vAlign w:val="bottom"/>
          </w:tcPr>
          <w:p>
            <w:pPr>
              <w:spacing w:after="0"/>
              <w:rPr>
                <w:sz w:val="19"/>
                <w:szCs w:val="19"/>
                <w:color w:val="auto"/>
              </w:rPr>
            </w:pPr>
          </w:p>
        </w:tc>
        <w:tc>
          <w:tcPr>
            <w:tcW w:w="760" w:type="dxa"/>
            <w:vAlign w:val="bottom"/>
            <w:gridSpan w:val="2"/>
          </w:tcPr>
          <w:p>
            <w:pPr>
              <w:jc w:val="right"/>
              <w:ind w:right="300"/>
              <w:spacing w:after="0"/>
              <w:rPr>
                <w:sz w:val="20"/>
                <w:szCs w:val="20"/>
                <w:color w:val="auto"/>
              </w:rPr>
            </w:pPr>
            <w:r>
              <w:rPr>
                <w:rFonts w:ascii="Arial" w:cs="Arial" w:eastAsia="Arial" w:hAnsi="Arial"/>
                <w:sz w:val="18"/>
                <w:szCs w:val="18"/>
                <w:color w:val="auto"/>
              </w:rPr>
              <w:t>75.7</w:t>
            </w:r>
          </w:p>
        </w:tc>
        <w:tc>
          <w:tcPr>
            <w:tcW w:w="540" w:type="dxa"/>
            <w:vAlign w:val="bottom"/>
          </w:tcPr>
          <w:p>
            <w:pPr>
              <w:jc w:val="right"/>
              <w:spacing w:after="0"/>
              <w:rPr>
                <w:sz w:val="20"/>
                <w:szCs w:val="20"/>
                <w:color w:val="auto"/>
              </w:rPr>
            </w:pPr>
            <w:r>
              <w:rPr>
                <w:rFonts w:ascii="Arial" w:cs="Arial" w:eastAsia="Arial" w:hAnsi="Arial"/>
                <w:sz w:val="18"/>
                <w:szCs w:val="18"/>
                <w:color w:val="auto"/>
              </w:rPr>
              <w:t>89.5</w:t>
            </w:r>
          </w:p>
        </w:tc>
        <w:tc>
          <w:tcPr>
            <w:tcW w:w="28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75.6</w:t>
            </w:r>
          </w:p>
        </w:tc>
        <w:tc>
          <w:tcPr>
            <w:tcW w:w="300" w:type="dxa"/>
            <w:vAlign w:val="bottom"/>
          </w:tcPr>
          <w:p>
            <w:pPr>
              <w:spacing w:after="0"/>
              <w:rPr>
                <w:sz w:val="19"/>
                <w:szCs w:val="19"/>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103.6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280" w:type="dxa"/>
            <w:vAlign w:val="bottom"/>
          </w:tcPr>
          <w:p>
            <w:pPr>
              <w:spacing w:after="0"/>
              <w:rPr>
                <w:sz w:val="2"/>
                <w:szCs w:val="2"/>
                <w:color w:val="auto"/>
              </w:rPr>
            </w:pPr>
          </w:p>
        </w:tc>
        <w:tc>
          <w:tcPr>
            <w:tcW w:w="306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30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24.3</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w:t>
            </w:r>
          </w:p>
        </w:tc>
        <w:tc>
          <w:tcPr>
            <w:tcW w:w="2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w:t>
            </w: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3820" w:type="dxa"/>
            <w:vAlign w:val="bottom"/>
            <w:gridSpan w:val="3"/>
          </w:tcPr>
          <w:p>
            <w:pPr>
              <w:jc w:val="right"/>
              <w:ind w:right="300"/>
              <w:spacing w:after="0"/>
              <w:rPr>
                <w:sz w:val="20"/>
                <w:szCs w:val="20"/>
                <w:color w:val="auto"/>
              </w:rPr>
            </w:pPr>
            <w:r>
              <w:rPr>
                <w:rFonts w:ascii="Arial" w:cs="Arial" w:eastAsia="Arial" w:hAnsi="Arial"/>
                <w:sz w:val="18"/>
                <w:szCs w:val="18"/>
                <w:color w:val="auto"/>
              </w:rPr>
              <w:t>0.5</w:t>
            </w:r>
          </w:p>
        </w:tc>
        <w:tc>
          <w:tcPr>
            <w:tcW w:w="540" w:type="dxa"/>
            <w:vAlign w:val="bottom"/>
          </w:tcPr>
          <w:p>
            <w:pPr>
              <w:jc w:val="right"/>
              <w:spacing w:after="0"/>
              <w:rPr>
                <w:sz w:val="20"/>
                <w:szCs w:val="20"/>
                <w:color w:val="auto"/>
              </w:rPr>
            </w:pPr>
            <w:r>
              <w:rPr>
                <w:rFonts w:ascii="Arial" w:cs="Arial" w:eastAsia="Arial" w:hAnsi="Arial"/>
                <w:sz w:val="18"/>
                <w:szCs w:val="18"/>
                <w:color w:val="auto"/>
              </w:rPr>
              <w:t>0.3</w:t>
            </w:r>
          </w:p>
        </w:tc>
        <w:tc>
          <w:tcPr>
            <w:tcW w:w="28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0.0</w:t>
            </w:r>
          </w:p>
        </w:tc>
        <w:tc>
          <w:tcPr>
            <w:tcW w:w="30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30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(0.0)</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(0.2)</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(0.0)</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0"/>
        </w:trPr>
        <w:tc>
          <w:tcPr>
            <w:tcW w:w="430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30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00" w:type="dxa"/>
            <w:vAlign w:val="bottom"/>
            <w:gridSpan w:val="2"/>
            <w:vMerge w:val="continue"/>
          </w:tcPr>
          <w:p>
            <w:pPr>
              <w:spacing w:after="0"/>
              <w:rPr>
                <w:sz w:val="19"/>
                <w:szCs w:val="19"/>
                <w:color w:val="auto"/>
              </w:rPr>
            </w:pPr>
          </w:p>
        </w:tc>
        <w:tc>
          <w:tcPr>
            <w:tcW w:w="3060" w:type="dxa"/>
            <w:vAlign w:val="bottom"/>
          </w:tcPr>
          <w:p>
            <w:pPr>
              <w:spacing w:after="0"/>
              <w:rPr>
                <w:sz w:val="19"/>
                <w:szCs w:val="19"/>
                <w:color w:val="auto"/>
              </w:rPr>
            </w:pPr>
          </w:p>
        </w:tc>
        <w:tc>
          <w:tcPr>
            <w:tcW w:w="760" w:type="dxa"/>
            <w:vAlign w:val="bottom"/>
            <w:gridSpan w:val="2"/>
          </w:tcPr>
          <w:p>
            <w:pPr>
              <w:jc w:val="right"/>
              <w:ind w:right="300"/>
              <w:spacing w:after="0"/>
              <w:rPr>
                <w:sz w:val="20"/>
                <w:szCs w:val="20"/>
                <w:color w:val="auto"/>
              </w:rPr>
            </w:pPr>
            <w:r>
              <w:rPr>
                <w:rFonts w:ascii="Arial" w:cs="Arial" w:eastAsia="Arial" w:hAnsi="Arial"/>
                <w:sz w:val="18"/>
                <w:szCs w:val="18"/>
                <w:color w:val="auto"/>
              </w:rPr>
              <w:t>24.8</w:t>
            </w:r>
          </w:p>
        </w:tc>
        <w:tc>
          <w:tcPr>
            <w:tcW w:w="540" w:type="dxa"/>
            <w:vAlign w:val="bottom"/>
          </w:tcPr>
          <w:p>
            <w:pPr>
              <w:jc w:val="right"/>
              <w:spacing w:after="0"/>
              <w:rPr>
                <w:sz w:val="20"/>
                <w:szCs w:val="20"/>
                <w:color w:val="auto"/>
              </w:rPr>
            </w:pPr>
            <w:r>
              <w:rPr>
                <w:rFonts w:ascii="Arial" w:cs="Arial" w:eastAsia="Arial" w:hAnsi="Arial"/>
                <w:sz w:val="18"/>
                <w:szCs w:val="18"/>
                <w:color w:val="auto"/>
              </w:rPr>
              <w:t>10.6</w:t>
            </w:r>
          </w:p>
        </w:tc>
        <w:tc>
          <w:tcPr>
            <w:tcW w:w="28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24.4</w:t>
            </w:r>
          </w:p>
        </w:tc>
        <w:tc>
          <w:tcPr>
            <w:tcW w:w="300" w:type="dxa"/>
            <w:vAlign w:val="bottom"/>
          </w:tcPr>
          <w:p>
            <w:pPr>
              <w:spacing w:after="0"/>
              <w:rPr>
                <w:sz w:val="19"/>
                <w:szCs w:val="19"/>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30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0.3</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3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0"/>
        </w:trPr>
        <w:tc>
          <w:tcPr>
            <w:tcW w:w="4300" w:type="dxa"/>
            <w:vAlign w:val="bottom"/>
            <w:gridSpan w:val="2"/>
            <w:vMerge w:val="restart"/>
          </w:tcPr>
          <w:p>
            <w:pPr>
              <w:spacing w:after="0"/>
              <w:rPr>
                <w:sz w:val="20"/>
                <w:szCs w:val="20"/>
                <w:color w:val="auto"/>
              </w:rPr>
            </w:pPr>
            <w:r>
              <w:rPr>
                <w:rFonts w:ascii="Arial" w:cs="Arial" w:eastAsia="Arial" w:hAnsi="Arial"/>
                <w:sz w:val="18"/>
                <w:szCs w:val="18"/>
                <w:color w:val="auto"/>
              </w:rPr>
              <w:t>Net income (loss)</w:t>
            </w:r>
          </w:p>
        </w:tc>
        <w:tc>
          <w:tcPr>
            <w:tcW w:w="30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300" w:type="dxa"/>
            <w:vAlign w:val="bottom"/>
            <w:gridSpan w:val="2"/>
            <w:vMerge w:val="continue"/>
          </w:tcPr>
          <w:p>
            <w:pPr>
              <w:spacing w:after="0"/>
              <w:rPr>
                <w:sz w:val="19"/>
                <w:szCs w:val="19"/>
                <w:color w:val="auto"/>
              </w:rPr>
            </w:pPr>
          </w:p>
        </w:tc>
        <w:tc>
          <w:tcPr>
            <w:tcW w:w="3060" w:type="dxa"/>
            <w:vAlign w:val="bottom"/>
          </w:tcPr>
          <w:p>
            <w:pPr>
              <w:spacing w:after="0"/>
              <w:rPr>
                <w:sz w:val="19"/>
                <w:szCs w:val="19"/>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24.5%</w:t>
            </w: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9.1%</w:t>
            </w: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24.3%</w:t>
            </w: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280" w:type="dxa"/>
            <w:vAlign w:val="bottom"/>
          </w:tcPr>
          <w:p>
            <w:pPr>
              <w:spacing w:after="0" w:line="20" w:lineRule="exact"/>
              <w:rPr>
                <w:sz w:val="1"/>
                <w:szCs w:val="1"/>
                <w:color w:val="auto"/>
              </w:rPr>
            </w:pPr>
          </w:p>
        </w:tc>
        <w:tc>
          <w:tcPr>
            <w:tcW w:w="3060" w:type="dxa"/>
            <w:vAlign w:val="bottom"/>
            <w:vMerge w:val="restart"/>
          </w:tcPr>
          <w:p>
            <w:pPr>
              <w:jc w:val="right"/>
              <w:ind w:right="1932"/>
              <w:spacing w:after="0"/>
              <w:rPr>
                <w:sz w:val="20"/>
                <w:szCs w:val="20"/>
                <w:color w:val="auto"/>
              </w:rPr>
            </w:pPr>
            <w:r>
              <w:rPr>
                <w:rFonts w:ascii="Arial" w:cs="Arial" w:eastAsia="Arial" w:hAnsi="Arial"/>
                <w:sz w:val="18"/>
                <w:szCs w:val="18"/>
                <w:color w:val="auto"/>
              </w:rPr>
              <w:t>26</w:t>
            </w:r>
          </w:p>
        </w:tc>
        <w:tc>
          <w:tcPr>
            <w:tcW w:w="4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280" w:type="dxa"/>
            <w:vAlign w:val="bottom"/>
          </w:tcPr>
          <w:p>
            <w:pPr>
              <w:spacing w:after="0"/>
              <w:rPr>
                <w:sz w:val="24"/>
                <w:szCs w:val="24"/>
                <w:color w:val="auto"/>
              </w:rPr>
            </w:pPr>
          </w:p>
        </w:tc>
        <w:tc>
          <w:tcPr>
            <w:tcW w:w="3060" w:type="dxa"/>
            <w:vAlign w:val="bottom"/>
            <w:vMerge w:val="continue"/>
          </w:tcPr>
          <w:p>
            <w:pPr>
              <w:spacing w:after="0"/>
              <w:rPr>
                <w:sz w:val="24"/>
                <w:szCs w:val="24"/>
                <w:color w:val="auto"/>
              </w:rPr>
            </w:pP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Three and Six Months Ended July 31, 2010 and August 1, 2009</w:t>
      </w:r>
    </w:p>
    <w:p>
      <w:pPr>
        <w:spacing w:after="0" w:line="90"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1560" w:type="dxa"/>
            <w:vAlign w:val="bottom"/>
            <w:gridSpan w:val="3"/>
          </w:tcPr>
          <w:p>
            <w:pPr>
              <w:ind w:left="160"/>
              <w:spacing w:after="0"/>
              <w:rPr>
                <w:sz w:val="20"/>
                <w:szCs w:val="20"/>
                <w:color w:val="auto"/>
              </w:rPr>
            </w:pPr>
            <w:r>
              <w:rPr>
                <w:rFonts w:ascii="Arial" w:cs="Arial" w:eastAsia="Arial" w:hAnsi="Arial"/>
                <w:sz w:val="14"/>
                <w:szCs w:val="14"/>
                <w:b w:val="1"/>
                <w:bCs w:val="1"/>
                <w:color w:val="auto"/>
                <w:w w:val="99"/>
              </w:rPr>
              <w:t>Three Months Ended</w:t>
            </w:r>
          </w:p>
        </w:tc>
        <w:tc>
          <w:tcPr>
            <w:tcW w:w="640" w:type="dxa"/>
            <w:vAlign w:val="bottom"/>
            <w:gridSpan w:val="2"/>
            <w:vMerge w:val="restart"/>
          </w:tcPr>
          <w:p>
            <w:pPr>
              <w:ind w:left="360"/>
              <w:spacing w:after="0"/>
              <w:rPr>
                <w:sz w:val="20"/>
                <w:szCs w:val="20"/>
                <w:color w:val="auto"/>
              </w:rPr>
            </w:pPr>
            <w:r>
              <w:rPr>
                <w:rFonts w:ascii="Arial" w:cs="Arial" w:eastAsia="Arial" w:hAnsi="Arial"/>
                <w:sz w:val="14"/>
                <w:szCs w:val="14"/>
                <w:b w:val="1"/>
                <w:bCs w:val="1"/>
                <w:color w:val="auto"/>
              </w:rPr>
              <w:t>%</w:t>
            </w:r>
          </w:p>
        </w:tc>
        <w:tc>
          <w:tcPr>
            <w:tcW w:w="420" w:type="dxa"/>
            <w:vAlign w:val="bottom"/>
          </w:tcPr>
          <w:p>
            <w:pPr>
              <w:spacing w:after="0"/>
              <w:rPr>
                <w:sz w:val="14"/>
                <w:szCs w:val="14"/>
                <w:color w:val="auto"/>
              </w:rPr>
            </w:pPr>
          </w:p>
        </w:tc>
        <w:tc>
          <w:tcPr>
            <w:tcW w:w="2000" w:type="dxa"/>
            <w:vAlign w:val="bottom"/>
            <w:gridSpan w:val="4"/>
          </w:tcPr>
          <w:p>
            <w:pPr>
              <w:ind w:left="36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2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680" w:type="dxa"/>
            <w:vAlign w:val="bottom"/>
            <w:tcBorders>
              <w:top w:val="single" w:sz="8" w:color="auto"/>
            </w:tcBorders>
          </w:tcPr>
          <w:p>
            <w:pPr>
              <w:ind w:left="120"/>
              <w:spacing w:after="0" w:line="129" w:lineRule="exact"/>
              <w:rPr>
                <w:sz w:val="20"/>
                <w:szCs w:val="20"/>
                <w:color w:val="auto"/>
              </w:rPr>
            </w:pPr>
            <w:r>
              <w:rPr>
                <w:rFonts w:ascii="Arial" w:cs="Arial" w:eastAsia="Arial" w:hAnsi="Arial"/>
                <w:sz w:val="14"/>
                <w:szCs w:val="14"/>
                <w:b w:val="1"/>
                <w:bCs w:val="1"/>
                <w:color w:val="auto"/>
              </w:rPr>
              <w:t>July 31,</w:t>
            </w:r>
          </w:p>
        </w:tc>
        <w:tc>
          <w:tcPr>
            <w:tcW w:w="2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w w:val="93"/>
              </w:rPr>
              <w:t>August 1,</w:t>
            </w:r>
          </w:p>
        </w:tc>
        <w:tc>
          <w:tcPr>
            <w:tcW w:w="640" w:type="dxa"/>
            <w:vAlign w:val="bottom"/>
            <w:gridSpan w:val="2"/>
            <w:vMerge w:val="continue"/>
          </w:tcPr>
          <w:p>
            <w:pPr>
              <w:spacing w:after="0"/>
              <w:rPr>
                <w:sz w:val="11"/>
                <w:szCs w:val="11"/>
                <w:color w:val="auto"/>
              </w:rPr>
            </w:pPr>
          </w:p>
        </w:tc>
        <w:tc>
          <w:tcPr>
            <w:tcW w:w="420" w:type="dxa"/>
            <w:vAlign w:val="bottom"/>
          </w:tcPr>
          <w:p>
            <w:pPr>
              <w:spacing w:after="0"/>
              <w:rPr>
                <w:sz w:val="11"/>
                <w:szCs w:val="11"/>
                <w:color w:val="auto"/>
              </w:rPr>
            </w:pPr>
          </w:p>
        </w:tc>
        <w:tc>
          <w:tcPr>
            <w:tcW w:w="1000" w:type="dxa"/>
            <w:vAlign w:val="bottom"/>
            <w:tcBorders>
              <w:top w:val="single" w:sz="8" w:color="auto"/>
            </w:tcBorders>
            <w:gridSpan w:val="2"/>
          </w:tcPr>
          <w:p>
            <w:pPr>
              <w:jc w:val="center"/>
              <w:ind w:right="220"/>
              <w:spacing w:after="0" w:line="129" w:lineRule="exact"/>
              <w:rPr>
                <w:sz w:val="20"/>
                <w:szCs w:val="20"/>
                <w:color w:val="auto"/>
              </w:rPr>
            </w:pPr>
            <w:r>
              <w:rPr>
                <w:rFonts w:ascii="Arial" w:cs="Arial" w:eastAsia="Arial" w:hAnsi="Arial"/>
                <w:sz w:val="14"/>
                <w:szCs w:val="14"/>
                <w:b w:val="1"/>
                <w:bCs w:val="1"/>
                <w:color w:val="auto"/>
                <w:w w:val="89"/>
              </w:rPr>
              <w:t>July 31,</w:t>
            </w:r>
          </w:p>
        </w:tc>
        <w:tc>
          <w:tcPr>
            <w:tcW w:w="7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4"/>
              </w:rPr>
              <w:t>August 1,</w:t>
            </w:r>
          </w:p>
        </w:tc>
        <w:tc>
          <w:tcPr>
            <w:tcW w:w="2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680" w:type="dxa"/>
            <w:vAlign w:val="bottom"/>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680" w:type="dxa"/>
            <w:vAlign w:val="bottom"/>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200" w:type="dxa"/>
            <w:vAlign w:val="bottom"/>
            <w:vMerge w:val="restart"/>
          </w:tcPr>
          <w:p>
            <w:pPr>
              <w:ind w:left="20"/>
              <w:spacing w:after="0"/>
              <w:rPr>
                <w:sz w:val="20"/>
                <w:szCs w:val="20"/>
                <w:color w:val="auto"/>
              </w:rPr>
            </w:pPr>
            <w:r>
              <w:rPr>
                <w:rFonts w:ascii="Arial" w:cs="Arial" w:eastAsia="Arial" w:hAnsi="Arial"/>
                <w:sz w:val="14"/>
                <w:szCs w:val="14"/>
                <w:b w:val="1"/>
                <w:bCs w:val="1"/>
                <w:color w:val="auto"/>
                <w:w w:val="93"/>
              </w:rPr>
              <w:t>(in</w:t>
            </w:r>
          </w:p>
        </w:tc>
        <w:tc>
          <w:tcPr>
            <w:tcW w:w="86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780" w:type="dxa"/>
            <w:vAlign w:val="bottom"/>
          </w:tcPr>
          <w:p>
            <w:pPr>
              <w:jc w:val="center"/>
              <w:spacing w:after="0"/>
              <w:rPr>
                <w:sz w:val="20"/>
                <w:szCs w:val="20"/>
                <w:color w:val="auto"/>
              </w:rPr>
            </w:pPr>
            <w:r>
              <w:rPr>
                <w:rFonts w:ascii="Arial" w:cs="Arial" w:eastAsia="Arial" w:hAnsi="Arial"/>
                <w:sz w:val="14"/>
                <w:szCs w:val="14"/>
                <w:b w:val="1"/>
                <w:bCs w:val="1"/>
                <w:color w:val="auto"/>
                <w:w w:val="83"/>
              </w:rPr>
              <w:t>2010</w:t>
            </w:r>
          </w:p>
        </w:tc>
        <w:tc>
          <w:tcPr>
            <w:tcW w:w="220" w:type="dxa"/>
            <w:vAlign w:val="bottom"/>
          </w:tcPr>
          <w:p>
            <w:pPr>
              <w:spacing w:after="0"/>
              <w:rPr>
                <w:sz w:val="14"/>
                <w:szCs w:val="14"/>
                <w:color w:val="auto"/>
              </w:rPr>
            </w:pPr>
          </w:p>
        </w:tc>
        <w:tc>
          <w:tcPr>
            <w:tcW w:w="780" w:type="dxa"/>
            <w:vAlign w:val="bottom"/>
          </w:tcPr>
          <w:p>
            <w:pPr>
              <w:jc w:val="center"/>
              <w:spacing w:after="0"/>
              <w:rPr>
                <w:sz w:val="20"/>
                <w:szCs w:val="20"/>
                <w:color w:val="auto"/>
              </w:rPr>
            </w:pPr>
            <w:r>
              <w:rPr>
                <w:rFonts w:ascii="Arial" w:cs="Arial" w:eastAsia="Arial" w:hAnsi="Arial"/>
                <w:sz w:val="14"/>
                <w:szCs w:val="14"/>
                <w:b w:val="1"/>
                <w:bCs w:val="1"/>
                <w:color w:val="auto"/>
                <w:w w:val="83"/>
              </w:rPr>
              <w:t>2009</w:t>
            </w:r>
          </w:p>
        </w:tc>
        <w:tc>
          <w:tcPr>
            <w:tcW w:w="22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0"/>
        </w:trPr>
        <w:tc>
          <w:tcPr>
            <w:tcW w:w="352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vMerge w:val="continue"/>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352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vMerge w:val="continue"/>
          </w:tcPr>
          <w:p>
            <w:pPr>
              <w:spacing w:after="0"/>
              <w:rPr>
                <w:sz w:val="12"/>
                <w:szCs w:val="12"/>
                <w:color w:val="auto"/>
              </w:rPr>
            </w:pPr>
          </w:p>
        </w:tc>
        <w:tc>
          <w:tcPr>
            <w:tcW w:w="1860" w:type="dxa"/>
            <w:vAlign w:val="bottom"/>
            <w:gridSpan w:val="4"/>
          </w:tcPr>
          <w:p>
            <w:pPr>
              <w:spacing w:after="0" w:line="142" w:lineRule="exact"/>
              <w:rPr>
                <w:sz w:val="20"/>
                <w:szCs w:val="20"/>
                <w:color w:val="auto"/>
              </w:rPr>
            </w:pPr>
            <w:r>
              <w:rPr>
                <w:rFonts w:ascii="Arial" w:cs="Arial" w:eastAsia="Arial" w:hAnsi="Arial"/>
                <w:sz w:val="14"/>
                <w:szCs w:val="14"/>
                <w:b w:val="1"/>
                <w:bCs w:val="1"/>
                <w:color w:val="auto"/>
                <w:w w:val="89"/>
              </w:rPr>
              <w:t>thousands, except percentage)</w:t>
            </w: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$896,474</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$640,620</w:t>
            </w:r>
          </w:p>
        </w:tc>
        <w:tc>
          <w:tcPr>
            <w:tcW w:w="1060" w:type="dxa"/>
            <w:vAlign w:val="bottom"/>
            <w:gridSpan w:val="3"/>
            <w:shd w:val="clear" w:color="auto" w:fill="CCEEFF"/>
          </w:tcPr>
          <w:p>
            <w:pPr>
              <w:ind w:left="340"/>
              <w:spacing w:after="0"/>
              <w:rPr>
                <w:sz w:val="20"/>
                <w:szCs w:val="20"/>
                <w:color w:val="auto"/>
              </w:rPr>
            </w:pPr>
            <w:r>
              <w:rPr>
                <w:rFonts w:ascii="Arial" w:cs="Arial" w:eastAsia="Arial" w:hAnsi="Arial"/>
                <w:sz w:val="18"/>
                <w:szCs w:val="18"/>
                <w:color w:val="auto"/>
              </w:rPr>
              <w:t>39.9%</w:t>
            </w:r>
          </w:p>
        </w:tc>
        <w:tc>
          <w:tcPr>
            <w:tcW w:w="100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6"/>
              </w:rPr>
              <w:t>$1,752,053</w:t>
            </w:r>
          </w:p>
        </w:tc>
        <w:tc>
          <w:tcPr>
            <w:tcW w:w="100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6"/>
              </w:rPr>
              <w:t>$1,162,054</w:t>
            </w: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50.8%</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The increase in net revenue for the three and six months ended July 31, 2010 compared to the three and six months ended August 1, 2009 reflected the improvement in overall economic conditions as well as the ramp of new products, new programs, and in certain cases, new customers. Our storage revenue grew 4.7% and 28.3% in the three and six months ended July 31, 2010, respectively, compared to the three and six months ended August 1, 2009. Between the second quarter of fiscal 2010 and the first quarter of fiscal 2011, storage revenue increased each quarter as demand returned and the supply chain replenished inventories following the global economic crisis. However, storage revenue declined significantly in the three months ended July 31, 2010 compared to the prior quarter due to lower demand for PCs, which in turn led to excess inventory build-up in the supply chain for hard disk drives and resulted in lower demand for our products. Therefore, revenue for the three months ended July 31, 2010 as compared to the same quarter in the prior year showed only a slight improvement in storage revenue due to the recent decline in this market.</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experienced significant growth within our mobile and wireless revenue as demand for our application and communication processors increased, helping the mobile and wireless revenue to grow over 140% and 120% in the three and six months ended July 31, 2010, respectively, compared to the three and six months ended August 1, 2009. Our networking revenue represented approximately 21% of our total revenue and grew by over 35% and 40% in the three and six months ended July 31, 2010, respectively, compared to the three and six months ended August 1, 2009 as sales of our enterprise switching and PHY products continued to ramp offset slightly by declines in Ethernet controllers. We expect growth in mobile and wireless revenue as several of our new products continue to ramp, while storage and networking revenue are expected to be relatively flat. Overall, we currently expect that revenue for the three months ending October 30, 2010 will increase moderately from the level of revenue for the three months ended July 31, 2010.</w:t>
      </w:r>
    </w:p>
    <w:p>
      <w:pPr>
        <w:spacing w:after="0" w:line="118"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No distributors accounted for more than 10% of our net revenue for the three months ended July 31, 2010 and August 1, 2009.</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revenue to end customers comprising 10% or more of our net revenue for the periods indicated:</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160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w w:val="90"/>
              </w:rPr>
              <w:t>Three Months Ended</w:t>
            </w:r>
          </w:p>
        </w:tc>
        <w:tc>
          <w:tcPr>
            <w:tcW w:w="152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w w:val="97"/>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780" w:type="dxa"/>
            <w:vAlign w:val="bottom"/>
          </w:tcPr>
          <w:p>
            <w:pPr>
              <w:spacing w:after="0"/>
              <w:rPr>
                <w:sz w:val="11"/>
                <w:szCs w:val="11"/>
                <w:color w:val="auto"/>
              </w:rPr>
            </w:pPr>
          </w:p>
        </w:tc>
        <w:tc>
          <w:tcPr>
            <w:tcW w:w="76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July 31,</w:t>
            </w: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280" w:type="dxa"/>
            <w:vAlign w:val="bottom"/>
          </w:tcPr>
          <w:p>
            <w:pPr>
              <w:spacing w:after="0"/>
              <w:rPr>
                <w:sz w:val="11"/>
                <w:szCs w:val="11"/>
                <w:color w:val="auto"/>
              </w:rPr>
            </w:pPr>
          </w:p>
        </w:tc>
        <w:tc>
          <w:tcPr>
            <w:tcW w:w="76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85"/>
              </w:rPr>
              <w:t>July 31,</w:t>
            </w: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7380" w:type="dxa"/>
            <w:vAlign w:val="bottom"/>
            <w:gridSpan w:val="3"/>
          </w:tcPr>
          <w:p>
            <w:pPr>
              <w:spacing w:after="0"/>
              <w:rPr>
                <w:sz w:val="20"/>
                <w:szCs w:val="20"/>
                <w:color w:val="auto"/>
              </w:rPr>
            </w:pPr>
            <w:r>
              <w:rPr>
                <w:rFonts w:ascii="Arial" w:cs="Arial" w:eastAsia="Arial" w:hAnsi="Arial"/>
                <w:sz w:val="14"/>
                <w:szCs w:val="14"/>
                <w:b w:val="1"/>
                <w:bCs w:val="1"/>
                <w:color w:val="auto"/>
              </w:rPr>
              <w:t>Customer</w:t>
            </w:r>
          </w:p>
        </w:tc>
        <w:tc>
          <w:tcPr>
            <w:tcW w:w="460" w:type="dxa"/>
            <w:vAlign w:val="bottom"/>
          </w:tcPr>
          <w:p>
            <w:pPr>
              <w:jc w:val="right"/>
              <w:ind w:right="21"/>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560" w:type="dxa"/>
            <w:vAlign w:val="bottom"/>
          </w:tcPr>
          <w:p>
            <w:pPr>
              <w:jc w:val="right"/>
              <w:ind w:right="79"/>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460" w:type="dxa"/>
            <w:vAlign w:val="bottom"/>
          </w:tcPr>
          <w:p>
            <w:pPr>
              <w:jc w:val="right"/>
              <w:ind w:right="1"/>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560" w:type="dxa"/>
            <w:vAlign w:val="bottom"/>
          </w:tcPr>
          <w:p>
            <w:pPr>
              <w:jc w:val="right"/>
              <w:ind w:right="59"/>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78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80" w:type="dxa"/>
            <w:vAlign w:val="bottom"/>
            <w:shd w:val="clear" w:color="auto" w:fill="CCEEFF"/>
          </w:tcPr>
          <w:p>
            <w:pPr>
              <w:spacing w:after="0"/>
              <w:rPr>
                <w:sz w:val="20"/>
                <w:szCs w:val="20"/>
                <w:color w:val="auto"/>
              </w:rPr>
            </w:pPr>
            <w:r>
              <w:rPr>
                <w:rFonts w:ascii="Arial" w:cs="Arial" w:eastAsia="Arial" w:hAnsi="Arial"/>
                <w:sz w:val="18"/>
                <w:szCs w:val="18"/>
                <w:color w:val="auto"/>
              </w:rPr>
              <w:t>A</w:t>
            </w:r>
          </w:p>
        </w:tc>
        <w:tc>
          <w:tcPr>
            <w:tcW w:w="67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w:t>
            </w: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23%</w:t>
            </w: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23%</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60" w:type="dxa"/>
            <w:vAlign w:val="bottom"/>
            <w:gridSpan w:val="2"/>
          </w:tcPr>
          <w:p>
            <w:pPr>
              <w:spacing w:after="0"/>
              <w:rPr>
                <w:sz w:val="20"/>
                <w:szCs w:val="20"/>
                <w:color w:val="auto"/>
              </w:rPr>
            </w:pPr>
            <w:r>
              <w:rPr>
                <w:rFonts w:ascii="Arial" w:cs="Arial" w:eastAsia="Arial" w:hAnsi="Arial"/>
                <w:sz w:val="18"/>
                <w:szCs w:val="18"/>
                <w:color w:val="auto"/>
              </w:rPr>
              <w:t>B</w:t>
            </w: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14%</w:t>
            </w: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760" w:type="dxa"/>
            <w:vAlign w:val="bottom"/>
            <w:gridSpan w:val="2"/>
          </w:tcPr>
          <w:p>
            <w:pPr>
              <w:jc w:val="right"/>
              <w:ind w:right="140"/>
              <w:spacing w:after="0"/>
              <w:rPr>
                <w:sz w:val="20"/>
                <w:szCs w:val="20"/>
                <w:color w:val="auto"/>
              </w:rPr>
            </w:pPr>
            <w:r>
              <w:rPr>
                <w:rFonts w:ascii="Arial" w:cs="Arial" w:eastAsia="Arial" w:hAnsi="Arial"/>
                <w:sz w:val="18"/>
                <w:szCs w:val="18"/>
                <w:color w:val="auto"/>
              </w:rPr>
              <w:t>12%</w:t>
            </w: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18%</w:t>
            </w:r>
          </w:p>
        </w:tc>
        <w:tc>
          <w:tcPr>
            <w:tcW w:w="7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360" w:type="dxa"/>
            <w:vAlign w:val="bottom"/>
            <w:gridSpan w:val="2"/>
          </w:tcPr>
          <w:p>
            <w:pPr>
              <w:spacing w:after="0"/>
              <w:rPr>
                <w:sz w:val="20"/>
                <w:szCs w:val="20"/>
                <w:color w:val="auto"/>
              </w:rPr>
            </w:pPr>
            <w:r>
              <w:rPr>
                <w:rFonts w:ascii="Arial" w:cs="Arial" w:eastAsia="Arial" w:hAnsi="Arial"/>
                <w:sz w:val="18"/>
                <w:szCs w:val="18"/>
                <w:color w:val="auto"/>
              </w:rPr>
              <w:t>D</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840" w:type="dxa"/>
            <w:vAlign w:val="bottom"/>
            <w:gridSpan w:val="2"/>
          </w:tcPr>
          <w:p>
            <w:pPr>
              <w:jc w:val="right"/>
              <w:ind w:right="140"/>
              <w:spacing w:after="0"/>
              <w:rPr>
                <w:sz w:val="20"/>
                <w:szCs w:val="20"/>
                <w:color w:val="auto"/>
              </w:rPr>
            </w:pPr>
            <w:r>
              <w:rPr>
                <w:rFonts w:ascii="Arial" w:cs="Arial" w:eastAsia="Arial" w:hAnsi="Arial"/>
                <w:sz w:val="18"/>
                <w:szCs w:val="18"/>
                <w:color w:val="auto"/>
              </w:rPr>
              <w:t>10%</w:t>
            </w:r>
          </w:p>
        </w:tc>
        <w:tc>
          <w:tcPr>
            <w:tcW w:w="7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280" w:firstLine="456"/>
        <w:spacing w:after="0" w:line="298" w:lineRule="auto"/>
        <w:rPr>
          <w:sz w:val="20"/>
          <w:szCs w:val="20"/>
          <w:color w:val="auto"/>
        </w:rPr>
      </w:pPr>
      <w:r>
        <w:rPr>
          <w:rFonts w:ascii="Arial" w:cs="Arial" w:eastAsia="Arial" w:hAnsi="Arial"/>
          <w:sz w:val="16"/>
          <w:szCs w:val="16"/>
          <w:color w:val="auto"/>
        </w:rPr>
        <w:t>Because we sell our products to many OEM manufacturers who have manufacturing operations located in Asia, a significant percentage of our sales are made to customers located outside of the United States. Sales to customers located in Asia represented 82% and 93% of our net revenue for the three months ended July 31, 2010 and August 1, 2009, respectively, and represented 84% and 91% of our net revenue for the six months ended July 31, 2010 and August 1, 2009, respectively. We expect that a significant portion of our revenue will continue to be represented by sales to our customers in Asia.</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660" w:type="dxa"/>
            <w:vAlign w:val="bottom"/>
          </w:tcPr>
          <w:p>
            <w:pPr>
              <w:spacing w:after="0"/>
              <w:rPr>
                <w:sz w:val="14"/>
                <w:szCs w:val="14"/>
                <w:color w:val="auto"/>
              </w:rPr>
            </w:pPr>
          </w:p>
        </w:tc>
        <w:tc>
          <w:tcPr>
            <w:tcW w:w="2140" w:type="dxa"/>
            <w:vAlign w:val="bottom"/>
            <w:gridSpan w:val="5"/>
          </w:tcPr>
          <w:p>
            <w:pPr>
              <w:jc w:val="right"/>
              <w:ind w:right="57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4"/>
          </w:tcPr>
          <w:p>
            <w:pPr>
              <w:jc w:val="right"/>
              <w:ind w:right="74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660" w:type="dxa"/>
            <w:vAlign w:val="bottom"/>
          </w:tcPr>
          <w:p>
            <w:pPr>
              <w:spacing w:after="0"/>
              <w:rPr>
                <w:sz w:val="11"/>
                <w:szCs w:val="11"/>
                <w:color w:val="auto"/>
              </w:rPr>
            </w:pPr>
          </w:p>
        </w:tc>
        <w:tc>
          <w:tcPr>
            <w:tcW w:w="96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85"/>
              </w:rPr>
              <w:t>July 31,</w:t>
            </w:r>
          </w:p>
        </w:tc>
        <w:tc>
          <w:tcPr>
            <w:tcW w:w="1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6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rPr>
              <w:t>July 31,</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66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78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720" w:type="dxa"/>
            <w:vAlign w:val="bottom"/>
            <w:gridSpan w:val="2"/>
          </w:tcPr>
          <w:p>
            <w:pPr>
              <w:jc w:val="center"/>
              <w:ind w:right="218"/>
              <w:spacing w:after="0"/>
              <w:rPr>
                <w:sz w:val="20"/>
                <w:szCs w:val="20"/>
                <w:color w:val="auto"/>
              </w:rPr>
            </w:pPr>
            <w:r>
              <w:rPr>
                <w:rFonts w:ascii="Arial" w:cs="Arial" w:eastAsia="Arial" w:hAnsi="Arial"/>
                <w:sz w:val="14"/>
                <w:szCs w:val="14"/>
                <w:b w:val="1"/>
                <w:bCs w:val="1"/>
                <w:color w:val="auto"/>
                <w:w w:val="85"/>
              </w:rPr>
              <w:t>Change</w:t>
            </w:r>
          </w:p>
        </w:tc>
        <w:tc>
          <w:tcPr>
            <w:tcW w:w="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66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400" w:type="dxa"/>
            <w:vAlign w:val="bottom"/>
          </w:tcPr>
          <w:p>
            <w:pPr>
              <w:jc w:val="right"/>
              <w:ind w:right="9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00" w:type="dxa"/>
            <w:vAlign w:val="bottom"/>
            <w:gridSpan w:val="2"/>
          </w:tcPr>
          <w:p>
            <w:pPr>
              <w:ind w:left="80"/>
              <w:spacing w:after="0"/>
              <w:rPr>
                <w:sz w:val="20"/>
                <w:szCs w:val="20"/>
                <w:color w:val="auto"/>
              </w:rPr>
            </w:pPr>
            <w:r>
              <w:rPr>
                <w:rFonts w:ascii="Arial" w:cs="Arial" w:eastAsia="Arial" w:hAnsi="Arial"/>
                <w:sz w:val="12"/>
                <w:szCs w:val="12"/>
                <w:b w:val="1"/>
                <w:bCs w:val="1"/>
                <w:color w:val="auto"/>
                <w:w w:val="78"/>
              </w:rPr>
              <w:t>except</w:t>
            </w:r>
          </w:p>
        </w:tc>
        <w:tc>
          <w:tcPr>
            <w:tcW w:w="6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3"/>
              </w:rPr>
              <w:t>percentage)</w:t>
            </w:r>
          </w:p>
        </w:tc>
        <w:tc>
          <w:tcPr>
            <w:tcW w:w="3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7"/>
              </w:rPr>
              <w:t>$366,682</w:t>
            </w:r>
          </w:p>
        </w:tc>
        <w:tc>
          <w:tcPr>
            <w:tcW w:w="1180" w:type="dxa"/>
            <w:vAlign w:val="bottom"/>
            <w:gridSpan w:val="3"/>
            <w:shd w:val="clear" w:color="auto" w:fill="CCEEFF"/>
          </w:tcPr>
          <w:p>
            <w:pPr>
              <w:jc w:val="right"/>
              <w:ind w:right="332"/>
              <w:spacing w:after="0"/>
              <w:rPr>
                <w:sz w:val="20"/>
                <w:szCs w:val="20"/>
                <w:color w:val="auto"/>
              </w:rPr>
            </w:pPr>
            <w:r>
              <w:rPr>
                <w:rFonts w:ascii="Arial" w:cs="Arial" w:eastAsia="Arial" w:hAnsi="Arial"/>
                <w:sz w:val="18"/>
                <w:szCs w:val="18"/>
                <w:color w:val="auto"/>
              </w:rPr>
              <w:t>$288,059</w:t>
            </w:r>
          </w:p>
        </w:tc>
        <w:tc>
          <w:tcPr>
            <w:tcW w:w="720" w:type="dxa"/>
            <w:vAlign w:val="bottom"/>
            <w:gridSpan w:val="2"/>
            <w:shd w:val="clear" w:color="auto" w:fill="CCEEFF"/>
          </w:tcPr>
          <w:p>
            <w:pPr>
              <w:jc w:val="right"/>
              <w:ind w:right="58"/>
              <w:spacing w:after="0"/>
              <w:rPr>
                <w:sz w:val="20"/>
                <w:szCs w:val="20"/>
                <w:color w:val="auto"/>
              </w:rPr>
            </w:pPr>
            <w:r>
              <w:rPr>
                <w:rFonts w:ascii="Arial" w:cs="Arial" w:eastAsia="Arial" w:hAnsi="Arial"/>
                <w:sz w:val="18"/>
                <w:szCs w:val="18"/>
                <w:color w:val="auto"/>
              </w:rPr>
              <w:t>27.3%</w:t>
            </w:r>
          </w:p>
        </w:tc>
        <w:tc>
          <w:tcPr>
            <w:tcW w:w="118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$710,667</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$545,689</w:t>
            </w:r>
          </w:p>
        </w:tc>
        <w:tc>
          <w:tcPr>
            <w:tcW w:w="4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30.2%</w:t>
            </w:r>
          </w:p>
        </w:tc>
        <w:tc>
          <w:tcPr>
            <w:tcW w:w="0" w:type="dxa"/>
            <w:vAlign w:val="bottom"/>
          </w:tcPr>
          <w:p>
            <w:pPr>
              <w:spacing w:after="0"/>
              <w:rPr>
                <w:sz w:val="1"/>
                <w:szCs w:val="1"/>
                <w:color w:val="auto"/>
              </w:rPr>
            </w:pPr>
          </w:p>
        </w:tc>
      </w:tr>
      <w:tr>
        <w:trPr>
          <w:trHeight w:val="222"/>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gridSpan w:val="2"/>
          </w:tcPr>
          <w:p>
            <w:pPr>
              <w:jc w:val="right"/>
              <w:ind w:right="140"/>
              <w:spacing w:after="0"/>
              <w:rPr>
                <w:sz w:val="20"/>
                <w:szCs w:val="20"/>
                <w:color w:val="auto"/>
              </w:rPr>
            </w:pPr>
            <w:r>
              <w:rPr>
                <w:rFonts w:ascii="Arial" w:cs="Arial" w:eastAsia="Arial" w:hAnsi="Arial"/>
                <w:sz w:val="18"/>
                <w:szCs w:val="18"/>
                <w:color w:val="auto"/>
              </w:rPr>
              <w:t>40.9%</w:t>
            </w:r>
          </w:p>
        </w:tc>
        <w:tc>
          <w:tcPr>
            <w:tcW w:w="1180" w:type="dxa"/>
            <w:vAlign w:val="bottom"/>
            <w:gridSpan w:val="3"/>
          </w:tcPr>
          <w:p>
            <w:pPr>
              <w:jc w:val="right"/>
              <w:ind w:right="172"/>
              <w:spacing w:after="0"/>
              <w:rPr>
                <w:sz w:val="20"/>
                <w:szCs w:val="20"/>
                <w:color w:val="auto"/>
              </w:rPr>
            </w:pPr>
            <w:r>
              <w:rPr>
                <w:rFonts w:ascii="Arial" w:cs="Arial" w:eastAsia="Arial" w:hAnsi="Arial"/>
                <w:sz w:val="18"/>
                <w:szCs w:val="18"/>
                <w:color w:val="auto"/>
              </w:rPr>
              <w:t>45.0%</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80" w:type="dxa"/>
            <w:vAlign w:val="bottom"/>
            <w:gridSpan w:val="3"/>
          </w:tcPr>
          <w:p>
            <w:pPr>
              <w:jc w:val="right"/>
              <w:ind w:right="240"/>
              <w:spacing w:after="0"/>
              <w:rPr>
                <w:sz w:val="20"/>
                <w:szCs w:val="20"/>
                <w:color w:val="auto"/>
              </w:rPr>
            </w:pPr>
            <w:r>
              <w:rPr>
                <w:rFonts w:ascii="Arial" w:cs="Arial" w:eastAsia="Arial" w:hAnsi="Arial"/>
                <w:sz w:val="18"/>
                <w:szCs w:val="18"/>
                <w:color w:val="auto"/>
              </w:rPr>
              <w:t>40.6%</w:t>
            </w: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47.0%</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348"/>
        <w:spacing w:after="0" w:line="289" w:lineRule="auto"/>
        <w:rPr>
          <w:sz w:val="20"/>
          <w:szCs w:val="20"/>
          <w:color w:val="auto"/>
        </w:rPr>
      </w:pPr>
      <w:r>
        <w:rPr>
          <w:rFonts w:ascii="Arial" w:cs="Arial" w:eastAsia="Arial" w:hAnsi="Arial"/>
          <w:sz w:val="16"/>
          <w:szCs w:val="16"/>
          <w:color w:val="auto"/>
        </w:rPr>
        <w:t>The decrease in cost of goods sold as a percentage of revenue for the three and six months ended July 31, 2010 compared to the three and six months ended August 1, 2009 was primarily driven by the higher revenue levels, as well as improved cost structure of our newer products as we have continued to benefit from cost reduction efforts with our key manufacturing partners, continued focus on efficiency and yield improvements, and lower inventory write-offs.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the introduction of new products with lower margins and product warranty costs. We currently expect cost of goods sold as a percentage of revenue to be approximately flat for the three months ending October 30, 2010.</w:t>
      </w:r>
    </w:p>
    <w:p>
      <w:pPr>
        <w:sectPr>
          <w:pgSz w:w="11900" w:h="16838" w:orient="portrait"/>
          <w:cols w:equalWidth="0" w:num="1">
            <w:col w:w="11420"/>
          </w:cols>
          <w:pgMar w:left="240" w:top="459" w:right="239" w:bottom="1440" w:gutter="0" w:footer="0" w:header="0"/>
        </w:sectPr>
      </w:pP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27</w:t>
      </w:r>
    </w:p>
    <w:p>
      <w:pPr>
        <w:sectPr>
          <w:pgSz w:w="11900" w:h="16838" w:orient="portrait"/>
          <w:cols w:equalWidth="0" w:num="1">
            <w:col w:w="11420"/>
          </w:cols>
          <w:pgMar w:left="240" w:top="459" w:right="239" w:bottom="1440" w:gutter="0" w:footer="0" w:header="0"/>
          <w:type w:val="continuous"/>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2120" w:type="dxa"/>
            <w:vAlign w:val="bottom"/>
            <w:gridSpan w:val="5"/>
          </w:tcPr>
          <w:p>
            <w:pPr>
              <w:jc w:val="right"/>
              <w:ind w:right="57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4"/>
          </w:tcPr>
          <w:p>
            <w:pPr>
              <w:jc w:val="right"/>
              <w:ind w:right="74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94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89"/>
              </w:rPr>
              <w:t>July 31,</w:t>
            </w:r>
          </w:p>
        </w:tc>
        <w:tc>
          <w:tcPr>
            <w:tcW w:w="1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6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rPr>
              <w:t>July 31,</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254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78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720" w:type="dxa"/>
            <w:vAlign w:val="bottom"/>
            <w:gridSpan w:val="2"/>
          </w:tcPr>
          <w:p>
            <w:pPr>
              <w:jc w:val="center"/>
              <w:ind w:right="218"/>
              <w:spacing w:after="0"/>
              <w:rPr>
                <w:sz w:val="20"/>
                <w:szCs w:val="20"/>
                <w:color w:val="auto"/>
              </w:rPr>
            </w:pPr>
            <w:r>
              <w:rPr>
                <w:rFonts w:ascii="Arial" w:cs="Arial" w:eastAsia="Arial" w:hAnsi="Arial"/>
                <w:sz w:val="14"/>
                <w:szCs w:val="14"/>
                <w:b w:val="1"/>
                <w:bCs w:val="1"/>
                <w:color w:val="auto"/>
                <w:w w:val="85"/>
              </w:rPr>
              <w:t>Change</w:t>
            </w:r>
          </w:p>
        </w:tc>
        <w:tc>
          <w:tcPr>
            <w:tcW w:w="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400" w:type="dxa"/>
            <w:vAlign w:val="bottom"/>
          </w:tcPr>
          <w:p>
            <w:pPr>
              <w:jc w:val="right"/>
              <w:ind w:right="9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00" w:type="dxa"/>
            <w:vAlign w:val="bottom"/>
            <w:gridSpan w:val="2"/>
          </w:tcPr>
          <w:p>
            <w:pPr>
              <w:ind w:left="100"/>
              <w:spacing w:after="0"/>
              <w:rPr>
                <w:sz w:val="20"/>
                <w:szCs w:val="20"/>
                <w:color w:val="auto"/>
              </w:rPr>
            </w:pPr>
            <w:r>
              <w:rPr>
                <w:rFonts w:ascii="Arial" w:cs="Arial" w:eastAsia="Arial" w:hAnsi="Arial"/>
                <w:sz w:val="12"/>
                <w:szCs w:val="12"/>
                <w:b w:val="1"/>
                <w:bCs w:val="1"/>
                <w:color w:val="auto"/>
                <w:w w:val="73"/>
              </w:rPr>
              <w:t>except</w:t>
            </w:r>
          </w:p>
        </w:tc>
        <w:tc>
          <w:tcPr>
            <w:tcW w:w="6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3"/>
              </w:rPr>
              <w:t>percentage)</w:t>
            </w:r>
          </w:p>
        </w:tc>
        <w:tc>
          <w:tcPr>
            <w:tcW w:w="3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8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$228,211</w:t>
            </w:r>
          </w:p>
        </w:tc>
        <w:tc>
          <w:tcPr>
            <w:tcW w:w="1180" w:type="dxa"/>
            <w:vAlign w:val="bottom"/>
            <w:gridSpan w:val="3"/>
            <w:shd w:val="clear" w:color="auto" w:fill="CCEEFF"/>
          </w:tcPr>
          <w:p>
            <w:pPr>
              <w:jc w:val="right"/>
              <w:ind w:right="332"/>
              <w:spacing w:after="0"/>
              <w:rPr>
                <w:sz w:val="20"/>
                <w:szCs w:val="20"/>
                <w:color w:val="auto"/>
              </w:rPr>
            </w:pPr>
            <w:r>
              <w:rPr>
                <w:rFonts w:ascii="Arial" w:cs="Arial" w:eastAsia="Arial" w:hAnsi="Arial"/>
                <w:sz w:val="18"/>
                <w:szCs w:val="18"/>
                <w:color w:val="auto"/>
              </w:rPr>
              <w:t>$196,190</w:t>
            </w:r>
          </w:p>
        </w:tc>
        <w:tc>
          <w:tcPr>
            <w:tcW w:w="720" w:type="dxa"/>
            <w:vAlign w:val="bottom"/>
            <w:gridSpan w:val="2"/>
            <w:shd w:val="clear" w:color="auto" w:fill="CCEEFF"/>
          </w:tcPr>
          <w:p>
            <w:pPr>
              <w:jc w:val="right"/>
              <w:ind w:right="58"/>
              <w:spacing w:after="0"/>
              <w:rPr>
                <w:sz w:val="20"/>
                <w:szCs w:val="20"/>
                <w:color w:val="auto"/>
              </w:rPr>
            </w:pPr>
            <w:r>
              <w:rPr>
                <w:rFonts w:ascii="Arial" w:cs="Arial" w:eastAsia="Arial" w:hAnsi="Arial"/>
                <w:sz w:val="18"/>
                <w:szCs w:val="18"/>
                <w:color w:val="auto"/>
              </w:rPr>
              <w:t>16.3%</w:t>
            </w:r>
          </w:p>
        </w:tc>
        <w:tc>
          <w:tcPr>
            <w:tcW w:w="118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$447,322</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$402,279</w:t>
            </w:r>
          </w:p>
        </w:tc>
        <w:tc>
          <w:tcPr>
            <w:tcW w:w="4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11.2%</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2820" w:type="dxa"/>
            <w:vAlign w:val="bottom"/>
            <w:gridSpan w:val="3"/>
          </w:tcPr>
          <w:p>
            <w:pPr>
              <w:jc w:val="right"/>
              <w:ind w:right="140"/>
              <w:spacing w:after="0"/>
              <w:rPr>
                <w:sz w:val="20"/>
                <w:szCs w:val="20"/>
                <w:color w:val="auto"/>
              </w:rPr>
            </w:pPr>
            <w:r>
              <w:rPr>
                <w:rFonts w:ascii="Arial" w:cs="Arial" w:eastAsia="Arial" w:hAnsi="Arial"/>
                <w:sz w:val="18"/>
                <w:szCs w:val="18"/>
                <w:color w:val="auto"/>
              </w:rPr>
              <w:t>25.5%</w:t>
            </w:r>
          </w:p>
        </w:tc>
        <w:tc>
          <w:tcPr>
            <w:tcW w:w="1180" w:type="dxa"/>
            <w:vAlign w:val="bottom"/>
            <w:gridSpan w:val="3"/>
          </w:tcPr>
          <w:p>
            <w:pPr>
              <w:jc w:val="right"/>
              <w:ind w:right="172"/>
              <w:spacing w:after="0"/>
              <w:rPr>
                <w:sz w:val="20"/>
                <w:szCs w:val="20"/>
                <w:color w:val="auto"/>
              </w:rPr>
            </w:pPr>
            <w:r>
              <w:rPr>
                <w:rFonts w:ascii="Arial" w:cs="Arial" w:eastAsia="Arial" w:hAnsi="Arial"/>
                <w:sz w:val="18"/>
                <w:szCs w:val="18"/>
                <w:color w:val="auto"/>
              </w:rPr>
              <w:t>30.7%</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80" w:type="dxa"/>
            <w:vAlign w:val="bottom"/>
            <w:gridSpan w:val="3"/>
          </w:tcPr>
          <w:p>
            <w:pPr>
              <w:jc w:val="right"/>
              <w:ind w:right="240"/>
              <w:spacing w:after="0"/>
              <w:rPr>
                <w:sz w:val="20"/>
                <w:szCs w:val="20"/>
                <w:color w:val="auto"/>
              </w:rPr>
            </w:pPr>
            <w:r>
              <w:rPr>
                <w:rFonts w:ascii="Arial" w:cs="Arial" w:eastAsia="Arial" w:hAnsi="Arial"/>
                <w:sz w:val="18"/>
                <w:szCs w:val="18"/>
                <w:color w:val="auto"/>
              </w:rPr>
              <w:t>25.5%</w:t>
            </w: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34.6%</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The increase in research and development expense for the three months ended July 31, 2010 compared to the three months ended August 1, 2009 of $32.0 million was primarily due to increases in salary and related costs of $22.8 million. The increase in salary and related costs was due to increases in headcount to support the growth of our business, and higher expenses for the incentive compensation program due to higher revenue and operating profit compared to the prior year. In addition, wafer, test and other preproduction engineering materials increased $7.6 million due to increased activity to bring new products to market, along with a reduction of $3.0 million in research and development funding from customers for development work. Partially offsetting the increases was a decrease in restructuring costs of $2.2 million due primarily to facilities related costs recorded in the three months ended August 1, 2009 as we adjusted our real estate needs in response to the global economic downturn.</w:t>
      </w:r>
    </w:p>
    <w:p>
      <w:pPr>
        <w:spacing w:after="0" w:line="118"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increase in research and development expense for the six months ended July 31, 2010 compared to the six months ended August 1, 2009 of $45.0 million was primarily due to increases in salary and related costs of $42.1 million. The increase in salary and related costs was due to increases in headcount to support the growth of our business, as well as higher expenses for the incentive compensation program due to higher revenue and operating profit compared to the prior year. Wafer, test and other preproduction engineering materials increased $17.0 million due to increased activity to bring new products to market. Partially offsetting the increases was a decrease in restructuring costs of $7.9 million due primarily to severance and facilities related costs in the six months ended August 1, 2009.</w:t>
      </w:r>
    </w:p>
    <w:p>
      <w:pPr>
        <w:spacing w:after="0" w:line="144"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We currently expect research and development expense during the third quarter ending October 30, 2010 will increase slightly from the level of expense reported during the second quarter ended July 31, 2010 primarily due to new hires, including those associated with an acquisition that occurred in the second quarter of fiscal 2011.</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1940" w:type="dxa"/>
            <w:vAlign w:val="bottom"/>
            <w:gridSpan w:val="5"/>
          </w:tcPr>
          <w:p>
            <w:pPr>
              <w:jc w:val="right"/>
              <w:ind w:right="472"/>
              <w:spacing w:after="0"/>
              <w:rPr>
                <w:sz w:val="20"/>
                <w:szCs w:val="20"/>
                <w:color w:val="auto"/>
              </w:rPr>
            </w:pPr>
            <w:r>
              <w:rPr>
                <w:rFonts w:ascii="Arial" w:cs="Arial" w:eastAsia="Arial" w:hAnsi="Arial"/>
                <w:sz w:val="14"/>
                <w:szCs w:val="14"/>
                <w:b w:val="1"/>
                <w:bCs w:val="1"/>
                <w:color w:val="auto"/>
                <w:w w:val="99"/>
              </w:rPr>
              <w:t>Three Months Ended</w:t>
            </w:r>
          </w:p>
        </w:tc>
        <w:tc>
          <w:tcPr>
            <w:tcW w:w="46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380" w:type="dxa"/>
            <w:vAlign w:val="bottom"/>
          </w:tcPr>
          <w:p>
            <w:pPr>
              <w:spacing w:after="0"/>
              <w:rPr>
                <w:sz w:val="14"/>
                <w:szCs w:val="14"/>
                <w:color w:val="auto"/>
              </w:rPr>
            </w:pPr>
          </w:p>
        </w:tc>
        <w:tc>
          <w:tcPr>
            <w:tcW w:w="1960" w:type="dxa"/>
            <w:vAlign w:val="bottom"/>
            <w:gridSpan w:val="4"/>
          </w:tcPr>
          <w:p>
            <w:pPr>
              <w:jc w:val="right"/>
              <w:ind w:right="64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224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97"/>
              </w:rPr>
              <w:t>July 31,</w:t>
            </w: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38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38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85"/>
              </w:rPr>
              <w:t>July 31,</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580" w:type="dxa"/>
            <w:vAlign w:val="bottom"/>
            <w:tcBorders>
              <w:bottom w:val="single" w:sz="8" w:color="auto"/>
            </w:tcBorders>
          </w:tcPr>
          <w:p>
            <w:pPr>
              <w:jc w:val="right"/>
              <w:ind w:right="7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Borders>
              <w:bottom w:val="single" w:sz="8" w:color="auto"/>
            </w:tcBorders>
          </w:tcPr>
          <w:p>
            <w:pPr>
              <w:jc w:val="right"/>
              <w:ind w:right="92"/>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Change</w:t>
            </w:r>
          </w:p>
        </w:tc>
        <w:tc>
          <w:tcPr>
            <w:tcW w:w="38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2010</w:t>
            </w:r>
          </w:p>
        </w:tc>
        <w:tc>
          <w:tcPr>
            <w:tcW w:w="400" w:type="dxa"/>
            <w:vAlign w:val="bottom"/>
          </w:tcPr>
          <w:p>
            <w:pPr>
              <w:spacing w:after="0"/>
              <w:rPr>
                <w:sz w:val="14"/>
                <w:szCs w:val="14"/>
                <w:color w:val="auto"/>
              </w:rPr>
            </w:pPr>
          </w:p>
        </w:tc>
        <w:tc>
          <w:tcPr>
            <w:tcW w:w="580" w:type="dxa"/>
            <w:vAlign w:val="bottom"/>
            <w:tcBorders>
              <w:bottom w:val="single" w:sz="8" w:color="auto"/>
            </w:tcBorders>
          </w:tcPr>
          <w:p>
            <w:pPr>
              <w:jc w:val="right"/>
              <w:ind w:right="8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4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1"/>
              </w:rPr>
              <w:t>Change</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22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80" w:type="dxa"/>
            <w:vAlign w:val="bottom"/>
          </w:tcPr>
          <w:p>
            <w:pPr>
              <w:jc w:val="right"/>
              <w:ind w:right="92"/>
              <w:spacing w:after="0" w:line="142" w:lineRule="exact"/>
              <w:rPr>
                <w:sz w:val="20"/>
                <w:szCs w:val="20"/>
                <w:color w:val="auto"/>
              </w:rPr>
            </w:pPr>
            <w:r>
              <w:rPr>
                <w:rFonts w:ascii="Arial" w:cs="Arial" w:eastAsia="Arial" w:hAnsi="Arial"/>
                <w:sz w:val="14"/>
                <w:szCs w:val="14"/>
                <w:b w:val="1"/>
                <w:bCs w:val="1"/>
                <w:color w:val="auto"/>
              </w:rPr>
              <w:t>(in</w:t>
            </w:r>
          </w:p>
        </w:tc>
        <w:tc>
          <w:tcPr>
            <w:tcW w:w="460" w:type="dxa"/>
            <w:vAlign w:val="bottom"/>
          </w:tcPr>
          <w:p>
            <w:pPr>
              <w:jc w:val="center"/>
              <w:spacing w:after="0"/>
              <w:rPr>
                <w:sz w:val="20"/>
                <w:szCs w:val="20"/>
                <w:color w:val="auto"/>
              </w:rPr>
            </w:pPr>
            <w:r>
              <w:rPr>
                <w:rFonts w:ascii="Arial" w:cs="Arial" w:eastAsia="Arial" w:hAnsi="Arial"/>
                <w:sz w:val="12"/>
                <w:szCs w:val="12"/>
                <w:b w:val="1"/>
                <w:bCs w:val="1"/>
                <w:color w:val="auto"/>
                <w:w w:val="71"/>
              </w:rPr>
              <w:t>thousands,</w:t>
            </w:r>
          </w:p>
        </w:tc>
        <w:tc>
          <w:tcPr>
            <w:tcW w:w="38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1"/>
              </w:rPr>
              <w:t>except</w:t>
            </w:r>
          </w:p>
        </w:tc>
        <w:tc>
          <w:tcPr>
            <w:tcW w:w="980" w:type="dxa"/>
            <w:vAlign w:val="bottom"/>
            <w:gridSpan w:val="2"/>
          </w:tcPr>
          <w:p>
            <w:pPr>
              <w:jc w:val="right"/>
              <w:ind w:right="200"/>
              <w:spacing w:after="0" w:line="142" w:lineRule="exact"/>
              <w:rPr>
                <w:sz w:val="20"/>
                <w:szCs w:val="20"/>
                <w:color w:val="auto"/>
              </w:rPr>
            </w:pPr>
            <w:r>
              <w:rPr>
                <w:rFonts w:ascii="Arial" w:cs="Arial" w:eastAsia="Arial" w:hAnsi="Arial"/>
                <w:sz w:val="14"/>
                <w:szCs w:val="14"/>
                <w:b w:val="1"/>
                <w:bCs w:val="1"/>
                <w:color w:val="auto"/>
                <w:w w:val="95"/>
              </w:rPr>
              <w:t>percentage)</w:t>
            </w: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$36,863</w:t>
            </w:r>
          </w:p>
        </w:tc>
        <w:tc>
          <w:tcPr>
            <w:tcW w:w="28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$32,908</w:t>
            </w:r>
          </w:p>
        </w:tc>
        <w:tc>
          <w:tcPr>
            <w:tcW w:w="84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12.0%</w:t>
            </w:r>
          </w:p>
        </w:tc>
        <w:tc>
          <w:tcPr>
            <w:tcW w:w="5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$75,286</w:t>
            </w:r>
          </w:p>
        </w:tc>
        <w:tc>
          <w:tcPr>
            <w:tcW w:w="4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$66,818</w:t>
            </w:r>
          </w:p>
        </w:tc>
        <w:tc>
          <w:tcPr>
            <w:tcW w:w="4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12.7%</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3100" w:type="dxa"/>
            <w:vAlign w:val="bottom"/>
            <w:gridSpan w:val="3"/>
          </w:tcPr>
          <w:p>
            <w:pPr>
              <w:jc w:val="right"/>
              <w:ind w:right="120"/>
              <w:spacing w:after="0"/>
              <w:rPr>
                <w:sz w:val="20"/>
                <w:szCs w:val="20"/>
                <w:color w:val="auto"/>
              </w:rPr>
            </w:pPr>
            <w:r>
              <w:rPr>
                <w:rFonts w:ascii="Arial" w:cs="Arial" w:eastAsia="Arial" w:hAnsi="Arial"/>
                <w:sz w:val="18"/>
                <w:szCs w:val="18"/>
                <w:color w:val="auto"/>
              </w:rPr>
              <w:t>4.1%</w:t>
            </w:r>
          </w:p>
        </w:tc>
        <w:tc>
          <w:tcPr>
            <w:tcW w:w="1080" w:type="dxa"/>
            <w:vAlign w:val="bottom"/>
            <w:gridSpan w:val="3"/>
          </w:tcPr>
          <w:p>
            <w:pPr>
              <w:jc w:val="right"/>
              <w:ind w:right="172"/>
              <w:spacing w:after="0"/>
              <w:rPr>
                <w:sz w:val="20"/>
                <w:szCs w:val="20"/>
                <w:color w:val="auto"/>
              </w:rPr>
            </w:pPr>
            <w:r>
              <w:rPr>
                <w:rFonts w:ascii="Arial" w:cs="Arial" w:eastAsia="Arial" w:hAnsi="Arial"/>
                <w:sz w:val="18"/>
                <w:szCs w:val="18"/>
                <w:color w:val="auto"/>
              </w:rPr>
              <w:t>5.1%</w:t>
            </w:r>
          </w:p>
        </w:tc>
        <w:tc>
          <w:tcPr>
            <w:tcW w:w="4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4.3%</w:t>
            </w: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5.7%</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increase in selling and marketing expense for the three months ended July 31, 2010 compared to the three months ended August 1, 2009 of $4.0 million was primarily due to an increase of $3.0 million as a result of higher trade show and public relation expenses as we increased our presence in these areas. In addition, salaries and wages increased $1.6 million due to higher benefit and incentive compensation costs. Partially offsetting the increases was a decrease in stock-based compensation costs of $1.3 million during the three months ended July 31, 2010.</w:t>
      </w:r>
    </w:p>
    <w:p>
      <w:pPr>
        <w:spacing w:after="0" w:line="113"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The increase in selling and marketing expense for the six months ended July 31, 2010 compared to the six months ended August 1, 2009 of $8.5 million was primarily due to an increase of $7.3 million in trade show and public relation expenses as we increased our presence in these areas. In addition, salaries and wages increased $1.5 million due to higher salary and benefit related costs. Sales representative commissions increased $1.3 million due to the increase in revenue. Partially offsetting the increases was a decrease in stock-based compensation costs $1.8 million.</w:t>
      </w:r>
    </w:p>
    <w:p>
      <w:pPr>
        <w:spacing w:after="0" w:line="113"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We currently expect that selling and marketing expense during the third quarter ending October 30, 2010 will increase moderately from the level of expense reported during the second quarter ended July 31, 2010 as a result of increased tradeshow and advertising costs along with some headcount growth.</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8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700" w:type="dxa"/>
            <w:vAlign w:val="bottom"/>
            <w:gridSpan w:val="5"/>
          </w:tcPr>
          <w:p>
            <w:pPr>
              <w:jc w:val="right"/>
              <w:ind w:right="300"/>
              <w:spacing w:after="0"/>
              <w:rPr>
                <w:sz w:val="20"/>
                <w:szCs w:val="20"/>
                <w:color w:val="auto"/>
              </w:rPr>
            </w:pPr>
            <w:r>
              <w:rPr>
                <w:rFonts w:ascii="Arial" w:cs="Arial" w:eastAsia="Arial" w:hAnsi="Arial"/>
                <w:sz w:val="14"/>
                <w:szCs w:val="14"/>
                <w:b w:val="1"/>
                <w:bCs w:val="1"/>
                <w:color w:val="auto"/>
                <w:w w:val="99"/>
              </w:rPr>
              <w:t>Three Months Ended</w:t>
            </w:r>
          </w:p>
        </w:tc>
        <w:tc>
          <w:tcPr>
            <w:tcW w:w="700" w:type="dxa"/>
            <w:vAlign w:val="bottom"/>
            <w:gridSpan w:val="2"/>
            <w:vMerge w:val="restart"/>
          </w:tcPr>
          <w:p>
            <w:pPr>
              <w:jc w:val="center"/>
              <w:ind w:left="166"/>
              <w:spacing w:after="0"/>
              <w:rPr>
                <w:sz w:val="20"/>
                <w:szCs w:val="20"/>
                <w:color w:val="auto"/>
              </w:rPr>
            </w:pPr>
            <w:r>
              <w:rPr>
                <w:rFonts w:ascii="Arial" w:cs="Arial" w:eastAsia="Arial" w:hAnsi="Arial"/>
                <w:sz w:val="14"/>
                <w:szCs w:val="14"/>
                <w:b w:val="1"/>
                <w:bCs w:val="1"/>
                <w:color w:val="auto"/>
              </w:rPr>
              <w:t>%</w:t>
            </w:r>
          </w:p>
        </w:tc>
        <w:tc>
          <w:tcPr>
            <w:tcW w:w="440" w:type="dxa"/>
            <w:vAlign w:val="bottom"/>
          </w:tcPr>
          <w:p>
            <w:pPr>
              <w:spacing w:after="0"/>
              <w:rPr>
                <w:sz w:val="14"/>
                <w:szCs w:val="14"/>
                <w:color w:val="auto"/>
              </w:rPr>
            </w:pPr>
          </w:p>
        </w:tc>
        <w:tc>
          <w:tcPr>
            <w:tcW w:w="2040" w:type="dxa"/>
            <w:vAlign w:val="bottom"/>
            <w:gridSpan w:val="4"/>
          </w:tcPr>
          <w:p>
            <w:pPr>
              <w:jc w:val="right"/>
              <w:ind w:right="68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8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97"/>
              </w:rPr>
              <w:t>July 31,</w:t>
            </w: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140" w:type="dxa"/>
            <w:vAlign w:val="bottom"/>
          </w:tcPr>
          <w:p>
            <w:pPr>
              <w:spacing w:after="0"/>
              <w:rPr>
                <w:sz w:val="11"/>
                <w:szCs w:val="11"/>
                <w:color w:val="auto"/>
              </w:rPr>
            </w:pPr>
          </w:p>
        </w:tc>
        <w:tc>
          <w:tcPr>
            <w:tcW w:w="700" w:type="dxa"/>
            <w:vAlign w:val="bottom"/>
            <w:gridSpan w:val="2"/>
            <w:vMerge w:val="continue"/>
          </w:tcPr>
          <w:p>
            <w:pPr>
              <w:spacing w:after="0"/>
              <w:rPr>
                <w:sz w:val="11"/>
                <w:szCs w:val="11"/>
                <w:color w:val="auto"/>
              </w:rPr>
            </w:pPr>
          </w:p>
        </w:tc>
        <w:tc>
          <w:tcPr>
            <w:tcW w:w="44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97"/>
              </w:rPr>
              <w:t>July 31,</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8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580" w:type="dxa"/>
            <w:vAlign w:val="bottom"/>
          </w:tcPr>
          <w:p>
            <w:pPr>
              <w:jc w:val="right"/>
              <w:ind w:right="92"/>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jc w:val="right"/>
              <w:ind w:right="92"/>
              <w:spacing w:after="0"/>
              <w:rPr>
                <w:sz w:val="20"/>
                <w:szCs w:val="20"/>
                <w:color w:val="auto"/>
              </w:rPr>
            </w:pPr>
            <w:r>
              <w:rPr>
                <w:rFonts w:ascii="Arial" w:cs="Arial" w:eastAsia="Arial" w:hAnsi="Arial"/>
                <w:sz w:val="14"/>
                <w:szCs w:val="14"/>
                <w:b w:val="1"/>
                <w:bCs w:val="1"/>
                <w:color w:val="auto"/>
              </w:rPr>
              <w:t>2009</w:t>
            </w:r>
          </w:p>
        </w:tc>
        <w:tc>
          <w:tcPr>
            <w:tcW w:w="1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Change</w:t>
            </w:r>
          </w:p>
        </w:tc>
        <w:tc>
          <w:tcPr>
            <w:tcW w:w="440" w:type="dxa"/>
            <w:vAlign w:val="bottom"/>
          </w:tcPr>
          <w:p>
            <w:pPr>
              <w:spacing w:after="0"/>
              <w:rPr>
                <w:sz w:val="14"/>
                <w:szCs w:val="14"/>
                <w:color w:val="auto"/>
              </w:rPr>
            </w:pPr>
          </w:p>
        </w:tc>
        <w:tc>
          <w:tcPr>
            <w:tcW w:w="580" w:type="dxa"/>
            <w:vAlign w:val="bottom"/>
          </w:tcPr>
          <w:p>
            <w:pPr>
              <w:jc w:val="right"/>
              <w:ind w:right="86"/>
              <w:spacing w:after="0"/>
              <w:rPr>
                <w:sz w:val="20"/>
                <w:szCs w:val="20"/>
                <w:color w:val="auto"/>
              </w:rPr>
            </w:pPr>
            <w:r>
              <w:rPr>
                <w:rFonts w:ascii="Arial" w:cs="Arial" w:eastAsia="Arial" w:hAnsi="Arial"/>
                <w:sz w:val="14"/>
                <w:szCs w:val="14"/>
                <w:b w:val="1"/>
                <w:bCs w:val="1"/>
                <w:color w:val="auto"/>
              </w:rPr>
              <w:t>2010</w:t>
            </w:r>
          </w:p>
        </w:tc>
        <w:tc>
          <w:tcPr>
            <w:tcW w:w="400" w:type="dxa"/>
            <w:vAlign w:val="bottom"/>
          </w:tcPr>
          <w:p>
            <w:pPr>
              <w:spacing w:after="0"/>
              <w:rPr>
                <w:sz w:val="14"/>
                <w:szCs w:val="14"/>
                <w:color w:val="auto"/>
              </w:rPr>
            </w:pPr>
          </w:p>
        </w:tc>
        <w:tc>
          <w:tcPr>
            <w:tcW w:w="660" w:type="dxa"/>
            <w:vAlign w:val="bottom"/>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388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vMerge w:val="restart"/>
          </w:tcPr>
          <w:p>
            <w:pPr>
              <w:spacing w:after="0"/>
              <w:rPr>
                <w:sz w:val="20"/>
                <w:szCs w:val="20"/>
                <w:color w:val="auto"/>
              </w:rPr>
            </w:pPr>
            <w:r>
              <w:rPr>
                <w:rFonts w:ascii="Arial" w:cs="Arial" w:eastAsia="Arial" w:hAnsi="Arial"/>
                <w:sz w:val="14"/>
                <w:szCs w:val="14"/>
                <w:b w:val="1"/>
                <w:bCs w:val="1"/>
                <w:color w:val="auto"/>
              </w:rPr>
              <w:t>(in</w:t>
            </w:r>
          </w:p>
        </w:tc>
        <w:tc>
          <w:tcPr>
            <w:tcW w:w="460" w:type="dxa"/>
            <w:vAlign w:val="bottom"/>
            <w:shd w:val="clear" w:color="auto" w:fill="000000"/>
          </w:tcPr>
          <w:p>
            <w:pPr>
              <w:spacing w:after="0" w:line="20" w:lineRule="exact"/>
              <w:rPr>
                <w:sz w:val="1"/>
                <w:szCs w:val="1"/>
                <w:color w:val="auto"/>
              </w:rPr>
            </w:pPr>
          </w:p>
        </w:tc>
        <w:tc>
          <w:tcPr>
            <w:tcW w:w="44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4"/>
              </w:rPr>
              <w:t>except</w:t>
            </w: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3880" w:type="dxa"/>
            <w:vAlign w:val="bottom"/>
          </w:tcPr>
          <w:p>
            <w:pPr>
              <w:spacing w:after="0"/>
              <w:rPr>
                <w:sz w:val="12"/>
                <w:szCs w:val="12"/>
                <w:color w:val="auto"/>
              </w:rPr>
            </w:pPr>
          </w:p>
        </w:tc>
        <w:tc>
          <w:tcPr>
            <w:tcW w:w="19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40" w:type="dxa"/>
            <w:vAlign w:val="bottom"/>
            <w:vMerge w:val="continue"/>
          </w:tcPr>
          <w:p>
            <w:pPr>
              <w:spacing w:after="0"/>
              <w:rPr>
                <w:sz w:val="12"/>
                <w:szCs w:val="12"/>
                <w:color w:val="auto"/>
              </w:rPr>
            </w:pPr>
          </w:p>
        </w:tc>
        <w:tc>
          <w:tcPr>
            <w:tcW w:w="460" w:type="dxa"/>
            <w:vAlign w:val="bottom"/>
          </w:tcPr>
          <w:p>
            <w:pPr>
              <w:jc w:val="center"/>
              <w:spacing w:after="0"/>
              <w:rPr>
                <w:sz w:val="20"/>
                <w:szCs w:val="20"/>
                <w:color w:val="auto"/>
              </w:rPr>
            </w:pPr>
            <w:r>
              <w:rPr>
                <w:rFonts w:ascii="Arial" w:cs="Arial" w:eastAsia="Arial" w:hAnsi="Arial"/>
                <w:sz w:val="12"/>
                <w:szCs w:val="12"/>
                <w:b w:val="1"/>
                <w:bCs w:val="1"/>
                <w:color w:val="auto"/>
                <w:w w:val="71"/>
              </w:rPr>
              <w:t>thousands,</w:t>
            </w:r>
          </w:p>
        </w:tc>
        <w:tc>
          <w:tcPr>
            <w:tcW w:w="440" w:type="dxa"/>
            <w:vAlign w:val="bottom"/>
            <w:vMerge w:val="continue"/>
          </w:tcPr>
          <w:p>
            <w:pPr>
              <w:spacing w:after="0"/>
              <w:rPr>
                <w:sz w:val="12"/>
                <w:szCs w:val="12"/>
                <w:color w:val="auto"/>
              </w:rPr>
            </w:pPr>
          </w:p>
        </w:tc>
        <w:tc>
          <w:tcPr>
            <w:tcW w:w="980" w:type="dxa"/>
            <w:vAlign w:val="bottom"/>
            <w:gridSpan w:val="2"/>
          </w:tcPr>
          <w:p>
            <w:pPr>
              <w:jc w:val="right"/>
              <w:ind w:right="200"/>
              <w:spacing w:after="0" w:line="142" w:lineRule="exact"/>
              <w:rPr>
                <w:sz w:val="20"/>
                <w:szCs w:val="20"/>
                <w:color w:val="auto"/>
              </w:rPr>
            </w:pPr>
            <w:r>
              <w:rPr>
                <w:rFonts w:ascii="Arial" w:cs="Arial" w:eastAsia="Arial" w:hAnsi="Arial"/>
                <w:sz w:val="14"/>
                <w:szCs w:val="14"/>
                <w:b w:val="1"/>
                <w:bCs w:val="1"/>
                <w:color w:val="auto"/>
                <w:w w:val="95"/>
              </w:rPr>
              <w:t>percentage)</w:t>
            </w:r>
          </w:p>
        </w:tc>
        <w:tc>
          <w:tcPr>
            <w:tcW w:w="6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$25,440</w:t>
            </w:r>
          </w:p>
        </w:tc>
        <w:tc>
          <w:tcPr>
            <w:tcW w:w="2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$29,468</w:t>
            </w:r>
          </w:p>
        </w:tc>
        <w:tc>
          <w:tcPr>
            <w:tcW w:w="140" w:type="dxa"/>
            <w:vAlign w:val="bottom"/>
            <w:shd w:val="clear" w:color="auto" w:fill="CCEEFF"/>
          </w:tcPr>
          <w:p>
            <w:pPr>
              <w:spacing w:after="0"/>
              <w:rPr>
                <w:sz w:val="18"/>
                <w:szCs w:val="18"/>
                <w:color w:val="auto"/>
              </w:rPr>
            </w:pPr>
          </w:p>
        </w:tc>
        <w:tc>
          <w:tcPr>
            <w:tcW w:w="1140" w:type="dxa"/>
            <w:vAlign w:val="bottom"/>
            <w:gridSpan w:val="3"/>
            <w:shd w:val="clear" w:color="auto" w:fill="CCEEFF"/>
          </w:tcPr>
          <w:p>
            <w:pPr>
              <w:jc w:val="right"/>
              <w:ind w:right="172"/>
              <w:spacing w:after="0"/>
              <w:rPr>
                <w:sz w:val="20"/>
                <w:szCs w:val="20"/>
                <w:color w:val="auto"/>
              </w:rPr>
            </w:pPr>
            <w:r>
              <w:rPr>
                <w:rFonts w:ascii="Arial" w:cs="Arial" w:eastAsia="Arial" w:hAnsi="Arial"/>
                <w:sz w:val="18"/>
                <w:szCs w:val="18"/>
                <w:color w:val="auto"/>
              </w:rPr>
              <w:t>(13.7)%</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$48,548</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$132,196</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(63.3)%</w:t>
            </w:r>
          </w:p>
        </w:tc>
        <w:tc>
          <w:tcPr>
            <w:tcW w:w="0" w:type="dxa"/>
            <w:vAlign w:val="bottom"/>
          </w:tcPr>
          <w:p>
            <w:pPr>
              <w:spacing w:after="0"/>
              <w:rPr>
                <w:sz w:val="1"/>
                <w:szCs w:val="1"/>
                <w:color w:val="auto"/>
              </w:rPr>
            </w:pPr>
          </w:p>
        </w:tc>
      </w:tr>
      <w:tr>
        <w:trPr>
          <w:trHeight w:val="222"/>
        </w:trPr>
        <w:tc>
          <w:tcPr>
            <w:tcW w:w="3880" w:type="dxa"/>
            <w:vAlign w:val="bottom"/>
          </w:tcPr>
          <w:p>
            <w:pPr>
              <w:spacing w:after="0"/>
              <w:rPr>
                <w:sz w:val="20"/>
                <w:szCs w:val="20"/>
                <w:color w:val="auto"/>
              </w:rPr>
            </w:pPr>
            <w:r>
              <w:rPr>
                <w:rFonts w:ascii="Arial" w:cs="Arial" w:eastAsia="Arial" w:hAnsi="Arial"/>
                <w:sz w:val="18"/>
                <w:szCs w:val="18"/>
                <w:color w:val="auto"/>
              </w:rPr>
              <w:t>% of net revenue</w:t>
            </w:r>
          </w:p>
        </w:tc>
        <w:tc>
          <w:tcPr>
            <w:tcW w:w="2820" w:type="dxa"/>
            <w:vAlign w:val="bottom"/>
            <w:gridSpan w:val="3"/>
          </w:tcPr>
          <w:p>
            <w:pPr>
              <w:jc w:val="right"/>
              <w:ind w:right="140"/>
              <w:spacing w:after="0"/>
              <w:rPr>
                <w:sz w:val="20"/>
                <w:szCs w:val="20"/>
                <w:color w:val="auto"/>
              </w:rPr>
            </w:pPr>
            <w:r>
              <w:rPr>
                <w:rFonts w:ascii="Arial" w:cs="Arial" w:eastAsia="Arial" w:hAnsi="Arial"/>
                <w:sz w:val="18"/>
                <w:szCs w:val="18"/>
                <w:color w:val="auto"/>
              </w:rPr>
              <w:t>2.8%</w:t>
            </w:r>
          </w:p>
        </w:tc>
        <w:tc>
          <w:tcPr>
            <w:tcW w:w="840" w:type="dxa"/>
            <w:vAlign w:val="bottom"/>
            <w:gridSpan w:val="3"/>
          </w:tcPr>
          <w:p>
            <w:pPr>
              <w:jc w:val="right"/>
              <w:spacing w:after="0"/>
              <w:rPr>
                <w:sz w:val="20"/>
                <w:szCs w:val="20"/>
                <w:color w:val="auto"/>
              </w:rPr>
            </w:pPr>
            <w:r>
              <w:rPr>
                <w:rFonts w:ascii="Arial" w:cs="Arial" w:eastAsia="Arial" w:hAnsi="Arial"/>
                <w:sz w:val="18"/>
                <w:szCs w:val="18"/>
                <w:color w:val="auto"/>
              </w:rPr>
              <w:t>4.6%</w:t>
            </w: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2.8%</w:t>
            </w:r>
          </w:p>
        </w:tc>
        <w:tc>
          <w:tcPr>
            <w:tcW w:w="1060" w:type="dxa"/>
            <w:vAlign w:val="bottom"/>
            <w:gridSpan w:val="2"/>
          </w:tcPr>
          <w:p>
            <w:pPr>
              <w:jc w:val="right"/>
              <w:ind w:right="240"/>
              <w:spacing w:after="0"/>
              <w:rPr>
                <w:sz w:val="20"/>
                <w:szCs w:val="20"/>
                <w:color w:val="auto"/>
              </w:rPr>
            </w:pPr>
            <w:r>
              <w:rPr>
                <w:rFonts w:ascii="Arial" w:cs="Arial" w:eastAsia="Arial" w:hAnsi="Arial"/>
                <w:sz w:val="18"/>
                <w:szCs w:val="18"/>
                <w:color w:val="auto"/>
              </w:rPr>
              <w:t>11.4%</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80" w:firstLine="456"/>
        <w:spacing w:after="0" w:line="298" w:lineRule="auto"/>
        <w:rPr>
          <w:sz w:val="20"/>
          <w:szCs w:val="20"/>
          <w:color w:val="auto"/>
        </w:rPr>
      </w:pPr>
      <w:r>
        <w:rPr>
          <w:rFonts w:ascii="Arial" w:cs="Arial" w:eastAsia="Arial" w:hAnsi="Arial"/>
          <w:sz w:val="16"/>
          <w:szCs w:val="16"/>
          <w:color w:val="auto"/>
        </w:rPr>
        <w:t>The decrease in general and administrative expense for the three months ended July 31, 2010 compared to the three months ended August 1, 2009 of $4.0 million was primarily due to a decrease in legal fees of $10.4 million primarily due to the timing of trial activity and lower activity as a result of the settlement of various litigation matters. Partially offsetting the decreases was an increase in salaries and wages of $2.3 million due to higher incentive compensation costs and an increase in stock-based compensation of $2.2 million due to the impact of executive performance grants.</w:t>
      </w:r>
    </w:p>
    <w:p>
      <w:pPr>
        <w:spacing w:after="0" w:line="113" w:lineRule="exact"/>
        <w:rPr>
          <w:sz w:val="20"/>
          <w:szCs w:val="20"/>
          <w:color w:val="auto"/>
        </w:rPr>
      </w:pPr>
    </w:p>
    <w:p>
      <w:pPr>
        <w:ind w:right="40" w:firstLine="456"/>
        <w:spacing w:after="0" w:line="318" w:lineRule="auto"/>
        <w:rPr>
          <w:sz w:val="20"/>
          <w:szCs w:val="20"/>
          <w:color w:val="auto"/>
        </w:rPr>
      </w:pPr>
      <w:r>
        <w:rPr>
          <w:rFonts w:ascii="Arial" w:cs="Arial" w:eastAsia="Arial" w:hAnsi="Arial"/>
          <w:sz w:val="15"/>
          <w:szCs w:val="15"/>
          <w:color w:val="auto"/>
        </w:rPr>
        <w:t>The decrease in general and administrative expense for the six months ended July 31, 2010 compared to the six months ended August 1, 2009 of $83.6 million was primarily due to a $72.0 million settlement recorded in the six months ended August 1, 2009 in connection with the settlement of the class action securities litigation related to our historical stock option granting practices. In addition, legal fees decreased by $20.3 million primarily due to the timing of trial activity and lower activity as a result of the settlement of various litigation matters. Partially offsetting the decreases was an increase in salaries and wages of $4.4 million due to higher incentive compensation costs. Finally, stock-based compensation increased $2.7 million due to the impact of executive performance grants.</w:t>
      </w:r>
    </w:p>
    <w:p>
      <w:pPr>
        <w:spacing w:after="0" w:line="100"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We currently expect that general and administrative expense during the third quarter ending October 30, 2010 will increase moderately from the level of expense reported during the second quarter ended July 31, 2010 primarily as a result of increased legal activity.</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6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940" w:type="dxa"/>
            <w:vAlign w:val="bottom"/>
            <w:gridSpan w:val="5"/>
          </w:tcPr>
          <w:p>
            <w:pPr>
              <w:jc w:val="right"/>
              <w:ind w:right="492"/>
              <w:spacing w:after="0"/>
              <w:rPr>
                <w:sz w:val="20"/>
                <w:szCs w:val="20"/>
                <w:color w:val="auto"/>
              </w:rPr>
            </w:pPr>
            <w:r>
              <w:rPr>
                <w:rFonts w:ascii="Arial" w:cs="Arial" w:eastAsia="Arial" w:hAnsi="Arial"/>
                <w:sz w:val="14"/>
                <w:szCs w:val="14"/>
                <w:b w:val="1"/>
                <w:bCs w:val="1"/>
                <w:color w:val="auto"/>
                <w:w w:val="98"/>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14"/>
                <w:szCs w:val="14"/>
                <w:color w:val="auto"/>
              </w:rPr>
            </w:pPr>
          </w:p>
        </w:tc>
        <w:tc>
          <w:tcPr>
            <w:tcW w:w="1940" w:type="dxa"/>
            <w:vAlign w:val="bottom"/>
            <w:gridSpan w:val="4"/>
          </w:tcPr>
          <w:p>
            <w:pPr>
              <w:ind w:left="24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46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97"/>
              </w:rPr>
              <w:t>July 31,</w:t>
            </w: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7"/>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460" w:type="dxa"/>
            <w:vAlign w:val="bottom"/>
          </w:tcPr>
          <w:p>
            <w:pPr>
              <w:spacing w:after="0"/>
              <w:rPr>
                <w:sz w:val="11"/>
                <w:szCs w:val="11"/>
                <w:color w:val="auto"/>
              </w:rPr>
            </w:pPr>
          </w:p>
        </w:tc>
        <w:tc>
          <w:tcPr>
            <w:tcW w:w="960" w:type="dxa"/>
            <w:vAlign w:val="bottom"/>
            <w:tcBorders>
              <w:top w:val="single" w:sz="8" w:color="auto"/>
            </w:tcBorders>
            <w:gridSpan w:val="2"/>
          </w:tcPr>
          <w:p>
            <w:pPr>
              <w:ind w:left="60"/>
              <w:spacing w:after="0" w:line="129" w:lineRule="exact"/>
              <w:rPr>
                <w:sz w:val="20"/>
                <w:szCs w:val="20"/>
                <w:color w:val="auto"/>
              </w:rPr>
            </w:pPr>
            <w:r>
              <w:rPr>
                <w:rFonts w:ascii="Arial" w:cs="Arial" w:eastAsia="Arial" w:hAnsi="Arial"/>
                <w:sz w:val="14"/>
                <w:szCs w:val="14"/>
                <w:b w:val="1"/>
                <w:bCs w:val="1"/>
                <w:color w:val="auto"/>
              </w:rPr>
              <w:t>July 31,</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60" w:type="dxa"/>
            <w:vAlign w:val="bottom"/>
          </w:tcPr>
          <w:p>
            <w:pPr>
              <w:spacing w:after="0"/>
              <w:rPr>
                <w:sz w:val="14"/>
                <w:szCs w:val="14"/>
                <w:color w:val="auto"/>
              </w:rPr>
            </w:pPr>
          </w:p>
        </w:tc>
        <w:tc>
          <w:tcPr>
            <w:tcW w:w="206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70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900" w:type="dxa"/>
            <w:vAlign w:val="bottom"/>
            <w:gridSpan w:val="2"/>
          </w:tcPr>
          <w:p>
            <w:pPr>
              <w:jc w:val="center"/>
              <w:ind w:right="392"/>
              <w:spacing w:after="0"/>
              <w:rPr>
                <w:sz w:val="20"/>
                <w:szCs w:val="20"/>
                <w:color w:val="auto"/>
              </w:rPr>
            </w:pPr>
            <w:r>
              <w:rPr>
                <w:rFonts w:ascii="Arial" w:cs="Arial" w:eastAsia="Arial" w:hAnsi="Arial"/>
                <w:sz w:val="14"/>
                <w:szCs w:val="14"/>
                <w:b w:val="1"/>
                <w:bCs w:val="1"/>
                <w:color w:val="auto"/>
                <w:w w:val="85"/>
              </w:rPr>
              <w:t>Change</w:t>
            </w:r>
          </w:p>
        </w:tc>
        <w:tc>
          <w:tcPr>
            <w:tcW w:w="580" w:type="dxa"/>
            <w:vAlign w:val="bottom"/>
          </w:tcPr>
          <w:p>
            <w:pPr>
              <w:jc w:val="right"/>
              <w:ind w:right="87"/>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580" w:type="dxa"/>
            <w:vAlign w:val="bottom"/>
          </w:tcPr>
          <w:p>
            <w:pPr>
              <w:jc w:val="right"/>
              <w:ind w:right="6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46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400" w:type="dxa"/>
            <w:vAlign w:val="bottom"/>
          </w:tcPr>
          <w:p>
            <w:pPr>
              <w:jc w:val="right"/>
              <w:ind w:right="7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99"/>
              </w:rPr>
              <w:t>except</w:t>
            </w:r>
          </w:p>
        </w:tc>
        <w:tc>
          <w:tcPr>
            <w:tcW w:w="580" w:type="dxa"/>
            <w:vAlign w:val="bottom"/>
            <w:tcBorders>
              <w:top w:val="single" w:sz="8" w:color="auto"/>
            </w:tcBorders>
          </w:tcPr>
          <w:p>
            <w:pPr>
              <w:ind w:left="60"/>
              <w:spacing w:after="0"/>
              <w:rPr>
                <w:sz w:val="20"/>
                <w:szCs w:val="20"/>
                <w:color w:val="auto"/>
              </w:rPr>
            </w:pPr>
            <w:r>
              <w:rPr>
                <w:rFonts w:ascii="Arial" w:cs="Arial" w:eastAsia="Arial" w:hAnsi="Arial"/>
                <w:sz w:val="12"/>
                <w:szCs w:val="12"/>
                <w:b w:val="1"/>
                <w:bCs w:val="1"/>
                <w:color w:val="auto"/>
                <w:w w:val="73"/>
              </w:rPr>
              <w:t>percentage)</w:t>
            </w:r>
          </w:p>
        </w:tc>
        <w:tc>
          <w:tcPr>
            <w:tcW w:w="380" w:type="dxa"/>
            <w:vAlign w:val="bottom"/>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3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$21,214</w:t>
            </w:r>
          </w:p>
        </w:tc>
        <w:tc>
          <w:tcPr>
            <w:tcW w:w="110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$26,446</w:t>
            </w:r>
          </w:p>
        </w:tc>
        <w:tc>
          <w:tcPr>
            <w:tcW w:w="90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(19.8)%</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$43,763</w:t>
            </w: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$56,802</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(23.0)%</w:t>
            </w:r>
          </w:p>
        </w:tc>
        <w:tc>
          <w:tcPr>
            <w:tcW w:w="0" w:type="dxa"/>
            <w:vAlign w:val="bottom"/>
          </w:tcPr>
          <w:p>
            <w:pPr>
              <w:spacing w:after="0"/>
              <w:rPr>
                <w:sz w:val="1"/>
                <w:szCs w:val="1"/>
                <w:color w:val="auto"/>
              </w:rPr>
            </w:pPr>
          </w:p>
        </w:tc>
      </w:tr>
      <w:tr>
        <w:trPr>
          <w:trHeight w:val="222"/>
        </w:trPr>
        <w:tc>
          <w:tcPr>
            <w:tcW w:w="4460" w:type="dxa"/>
            <w:vAlign w:val="bottom"/>
          </w:tcPr>
          <w:p>
            <w:pPr>
              <w:spacing w:after="0"/>
              <w:rPr>
                <w:sz w:val="20"/>
                <w:szCs w:val="20"/>
                <w:color w:val="auto"/>
              </w:rPr>
            </w:pPr>
            <w:r>
              <w:rPr>
                <w:rFonts w:ascii="Arial" w:cs="Arial" w:eastAsia="Arial" w:hAnsi="Arial"/>
                <w:sz w:val="18"/>
                <w:szCs w:val="18"/>
                <w:color w:val="auto"/>
              </w:rPr>
              <w:t>% of net revenue</w:t>
            </w:r>
          </w:p>
        </w:tc>
        <w:tc>
          <w:tcPr>
            <w:tcW w:w="2320" w:type="dxa"/>
            <w:vAlign w:val="bottom"/>
            <w:gridSpan w:val="3"/>
          </w:tcPr>
          <w:p>
            <w:pPr>
              <w:jc w:val="right"/>
              <w:ind w:right="120"/>
              <w:spacing w:after="0"/>
              <w:rPr>
                <w:sz w:val="20"/>
                <w:szCs w:val="20"/>
                <w:color w:val="auto"/>
              </w:rPr>
            </w:pPr>
            <w:r>
              <w:rPr>
                <w:rFonts w:ascii="Arial" w:cs="Arial" w:eastAsia="Arial" w:hAnsi="Arial"/>
                <w:sz w:val="18"/>
                <w:szCs w:val="18"/>
                <w:color w:val="auto"/>
              </w:rPr>
              <w:t>2.4%</w:t>
            </w:r>
          </w:p>
        </w:tc>
        <w:tc>
          <w:tcPr>
            <w:tcW w:w="1100" w:type="dxa"/>
            <w:vAlign w:val="bottom"/>
            <w:gridSpan w:val="3"/>
          </w:tcPr>
          <w:p>
            <w:pPr>
              <w:jc w:val="right"/>
              <w:ind w:right="172"/>
              <w:spacing w:after="0"/>
              <w:rPr>
                <w:sz w:val="20"/>
                <w:szCs w:val="20"/>
                <w:color w:val="auto"/>
              </w:rPr>
            </w:pPr>
            <w:r>
              <w:rPr>
                <w:rFonts w:ascii="Arial" w:cs="Arial" w:eastAsia="Arial" w:hAnsi="Arial"/>
                <w:sz w:val="18"/>
                <w:szCs w:val="18"/>
                <w:color w:val="auto"/>
              </w:rPr>
              <w:t>4.1%</w:t>
            </w:r>
          </w:p>
        </w:tc>
        <w:tc>
          <w:tcPr>
            <w:tcW w:w="4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2.4%</w:t>
            </w: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4.9%</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The decrease in amortization of acquired intangible assets for the three and six months ended July 31, 2010 compared to the three and six months ended August 1, 2009 was due to intangible assets from certain acquisitions becoming fully amortized and the effects of the write-off of certain purchased intangibles during the fourth quarter ended January 30, 2010.</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8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40" w:type="dxa"/>
            <w:vAlign w:val="bottom"/>
            <w:gridSpan w:val="5"/>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0" w:type="dxa"/>
            <w:vAlign w:val="bottom"/>
            <w:gridSpan w:val="4"/>
          </w:tcPr>
          <w:p>
            <w:pPr>
              <w:jc w:val="right"/>
              <w:ind w:right="56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8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78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rPr>
              <w:t>July 31,</w:t>
            </w:r>
          </w:p>
        </w:tc>
        <w:tc>
          <w:tcPr>
            <w:tcW w:w="1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400"/>
              <w:spacing w:after="0" w:line="129" w:lineRule="exact"/>
              <w:rPr>
                <w:sz w:val="20"/>
                <w:szCs w:val="20"/>
                <w:color w:val="auto"/>
              </w:rPr>
            </w:pPr>
            <w:r>
              <w:rPr>
                <w:rFonts w:ascii="Arial" w:cs="Arial" w:eastAsia="Arial" w:hAnsi="Arial"/>
                <w:sz w:val="14"/>
                <w:szCs w:val="14"/>
                <w:b w:val="1"/>
                <w:bCs w:val="1"/>
                <w:color w:val="auto"/>
                <w:w w:val="85"/>
              </w:rPr>
              <w:t>July 31,</w:t>
            </w: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8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500" w:type="dxa"/>
            <w:vAlign w:val="bottom"/>
          </w:tcPr>
          <w:p>
            <w:pPr>
              <w:ind w:left="120"/>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jc w:val="right"/>
              <w:ind w:right="72"/>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720" w:type="dxa"/>
            <w:vAlign w:val="bottom"/>
            <w:gridSpan w:val="2"/>
          </w:tcPr>
          <w:p>
            <w:pPr>
              <w:jc w:val="center"/>
              <w:ind w:right="218"/>
              <w:spacing w:after="0"/>
              <w:rPr>
                <w:sz w:val="20"/>
                <w:szCs w:val="20"/>
                <w:color w:val="auto"/>
              </w:rPr>
            </w:pPr>
            <w:r>
              <w:rPr>
                <w:rFonts w:ascii="Arial" w:cs="Arial" w:eastAsia="Arial" w:hAnsi="Arial"/>
                <w:sz w:val="14"/>
                <w:szCs w:val="14"/>
                <w:b w:val="1"/>
                <w:bCs w:val="1"/>
                <w:color w:val="auto"/>
                <w:w w:val="85"/>
              </w:rPr>
              <w:t>Change</w:t>
            </w:r>
          </w:p>
        </w:tc>
        <w:tc>
          <w:tcPr>
            <w:tcW w:w="580" w:type="dxa"/>
            <w:vAlign w:val="bottom"/>
            <w:gridSpan w:val="2"/>
          </w:tcPr>
          <w:p>
            <w:pPr>
              <w:jc w:val="right"/>
              <w:ind w:right="32"/>
              <w:spacing w:after="0"/>
              <w:rPr>
                <w:sz w:val="20"/>
                <w:szCs w:val="20"/>
                <w:color w:val="auto"/>
              </w:rPr>
            </w:pPr>
            <w:r>
              <w:rPr>
                <w:rFonts w:ascii="Arial" w:cs="Arial" w:eastAsia="Arial" w:hAnsi="Arial"/>
                <w:sz w:val="14"/>
                <w:szCs w:val="14"/>
                <w:b w:val="1"/>
                <w:bCs w:val="1"/>
                <w:color w:val="auto"/>
              </w:rPr>
              <w:t>2010</w:t>
            </w:r>
          </w:p>
        </w:tc>
        <w:tc>
          <w:tcPr>
            <w:tcW w:w="400" w:type="dxa"/>
            <w:vAlign w:val="bottom"/>
          </w:tcPr>
          <w:p>
            <w:pPr>
              <w:spacing w:after="0"/>
              <w:rPr>
                <w:sz w:val="14"/>
                <w:szCs w:val="14"/>
                <w:color w:val="auto"/>
              </w:rPr>
            </w:pPr>
          </w:p>
        </w:tc>
        <w:tc>
          <w:tcPr>
            <w:tcW w:w="540" w:type="dxa"/>
            <w:vAlign w:val="bottom"/>
          </w:tcPr>
          <w:p>
            <w:pPr>
              <w:jc w:val="right"/>
              <w:ind w:right="6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4180" w:type="dxa"/>
            <w:vAlign w:val="bottom"/>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380" w:type="dxa"/>
            <w:vAlign w:val="bottom"/>
            <w:vMerge w:val="restart"/>
          </w:tcPr>
          <w:p>
            <w:pPr>
              <w:jc w:val="right"/>
              <w:ind w:right="112"/>
              <w:spacing w:after="0"/>
              <w:rPr>
                <w:sz w:val="20"/>
                <w:szCs w:val="20"/>
                <w:color w:val="auto"/>
              </w:rPr>
            </w:pPr>
            <w:r>
              <w:rPr>
                <w:rFonts w:ascii="Arial" w:cs="Arial" w:eastAsia="Arial" w:hAnsi="Arial"/>
                <w:sz w:val="14"/>
                <w:szCs w:val="14"/>
                <w:b w:val="1"/>
                <w:bCs w:val="1"/>
                <w:color w:val="auto"/>
              </w:rPr>
              <w:t>(in</w:t>
            </w:r>
          </w:p>
        </w:tc>
        <w:tc>
          <w:tcPr>
            <w:tcW w:w="440" w:type="dxa"/>
            <w:vAlign w:val="bottom"/>
            <w:shd w:val="clear" w:color="auto" w:fill="000000"/>
          </w:tcPr>
          <w:p>
            <w:pPr>
              <w:spacing w:after="0" w:line="20" w:lineRule="exact"/>
              <w:rPr>
                <w:sz w:val="1"/>
                <w:szCs w:val="1"/>
                <w:color w:val="auto"/>
              </w:rPr>
            </w:pPr>
          </w:p>
        </w:tc>
        <w:tc>
          <w:tcPr>
            <w:tcW w:w="4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w w:val="78"/>
              </w:rPr>
              <w:t>except</w:t>
            </w:r>
          </w:p>
        </w:tc>
        <w:tc>
          <w:tcPr>
            <w:tcW w:w="46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418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80" w:type="dxa"/>
            <w:vAlign w:val="bottom"/>
            <w:vMerge w:val="continue"/>
          </w:tcPr>
          <w:p>
            <w:pPr>
              <w:spacing w:after="0"/>
              <w:rPr>
                <w:sz w:val="12"/>
                <w:szCs w:val="12"/>
                <w:color w:val="auto"/>
              </w:rPr>
            </w:pPr>
          </w:p>
        </w:tc>
        <w:tc>
          <w:tcPr>
            <w:tcW w:w="440" w:type="dxa"/>
            <w:vAlign w:val="bottom"/>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00" w:type="dxa"/>
            <w:vAlign w:val="bottom"/>
            <w:gridSpan w:val="2"/>
            <w:vMerge w:val="continue"/>
          </w:tcPr>
          <w:p>
            <w:pPr>
              <w:spacing w:after="0"/>
              <w:rPr>
                <w:sz w:val="12"/>
                <w:szCs w:val="12"/>
                <w:color w:val="auto"/>
              </w:rPr>
            </w:pPr>
          </w:p>
        </w:tc>
        <w:tc>
          <w:tcPr>
            <w:tcW w:w="860" w:type="dxa"/>
            <w:vAlign w:val="bottom"/>
            <w:gridSpan w:val="2"/>
          </w:tcPr>
          <w:p>
            <w:pPr>
              <w:jc w:val="right"/>
              <w:ind w:right="120"/>
              <w:spacing w:after="0" w:line="142" w:lineRule="exact"/>
              <w:rPr>
                <w:sz w:val="20"/>
                <w:szCs w:val="20"/>
                <w:color w:val="auto"/>
              </w:rPr>
            </w:pPr>
            <w:r>
              <w:rPr>
                <w:rFonts w:ascii="Arial" w:cs="Arial" w:eastAsia="Arial" w:hAnsi="Arial"/>
                <w:sz w:val="14"/>
                <w:szCs w:val="14"/>
                <w:b w:val="1"/>
                <w:bCs w:val="1"/>
                <w:color w:val="auto"/>
                <w:w w:val="90"/>
              </w:rPr>
              <w:t>percentage)</w:t>
            </w:r>
          </w:p>
        </w:tc>
        <w:tc>
          <w:tcPr>
            <w:tcW w:w="5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1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84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$4,253</w:t>
            </w:r>
          </w:p>
        </w:tc>
        <w:tc>
          <w:tcPr>
            <w:tcW w:w="106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$ 1,793</w:t>
            </w:r>
          </w:p>
        </w:tc>
        <w:tc>
          <w:tcPr>
            <w:tcW w:w="720" w:type="dxa"/>
            <w:vAlign w:val="bottom"/>
            <w:gridSpan w:val="2"/>
            <w:shd w:val="clear" w:color="auto" w:fill="CCEEFF"/>
          </w:tcPr>
          <w:p>
            <w:pPr>
              <w:jc w:val="right"/>
              <w:ind w:right="58"/>
              <w:spacing w:after="0"/>
              <w:rPr>
                <w:sz w:val="20"/>
                <w:szCs w:val="20"/>
                <w:color w:val="auto"/>
              </w:rPr>
            </w:pPr>
            <w:r>
              <w:rPr>
                <w:rFonts w:ascii="Arial" w:cs="Arial" w:eastAsia="Arial" w:hAnsi="Arial"/>
                <w:sz w:val="18"/>
                <w:szCs w:val="18"/>
                <w:color w:val="auto"/>
                <w:w w:val="94"/>
              </w:rPr>
              <w:t>137.2%</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$ 552</w:t>
            </w:r>
          </w:p>
        </w:tc>
        <w:tc>
          <w:tcPr>
            <w:tcW w:w="40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$ 1,721</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(67.9)%</w:t>
            </w:r>
          </w:p>
        </w:tc>
        <w:tc>
          <w:tcPr>
            <w:tcW w:w="0" w:type="dxa"/>
            <w:vAlign w:val="bottom"/>
          </w:tcPr>
          <w:p>
            <w:pPr>
              <w:spacing w:after="0"/>
              <w:rPr>
                <w:sz w:val="1"/>
                <w:szCs w:val="1"/>
                <w:color w:val="auto"/>
              </w:rPr>
            </w:pPr>
          </w:p>
        </w:tc>
      </w:tr>
      <w:tr>
        <w:trPr>
          <w:trHeight w:val="222"/>
        </w:trPr>
        <w:tc>
          <w:tcPr>
            <w:tcW w:w="4180" w:type="dxa"/>
            <w:vAlign w:val="bottom"/>
          </w:tcPr>
          <w:p>
            <w:pPr>
              <w:spacing w:after="0"/>
              <w:rPr>
                <w:sz w:val="20"/>
                <w:szCs w:val="20"/>
                <w:color w:val="auto"/>
              </w:rPr>
            </w:pPr>
            <w:r>
              <w:rPr>
                <w:rFonts w:ascii="Arial" w:cs="Arial" w:eastAsia="Arial" w:hAnsi="Arial"/>
                <w:sz w:val="18"/>
                <w:szCs w:val="18"/>
                <w:color w:val="auto"/>
              </w:rPr>
              <w:t>% of net revenue</w:t>
            </w:r>
          </w:p>
        </w:tc>
        <w:tc>
          <w:tcPr>
            <w:tcW w:w="2840" w:type="dxa"/>
            <w:vAlign w:val="bottom"/>
            <w:gridSpan w:val="3"/>
          </w:tcPr>
          <w:p>
            <w:pPr>
              <w:jc w:val="right"/>
              <w:ind w:right="120"/>
              <w:spacing w:after="0"/>
              <w:rPr>
                <w:sz w:val="20"/>
                <w:szCs w:val="20"/>
                <w:color w:val="auto"/>
              </w:rPr>
            </w:pPr>
            <w:r>
              <w:rPr>
                <w:rFonts w:ascii="Arial" w:cs="Arial" w:eastAsia="Arial" w:hAnsi="Arial"/>
                <w:sz w:val="18"/>
                <w:szCs w:val="18"/>
                <w:color w:val="auto"/>
              </w:rPr>
              <w:t>0.5%</w:t>
            </w:r>
          </w:p>
        </w:tc>
        <w:tc>
          <w:tcPr>
            <w:tcW w:w="1060" w:type="dxa"/>
            <w:vAlign w:val="bottom"/>
            <w:gridSpan w:val="3"/>
          </w:tcPr>
          <w:p>
            <w:pPr>
              <w:jc w:val="right"/>
              <w:ind w:right="172"/>
              <w:spacing w:after="0"/>
              <w:rPr>
                <w:sz w:val="20"/>
                <w:szCs w:val="20"/>
                <w:color w:val="auto"/>
              </w:rPr>
            </w:pPr>
            <w:r>
              <w:rPr>
                <w:rFonts w:ascii="Arial" w:cs="Arial" w:eastAsia="Arial" w:hAnsi="Arial"/>
                <w:sz w:val="18"/>
                <w:szCs w:val="18"/>
                <w:color w:val="auto"/>
              </w:rPr>
              <w:t>0.3%</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80" w:type="dxa"/>
            <w:vAlign w:val="bottom"/>
            <w:gridSpan w:val="3"/>
          </w:tcPr>
          <w:p>
            <w:pPr>
              <w:jc w:val="right"/>
              <w:ind w:right="260"/>
              <w:spacing w:after="0"/>
              <w:rPr>
                <w:sz w:val="20"/>
                <w:szCs w:val="20"/>
                <w:color w:val="auto"/>
              </w:rPr>
            </w:pPr>
            <w:r>
              <w:rPr>
                <w:rFonts w:ascii="Arial" w:cs="Arial" w:eastAsia="Arial" w:hAnsi="Arial"/>
                <w:sz w:val="18"/>
                <w:szCs w:val="18"/>
                <w:color w:val="auto"/>
              </w:rPr>
              <w:t>0.0%</w:t>
            </w: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0.1%</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The increase in income for the three months ended July 31, 2010 compared to the three months ended August 1, 2009 was primarily due to favorable foreign currency impacts on our tax liabilities as a result of the strengthening of the U.S. dollar. In addition, interest income increased due to higher average cash and cash equivalents and short-term investment balances. The decrease in income for the six months ended July 31, 2010 compared to the six months ended August 1, 2009 was primarily due to less favorable foreign currency impacts on our tax contingency reserves as a result of the weakening of the U.S. dollar in the six months ended July 31, 2010 and a gain on a severance fund in a foreign jurisdiction recorded in the six months ended August 1, 2009. Partially offsetting the decreases was an increase in interest income in the six months ended July 31, 2010 due to higher average cash and cash equivalents and short-term investment balances.</w:t>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20" w:type="dxa"/>
            <w:vAlign w:val="bottom"/>
          </w:tcPr>
          <w:p>
            <w:pPr>
              <w:spacing w:after="0"/>
              <w:rPr>
                <w:sz w:val="14"/>
                <w:szCs w:val="14"/>
                <w:color w:val="auto"/>
              </w:rPr>
            </w:pPr>
          </w:p>
        </w:tc>
        <w:tc>
          <w:tcPr>
            <w:tcW w:w="1680" w:type="dxa"/>
            <w:vAlign w:val="bottom"/>
            <w:gridSpan w:val="5"/>
          </w:tcPr>
          <w:p>
            <w:pPr>
              <w:jc w:val="right"/>
              <w:ind w:right="320"/>
              <w:spacing w:after="0"/>
              <w:rPr>
                <w:sz w:val="20"/>
                <w:szCs w:val="20"/>
                <w:color w:val="auto"/>
              </w:rPr>
            </w:pPr>
            <w:r>
              <w:rPr>
                <w:rFonts w:ascii="Arial" w:cs="Arial" w:eastAsia="Arial" w:hAnsi="Arial"/>
                <w:sz w:val="14"/>
                <w:szCs w:val="14"/>
                <w:b w:val="1"/>
                <w:bCs w:val="1"/>
                <w:color w:val="auto"/>
                <w:w w:val="96"/>
              </w:rPr>
              <w:t>Three Months Ended</w:t>
            </w:r>
          </w:p>
        </w:tc>
        <w:tc>
          <w:tcPr>
            <w:tcW w:w="740" w:type="dxa"/>
            <w:vAlign w:val="bottom"/>
            <w:gridSpan w:val="2"/>
            <w:vMerge w:val="restart"/>
          </w:tcPr>
          <w:p>
            <w:pPr>
              <w:jc w:val="center"/>
              <w:ind w:left="206"/>
              <w:spacing w:after="0"/>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60" w:type="dxa"/>
            <w:vAlign w:val="bottom"/>
            <w:gridSpan w:val="5"/>
          </w:tcPr>
          <w:p>
            <w:pPr>
              <w:jc w:val="right"/>
              <w:ind w:right="68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820" w:type="dxa"/>
            <w:vAlign w:val="bottom"/>
          </w:tcPr>
          <w:p>
            <w:pPr>
              <w:spacing w:after="0"/>
              <w:rPr>
                <w:sz w:val="11"/>
                <w:szCs w:val="11"/>
                <w:color w:val="auto"/>
              </w:rPr>
            </w:pPr>
          </w:p>
        </w:tc>
        <w:tc>
          <w:tcPr>
            <w:tcW w:w="78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5"/>
              </w:rPr>
              <w:t>July 31,</w:t>
            </w:r>
          </w:p>
        </w:tc>
        <w:tc>
          <w:tcPr>
            <w:tcW w:w="16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18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3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Borders>
              <w:top w:val="single" w:sz="8" w:color="auto"/>
            </w:tcBorders>
            <w:gridSpan w:val="2"/>
          </w:tcPr>
          <w:p>
            <w:pPr>
              <w:jc w:val="right"/>
              <w:ind w:right="360"/>
              <w:spacing w:after="0" w:line="129" w:lineRule="exact"/>
              <w:rPr>
                <w:sz w:val="20"/>
                <w:szCs w:val="20"/>
                <w:color w:val="auto"/>
              </w:rPr>
            </w:pPr>
            <w:r>
              <w:rPr>
                <w:rFonts w:ascii="Arial" w:cs="Arial" w:eastAsia="Arial" w:hAnsi="Arial"/>
                <w:sz w:val="14"/>
                <w:szCs w:val="14"/>
                <w:b w:val="1"/>
                <w:bCs w:val="1"/>
                <w:color w:val="auto"/>
                <w:w w:val="85"/>
              </w:rPr>
              <w:t>July 31,</w:t>
            </w:r>
          </w:p>
        </w:tc>
        <w:tc>
          <w:tcPr>
            <w:tcW w:w="12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4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820" w:type="dxa"/>
            <w:vAlign w:val="bottom"/>
          </w:tcPr>
          <w:p>
            <w:pPr>
              <w:spacing w:after="0"/>
              <w:rPr>
                <w:sz w:val="14"/>
                <w:szCs w:val="14"/>
                <w:color w:val="auto"/>
              </w:rPr>
            </w:pPr>
          </w:p>
        </w:tc>
        <w:tc>
          <w:tcPr>
            <w:tcW w:w="460" w:type="dxa"/>
            <w:vAlign w:val="bottom"/>
          </w:tcPr>
          <w:p>
            <w:pPr>
              <w:jc w:val="right"/>
              <w:ind w:right="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60" w:type="dxa"/>
            <w:vAlign w:val="bottom"/>
          </w:tcPr>
          <w:p>
            <w:pPr>
              <w:jc w:val="right"/>
              <w:ind w:right="72"/>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89"/>
              </w:rPr>
              <w:t>Change</w:t>
            </w: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60" w:type="dxa"/>
            <w:vAlign w:val="bottom"/>
          </w:tcPr>
          <w:p>
            <w:pPr>
              <w:jc w:val="right"/>
              <w:ind w:right="32"/>
              <w:spacing w:after="0"/>
              <w:rPr>
                <w:sz w:val="20"/>
                <w:szCs w:val="20"/>
                <w:color w:val="auto"/>
              </w:rPr>
            </w:pPr>
            <w:r>
              <w:rPr>
                <w:rFonts w:ascii="Arial" w:cs="Arial" w:eastAsia="Arial" w:hAnsi="Arial"/>
                <w:sz w:val="14"/>
                <w:szCs w:val="14"/>
                <w:b w:val="1"/>
                <w:bCs w:val="1"/>
                <w:color w:val="auto"/>
              </w:rPr>
              <w:t>2010</w:t>
            </w:r>
          </w:p>
        </w:tc>
        <w:tc>
          <w:tcPr>
            <w:tcW w:w="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jc w:val="right"/>
              <w:ind w:right="72"/>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582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(in</w:t>
            </w:r>
          </w:p>
        </w:tc>
        <w:tc>
          <w:tcPr>
            <w:tcW w:w="460" w:type="dxa"/>
            <w:vAlign w:val="bottom"/>
            <w:shd w:val="clear" w:color="auto" w:fill="000000"/>
          </w:tcPr>
          <w:p>
            <w:pPr>
              <w:spacing w:after="0" w:line="20" w:lineRule="exact"/>
              <w:rPr>
                <w:sz w:val="1"/>
                <w:szCs w:val="1"/>
                <w:color w:val="auto"/>
              </w:rPr>
            </w:pPr>
          </w:p>
        </w:tc>
        <w:tc>
          <w:tcPr>
            <w:tcW w:w="52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w w:val="81"/>
              </w:rPr>
              <w:t>except</w:t>
            </w:r>
          </w:p>
        </w:tc>
        <w:tc>
          <w:tcPr>
            <w:tcW w:w="46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58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80" w:type="dxa"/>
            <w:vAlign w:val="bottom"/>
            <w:vMerge w:val="continue"/>
          </w:tcPr>
          <w:p>
            <w:pPr>
              <w:spacing w:after="0"/>
              <w:rPr>
                <w:sz w:val="12"/>
                <w:szCs w:val="12"/>
                <w:color w:val="auto"/>
              </w:rPr>
            </w:pPr>
          </w:p>
        </w:tc>
        <w:tc>
          <w:tcPr>
            <w:tcW w:w="460" w:type="dxa"/>
            <w:vAlign w:val="bottom"/>
          </w:tcPr>
          <w:p>
            <w:pPr>
              <w:jc w:val="center"/>
              <w:spacing w:after="0"/>
              <w:rPr>
                <w:sz w:val="20"/>
                <w:szCs w:val="20"/>
                <w:color w:val="auto"/>
              </w:rPr>
            </w:pPr>
            <w:r>
              <w:rPr>
                <w:rFonts w:ascii="Arial" w:cs="Arial" w:eastAsia="Arial" w:hAnsi="Arial"/>
                <w:sz w:val="12"/>
                <w:szCs w:val="12"/>
                <w:b w:val="1"/>
                <w:bCs w:val="1"/>
                <w:color w:val="auto"/>
                <w:w w:val="71"/>
              </w:rPr>
              <w:t>thousands,</w:t>
            </w:r>
          </w:p>
        </w:tc>
        <w:tc>
          <w:tcPr>
            <w:tcW w:w="520" w:type="dxa"/>
            <w:vAlign w:val="bottom"/>
            <w:gridSpan w:val="2"/>
            <w:vMerge w:val="continue"/>
          </w:tcPr>
          <w:p>
            <w:pPr>
              <w:spacing w:after="0"/>
              <w:rPr>
                <w:sz w:val="12"/>
                <w:szCs w:val="12"/>
                <w:color w:val="auto"/>
              </w:rPr>
            </w:pPr>
          </w:p>
        </w:tc>
        <w:tc>
          <w:tcPr>
            <w:tcW w:w="820" w:type="dxa"/>
            <w:vAlign w:val="bottom"/>
            <w:gridSpan w:val="2"/>
          </w:tcPr>
          <w:p>
            <w:pPr>
              <w:jc w:val="right"/>
              <w:ind w:right="120"/>
              <w:spacing w:after="0" w:line="142" w:lineRule="exact"/>
              <w:rPr>
                <w:sz w:val="20"/>
                <w:szCs w:val="20"/>
                <w:color w:val="auto"/>
              </w:rPr>
            </w:pPr>
            <w:r>
              <w:rPr>
                <w:rFonts w:ascii="Arial" w:cs="Arial" w:eastAsia="Arial" w:hAnsi="Arial"/>
                <w:sz w:val="14"/>
                <w:szCs w:val="14"/>
                <w:b w:val="1"/>
                <w:bCs w:val="1"/>
                <w:color w:val="auto"/>
                <w:w w:val="85"/>
              </w:rPr>
              <w:t>percentage)</w:t>
            </w:r>
          </w:p>
        </w:tc>
        <w:tc>
          <w:tcPr>
            <w:tcW w:w="1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7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  41</w:t>
            </w:r>
          </w:p>
        </w:tc>
        <w:tc>
          <w:tcPr>
            <w:tcW w:w="90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$ 1,514</w:t>
            </w:r>
          </w:p>
        </w:tc>
        <w:tc>
          <w:tcPr>
            <w:tcW w:w="1100" w:type="dxa"/>
            <w:vAlign w:val="bottom"/>
            <w:gridSpan w:val="3"/>
            <w:shd w:val="clear" w:color="auto" w:fill="CCEEFF"/>
          </w:tcPr>
          <w:p>
            <w:pPr>
              <w:jc w:val="right"/>
              <w:ind w:right="92"/>
              <w:spacing w:after="0"/>
              <w:rPr>
                <w:sz w:val="20"/>
                <w:szCs w:val="20"/>
                <w:color w:val="auto"/>
              </w:rPr>
            </w:pPr>
            <w:r>
              <w:rPr>
                <w:rFonts w:ascii="Arial" w:cs="Arial" w:eastAsia="Arial" w:hAnsi="Arial"/>
                <w:sz w:val="18"/>
                <w:szCs w:val="18"/>
                <w:color w:val="auto"/>
              </w:rPr>
              <w:t>(97.3)%</w:t>
            </w:r>
          </w:p>
        </w:tc>
        <w:tc>
          <w:tcPr>
            <w:tcW w:w="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92</w:t>
            </w:r>
          </w:p>
        </w:tc>
        <w:tc>
          <w:tcPr>
            <w:tcW w:w="3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$ 1,602</w:t>
            </w:r>
          </w:p>
        </w:tc>
        <w:tc>
          <w:tcPr>
            <w:tcW w:w="4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(94.3)%</w:t>
            </w:r>
          </w:p>
        </w:tc>
        <w:tc>
          <w:tcPr>
            <w:tcW w:w="0" w:type="dxa"/>
            <w:vAlign w:val="bottom"/>
          </w:tcPr>
          <w:p>
            <w:pPr>
              <w:spacing w:after="0"/>
              <w:rPr>
                <w:sz w:val="1"/>
                <w:szCs w:val="1"/>
                <w:color w:val="auto"/>
              </w:rPr>
            </w:pPr>
          </w:p>
        </w:tc>
      </w:tr>
      <w:tr>
        <w:trPr>
          <w:trHeight w:val="222"/>
        </w:trPr>
        <w:tc>
          <w:tcPr>
            <w:tcW w:w="5820" w:type="dxa"/>
            <w:vAlign w:val="bottom"/>
          </w:tcPr>
          <w:p>
            <w:pPr>
              <w:spacing w:after="0"/>
              <w:rPr>
                <w:sz w:val="20"/>
                <w:szCs w:val="20"/>
                <w:color w:val="auto"/>
              </w:rPr>
            </w:pPr>
            <w:r>
              <w:rPr>
                <w:rFonts w:ascii="Arial" w:cs="Arial" w:eastAsia="Arial" w:hAnsi="Arial"/>
                <w:sz w:val="18"/>
                <w:szCs w:val="18"/>
                <w:color w:val="auto"/>
              </w:rPr>
              <w:t>% of net revenue</w:t>
            </w:r>
          </w:p>
        </w:tc>
        <w:tc>
          <w:tcPr>
            <w:tcW w:w="780" w:type="dxa"/>
            <w:vAlign w:val="bottom"/>
            <w:gridSpan w:val="2"/>
          </w:tcPr>
          <w:p>
            <w:pPr>
              <w:jc w:val="right"/>
              <w:ind w:right="160"/>
              <w:spacing w:after="0"/>
              <w:rPr>
                <w:sz w:val="20"/>
                <w:szCs w:val="20"/>
                <w:color w:val="auto"/>
              </w:rPr>
            </w:pPr>
            <w:r>
              <w:rPr>
                <w:rFonts w:ascii="Arial" w:cs="Arial" w:eastAsia="Arial" w:hAnsi="Arial"/>
                <w:sz w:val="18"/>
                <w:szCs w:val="18"/>
                <w:color w:val="auto"/>
              </w:rPr>
              <w:t>0.0%</w:t>
            </w:r>
          </w:p>
        </w:tc>
        <w:tc>
          <w:tcPr>
            <w:tcW w:w="900" w:type="dxa"/>
            <w:vAlign w:val="bottom"/>
            <w:gridSpan w:val="3"/>
          </w:tcPr>
          <w:p>
            <w:pPr>
              <w:jc w:val="right"/>
              <w:ind w:right="40"/>
              <w:spacing w:after="0"/>
              <w:rPr>
                <w:sz w:val="20"/>
                <w:szCs w:val="20"/>
                <w:color w:val="auto"/>
              </w:rPr>
            </w:pPr>
            <w:r>
              <w:rPr>
                <w:rFonts w:ascii="Arial" w:cs="Arial" w:eastAsia="Arial" w:hAnsi="Arial"/>
                <w:sz w:val="18"/>
                <w:szCs w:val="18"/>
                <w:color w:val="auto"/>
              </w:rPr>
              <w:t>0.2%</w:t>
            </w: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3"/>
          </w:tcPr>
          <w:p>
            <w:pPr>
              <w:jc w:val="right"/>
              <w:ind w:right="220"/>
              <w:spacing w:after="0"/>
              <w:rPr>
                <w:sz w:val="20"/>
                <w:szCs w:val="20"/>
                <w:color w:val="auto"/>
              </w:rPr>
            </w:pPr>
            <w:r>
              <w:rPr>
                <w:rFonts w:ascii="Arial" w:cs="Arial" w:eastAsia="Arial" w:hAnsi="Arial"/>
                <w:sz w:val="18"/>
                <w:szCs w:val="18"/>
                <w:color w:val="auto"/>
              </w:rPr>
              <w:t>0.0%</w:t>
            </w:r>
          </w:p>
        </w:tc>
        <w:tc>
          <w:tcPr>
            <w:tcW w:w="1140" w:type="dxa"/>
            <w:vAlign w:val="bottom"/>
            <w:gridSpan w:val="3"/>
          </w:tcPr>
          <w:p>
            <w:pPr>
              <w:jc w:val="right"/>
              <w:ind w:right="320"/>
              <w:spacing w:after="0"/>
              <w:rPr>
                <w:sz w:val="20"/>
                <w:szCs w:val="20"/>
                <w:color w:val="auto"/>
              </w:rPr>
            </w:pPr>
            <w:r>
              <w:rPr>
                <w:rFonts w:ascii="Arial" w:cs="Arial" w:eastAsia="Arial" w:hAnsi="Arial"/>
                <w:sz w:val="18"/>
                <w:szCs w:val="18"/>
                <w:color w:val="auto"/>
              </w:rPr>
              <w:t>0.1%</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decrease in interest expense for the three and six months ended July 31, 2010 compared to the three and six months ended August 1, 2009 was due to the repayment of capital lease obligations.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120" w:type="dxa"/>
            <w:vAlign w:val="bottom"/>
          </w:tcPr>
          <w:p>
            <w:pPr>
              <w:spacing w:after="0"/>
              <w:rPr>
                <w:sz w:val="14"/>
                <w:szCs w:val="14"/>
                <w:color w:val="auto"/>
              </w:rPr>
            </w:pPr>
          </w:p>
        </w:tc>
        <w:tc>
          <w:tcPr>
            <w:tcW w:w="1840" w:type="dxa"/>
            <w:vAlign w:val="bottom"/>
            <w:gridSpan w:val="5"/>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14"/>
                <w:szCs w:val="14"/>
                <w:color w:val="auto"/>
              </w:rPr>
            </w:pPr>
          </w:p>
        </w:tc>
        <w:tc>
          <w:tcPr>
            <w:tcW w:w="1860" w:type="dxa"/>
            <w:vAlign w:val="bottom"/>
            <w:gridSpan w:val="4"/>
          </w:tcPr>
          <w:p>
            <w:pPr>
              <w:jc w:val="right"/>
              <w:ind w:right="600"/>
              <w:spacing w:after="0"/>
              <w:rPr>
                <w:sz w:val="20"/>
                <w:szCs w:val="20"/>
                <w:color w:val="auto"/>
              </w:rPr>
            </w:pPr>
            <w:r>
              <w:rPr>
                <w:rFonts w:ascii="Arial" w:cs="Arial" w:eastAsia="Arial" w:hAnsi="Arial"/>
                <w:sz w:val="14"/>
                <w:szCs w:val="14"/>
                <w:b w:val="1"/>
                <w:bCs w:val="1"/>
                <w:color w:val="auto"/>
              </w:rPr>
              <w:t>Six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120" w:type="dxa"/>
            <w:vAlign w:val="bottom"/>
          </w:tcPr>
          <w:p>
            <w:pPr>
              <w:spacing w:after="0"/>
              <w:rPr>
                <w:sz w:val="11"/>
                <w:szCs w:val="11"/>
                <w:color w:val="auto"/>
              </w:rPr>
            </w:pPr>
          </w:p>
        </w:tc>
        <w:tc>
          <w:tcPr>
            <w:tcW w:w="78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rPr>
              <w:t>July 31,</w:t>
            </w:r>
          </w:p>
        </w:tc>
        <w:tc>
          <w:tcPr>
            <w:tcW w:w="1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1"/>
              </w:rPr>
              <w:t>August 1,</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46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5"/>
              </w:rPr>
              <w:t>July 31,</w:t>
            </w:r>
          </w:p>
        </w:tc>
        <w:tc>
          <w:tcPr>
            <w:tcW w:w="5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4"/>
              </w:rPr>
              <w:t>August 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20" w:type="dxa"/>
            <w:vAlign w:val="bottom"/>
          </w:tcPr>
          <w:p>
            <w:pPr>
              <w:spacing w:after="0"/>
              <w:rPr>
                <w:sz w:val="14"/>
                <w:szCs w:val="14"/>
                <w:color w:val="auto"/>
              </w:rPr>
            </w:pPr>
          </w:p>
        </w:tc>
        <w:tc>
          <w:tcPr>
            <w:tcW w:w="500" w:type="dxa"/>
            <w:vAlign w:val="bottom"/>
          </w:tcPr>
          <w:p>
            <w:pPr>
              <w:ind w:left="120"/>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jc w:val="right"/>
              <w:ind w:right="92"/>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900" w:type="dxa"/>
            <w:vAlign w:val="bottom"/>
            <w:gridSpan w:val="2"/>
          </w:tcPr>
          <w:p>
            <w:pPr>
              <w:jc w:val="center"/>
              <w:ind w:right="392"/>
              <w:spacing w:after="0"/>
              <w:rPr>
                <w:sz w:val="20"/>
                <w:szCs w:val="20"/>
                <w:color w:val="auto"/>
              </w:rPr>
            </w:pPr>
            <w:r>
              <w:rPr>
                <w:rFonts w:ascii="Arial" w:cs="Arial" w:eastAsia="Arial" w:hAnsi="Arial"/>
                <w:sz w:val="14"/>
                <w:szCs w:val="14"/>
                <w:b w:val="1"/>
                <w:bCs w:val="1"/>
                <w:color w:val="auto"/>
                <w:w w:val="85"/>
              </w:rPr>
              <w:t>Change</w:t>
            </w:r>
          </w:p>
        </w:tc>
        <w:tc>
          <w:tcPr>
            <w:tcW w:w="500" w:type="dxa"/>
            <w:vAlign w:val="bottom"/>
          </w:tcPr>
          <w:p>
            <w:pPr>
              <w:jc w:val="right"/>
              <w:ind w:right="46"/>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580" w:type="dxa"/>
            <w:vAlign w:val="bottom"/>
          </w:tcPr>
          <w:p>
            <w:pPr>
              <w:jc w:val="right"/>
              <w:ind w:right="6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612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380" w:type="dxa"/>
            <w:vAlign w:val="bottom"/>
            <w:vMerge w:val="restart"/>
          </w:tcPr>
          <w:p>
            <w:pPr>
              <w:jc w:val="right"/>
              <w:ind w:right="52"/>
              <w:spacing w:after="0"/>
              <w:rPr>
                <w:sz w:val="20"/>
                <w:szCs w:val="20"/>
                <w:color w:val="auto"/>
              </w:rPr>
            </w:pPr>
            <w:r>
              <w:rPr>
                <w:rFonts w:ascii="Arial" w:cs="Arial" w:eastAsia="Arial" w:hAnsi="Arial"/>
                <w:sz w:val="14"/>
                <w:szCs w:val="14"/>
                <w:b w:val="1"/>
                <w:bCs w:val="1"/>
                <w:color w:val="auto"/>
              </w:rPr>
              <w:t>(in</w:t>
            </w:r>
          </w:p>
        </w:tc>
        <w:tc>
          <w:tcPr>
            <w:tcW w:w="440" w:type="dxa"/>
            <w:vAlign w:val="bottom"/>
            <w:shd w:val="clear" w:color="auto" w:fill="000000"/>
          </w:tcPr>
          <w:p>
            <w:pPr>
              <w:spacing w:after="0" w:line="20" w:lineRule="exact"/>
              <w:rPr>
                <w:sz w:val="1"/>
                <w:szCs w:val="1"/>
                <w:color w:val="auto"/>
              </w:rPr>
            </w:pPr>
          </w:p>
        </w:tc>
        <w:tc>
          <w:tcPr>
            <w:tcW w:w="46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9"/>
              </w:rPr>
              <w:t>except</w:t>
            </w:r>
          </w:p>
        </w:tc>
        <w:tc>
          <w:tcPr>
            <w:tcW w:w="50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61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80" w:type="dxa"/>
            <w:vAlign w:val="bottom"/>
            <w:vMerge w:val="continue"/>
          </w:tcPr>
          <w:p>
            <w:pPr>
              <w:spacing w:after="0"/>
              <w:rPr>
                <w:sz w:val="12"/>
                <w:szCs w:val="12"/>
                <w:color w:val="auto"/>
              </w:rPr>
            </w:pPr>
          </w:p>
        </w:tc>
        <w:tc>
          <w:tcPr>
            <w:tcW w:w="440" w:type="dxa"/>
            <w:vAlign w:val="bottom"/>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60" w:type="dxa"/>
            <w:vAlign w:val="bottom"/>
            <w:vMerge w:val="continue"/>
          </w:tcPr>
          <w:p>
            <w:pPr>
              <w:spacing w:after="0"/>
              <w:rPr>
                <w:sz w:val="12"/>
                <w:szCs w:val="12"/>
                <w:color w:val="auto"/>
              </w:rPr>
            </w:pPr>
          </w:p>
        </w:tc>
        <w:tc>
          <w:tcPr>
            <w:tcW w:w="880" w:type="dxa"/>
            <w:vAlign w:val="bottom"/>
            <w:gridSpan w:val="2"/>
          </w:tcPr>
          <w:p>
            <w:pPr>
              <w:jc w:val="right"/>
              <w:ind w:right="140"/>
              <w:spacing w:after="0" w:line="142" w:lineRule="exact"/>
              <w:rPr>
                <w:sz w:val="20"/>
                <w:szCs w:val="20"/>
                <w:color w:val="auto"/>
              </w:rPr>
            </w:pPr>
            <w:r>
              <w:rPr>
                <w:rFonts w:ascii="Arial" w:cs="Arial" w:eastAsia="Arial" w:hAnsi="Arial"/>
                <w:sz w:val="14"/>
                <w:szCs w:val="14"/>
                <w:b w:val="1"/>
                <w:bCs w:val="1"/>
                <w:color w:val="auto"/>
                <w:w w:val="90"/>
              </w:rPr>
              <w:t>percentage)</w:t>
            </w: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1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$2,499</w:t>
            </w:r>
          </w:p>
        </w:tc>
        <w:tc>
          <w:tcPr>
            <w:tcW w:w="28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$ 9,335</w:t>
            </w:r>
          </w:p>
        </w:tc>
        <w:tc>
          <w:tcPr>
            <w:tcW w:w="90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(73.2)%</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$1,383</w:t>
            </w:r>
          </w:p>
        </w:tc>
        <w:tc>
          <w:tcPr>
            <w:tcW w:w="3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$11,353</w:t>
            </w:r>
          </w:p>
        </w:tc>
        <w:tc>
          <w:tcPr>
            <w:tcW w:w="4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(87.8)%</w:t>
            </w:r>
          </w:p>
        </w:tc>
        <w:tc>
          <w:tcPr>
            <w:tcW w:w="0" w:type="dxa"/>
            <w:vAlign w:val="bottom"/>
          </w:tcPr>
          <w:p>
            <w:pPr>
              <w:spacing w:after="0"/>
              <w:rPr>
                <w:sz w:val="1"/>
                <w:szCs w:val="1"/>
                <w:color w:val="auto"/>
              </w:rPr>
            </w:pPr>
          </w:p>
        </w:tc>
      </w:tr>
      <w:tr>
        <w:trPr>
          <w:trHeight w:val="222"/>
        </w:trPr>
        <w:tc>
          <w:tcPr>
            <w:tcW w:w="6120" w:type="dxa"/>
            <w:vAlign w:val="bottom"/>
          </w:tcPr>
          <w:p>
            <w:pPr>
              <w:spacing w:after="0"/>
              <w:rPr>
                <w:sz w:val="20"/>
                <w:szCs w:val="20"/>
                <w:color w:val="auto"/>
              </w:rPr>
            </w:pPr>
            <w:r>
              <w:rPr>
                <w:rFonts w:ascii="Arial" w:cs="Arial" w:eastAsia="Arial" w:hAnsi="Arial"/>
                <w:sz w:val="18"/>
                <w:szCs w:val="18"/>
                <w:color w:val="auto"/>
              </w:rPr>
              <w:t>% of net revenue</w:t>
            </w: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0.3%</w:t>
            </w:r>
          </w:p>
        </w:tc>
        <w:tc>
          <w:tcPr>
            <w:tcW w:w="1060" w:type="dxa"/>
            <w:vAlign w:val="bottom"/>
            <w:gridSpan w:val="3"/>
          </w:tcPr>
          <w:p>
            <w:pPr>
              <w:jc w:val="right"/>
              <w:ind w:right="172"/>
              <w:spacing w:after="0"/>
              <w:rPr>
                <w:sz w:val="20"/>
                <w:szCs w:val="20"/>
                <w:color w:val="auto"/>
              </w:rPr>
            </w:pPr>
            <w:r>
              <w:rPr>
                <w:rFonts w:ascii="Arial" w:cs="Arial" w:eastAsia="Arial" w:hAnsi="Arial"/>
                <w:sz w:val="18"/>
                <w:szCs w:val="18"/>
                <w:color w:val="auto"/>
              </w:rPr>
              <w:t>1.5%</w:t>
            </w:r>
          </w:p>
        </w:tc>
        <w:tc>
          <w:tcPr>
            <w:tcW w:w="4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0.1%</w:t>
            </w: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1.0%</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For the three and six months ended July 31, 2010, the provision for income taxes was impacted by a reduction of unrecognized tax benefits of approximately $2.3 million and $8.8 million, respectively, due to the expiration of the statute of limitation in multiple jurisdictions. In addition to the quarterly income tax provision, the effective tax rate for the three and six months ended August 1, 2009, was impacted by the exclusion of a jurisdiction with a pretax loss for which no benefit would be recognized and such loss was excluded from the calculation of the provision for income taxes. For the three and six months ended August 1, 2009, the provision for income taxes was also increased by the revaluation of a deferred tax asset arising out of a non–U.S. corporate tax rate change effective in the quarter.</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Liquidity and Capital Resources</w:t>
      </w:r>
    </w:p>
    <w:p>
      <w:pPr>
        <w:spacing w:after="0" w:line="90"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Our principal source of liquidity as of July 31, 2010 consisted of approximately $2.4 billion of cash and cash equivalents and short-term investments as well as cash from operations. We believe that our existing cash, cash equivalents and marketable securities, together with cash generated from operations and from exercise of employee stock options, will be sufficient to cover our working capital needs, capital expenditures, investment requirements and commitments for at least the next 12 months.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Operating Activities</w:t>
      </w:r>
    </w:p>
    <w:p>
      <w:pPr>
        <w:spacing w:after="0" w:line="9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Net cash provided by operating activities was $574.8 million for the six months ended July 31, 2010. The cash inflows from operations in the six months ended July 31, 2010 were primarily due to $575.0 million of net income adjusted for non-cash items.</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Increases in working capital during the six months ended July 31, 2010 included an increase in accounts payable of $98.8 million. The increase in accounts payable was due to a combination of increased inventory receipts at the end of the period in anticipation of growth in our mobile and wireless end markets, and the ramp of new WiFi customers, where we are selling more of a system solution. Because of the business model to service these customers, where we limit our inventory risk during the significant ramp of new products, the payables tend to be higher. Deferred income increased by $26.6 million due primarily to increases in deferrals related to our module business and our distributors increasing inventory levels in anticipation of increased sales to their end customers. Significant working capital changes offsetting positive cash flows for the six months ended July 31, 2010 included an increase in accounts receivable of $134.0 million due to higher levels of revenue and seasonal patterns.</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Net cash provided by operating activities of $326.9 million for the six months ended August 1, 2009 was the result of $171.6 million in net non-cash operating expenses, $208.2 million net cash provided by changes in working capital items partially offset by a net loss of $53.0 million. Improvements in working capital included a decrease in inventories of $100.6 million primarily due to our efforts to control our inventory levels and an increase of $133.8 million in accounts payable due to efforts to extend payment periods to vendors. In addition, accrued liabilities and other increased $69.1 million primarily due to a legal settlement in connection with the class action securities litigation. Significant working capital changes offsetting positive cash flows for the six months ended August 1, 2009 related to an increase in accounts receivable of $106.4 million due to the higher levels of revenue and seasonal patterns.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Used in Investing Activities</w:t>
      </w:r>
    </w:p>
    <w:p>
      <w:pPr>
        <w:spacing w:after="0" w:line="90"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Net cash used in investing activities was $429.9 million for the six months ended July 31, 2010 compared to $19.7 million for the six months ended August 1, 2009. The net cash used in investing activities in the six months ended July 31, 2010 was primarily due to net purchases of short-term investments of $363.1 million. In addition, we purchased $39.3 million of property and equipment mainly to support additional capacity, $20.7 million for an acquisition and purchased technology licenses of $6.8 million. The net cash used for the six months ended August 1, 2009 was due to purchases of property and equipment of $7.2 million along with purchases of technology licenses of $12.6 million.</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Financing Activities</w:t>
      </w:r>
    </w:p>
    <w:p>
      <w:pPr>
        <w:spacing w:after="0" w:line="90"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Net cash provided by financing activities was $79.8 million for the six months ended July 31, 2010 compared to net cash provided by financing activities of $20.2 million for the six months ended August 1, 2009. For the six months ended July 31, 2010, net cash provided by financing activities was attributable to proceeds from the issuance of common shares under our stock option plan of $80.5 million, which was partially offset by payments on capital leases of $1.0 million. For the six months ended August 1, 2009, net cash provided by financing activities was attributable to proceeds from the issuance of common shares under our stock option plans partially offset by principal payments on capital leases.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Prospective capital needs</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We believe that our existing cash, cash equivalents and marketable securities, together with cash generated from operations and from exercise of employee stock options,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Off-Balance Sheet Arrangements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July 31, 2010, we did not have any material off-balance-sheet arrangements, as defined in Item 303(a)(4)(ii) of SEC Regulation S-K.</w:t>
      </w:r>
    </w:p>
    <w:p>
      <w:pPr>
        <w:spacing w:after="0" w:line="27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Recent Accounting Pronouncements and Accounting Changes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“Note 2: Recent Accounting Pronouncements and Accounting Changes” in Part 1, Item 1 of this Form 10-Q.</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Related Party Transactions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“Note 13: Related Party Transactions” in Part 1, Item 1 of this Form 10-Q.</w:t>
      </w:r>
    </w:p>
    <w:p>
      <w:pPr>
        <w:spacing w:after="0" w:line="287"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Quantitative and Qualitative Disclosures About Market Risk</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Our interest rate risk relates primarily to our fixed income short-term investment portfolio as we do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July 31, 2010. We maintain an investment policy that requires minimum short-term and long-term credit ratings, diversification of credit risk and limits the long-term interest rate risk by requiring maturities of less than five years. We invest our excess cash primarily in highly liquid 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July 31, 2010, a hypothetical 100 basis point increase in interest rates across all maturities would result in a $10.6 million incremental decline in the fair market value of the portfolio. Due to our positive cash flow from operations, the relatively short-term nature of our investment portfolio and our ability to hold investments to maturity, such change in fair market value would likely not result in any cash flow impact.</w:t>
      </w:r>
    </w:p>
    <w:p>
      <w:pPr>
        <w:spacing w:after="0" w:line="116" w:lineRule="exact"/>
        <w:rPr>
          <w:sz w:val="20"/>
          <w:szCs w:val="20"/>
          <w:color w:val="auto"/>
        </w:rPr>
      </w:pPr>
    </w:p>
    <w:p>
      <w:pPr>
        <w:ind w:right="20" w:firstLine="341"/>
        <w:spacing w:after="0" w:line="253" w:lineRule="auto"/>
        <w:rPr>
          <w:sz w:val="20"/>
          <w:szCs w:val="20"/>
          <w:color w:val="auto"/>
        </w:rPr>
      </w:pPr>
      <w:r>
        <w:rPr>
          <w:rFonts w:ascii="Arial" w:cs="Arial" w:eastAsia="Arial" w:hAnsi="Arial"/>
          <w:sz w:val="18"/>
          <w:szCs w:val="18"/>
          <w:color w:val="auto"/>
        </w:rPr>
        <w:t>As of July 31, 2010, our investment portfolio included $36.5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July 31, 2010, the fair value of auction rate securities was $2.3 million less than par value and recorded in long-term investments. During the three months ended July 31, 2010, we sold one $5 million auction rate security.</w:t>
      </w:r>
    </w:p>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380"/>
          </w:cols>
          <w:pgMar w:left="240" w:top="459" w:right="27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Based on our assessment of our cash flow projections, a balance of approximately $2.4 billion in cash, cash equivalents and short-term investments other than auction rate securities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loss, a component of shareholders’ equity.</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6"/>
          <w:szCs w:val="16"/>
          <w:i w:val="1"/>
          <w:iCs w:val="1"/>
          <w:color w:val="auto"/>
        </w:rPr>
        <w:t>Investment Risk</w:t>
      </w:r>
      <w:r>
        <w:rPr>
          <w:rFonts w:ascii="Arial" w:cs="Arial" w:eastAsia="Arial" w:hAnsi="Arial"/>
          <w:sz w:val="16"/>
          <w:szCs w:val="16"/>
          <w:color w:val="auto"/>
        </w:rPr>
        <w:t>. We invest in equity instruments of privately held companies for strategic purposes. These investments, which totaled $8.1 million at</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July 31, 2010, are included in other non-current assets in the accompanying balance sheets and are accounted for under the cost method because our ownership is</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less than 20% and we do not have the ability to exercise significant influence over the operations of these companies. We monitor these investments for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impairment and make appropriate reductions in carrying value when an impairment is deemed to be other-than-temporary.</w:t>
      </w:r>
    </w:p>
    <w:p>
      <w:pPr>
        <w:spacing w:after="0" w:line="165"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other income and expense.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 Shekel expenses. We will enter into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other income and expense. We do not hedge our tax liabilities denominated in local currency on our balance sheet as the timing of these tax liabilities becoming cash flows is not deemed to be certain.</w:t>
      </w:r>
    </w:p>
    <w:p>
      <w:pPr>
        <w:spacing w:after="0" w:line="11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2.4%. We expect our hedges of foreign currency exposures to be highly effective and offset a significant portion of the short-term impact of changes in exchange rates.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Controls and Procedures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Management’s Evaluation of Disclosure Controls and Procedures</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Securities Exchange Act of 1934, as amended (the “Exchange Act”)).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July 31, 2010, our disclosure controls and procedures were effective.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Changes in Internal Control Over Financial Reporting</w:t>
      </w:r>
    </w:p>
    <w:p>
      <w:pPr>
        <w:spacing w:after="0" w:line="90"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July 31, 2010 that have materially affected, or are reasonably likely to materially affect, our internal control over financial reporting.</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Limitation on Effectiveness of Controls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1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5"/>
          <w:szCs w:val="15"/>
          <w:b w:val="1"/>
          <w:bCs w:val="1"/>
          <w:color w:val="auto"/>
        </w:rPr>
        <w:t>Legal Proceedings</w:t>
      </w:r>
    </w:p>
    <w:p>
      <w:pPr>
        <w:spacing w:after="0" w:line="9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information set forth under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6"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color w:val="auto"/>
        </w:rPr>
        <w:t>Risk Factors</w:t>
      </w:r>
    </w:p>
    <w:p>
      <w:pPr>
        <w:spacing w:after="0" w:line="9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30, 2010 and subsequent reports on Forms 10-Q and 8-K. Many of these risks and uncertainties are beyond our control, including business cycles and seasonal trends of the computing, semiconductor and related industries.</w:t>
      </w:r>
    </w:p>
    <w:p>
      <w:pPr>
        <w:spacing w:after="0" w:line="113"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94"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2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w:t>
      </w:r>
    </w:p>
    <w:p>
      <w:pPr>
        <w:spacing w:after="0" w:line="90" w:lineRule="exact"/>
        <w:rPr>
          <w:rFonts w:ascii="Arial" w:cs="Arial" w:eastAsia="Arial" w:hAnsi="Arial"/>
          <w:sz w:val="18"/>
          <w:szCs w:val="18"/>
          <w:color w:val="auto"/>
        </w:rPr>
      </w:pPr>
    </w:p>
    <w:p>
      <w:pPr>
        <w:ind w:left="900" w:right="72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or demand for new products requested by our customers;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successfully transition to smaller geometry process technologies or achieve higher levels of design integration;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anticipate and adapt to changes in technology and evolving industry standards and our customers’ changing demands;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failure to protect our intellectual property; and</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firstLine="456"/>
        <w:spacing w:after="0" w:line="314" w:lineRule="auto"/>
        <w:rPr>
          <w:sz w:val="20"/>
          <w:szCs w:val="20"/>
          <w:color w:val="auto"/>
        </w:rPr>
      </w:pPr>
      <w:r>
        <w:rPr>
          <w:rFonts w:ascii="Arial" w:cs="Arial" w:eastAsia="Arial" w:hAnsi="Arial"/>
          <w:sz w:val="15"/>
          <w:szCs w:val="15"/>
          <w:color w:val="auto"/>
        </w:rPr>
        <w:t>Due to fluctuations in our quarterly results of operations and other factors, the price at which our common shares will trade is likely to continue to be highly volatile. The closing sale price of our common shares on the Nasdaq Global Select Market for the period of January 1, 2009 to July 31, 2010 ranged from a low of $5.80 to a high of $22.58.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maintain and grow our business</w:t>
      </w:r>
    </w:p>
    <w:p>
      <w:pPr>
        <w:spacing w:after="0" w:line="105"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18"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global credit and financial markets continue to experience extreme volatility and disruptions, including severely diminished liquidity and credit availability, increased concerns about inflation and deflation, decreased consumer confidence, lower economic growth, volatile energy costs, increased unemployment rates, and uncertainty about economic stability. We cannot predict the timing, strength or duration of any economic slowdown or subsequent global economic recovery in the hard disk drive or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A large portion of our business is dependent on the hard disk drive industry, which is highly cyclical, experiences rapid technological change, and is facing increased competition from alternative technologies.</w:t>
      </w:r>
    </w:p>
    <w:p>
      <w:pPr>
        <w:spacing w:after="0" w:line="132"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43"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solid-state flash drives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44"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operate in the intensely competitive mobile and wireless communications markets, and our failure to compete effectively would harm our results of operations.</w:t>
      </w:r>
    </w:p>
    <w:p>
      <w:pPr>
        <w:spacing w:after="0" w:line="132"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w:t>
      </w:r>
    </w:p>
    <w:p>
      <w:pPr>
        <w:spacing w:after="0" w:line="143"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As the markets we compete in continue to increase, our revenues and gross margins may be harmed.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We cannot assure you that we will be able to continue to compete successfully against existing or new competitors, which would harm our results of operations.</w:t>
      </w:r>
    </w:p>
    <w:p>
      <w:pPr>
        <w:spacing w:after="0" w:line="118"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132"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receive a significant amount of our revenues from a limited number of customers. For the six months ended July 31, 2010, three customers accounted for a total of approximately 45%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0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132" w:lineRule="exact"/>
        <w:rPr>
          <w:sz w:val="20"/>
          <w:szCs w:val="20"/>
          <w:color w:val="auto"/>
        </w:rPr>
      </w:pPr>
    </w:p>
    <w:p>
      <w:pPr>
        <w:ind w:right="420" w:firstLine="456"/>
        <w:spacing w:after="0" w:line="254"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44"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w:t>
      </w:r>
    </w:p>
    <w:p>
      <w:pPr>
        <w:spacing w:after="0" w:line="113"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14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Regional Concentration:</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including, for example, in March 2010, and may be subject to additional earthquakes that could disrupt manufacturing operations.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goods sold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No Guarantee of Capacity or Supply:</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as a consequence of the economic downturn, during the last several months of fiscal 2010 and continuing into fiscal 2011, we experienced some supply shortages due to the difficulties encountered by the foundries in rapidly increasing their production capacities from low utilization levels to the high utilization levels required due to a rapid increase in demand. Although we have entered into contractual commitments to supply specified levels of products to some of our customers, we may not have sufficient levels of production capacity with all of our foundries, despite signing an agreement with a foundry to reserve and secure foundry fabrication capacity for a fixed number of wafers.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Uncertain Yields and Quality: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140"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13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in late fiscal 2009 and early in fiscal 2010, we implemented certain cost reduction measures to reduce operating expenses.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4"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or, conversely, we may have insufficient inventory, which would result in lost revenue opportunities and potentially in loss of market share and damaged customer relationships.</w:t>
      </w:r>
    </w:p>
    <w:p>
      <w:pPr>
        <w:spacing w:after="0" w:line="14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2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If we overestimate customer demand, we may allocate resources to manufacturing products that we may not be able 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94"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evolving industry standards.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which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w:t>
      </w:r>
    </w:p>
    <w:p>
      <w:pPr>
        <w:spacing w:after="0" w:line="127"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margin.</w:t>
      </w:r>
    </w:p>
    <w:p>
      <w:pPr>
        <w:spacing w:after="0" w:line="132"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reducing our costs or developing new or enhanced products on a timely basis with higher selling prices or gross margin.</w:t>
      </w:r>
    </w:p>
    <w:p>
      <w:pPr>
        <w:spacing w:after="0" w:line="143"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43"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32" w:lineRule="exact"/>
        <w:rPr>
          <w:sz w:val="20"/>
          <w:szCs w:val="20"/>
          <w:color w:val="auto"/>
        </w:rPr>
      </w:pPr>
    </w:p>
    <w:p>
      <w:pPr>
        <w:jc w:val="both"/>
        <w:ind w:right="40" w:firstLine="351"/>
        <w:spacing w:after="0" w:line="30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w:t>
      </w:r>
    </w:p>
    <w:p>
      <w:pPr>
        <w:sectPr>
          <w:pgSz w:w="11900" w:h="16838" w:orient="portrait"/>
          <w:cols w:equalWidth="0" w:num="1">
            <w:col w:w="11420"/>
          </w:cols>
          <w:pgMar w:left="240" w:top="459" w:right="239" w:bottom="1440" w:gutter="0" w:footer="0" w:header="0"/>
        </w:sectPr>
      </w:pPr>
    </w:p>
    <w:p>
      <w:pPr>
        <w:spacing w:after="0" w:line="9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38</w:t>
      </w:r>
    </w:p>
    <w:p>
      <w:pPr>
        <w:sectPr>
          <w:pgSz w:w="11900" w:h="16838" w:orient="portrait"/>
          <w:cols w:equalWidth="0" w:num="1">
            <w:col w:w="11420"/>
          </w:cols>
          <w:pgMar w:left="240" w:top="459" w:right="239" w:bottom="1440" w:gutter="0" w:footer="0" w:header="0"/>
          <w:type w:val="continuous"/>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86" w:lineRule="auto"/>
        <w:rPr>
          <w:sz w:val="20"/>
          <w:szCs w:val="20"/>
          <w:color w:val="auto"/>
        </w:rPr>
      </w:pPr>
      <w:r>
        <w:rPr>
          <w:rFonts w:ascii="Arial" w:cs="Arial" w:eastAsia="Arial" w:hAnsi="Arial"/>
          <w:sz w:val="16"/>
          <w:szCs w:val="16"/>
          <w:color w:val="auto"/>
        </w:rPr>
        <w:t>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27" w:lineRule="exact"/>
        <w:rPr>
          <w:sz w:val="20"/>
          <w:szCs w:val="20"/>
          <w:color w:val="auto"/>
        </w:rPr>
      </w:pPr>
    </w:p>
    <w:p>
      <w:pPr>
        <w:ind w:right="60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economic and exchange rate risks, which may harm our results of operations, because a majority of our products and our customers’ products are manufactured and sold outside of the United States.</w:t>
      </w:r>
    </w:p>
    <w:p>
      <w:pPr>
        <w:spacing w:after="0" w:line="85" w:lineRule="exact"/>
        <w:rPr>
          <w:sz w:val="20"/>
          <w:szCs w:val="20"/>
          <w:color w:val="auto"/>
        </w:rPr>
      </w:pPr>
    </w:p>
    <w:p>
      <w:pPr>
        <w:ind w:right="120" w:firstLine="456"/>
        <w:spacing w:after="0" w:line="318" w:lineRule="auto"/>
        <w:rPr>
          <w:sz w:val="20"/>
          <w:szCs w:val="20"/>
          <w:color w:val="auto"/>
        </w:rPr>
      </w:pPr>
      <w:r>
        <w:rPr>
          <w:rFonts w:ascii="Arial" w:cs="Arial" w:eastAsia="Arial" w:hAnsi="Arial"/>
          <w:sz w:val="15"/>
          <w:szCs w:val="15"/>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84% of our net revenue for the six months ended July 31, 2010, 89% of our net revenue in fiscal 2010, 86% of our net revenue in fiscal 2009 and 84% of our net revenue in fiscal 2008.</w:t>
      </w:r>
    </w:p>
    <w:p>
      <w:pPr>
        <w:spacing w:after="0" w:line="100" w:lineRule="exact"/>
        <w:rPr>
          <w:sz w:val="20"/>
          <w:szCs w:val="20"/>
          <w:color w:val="auto"/>
        </w:rPr>
      </w:pPr>
    </w:p>
    <w:p>
      <w:pPr>
        <w:ind w:right="480" w:firstLine="456"/>
        <w:spacing w:after="0" w:line="298" w:lineRule="auto"/>
        <w:rPr>
          <w:sz w:val="20"/>
          <w:szCs w:val="20"/>
          <w:color w:val="auto"/>
        </w:rPr>
      </w:pPr>
      <w:r>
        <w:rPr>
          <w:rFonts w:ascii="Arial" w:cs="Arial" w:eastAsia="Arial" w:hAnsi="Arial"/>
          <w:sz w:val="16"/>
          <w:szCs w:val="16"/>
          <w:color w:val="auto"/>
        </w:rPr>
        <w:t>As of July 31, 2010, we have substantial operations outside of the U.S., including approximately 20% and 14% of our workforce in Israel and China, respectively. These operations are directly influenced by the political and economic conditions, as well as possible military hostilities that could affect our operations in Israel.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right="3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132"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44"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85"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17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have approximately $2.0 billion of goodwill and $152.9 million of intangible assets on our balance sheet as of July 31, 2010. Under GAAP, we are required to review our intangible assets for impairment whenever events or changes in circumstances indicate that the carrying value of these assets may not be recoverable. We perform an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For example, as a result of our analysis related to acquired intangible assets, we recorded an impairment charge of $15.6 million in the fourth quarter ended January 31, 2009.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123" w:lineRule="exact"/>
        <w:rPr>
          <w:sz w:val="20"/>
          <w:szCs w:val="20"/>
          <w:color w:val="auto"/>
        </w:rPr>
      </w:pPr>
    </w:p>
    <w:p>
      <w:pPr>
        <w:ind w:right="180"/>
        <w:spacing w:after="0" w:line="294" w:lineRule="auto"/>
        <w:rPr>
          <w:sz w:val="20"/>
          <w:szCs w:val="20"/>
          <w:color w:val="auto"/>
        </w:rPr>
      </w:pPr>
      <w:r>
        <w:rPr>
          <w:rFonts w:ascii="Arial" w:cs="Arial" w:eastAsia="Arial" w:hAnsi="Arial"/>
          <w:sz w:val="16"/>
          <w:szCs w:val="16"/>
          <w:b w:val="1"/>
          <w:bCs w:val="1"/>
          <w:i w:val="1"/>
          <w:iCs w:val="1"/>
          <w:color w:val="auto"/>
        </w:rPr>
        <w:t>We have had material weaknesses in internal control over financial reporting in prior fiscal years. Although we believe we have taken the necessary actions to strengthen the weaknesses in our control structure, we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1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43" w:lineRule="exact"/>
        <w:rPr>
          <w:sz w:val="20"/>
          <w:szCs w:val="20"/>
          <w:color w:val="auto"/>
        </w:rPr>
      </w:pPr>
    </w:p>
    <w:p>
      <w:pPr>
        <w:ind w:right="60" w:firstLine="351"/>
        <w:spacing w:after="0" w:line="288"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or mistake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4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94"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is considering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w:t>
      </w:r>
    </w:p>
    <w:p>
      <w:pPr>
        <w:spacing w:after="0" w:line="1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increase our costs.</w:t>
      </w:r>
    </w:p>
    <w:p>
      <w:pPr>
        <w:spacing w:after="0" w:line="171"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Over the course of the past several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We obtained from the Minister of Finance of Bermuda under the Exempt Undertakings Tax Protection Act 1966, as amended, an undertaking that, in the event that Bermuda enacts legislation imposing tax computed on income and capital gains, those taxes should not apply to us until March 28, 2016.</w:t>
      </w:r>
    </w:p>
    <w:p>
      <w:pPr>
        <w:spacing w:after="0" w:line="85"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Due to the economic downturn in fiscal 2010, we came to an agreement to amend the Pioneer conditions for future years and preserve the 15 year tax exemption status.</w:t>
      </w:r>
    </w:p>
    <w:p>
      <w:pPr>
        <w:spacing w:after="0" w:line="11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Under the Israeli law of “approved or benefited enterprise,” two branches of Marvell Israel (“MISL”), the GTL division and the cellular division (formerly Marvell DSPC), are entitled to a beneficial tax program that includes reduced tax rates and exemption of certain income. The first program was approved for MISL in 1995 and the most recent was elected in 2009. Marvell DSPC has five approved programs with the first approved in 1990 and the most recent elected in 2010. The benefit period is generally ten to 15 years and begins in the first year in which our Israeli branches earn taxable income from the approved or benefited enterprises, provided the maximum period has not elapsed. Income from the approved or benefited enterprises is subject to reduced tax rates ranging between 0% and 10% or tax exemptions for fiscal years 2008 through 2020.</w:t>
      </w:r>
    </w:p>
    <w:p>
      <w:pPr>
        <w:spacing w:after="0" w:line="12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During fiscal 2007, our Switzerland subsidiary received a ten-year Federal and Cantonal tax holiday on revenues from research and design and wafer supply trading activities that will expire in 2017. If certain requirements are not met in the initial five-year period, our incentive exemption would be reduced by 50% on the next five-year period of the tax holiday, which would adversely affect our financial results.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If any of our tax arrangements in these foreign jurisdictions were terminated, our financial results could be harmed.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7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Such open source 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20"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85"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2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340" w:firstLine="456"/>
        <w:spacing w:after="0" w:line="306"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w:t>
      </w:r>
    </w:p>
    <w:p>
      <w:pPr>
        <w:spacing w:after="0" w:line="107" w:lineRule="exact"/>
        <w:rPr>
          <w:sz w:val="20"/>
          <w:szCs w:val="20"/>
          <w:color w:val="auto"/>
        </w:rPr>
      </w:pPr>
    </w:p>
    <w:p>
      <w:pPr>
        <w:jc w:val="both"/>
        <w:ind w:right="280"/>
        <w:spacing w:after="0" w:line="370"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spacing w:after="0" w:line="62"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refer to Note 9 – Commitments and Contingencies (Contingencies) of our Notes to our unaudited condensed consolidated financial statements set forth in Part I, Item 1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The ultimate outcome of these actions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0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for three years following the entry of judgment.</w:t>
      </w:r>
    </w:p>
    <w:p>
      <w:pPr>
        <w:spacing w:after="0" w:line="132"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On May 8, 2008, we announced that we had reached an agreement with the SEC that concluded the SEC’s formal investigation of us with respect to our historic stock option granting practices. As a result of our SEC settlement, we have forfeited for three years following the entry of judgment, or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120"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132"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engineers,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43"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14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Dr. Sehat Sutardja, our President and Chief Executive Officer, and Weili Dai, who serves as the Vice President of Sales for Communications and Consumer Business of MSI and Vice President and General Manager of Communications and Computing Business Unit of MSI, are husband and wife, and Dr. Sehat Sutardja and Dr. Pantas Sutardja, our Vice President, Chief Technology Officer and Chief Research and Development Officer, are brothers. Together, these three individuals held approximately 16% of our outstanding common shares as of July 31, 2010.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further delay or prevent an acquisition, under certain circumstances.</w:t>
      </w:r>
    </w:p>
    <w:p>
      <w:pPr>
        <w:spacing w:after="0" w:line="118"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Second Amended and Restated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weakness in credit market conditions continues or increases, it could have a material adverse impact on our investment portfolio.</w:t>
      </w:r>
    </w:p>
    <w:p>
      <w:pPr>
        <w:spacing w:after="0" w:line="194"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U.S. sub-prime mortgage defaults have had a significant impact across various sectors of the financial markets, causing global credit and liquidity issues. The short-term funding markets experienced credit issues beginning in the second half of calendar 2007 leading to liquidity disruption in the auction rate securities market and certain asset-backed commercial paper. We hold auction rate securities in our portfolio, and if the global credit market continues to deteriorate, our investment portfolio may be impacted and we could determine that some of our investments are impaired. This could materially adversely impact our results of operations and financial condition. For additional details on our auction rate securities, please see Part I, Item 3, “Quantitative and Qualitative Disclosures About Market Risk.”</w:t>
      </w:r>
    </w:p>
    <w:p>
      <w:pPr>
        <w:spacing w:after="0" w:line="144"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In addition, to support our international operations, a portion of our cash and investment portfolio is held offshore. While these amounts are primarily invested in U.S. dollars, a portion is held in foreign currencies, and all offshore balances are exposed to local political, banking, currency control and other risks. Certain of these amounts may also be subject to tax and other restrictions on their transfer to the U.S. or other countries. While we believe our cash and investments are secure, there is risk that some of our balances in international locations will not be adequately secured if the current credit crisis continues.</w:t>
      </w:r>
    </w:p>
    <w:p>
      <w:pPr>
        <w:spacing w:after="0" w:line="113"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 and the failure of any critical information system, may result in serious harm to our business.</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1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Penang, Malaysia, Etoy, Switzerland and Shanghai, China subject us to the risks of owning real property, which include:</w:t>
      </w:r>
    </w:p>
    <w:p>
      <w:pPr>
        <w:spacing w:after="0" w:line="51"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132"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We believe our existing insurance coverage is consistent with common practice and economic and availability considerations. However, if our insurance coverage is inadequate to protect us against unforeseen catastrophic losses, any uncovered losses could adversely affect our financial condition and results of operations.</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107"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20"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and</w:t>
      </w:r>
    </w:p>
    <w:p>
      <w:pPr>
        <w:spacing w:after="0" w:line="90" w:lineRule="exact"/>
        <w:rPr>
          <w:rFonts w:ascii="Arial" w:cs="Arial" w:eastAsia="Arial" w:hAnsi="Arial"/>
          <w:sz w:val="18"/>
          <w:szCs w:val="18"/>
          <w:color w:val="auto"/>
        </w:rPr>
      </w:pPr>
    </w:p>
    <w:p>
      <w:pPr>
        <w:ind w:left="900" w:right="1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13"/>
          <w:szCs w:val="13"/>
          <w:color w:val="auto"/>
        </w:rPr>
        <w:t>3</w:t>
      </w:r>
      <w:r>
        <w:rPr>
          <w:rFonts w:ascii="Arial" w:cs="Arial" w:eastAsia="Arial" w:hAnsi="Arial"/>
          <w:sz w:val="18"/>
          <w:szCs w:val="18"/>
          <w:color w:val="auto"/>
        </w:rPr>
        <w:t xml:space="preserve"> % of the directors holding office at the date of the Board meeting to approve the action.</w:t>
      </w:r>
    </w:p>
    <w:p>
      <w:pPr>
        <w:spacing w:after="0" w:line="132"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 However, beginning in calendar year 2011 our classified board of directors will be phased out and by calendar year 2013 all director will be up for election annually.</w:t>
      </w:r>
    </w:p>
    <w:p>
      <w:pPr>
        <w:spacing w:after="0" w:line="256"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20" w:type="dxa"/>
            <w:vAlign w:val="bottom"/>
          </w:tcPr>
          <w:p>
            <w:pPr>
              <w:spacing w:after="0"/>
              <w:rPr>
                <w:sz w:val="20"/>
                <w:szCs w:val="20"/>
                <w:color w:val="auto"/>
              </w:rPr>
            </w:pPr>
            <w:r>
              <w:rPr>
                <w:rFonts w:ascii="Arial" w:cs="Arial" w:eastAsia="Arial" w:hAnsi="Arial"/>
                <w:sz w:val="18"/>
                <w:szCs w:val="18"/>
                <w:b w:val="1"/>
                <w:bCs w:val="1"/>
                <w:color w:val="auto"/>
              </w:rPr>
              <w:t>Item 6.</w:t>
            </w:r>
          </w:p>
        </w:tc>
        <w:tc>
          <w:tcPr>
            <w:tcW w:w="10680" w:type="dxa"/>
            <w:vAlign w:val="bottom"/>
          </w:tcPr>
          <w:p>
            <w:pPr>
              <w:ind w:left="200"/>
              <w:spacing w:after="0"/>
              <w:rPr>
                <w:sz w:val="20"/>
                <w:szCs w:val="20"/>
                <w:color w:val="auto"/>
              </w:rPr>
            </w:pPr>
            <w:r>
              <w:rPr>
                <w:rFonts w:ascii="Arial" w:cs="Arial" w:eastAsia="Arial" w:hAnsi="Arial"/>
                <w:sz w:val="18"/>
                <w:szCs w:val="18"/>
                <w:b w:val="1"/>
                <w:bCs w:val="1"/>
                <w:color w:val="auto"/>
              </w:rPr>
              <w:t>Exhibits</w:t>
            </w:r>
          </w:p>
        </w:tc>
      </w:tr>
      <w:tr>
        <w:trPr>
          <w:trHeight w:val="297"/>
        </w:trPr>
        <w:tc>
          <w:tcPr>
            <w:tcW w:w="11400" w:type="dxa"/>
            <w:vAlign w:val="bottom"/>
            <w:gridSpan w:val="2"/>
          </w:tcPr>
          <w:p>
            <w:pPr>
              <w:ind w:left="460"/>
              <w:spacing w:after="0"/>
              <w:rPr>
                <w:sz w:val="20"/>
                <w:szCs w:val="20"/>
                <w:color w:val="auto"/>
              </w:rPr>
            </w:pPr>
            <w:r>
              <w:rPr>
                <w:rFonts w:ascii="Arial" w:cs="Arial" w:eastAsia="Arial" w:hAnsi="Arial"/>
                <w:sz w:val="18"/>
                <w:szCs w:val="18"/>
                <w:color w:val="auto"/>
              </w:rPr>
              <w:t>(a) The following exhibits are filed as part of this report:</w:t>
            </w:r>
          </w:p>
        </w:tc>
      </w:tr>
      <w:tr>
        <w:trPr>
          <w:trHeight w:val="412"/>
        </w:trPr>
        <w:tc>
          <w:tcPr>
            <w:tcW w:w="720" w:type="dxa"/>
            <w:vAlign w:val="bottom"/>
          </w:tcPr>
          <w:p>
            <w:pPr>
              <w:jc w:val="center"/>
              <w:ind w:right="52"/>
              <w:spacing w:after="0"/>
              <w:rPr>
                <w:sz w:val="20"/>
                <w:szCs w:val="20"/>
                <w:color w:val="auto"/>
              </w:rPr>
            </w:pPr>
            <w:r>
              <w:rPr>
                <w:rFonts w:ascii="Arial" w:cs="Arial" w:eastAsia="Arial" w:hAnsi="Arial"/>
                <w:sz w:val="18"/>
                <w:szCs w:val="18"/>
                <w:color w:val="auto"/>
                <w:w w:val="87"/>
              </w:rPr>
              <w:t>3.1</w:t>
            </w:r>
          </w:p>
        </w:tc>
        <w:tc>
          <w:tcPr>
            <w:tcW w:w="10680" w:type="dxa"/>
            <w:vAlign w:val="bottom"/>
          </w:tcPr>
          <w:p>
            <w:pPr>
              <w:ind w:left="320"/>
              <w:spacing w:after="0"/>
              <w:rPr>
                <w:sz w:val="20"/>
                <w:szCs w:val="20"/>
                <w:color w:val="auto"/>
              </w:rPr>
            </w:pPr>
            <w:r>
              <w:rPr>
                <w:rFonts w:ascii="Arial" w:cs="Arial" w:eastAsia="Arial" w:hAnsi="Arial"/>
                <w:sz w:val="18"/>
                <w:szCs w:val="18"/>
                <w:color w:val="auto"/>
                <w:w w:val="93"/>
              </w:rPr>
              <w:t>Third Amended and Restated Bye-Laws, incorporated by reference to Exhibit 3.1 of the registrant’s Current Report on Form 8-K as filed on</w:t>
            </w:r>
          </w:p>
        </w:tc>
      </w:tr>
      <w:tr>
        <w:trPr>
          <w:trHeight w:val="222"/>
        </w:trPr>
        <w:tc>
          <w:tcPr>
            <w:tcW w:w="720" w:type="dxa"/>
            <w:vAlign w:val="bottom"/>
          </w:tcPr>
          <w:p>
            <w:pPr>
              <w:spacing w:after="0"/>
              <w:rPr>
                <w:sz w:val="19"/>
                <w:szCs w:val="19"/>
                <w:color w:val="auto"/>
              </w:rPr>
            </w:pPr>
          </w:p>
        </w:tc>
        <w:tc>
          <w:tcPr>
            <w:tcW w:w="10680" w:type="dxa"/>
            <w:vAlign w:val="bottom"/>
          </w:tcPr>
          <w:p>
            <w:pPr>
              <w:ind w:left="320"/>
              <w:spacing w:after="0"/>
              <w:rPr>
                <w:sz w:val="20"/>
                <w:szCs w:val="20"/>
                <w:color w:val="auto"/>
              </w:rPr>
            </w:pPr>
            <w:r>
              <w:rPr>
                <w:rFonts w:ascii="Arial" w:cs="Arial" w:eastAsia="Arial" w:hAnsi="Arial"/>
                <w:sz w:val="18"/>
                <w:szCs w:val="18"/>
                <w:color w:val="auto"/>
              </w:rPr>
              <w:t>July 13, 2010</w:t>
            </w:r>
          </w:p>
        </w:tc>
      </w:tr>
      <w:tr>
        <w:trPr>
          <w:trHeight w:val="318"/>
        </w:trPr>
        <w:tc>
          <w:tcPr>
            <w:tcW w:w="720" w:type="dxa"/>
            <w:vAlign w:val="bottom"/>
          </w:tcPr>
          <w:p>
            <w:pPr>
              <w:jc w:val="center"/>
              <w:ind w:right="32"/>
              <w:spacing w:after="0"/>
              <w:rPr>
                <w:sz w:val="20"/>
                <w:szCs w:val="20"/>
                <w:color w:val="auto"/>
              </w:rPr>
            </w:pPr>
            <w:r>
              <w:rPr>
                <w:rFonts w:ascii="Arial" w:cs="Arial" w:eastAsia="Arial" w:hAnsi="Arial"/>
                <w:sz w:val="18"/>
                <w:szCs w:val="18"/>
                <w:color w:val="auto"/>
                <w:w w:val="88"/>
              </w:rPr>
              <w:t>10.1#</w:t>
            </w:r>
          </w:p>
        </w:tc>
        <w:tc>
          <w:tcPr>
            <w:tcW w:w="10680" w:type="dxa"/>
            <w:vAlign w:val="bottom"/>
          </w:tcPr>
          <w:p>
            <w:pPr>
              <w:ind w:left="320"/>
              <w:spacing w:after="0"/>
              <w:rPr>
                <w:sz w:val="20"/>
                <w:szCs w:val="20"/>
                <w:color w:val="auto"/>
              </w:rPr>
            </w:pPr>
            <w:r>
              <w:rPr>
                <w:rFonts w:ascii="Arial" w:cs="Arial" w:eastAsia="Arial" w:hAnsi="Arial"/>
                <w:sz w:val="18"/>
                <w:szCs w:val="18"/>
                <w:color w:val="auto"/>
                <w:w w:val="89"/>
              </w:rPr>
              <w:t>Marvell Technology Group Ltd. Executive Performance Incentive Plan, incorporated by reference to Exhibit 10.1 of the registrant’s Current Report</w:t>
            </w:r>
          </w:p>
        </w:tc>
      </w:tr>
      <w:tr>
        <w:trPr>
          <w:trHeight w:val="222"/>
        </w:trPr>
        <w:tc>
          <w:tcPr>
            <w:tcW w:w="720" w:type="dxa"/>
            <w:vAlign w:val="bottom"/>
          </w:tcPr>
          <w:p>
            <w:pPr>
              <w:spacing w:after="0"/>
              <w:rPr>
                <w:sz w:val="19"/>
                <w:szCs w:val="19"/>
                <w:color w:val="auto"/>
              </w:rPr>
            </w:pPr>
          </w:p>
        </w:tc>
        <w:tc>
          <w:tcPr>
            <w:tcW w:w="10680" w:type="dxa"/>
            <w:vAlign w:val="bottom"/>
          </w:tcPr>
          <w:p>
            <w:pPr>
              <w:ind w:left="320"/>
              <w:spacing w:after="0"/>
              <w:rPr>
                <w:sz w:val="20"/>
                <w:szCs w:val="20"/>
                <w:color w:val="auto"/>
              </w:rPr>
            </w:pPr>
            <w:r>
              <w:rPr>
                <w:rFonts w:ascii="Arial" w:cs="Arial" w:eastAsia="Arial" w:hAnsi="Arial"/>
                <w:sz w:val="18"/>
                <w:szCs w:val="18"/>
                <w:color w:val="auto"/>
              </w:rPr>
              <w:t>on Form 8-K as filed on July 13, 2010</w:t>
            </w:r>
          </w:p>
        </w:tc>
      </w:tr>
      <w:tr>
        <w:trPr>
          <w:trHeight w:val="318"/>
        </w:trPr>
        <w:tc>
          <w:tcPr>
            <w:tcW w:w="720" w:type="dxa"/>
            <w:vAlign w:val="bottom"/>
          </w:tcPr>
          <w:p>
            <w:pPr>
              <w:jc w:val="center"/>
              <w:ind w:right="32"/>
              <w:spacing w:after="0"/>
              <w:rPr>
                <w:sz w:val="20"/>
                <w:szCs w:val="20"/>
                <w:color w:val="auto"/>
              </w:rPr>
            </w:pPr>
            <w:r>
              <w:rPr>
                <w:rFonts w:ascii="Arial" w:cs="Arial" w:eastAsia="Arial" w:hAnsi="Arial"/>
                <w:sz w:val="18"/>
                <w:szCs w:val="18"/>
                <w:color w:val="auto"/>
                <w:w w:val="88"/>
              </w:rPr>
              <w:t>10.2#</w:t>
            </w:r>
          </w:p>
        </w:tc>
        <w:tc>
          <w:tcPr>
            <w:tcW w:w="10680" w:type="dxa"/>
            <w:vAlign w:val="bottom"/>
          </w:tcPr>
          <w:p>
            <w:pPr>
              <w:ind w:left="320"/>
              <w:spacing w:after="0"/>
              <w:rPr>
                <w:sz w:val="20"/>
                <w:szCs w:val="20"/>
                <w:color w:val="auto"/>
              </w:rPr>
            </w:pPr>
            <w:r>
              <w:rPr>
                <w:rFonts w:ascii="Arial" w:cs="Arial" w:eastAsia="Arial" w:hAnsi="Arial"/>
                <w:sz w:val="18"/>
                <w:szCs w:val="18"/>
                <w:color w:val="auto"/>
                <w:w w:val="92"/>
              </w:rPr>
              <w:t>2010 Amendment to the Amended and Restated 1995 Stock Option Plan, incorporated by reference to Exhibit 10.2 of the registrant’s Current</w:t>
            </w:r>
          </w:p>
        </w:tc>
      </w:tr>
      <w:tr>
        <w:trPr>
          <w:trHeight w:val="222"/>
        </w:trPr>
        <w:tc>
          <w:tcPr>
            <w:tcW w:w="720" w:type="dxa"/>
            <w:vAlign w:val="bottom"/>
          </w:tcPr>
          <w:p>
            <w:pPr>
              <w:spacing w:after="0"/>
              <w:rPr>
                <w:sz w:val="19"/>
                <w:szCs w:val="19"/>
                <w:color w:val="auto"/>
              </w:rPr>
            </w:pPr>
          </w:p>
        </w:tc>
        <w:tc>
          <w:tcPr>
            <w:tcW w:w="10680" w:type="dxa"/>
            <w:vAlign w:val="bottom"/>
          </w:tcPr>
          <w:p>
            <w:pPr>
              <w:ind w:left="32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720" w:type="dxa"/>
            <w:vAlign w:val="bottom"/>
          </w:tcPr>
          <w:p>
            <w:pPr>
              <w:jc w:val="center"/>
              <w:ind w:right="32"/>
              <w:spacing w:after="0"/>
              <w:rPr>
                <w:sz w:val="20"/>
                <w:szCs w:val="20"/>
                <w:color w:val="auto"/>
              </w:rPr>
            </w:pPr>
            <w:r>
              <w:rPr>
                <w:rFonts w:ascii="Arial" w:cs="Arial" w:eastAsia="Arial" w:hAnsi="Arial"/>
                <w:sz w:val="18"/>
                <w:szCs w:val="18"/>
                <w:color w:val="auto"/>
                <w:w w:val="88"/>
              </w:rPr>
              <w:t>10.3#</w:t>
            </w:r>
          </w:p>
        </w:tc>
        <w:tc>
          <w:tcPr>
            <w:tcW w:w="10680" w:type="dxa"/>
            <w:vAlign w:val="bottom"/>
          </w:tcPr>
          <w:p>
            <w:pPr>
              <w:ind w:left="320"/>
              <w:spacing w:after="0"/>
              <w:rPr>
                <w:sz w:val="20"/>
                <w:szCs w:val="20"/>
                <w:color w:val="auto"/>
              </w:rPr>
            </w:pPr>
            <w:r>
              <w:rPr>
                <w:rFonts w:ascii="Arial" w:cs="Arial" w:eastAsia="Arial" w:hAnsi="Arial"/>
                <w:sz w:val="18"/>
                <w:szCs w:val="18"/>
                <w:color w:val="auto"/>
                <w:w w:val="88"/>
              </w:rPr>
              <w:t>Form of Stock Option Agreement and Notice of Grant of Stock Options and Option Agreement for use with the Amended and Restated 1995 Stock</w:t>
            </w:r>
          </w:p>
        </w:tc>
      </w:tr>
      <w:tr>
        <w:trPr>
          <w:trHeight w:val="222"/>
        </w:trPr>
        <w:tc>
          <w:tcPr>
            <w:tcW w:w="720" w:type="dxa"/>
            <w:vAlign w:val="bottom"/>
          </w:tcPr>
          <w:p>
            <w:pPr>
              <w:spacing w:after="0"/>
              <w:rPr>
                <w:sz w:val="19"/>
                <w:szCs w:val="19"/>
                <w:color w:val="auto"/>
              </w:rPr>
            </w:pPr>
          </w:p>
        </w:tc>
        <w:tc>
          <w:tcPr>
            <w:tcW w:w="10680" w:type="dxa"/>
            <w:vAlign w:val="bottom"/>
          </w:tcPr>
          <w:p>
            <w:pPr>
              <w:ind w:left="320"/>
              <w:spacing w:after="0"/>
              <w:rPr>
                <w:sz w:val="20"/>
                <w:szCs w:val="20"/>
                <w:color w:val="auto"/>
              </w:rPr>
            </w:pPr>
            <w:r>
              <w:rPr>
                <w:rFonts w:ascii="Arial" w:cs="Arial" w:eastAsia="Arial" w:hAnsi="Arial"/>
                <w:sz w:val="18"/>
                <w:szCs w:val="18"/>
                <w:color w:val="auto"/>
              </w:rPr>
              <w:t>Option Plan</w:t>
            </w:r>
          </w:p>
        </w:tc>
      </w:tr>
      <w:tr>
        <w:trPr>
          <w:trHeight w:val="318"/>
        </w:trPr>
        <w:tc>
          <w:tcPr>
            <w:tcW w:w="720" w:type="dxa"/>
            <w:vAlign w:val="bottom"/>
          </w:tcPr>
          <w:p>
            <w:pPr>
              <w:jc w:val="center"/>
              <w:ind w:right="32"/>
              <w:spacing w:after="0"/>
              <w:rPr>
                <w:sz w:val="20"/>
                <w:szCs w:val="20"/>
                <w:color w:val="auto"/>
              </w:rPr>
            </w:pPr>
            <w:r>
              <w:rPr>
                <w:rFonts w:ascii="Arial" w:cs="Arial" w:eastAsia="Arial" w:hAnsi="Arial"/>
                <w:sz w:val="18"/>
                <w:szCs w:val="18"/>
                <w:color w:val="auto"/>
                <w:w w:val="88"/>
              </w:rPr>
              <w:t>10.4#</w:t>
            </w:r>
          </w:p>
        </w:tc>
        <w:tc>
          <w:tcPr>
            <w:tcW w:w="10680" w:type="dxa"/>
            <w:vAlign w:val="bottom"/>
          </w:tcPr>
          <w:p>
            <w:pPr>
              <w:ind w:left="320"/>
              <w:spacing w:after="0"/>
              <w:rPr>
                <w:sz w:val="20"/>
                <w:szCs w:val="20"/>
                <w:color w:val="auto"/>
              </w:rPr>
            </w:pPr>
            <w:r>
              <w:rPr>
                <w:rFonts w:ascii="Arial" w:cs="Arial" w:eastAsia="Arial" w:hAnsi="Arial"/>
                <w:sz w:val="18"/>
                <w:szCs w:val="18"/>
                <w:color w:val="auto"/>
                <w:w w:val="90"/>
              </w:rPr>
              <w:t>Form of Stock Unit Agreement and Notice of Grant of Award and Award Agreement for use with the Amended and Restated 1995 Stock Option</w:t>
            </w:r>
          </w:p>
        </w:tc>
      </w:tr>
      <w:tr>
        <w:trPr>
          <w:trHeight w:val="222"/>
        </w:trPr>
        <w:tc>
          <w:tcPr>
            <w:tcW w:w="720" w:type="dxa"/>
            <w:vAlign w:val="bottom"/>
          </w:tcPr>
          <w:p>
            <w:pPr>
              <w:spacing w:after="0"/>
              <w:rPr>
                <w:sz w:val="19"/>
                <w:szCs w:val="19"/>
                <w:color w:val="auto"/>
              </w:rPr>
            </w:pPr>
          </w:p>
        </w:tc>
        <w:tc>
          <w:tcPr>
            <w:tcW w:w="10680" w:type="dxa"/>
            <w:vAlign w:val="bottom"/>
          </w:tcPr>
          <w:p>
            <w:pPr>
              <w:ind w:left="320"/>
              <w:spacing w:after="0"/>
              <w:rPr>
                <w:sz w:val="20"/>
                <w:szCs w:val="20"/>
                <w:color w:val="auto"/>
              </w:rPr>
            </w:pPr>
            <w:r>
              <w:rPr>
                <w:rFonts w:ascii="Arial" w:cs="Arial" w:eastAsia="Arial" w:hAnsi="Arial"/>
                <w:sz w:val="18"/>
                <w:szCs w:val="18"/>
                <w:color w:val="auto"/>
              </w:rPr>
              <w:t>Plan</w:t>
            </w:r>
          </w:p>
        </w:tc>
      </w:tr>
      <w:tr>
        <w:trPr>
          <w:trHeight w:val="365"/>
        </w:trPr>
        <w:tc>
          <w:tcPr>
            <w:tcW w:w="720" w:type="dxa"/>
            <w:vAlign w:val="bottom"/>
          </w:tcPr>
          <w:p>
            <w:pPr>
              <w:spacing w:after="0"/>
              <w:rPr>
                <w:sz w:val="24"/>
                <w:szCs w:val="24"/>
                <w:color w:val="auto"/>
              </w:rPr>
            </w:pPr>
          </w:p>
        </w:tc>
        <w:tc>
          <w:tcPr>
            <w:tcW w:w="10680" w:type="dxa"/>
            <w:vAlign w:val="bottom"/>
          </w:tcPr>
          <w:p>
            <w:pPr>
              <w:ind w:left="4900"/>
              <w:spacing w:after="0"/>
              <w:rPr>
                <w:sz w:val="20"/>
                <w:szCs w:val="20"/>
                <w:color w:val="auto"/>
              </w:rPr>
            </w:pPr>
            <w:r>
              <w:rPr>
                <w:rFonts w:ascii="Arial" w:cs="Arial" w:eastAsia="Arial" w:hAnsi="Arial"/>
                <w:sz w:val="18"/>
                <w:szCs w:val="18"/>
                <w:color w:val="auto"/>
              </w:rPr>
              <w:t>45</w:t>
            </w:r>
          </w:p>
        </w:tc>
      </w:tr>
    </w:tbl>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24" w:lineRule="exact"/>
        <w:rPr>
          <w:sz w:val="20"/>
          <w:szCs w:val="20"/>
          <w:color w:val="auto"/>
        </w:rPr>
      </w:pPr>
    </w:p>
    <w:p>
      <w:pPr>
        <w:ind w:left="100"/>
        <w:spacing w:after="0"/>
        <w:tabs>
          <w:tab w:leader="none" w:pos="114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6"/>
          <w:szCs w:val="16"/>
          <w:color w:val="auto"/>
        </w:rPr>
        <w:t>Certification of Chief Executive Officer pursuant to 18 U.S.C. Section 1350, as adopted pursuant to Section 302 of the Sarbanes-Oxley Act of</w:t>
      </w:r>
    </w:p>
    <w:p>
      <w:pPr>
        <w:spacing w:after="0" w:line="15" w:lineRule="exact"/>
        <w:rPr>
          <w:sz w:val="20"/>
          <w:szCs w:val="20"/>
          <w:color w:val="auto"/>
        </w:rPr>
      </w:pPr>
    </w:p>
    <w:p>
      <w:pPr>
        <w:ind w:left="1160"/>
        <w:spacing w:after="0"/>
        <w:rPr>
          <w:sz w:val="20"/>
          <w:szCs w:val="20"/>
          <w:color w:val="auto"/>
        </w:rPr>
      </w:pPr>
      <w:r>
        <w:rPr>
          <w:rFonts w:ascii="Arial" w:cs="Arial" w:eastAsia="Arial" w:hAnsi="Arial"/>
          <w:sz w:val="18"/>
          <w:szCs w:val="18"/>
          <w:color w:val="auto"/>
        </w:rPr>
        <w:t>2002</w:t>
      </w:r>
    </w:p>
    <w:p>
      <w:pPr>
        <w:spacing w:after="0" w:line="111" w:lineRule="exact"/>
        <w:rPr>
          <w:sz w:val="20"/>
          <w:szCs w:val="20"/>
          <w:color w:val="auto"/>
        </w:rPr>
      </w:pPr>
    </w:p>
    <w:p>
      <w:pPr>
        <w:ind w:left="100"/>
        <w:spacing w:after="0"/>
        <w:tabs>
          <w:tab w:leader="none" w:pos="114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6"/>
          <w:szCs w:val="16"/>
          <w:color w:val="auto"/>
        </w:rPr>
        <w:t>Certification of Chief Financial Officer pursuant to 18 U.S.C. Section 1350, as adopted pursuant to Section 302 of the Sarbanes-Oxley Act of</w:t>
      </w:r>
    </w:p>
    <w:p>
      <w:pPr>
        <w:spacing w:after="0" w:line="15" w:lineRule="exact"/>
        <w:rPr>
          <w:sz w:val="20"/>
          <w:szCs w:val="20"/>
          <w:color w:val="auto"/>
        </w:rPr>
      </w:pPr>
    </w:p>
    <w:p>
      <w:pPr>
        <w:ind w:left="1160"/>
        <w:spacing w:after="0"/>
        <w:rPr>
          <w:sz w:val="20"/>
          <w:szCs w:val="20"/>
          <w:color w:val="auto"/>
        </w:rPr>
      </w:pPr>
      <w:r>
        <w:rPr>
          <w:rFonts w:ascii="Arial" w:cs="Arial" w:eastAsia="Arial" w:hAnsi="Arial"/>
          <w:sz w:val="18"/>
          <w:szCs w:val="18"/>
          <w:color w:val="auto"/>
        </w:rPr>
        <w:t>2002</w:t>
      </w:r>
    </w:p>
    <w:p>
      <w:pPr>
        <w:sectPr>
          <w:pgSz w:w="11900" w:h="16838" w:orient="portrait"/>
          <w:cols w:equalWidth="0" w:num="1">
            <w:col w:w="11380"/>
          </w:cols>
          <w:pgMar w:left="240" w:top="459" w:right="279" w:bottom="1440" w:gutter="0" w:footer="0" w:header="0"/>
        </w:sectPr>
      </w:pPr>
    </w:p>
    <w:p>
      <w:pPr>
        <w:spacing w:after="0" w:line="111" w:lineRule="exact"/>
        <w:rPr>
          <w:sz w:val="20"/>
          <w:szCs w:val="20"/>
          <w:color w:val="auto"/>
        </w:rPr>
      </w:pPr>
    </w:p>
    <w:p>
      <w:pPr>
        <w:ind w:left="100"/>
        <w:spacing w:after="0"/>
        <w:rPr>
          <w:sz w:val="20"/>
          <w:szCs w:val="20"/>
          <w:color w:val="auto"/>
        </w:rPr>
      </w:pPr>
      <w:r>
        <w:rPr>
          <w:rFonts w:ascii="Arial" w:cs="Arial" w:eastAsia="Arial" w:hAnsi="Arial"/>
          <w:sz w:val="16"/>
          <w:szCs w:val="16"/>
          <w:color w:val="auto"/>
        </w:rPr>
        <w:t>32.1*</w:t>
      </w:r>
    </w:p>
    <w:p>
      <w:pPr>
        <w:spacing w:after="0" w:line="20" w:lineRule="exact"/>
        <w:rPr>
          <w:sz w:val="20"/>
          <w:szCs w:val="20"/>
          <w:color w:val="auto"/>
        </w:rPr>
      </w:pPr>
      <w:r>
        <w:rPr>
          <w:sz w:val="20"/>
          <w:szCs w:val="20"/>
          <w:color w:val="auto"/>
        </w:rPr>
        <w:br w:type="column"/>
      </w:r>
    </w:p>
    <w:p>
      <w:pPr>
        <w:spacing w:after="0" w:line="9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Certification of Chief Executive Officer pursuant to 18 U.S.C. Section 1350, as adopted pursuant to Section 906 of the Sarbanes-Oxley Act of 2002</w:t>
      </w:r>
    </w:p>
    <w:p>
      <w:pPr>
        <w:spacing w:after="0" w:line="78" w:lineRule="exact"/>
        <w:rPr>
          <w:sz w:val="20"/>
          <w:szCs w:val="20"/>
          <w:color w:val="auto"/>
        </w:rPr>
      </w:pPr>
    </w:p>
    <w:p>
      <w:pPr>
        <w:sectPr>
          <w:pgSz w:w="11900" w:h="16838" w:orient="portrait"/>
          <w:cols w:equalWidth="0" w:num="2">
            <w:col w:w="500" w:space="660"/>
            <w:col w:w="10220"/>
          </w:cols>
          <w:pgMar w:left="240" w:top="459" w:right="279" w:bottom="1440" w:gutter="0" w:footer="0" w:header="0"/>
          <w:type w:val="continuous"/>
        </w:sectPr>
      </w:pPr>
    </w:p>
    <w:p>
      <w:pPr>
        <w:ind w:left="100"/>
        <w:spacing w:after="0"/>
        <w:rPr>
          <w:sz w:val="20"/>
          <w:szCs w:val="20"/>
          <w:color w:val="auto"/>
        </w:rPr>
      </w:pPr>
      <w:r>
        <w:rPr>
          <w:rFonts w:ascii="Arial" w:cs="Arial" w:eastAsia="Arial" w:hAnsi="Arial"/>
          <w:sz w:val="16"/>
          <w:szCs w:val="16"/>
          <w:color w:val="auto"/>
        </w:rPr>
        <w:t>32.2*</w:t>
      </w:r>
    </w:p>
    <w:p>
      <w:pPr>
        <w:spacing w:after="0" w:line="20" w:lineRule="exact"/>
        <w:rPr>
          <w:sz w:val="20"/>
          <w:szCs w:val="20"/>
          <w:color w:val="auto"/>
        </w:rPr>
      </w:pPr>
      <w:r>
        <w:rPr>
          <w:sz w:val="20"/>
          <w:szCs w:val="20"/>
          <w:color w:val="auto"/>
        </w:rPr>
        <w:br w:type="column"/>
      </w:r>
    </w:p>
    <w:p>
      <w:pPr>
        <w:ind w:right="300"/>
        <w:spacing w:after="0" w:line="268" w:lineRule="auto"/>
        <w:rPr>
          <w:sz w:val="20"/>
          <w:szCs w:val="20"/>
          <w:color w:val="auto"/>
        </w:rPr>
      </w:pPr>
      <w:r>
        <w:rPr>
          <w:rFonts w:ascii="Arial" w:cs="Arial" w:eastAsia="Arial" w:hAnsi="Arial"/>
          <w:sz w:val="18"/>
          <w:szCs w:val="18"/>
          <w:color w:val="auto"/>
        </w:rPr>
        <w:t>Certification of Chief Financial Officer pursuant to 18 U.S.C. Section 1350, as adopted pursuant to Section 906 of the Sarbanes-Oxley Act of 2002</w:t>
      </w:r>
    </w:p>
    <w:p>
      <w:pPr>
        <w:spacing w:after="0" w:line="78" w:lineRule="exact"/>
        <w:rPr>
          <w:sz w:val="20"/>
          <w:szCs w:val="20"/>
          <w:color w:val="auto"/>
        </w:rPr>
      </w:pPr>
    </w:p>
    <w:p>
      <w:pPr>
        <w:sectPr>
          <w:pgSz w:w="11900" w:h="16838" w:orient="portrait"/>
          <w:cols w:equalWidth="0" w:num="2">
            <w:col w:w="500" w:space="66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6"/>
          <w:szCs w:val="16"/>
          <w:color w:val="auto"/>
        </w:rPr>
        <w:t>101.INS**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Instance Document</w:t>
      </w:r>
    </w:p>
    <w:p>
      <w:pPr>
        <w:spacing w:after="0" w:line="140" w:lineRule="exact"/>
        <w:rPr>
          <w:sz w:val="20"/>
          <w:szCs w:val="20"/>
          <w:color w:val="auto"/>
        </w:rPr>
      </w:pPr>
    </w:p>
    <w:p>
      <w:pPr>
        <w:sectPr>
          <w:pgSz w:w="11900" w:h="16838" w:orient="portrait"/>
          <w:cols w:equalWidth="0" w:num="2">
            <w:col w:w="780" w:space="38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6"/>
          <w:szCs w:val="16"/>
          <w:color w:val="auto"/>
        </w:rPr>
        <w:t>101.SCH**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Schema Document</w:t>
      </w:r>
    </w:p>
    <w:p>
      <w:pPr>
        <w:spacing w:after="0" w:line="140" w:lineRule="exact"/>
        <w:rPr>
          <w:sz w:val="20"/>
          <w:szCs w:val="20"/>
          <w:color w:val="auto"/>
        </w:rPr>
      </w:pPr>
    </w:p>
    <w:p>
      <w:pPr>
        <w:sectPr>
          <w:pgSz w:w="11900" w:h="16838" w:orient="portrait"/>
          <w:cols w:equalWidth="0" w:num="2">
            <w:col w:w="840" w:space="32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6"/>
          <w:szCs w:val="16"/>
          <w:color w:val="auto"/>
        </w:rPr>
        <w:t>101.CAL**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Calculation Linkbase Document</w:t>
      </w:r>
    </w:p>
    <w:p>
      <w:pPr>
        <w:spacing w:after="0" w:line="140" w:lineRule="exact"/>
        <w:rPr>
          <w:sz w:val="20"/>
          <w:szCs w:val="20"/>
          <w:color w:val="auto"/>
        </w:rPr>
      </w:pPr>
    </w:p>
    <w:p>
      <w:pPr>
        <w:sectPr>
          <w:pgSz w:w="11900" w:h="16838" w:orient="portrait"/>
          <w:cols w:equalWidth="0" w:num="2">
            <w:col w:w="840" w:space="32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6"/>
          <w:szCs w:val="16"/>
          <w:color w:val="auto"/>
        </w:rPr>
        <w:t>101.DEF**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Definition Document</w:t>
      </w:r>
    </w:p>
    <w:p>
      <w:pPr>
        <w:spacing w:after="0" w:line="140" w:lineRule="exact"/>
        <w:rPr>
          <w:sz w:val="20"/>
          <w:szCs w:val="20"/>
          <w:color w:val="auto"/>
        </w:rPr>
      </w:pPr>
    </w:p>
    <w:p>
      <w:pPr>
        <w:sectPr>
          <w:pgSz w:w="11900" w:h="16838" w:orient="portrait"/>
          <w:cols w:equalWidth="0" w:num="2">
            <w:col w:w="820" w:space="34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8"/>
          <w:szCs w:val="18"/>
          <w:color w:val="auto"/>
        </w:rPr>
        <w:t>101.LAB**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Label Linkbase Document</w:t>
      </w:r>
    </w:p>
    <w:p>
      <w:pPr>
        <w:spacing w:after="0" w:line="139" w:lineRule="exact"/>
        <w:rPr>
          <w:sz w:val="20"/>
          <w:szCs w:val="20"/>
          <w:color w:val="auto"/>
        </w:rPr>
      </w:pPr>
    </w:p>
    <w:p>
      <w:pPr>
        <w:sectPr>
          <w:pgSz w:w="11900" w:h="16838" w:orient="portrait"/>
          <w:cols w:equalWidth="0" w:num="2">
            <w:col w:w="840" w:space="320"/>
            <w:col w:w="10220"/>
          </w:cols>
          <w:pgMar w:left="240" w:top="459" w:right="279" w:bottom="1440" w:gutter="0" w:footer="0" w:header="0"/>
          <w:type w:val="continuous"/>
        </w:sectPr>
      </w:pPr>
    </w:p>
    <w:p>
      <w:pPr>
        <w:spacing w:after="0"/>
        <w:rPr>
          <w:sz w:val="20"/>
          <w:szCs w:val="20"/>
          <w:color w:val="auto"/>
        </w:rPr>
      </w:pPr>
      <w:r>
        <w:rPr>
          <w:rFonts w:ascii="Arial" w:cs="Arial" w:eastAsia="Arial" w:hAnsi="Arial"/>
          <w:sz w:val="16"/>
          <w:szCs w:val="16"/>
          <w:color w:val="auto"/>
        </w:rPr>
        <w:t>101.PRE**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94615</wp:posOffset>
            </wp:positionV>
            <wp:extent cx="72898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Presentation Linkbase Document</w:t>
      </w:r>
    </w:p>
    <w:p>
      <w:pPr>
        <w:spacing w:after="0" w:line="181" w:lineRule="exact"/>
        <w:rPr>
          <w:sz w:val="20"/>
          <w:szCs w:val="20"/>
          <w:color w:val="auto"/>
        </w:rPr>
      </w:pPr>
    </w:p>
    <w:p>
      <w:pPr>
        <w:sectPr>
          <w:pgSz w:w="11900" w:h="16838" w:orient="portrait"/>
          <w:cols w:equalWidth="0" w:num="2">
            <w:col w:w="820" w:space="340"/>
            <w:col w:w="10220"/>
          </w:cols>
          <w:pgMar w:left="240" w:top="459" w:right="279" w:bottom="1440" w:gutter="0" w:footer="0" w:header="0"/>
          <w:type w:val="continuous"/>
        </w:sectPr>
      </w:pPr>
    </w:p>
    <w:p>
      <w:pPr>
        <w:ind w:left="460" w:hanging="452"/>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40" w:hanging="452"/>
        <w:spacing w:after="0" w:line="300" w:lineRule="auto"/>
        <w:tabs>
          <w:tab w:leader="none" w:pos="460" w:val="left"/>
        </w:tabs>
        <w:numPr>
          <w:ilvl w:val="0"/>
          <w:numId w:val="12"/>
        </w:numPr>
        <w:rPr>
          <w:rFonts w:ascii="Arial" w:cs="Arial" w:eastAsia="Arial" w:hAnsi="Arial"/>
          <w:sz w:val="15"/>
          <w:szCs w:val="15"/>
          <w:color w:val="auto"/>
        </w:rPr>
      </w:pPr>
      <w:r>
        <w:rPr>
          <w:rFonts w:ascii="Arial" w:cs="Arial" w:eastAsia="Arial" w:hAnsi="Arial"/>
          <w:sz w:val="15"/>
          <w:szCs w:val="15"/>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w:t>
      </w:r>
    </w:p>
    <w:p>
      <w:pPr>
        <w:spacing w:after="0" w:line="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registrant specifically incorporates it by reference.</w:t>
      </w:r>
    </w:p>
    <w:p>
      <w:pPr>
        <w:spacing w:after="0" w:line="9" w:lineRule="exact"/>
        <w:rPr>
          <w:sz w:val="20"/>
          <w:szCs w:val="20"/>
          <w:color w:val="auto"/>
        </w:rPr>
      </w:pPr>
    </w:p>
    <w:p>
      <w:pPr>
        <w:ind w:left="460" w:hanging="452"/>
        <w:spacing w:after="0" w:line="253"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80"/>
          </w:cols>
          <w:pgMar w:left="240" w:top="459" w:right="279" w:bottom="1440" w:gutter="0" w:footer="0" w:header="0"/>
          <w:type w:val="continuous"/>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320" w:type="dxa"/>
            <w:vAlign w:val="bottom"/>
          </w:tcPr>
          <w:p>
            <w:pPr>
              <w:spacing w:after="0"/>
              <w:rPr>
                <w:sz w:val="19"/>
                <w:szCs w:val="19"/>
                <w:color w:val="auto"/>
              </w:rPr>
            </w:pPr>
          </w:p>
        </w:tc>
        <w:tc>
          <w:tcPr>
            <w:tcW w:w="2300" w:type="dxa"/>
            <w:vAlign w:val="bottom"/>
          </w:tcPr>
          <w:p>
            <w:pPr>
              <w:spacing w:after="0"/>
              <w:rPr>
                <w:sz w:val="19"/>
                <w:szCs w:val="19"/>
                <w:color w:val="auto"/>
              </w:rPr>
            </w:pPr>
          </w:p>
        </w:tc>
        <w:tc>
          <w:tcPr>
            <w:tcW w:w="7800" w:type="dxa"/>
            <w:vAlign w:val="bottom"/>
            <w:gridSpan w:val="2"/>
          </w:tcPr>
          <w:p>
            <w:pPr>
              <w:ind w:left="2300"/>
              <w:spacing w:after="0"/>
              <w:rPr>
                <w:sz w:val="20"/>
                <w:szCs w:val="20"/>
                <w:color w:val="auto"/>
              </w:rPr>
            </w:pPr>
            <w:r>
              <w:rPr>
                <w:rFonts w:ascii="Arial" w:cs="Arial" w:eastAsia="Arial" w:hAnsi="Arial"/>
                <w:sz w:val="18"/>
                <w:szCs w:val="18"/>
                <w:color w:val="auto"/>
              </w:rPr>
              <w:t>MARVELL TECHNOLOGY GROUP LTD.</w:t>
            </w:r>
          </w:p>
        </w:tc>
        <w:tc>
          <w:tcPr>
            <w:tcW w:w="0" w:type="dxa"/>
            <w:vAlign w:val="bottom"/>
          </w:tcPr>
          <w:p>
            <w:pPr>
              <w:spacing w:after="0"/>
              <w:rPr>
                <w:sz w:val="1"/>
                <w:szCs w:val="1"/>
                <w:color w:val="auto"/>
              </w:rPr>
            </w:pPr>
          </w:p>
        </w:tc>
      </w:tr>
      <w:tr>
        <w:trPr>
          <w:trHeight w:val="394"/>
        </w:trPr>
        <w:tc>
          <w:tcPr>
            <w:tcW w:w="3620" w:type="dxa"/>
            <w:vAlign w:val="bottom"/>
            <w:gridSpan w:val="2"/>
          </w:tcPr>
          <w:p>
            <w:pPr>
              <w:spacing w:after="0"/>
              <w:rPr>
                <w:sz w:val="20"/>
                <w:szCs w:val="20"/>
                <w:color w:val="auto"/>
              </w:rPr>
            </w:pPr>
            <w:r>
              <w:rPr>
                <w:rFonts w:ascii="Arial" w:cs="Arial" w:eastAsia="Arial" w:hAnsi="Arial"/>
                <w:sz w:val="18"/>
                <w:szCs w:val="18"/>
                <w:color w:val="auto"/>
              </w:rPr>
              <w:t>September 3, 2010</w:t>
            </w:r>
          </w:p>
        </w:tc>
        <w:tc>
          <w:tcPr>
            <w:tcW w:w="2660" w:type="dxa"/>
            <w:vAlign w:val="bottom"/>
          </w:tcPr>
          <w:p>
            <w:pPr>
              <w:ind w:left="2300"/>
              <w:spacing w:after="0"/>
              <w:rPr>
                <w:sz w:val="20"/>
                <w:szCs w:val="20"/>
                <w:color w:val="auto"/>
              </w:rPr>
            </w:pPr>
            <w:r>
              <w:rPr>
                <w:rFonts w:ascii="Arial" w:cs="Arial" w:eastAsia="Arial" w:hAnsi="Arial"/>
                <w:sz w:val="18"/>
                <w:szCs w:val="18"/>
                <w:color w:val="auto"/>
              </w:rPr>
              <w:t>By:</w:t>
            </w:r>
          </w:p>
        </w:tc>
        <w:tc>
          <w:tcPr>
            <w:tcW w:w="5140" w:type="dxa"/>
            <w:vAlign w:val="bottom"/>
          </w:tcPr>
          <w:p>
            <w:pPr>
              <w:jc w:val="center"/>
              <w:spacing w:after="0"/>
              <w:rPr>
                <w:sz w:val="20"/>
                <w:szCs w:val="20"/>
                <w:color w:val="auto"/>
              </w:rPr>
            </w:pPr>
            <w:r>
              <w:rPr>
                <w:rFonts w:ascii="Arial" w:cs="Arial" w:eastAsia="Arial" w:hAnsi="Arial"/>
                <w:sz w:val="18"/>
                <w:szCs w:val="18"/>
                <w:color w:val="auto"/>
                <w:w w:val="95"/>
              </w:rPr>
              <w:t>/</w:t>
            </w:r>
            <w:r>
              <w:rPr>
                <w:rFonts w:ascii="Arial" w:cs="Arial" w:eastAsia="Arial" w:hAnsi="Arial"/>
                <w:sz w:val="14"/>
                <w:szCs w:val="14"/>
                <w:color w:val="auto"/>
                <w:w w:val="95"/>
              </w:rPr>
              <w:t>S</w:t>
            </w:r>
            <w:r>
              <w:rPr>
                <w:rFonts w:ascii="Arial" w:cs="Arial" w:eastAsia="Arial" w:hAnsi="Arial"/>
                <w:sz w:val="18"/>
                <w:szCs w:val="18"/>
                <w:color w:val="auto"/>
                <w:w w:val="95"/>
              </w:rPr>
              <w:t>/ C</w:t>
            </w:r>
            <w:r>
              <w:rPr>
                <w:rFonts w:ascii="Arial" w:cs="Arial" w:eastAsia="Arial" w:hAnsi="Arial"/>
                <w:sz w:val="14"/>
                <w:szCs w:val="14"/>
                <w:color w:val="auto"/>
                <w:w w:val="95"/>
              </w:rPr>
              <w:t>LYDE</w:t>
            </w:r>
            <w:r>
              <w:rPr>
                <w:rFonts w:ascii="Arial" w:cs="Arial" w:eastAsia="Arial" w:hAnsi="Arial"/>
                <w:sz w:val="18"/>
                <w:szCs w:val="18"/>
                <w:color w:val="auto"/>
                <w:w w:val="95"/>
              </w:rPr>
              <w:t xml:space="preserve"> R. H</w:t>
            </w:r>
            <w:r>
              <w:rPr>
                <w:rFonts w:ascii="Arial" w:cs="Arial" w:eastAsia="Arial" w:hAnsi="Arial"/>
                <w:sz w:val="14"/>
                <w:szCs w:val="14"/>
                <w:color w:val="auto"/>
                <w:w w:val="95"/>
              </w:rPr>
              <w:t>OSEIN</w:t>
            </w:r>
          </w:p>
        </w:tc>
        <w:tc>
          <w:tcPr>
            <w:tcW w:w="0" w:type="dxa"/>
            <w:vAlign w:val="bottom"/>
          </w:tcPr>
          <w:p>
            <w:pPr>
              <w:spacing w:after="0"/>
              <w:rPr>
                <w:sz w:val="1"/>
                <w:szCs w:val="1"/>
                <w:color w:val="auto"/>
              </w:rPr>
            </w:pPr>
          </w:p>
        </w:tc>
      </w:tr>
      <w:tr>
        <w:trPr>
          <w:trHeight w:val="21"/>
        </w:trPr>
        <w:tc>
          <w:tcPr>
            <w:tcW w:w="1320" w:type="dxa"/>
            <w:vAlign w:val="bottom"/>
            <w:tcBorders>
              <w:top w:val="single" w:sz="8" w:color="auto"/>
              <w:bottom w:val="single" w:sz="8" w:color="auto"/>
            </w:tcBorders>
            <w:vMerge w:val="restart"/>
          </w:tcPr>
          <w:p>
            <w:pPr>
              <w:spacing w:after="0"/>
              <w:rPr>
                <w:sz w:val="20"/>
                <w:szCs w:val="20"/>
                <w:color w:val="auto"/>
              </w:rPr>
            </w:pPr>
            <w:r>
              <w:rPr>
                <w:rFonts w:ascii="Arial" w:cs="Arial" w:eastAsia="Arial" w:hAnsi="Arial"/>
                <w:sz w:val="18"/>
                <w:szCs w:val="18"/>
                <w:color w:val="auto"/>
              </w:rPr>
              <w:t>Date</w:t>
            </w:r>
          </w:p>
        </w:tc>
        <w:tc>
          <w:tcPr>
            <w:tcW w:w="2300" w:type="dxa"/>
            <w:vAlign w:val="bottom"/>
            <w:vMerge w:val="restart"/>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5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21"/>
        </w:trPr>
        <w:tc>
          <w:tcPr>
            <w:tcW w:w="1320" w:type="dxa"/>
            <w:vAlign w:val="bottom"/>
            <w:vMerge w:val="continue"/>
          </w:tcPr>
          <w:p>
            <w:pPr>
              <w:spacing w:after="0"/>
              <w:rPr>
                <w:sz w:val="19"/>
                <w:szCs w:val="19"/>
                <w:color w:val="auto"/>
              </w:rPr>
            </w:pPr>
          </w:p>
        </w:tc>
        <w:tc>
          <w:tcPr>
            <w:tcW w:w="2300" w:type="dxa"/>
            <w:vAlign w:val="bottom"/>
            <w:vMerge w:val="continue"/>
          </w:tcPr>
          <w:p>
            <w:pPr>
              <w:spacing w:after="0"/>
              <w:rPr>
                <w:sz w:val="19"/>
                <w:szCs w:val="19"/>
                <w:color w:val="auto"/>
              </w:rPr>
            </w:pPr>
          </w:p>
        </w:tc>
        <w:tc>
          <w:tcPr>
            <w:tcW w:w="2660" w:type="dxa"/>
            <w:vAlign w:val="bottom"/>
          </w:tcPr>
          <w:p>
            <w:pPr>
              <w:spacing w:after="0"/>
              <w:rPr>
                <w:sz w:val="19"/>
                <w:szCs w:val="19"/>
                <w:color w:val="auto"/>
              </w:rPr>
            </w:pPr>
          </w:p>
        </w:tc>
        <w:tc>
          <w:tcPr>
            <w:tcW w:w="5140" w:type="dxa"/>
            <w:vAlign w:val="bottom"/>
          </w:tcPr>
          <w:p>
            <w:pPr>
              <w:jc w:val="center"/>
              <w:spacing w:after="0"/>
              <w:rPr>
                <w:sz w:val="20"/>
                <w:szCs w:val="20"/>
                <w:color w:val="auto"/>
              </w:rPr>
            </w:pPr>
            <w:r>
              <w:rPr>
                <w:rFonts w:ascii="Arial" w:cs="Arial" w:eastAsia="Arial" w:hAnsi="Arial"/>
                <w:sz w:val="14"/>
                <w:szCs w:val="14"/>
                <w:b w:val="1"/>
                <w:bCs w:val="1"/>
                <w:color w:val="auto"/>
                <w:w w:val="88"/>
              </w:rPr>
              <w:t>Clyde R. Hosein</w:t>
            </w:r>
          </w:p>
        </w:tc>
        <w:tc>
          <w:tcPr>
            <w:tcW w:w="0" w:type="dxa"/>
            <w:vAlign w:val="bottom"/>
          </w:tcPr>
          <w:p>
            <w:pPr>
              <w:spacing w:after="0"/>
              <w:rPr>
                <w:sz w:val="1"/>
                <w:szCs w:val="1"/>
                <w:color w:val="auto"/>
              </w:rPr>
            </w:pPr>
          </w:p>
        </w:tc>
      </w:tr>
    </w:tbl>
    <w:p>
      <w:pPr>
        <w:ind w:left="7760"/>
        <w:spacing w:after="0"/>
        <w:rPr>
          <w:sz w:val="20"/>
          <w:szCs w:val="20"/>
          <w:color w:val="auto"/>
        </w:rPr>
      </w:pPr>
      <w:r>
        <w:rPr>
          <w:rFonts w:ascii="Arial" w:cs="Arial" w:eastAsia="Arial" w:hAnsi="Arial"/>
          <w:sz w:val="14"/>
          <w:szCs w:val="14"/>
          <w:b w:val="1"/>
          <w:bCs w:val="1"/>
          <w:color w:val="auto"/>
        </w:rPr>
        <w:t>Chief Financial Officer and Secretary</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120" w:type="dxa"/>
            <w:vAlign w:val="bottom"/>
          </w:tcPr>
          <w:p>
            <w:pPr>
              <w:spacing w:after="0"/>
              <w:rPr>
                <w:sz w:val="19"/>
                <w:szCs w:val="19"/>
                <w:color w:val="auto"/>
              </w:rPr>
            </w:pPr>
          </w:p>
        </w:tc>
        <w:tc>
          <w:tcPr>
            <w:tcW w:w="10240" w:type="dxa"/>
            <w:vAlign w:val="bottom"/>
          </w:tcPr>
          <w:p>
            <w:pPr>
              <w:ind w:left="3920"/>
              <w:spacing w:after="0"/>
              <w:rPr>
                <w:sz w:val="20"/>
                <w:szCs w:val="20"/>
                <w:color w:val="auto"/>
              </w:rPr>
            </w:pPr>
            <w:r>
              <w:rPr>
                <w:rFonts w:ascii="Arial" w:cs="Arial" w:eastAsia="Arial" w:hAnsi="Arial"/>
                <w:sz w:val="18"/>
                <w:szCs w:val="18"/>
                <w:b w:val="1"/>
                <w:bCs w:val="1"/>
                <w:color w:val="auto"/>
              </w:rPr>
              <w:t>EXHIBIT INDEX</w:t>
            </w:r>
          </w:p>
        </w:tc>
      </w:tr>
      <w:tr>
        <w:trPr>
          <w:trHeight w:val="399"/>
        </w:trPr>
        <w:tc>
          <w:tcPr>
            <w:tcW w:w="1120" w:type="dxa"/>
            <w:vAlign w:val="bottom"/>
          </w:tcPr>
          <w:p>
            <w:pPr>
              <w:jc w:val="center"/>
              <w:ind w:right="452"/>
              <w:spacing w:after="0"/>
              <w:rPr>
                <w:sz w:val="20"/>
                <w:szCs w:val="20"/>
                <w:color w:val="auto"/>
              </w:rPr>
            </w:pPr>
            <w:r>
              <w:rPr>
                <w:rFonts w:ascii="Arial" w:cs="Arial" w:eastAsia="Arial" w:hAnsi="Arial"/>
                <w:sz w:val="18"/>
                <w:szCs w:val="18"/>
                <w:color w:val="auto"/>
                <w:w w:val="87"/>
              </w:rPr>
              <w:t>3.1</w:t>
            </w:r>
          </w:p>
        </w:tc>
        <w:tc>
          <w:tcPr>
            <w:tcW w:w="10240" w:type="dxa"/>
            <w:vAlign w:val="bottom"/>
          </w:tcPr>
          <w:p>
            <w:pPr>
              <w:ind w:left="260"/>
              <w:spacing w:after="0"/>
              <w:rPr>
                <w:sz w:val="20"/>
                <w:szCs w:val="20"/>
                <w:color w:val="auto"/>
              </w:rPr>
            </w:pPr>
            <w:r>
              <w:rPr>
                <w:rFonts w:ascii="Arial" w:cs="Arial" w:eastAsia="Arial" w:hAnsi="Arial"/>
                <w:sz w:val="18"/>
                <w:szCs w:val="18"/>
                <w:color w:val="auto"/>
                <w:w w:val="90"/>
              </w:rPr>
              <w:t>Third Amended and Restated Bye-Laws, incorporated by reference to Exhibit 3.1 of the registrant’s Current Report on Form 8-K as filed on</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July 13, 2010</w:t>
            </w:r>
          </w:p>
        </w:tc>
      </w:tr>
      <w:tr>
        <w:trPr>
          <w:trHeight w:val="318"/>
        </w:trPr>
        <w:tc>
          <w:tcPr>
            <w:tcW w:w="1120" w:type="dxa"/>
            <w:vAlign w:val="bottom"/>
          </w:tcPr>
          <w:p>
            <w:pPr>
              <w:jc w:val="center"/>
              <w:ind w:right="432"/>
              <w:spacing w:after="0"/>
              <w:rPr>
                <w:sz w:val="20"/>
                <w:szCs w:val="20"/>
                <w:color w:val="auto"/>
              </w:rPr>
            </w:pPr>
            <w:r>
              <w:rPr>
                <w:rFonts w:ascii="Arial" w:cs="Arial" w:eastAsia="Arial" w:hAnsi="Arial"/>
                <w:sz w:val="18"/>
                <w:szCs w:val="18"/>
                <w:color w:val="auto"/>
                <w:w w:val="88"/>
              </w:rPr>
              <w:t>10.1#</w:t>
            </w:r>
          </w:p>
        </w:tc>
        <w:tc>
          <w:tcPr>
            <w:tcW w:w="10240" w:type="dxa"/>
            <w:vAlign w:val="bottom"/>
          </w:tcPr>
          <w:p>
            <w:pPr>
              <w:ind w:left="260"/>
              <w:spacing w:after="0"/>
              <w:rPr>
                <w:sz w:val="20"/>
                <w:szCs w:val="20"/>
                <w:color w:val="auto"/>
              </w:rPr>
            </w:pPr>
            <w:r>
              <w:rPr>
                <w:rFonts w:ascii="Arial" w:cs="Arial" w:eastAsia="Arial" w:hAnsi="Arial"/>
                <w:sz w:val="18"/>
                <w:szCs w:val="18"/>
                <w:color w:val="auto"/>
                <w:w w:val="90"/>
              </w:rPr>
              <w:t>Marvell Technology Group Ltd. Executive Performance Incentive Plan, incorporated by reference to Exhibit 10.1 of the registrant’s Current</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1120" w:type="dxa"/>
            <w:vAlign w:val="bottom"/>
          </w:tcPr>
          <w:p>
            <w:pPr>
              <w:jc w:val="center"/>
              <w:ind w:right="432"/>
              <w:spacing w:after="0"/>
              <w:rPr>
                <w:sz w:val="20"/>
                <w:szCs w:val="20"/>
                <w:color w:val="auto"/>
              </w:rPr>
            </w:pPr>
            <w:r>
              <w:rPr>
                <w:rFonts w:ascii="Arial" w:cs="Arial" w:eastAsia="Arial" w:hAnsi="Arial"/>
                <w:sz w:val="18"/>
                <w:szCs w:val="18"/>
                <w:color w:val="auto"/>
                <w:w w:val="88"/>
              </w:rPr>
              <w:t>10.2#</w:t>
            </w:r>
          </w:p>
        </w:tc>
        <w:tc>
          <w:tcPr>
            <w:tcW w:w="10240" w:type="dxa"/>
            <w:vAlign w:val="bottom"/>
          </w:tcPr>
          <w:p>
            <w:pPr>
              <w:ind w:left="260"/>
              <w:spacing w:after="0"/>
              <w:rPr>
                <w:sz w:val="20"/>
                <w:szCs w:val="20"/>
                <w:color w:val="auto"/>
              </w:rPr>
            </w:pPr>
            <w:r>
              <w:rPr>
                <w:rFonts w:ascii="Arial" w:cs="Arial" w:eastAsia="Arial" w:hAnsi="Arial"/>
                <w:sz w:val="18"/>
                <w:szCs w:val="18"/>
                <w:color w:val="auto"/>
                <w:w w:val="88"/>
              </w:rPr>
              <w:t>2010 Amendment to the Amended and Restated 1995 Stock Option Plan, incorporated by reference to Exhibit 10.2 of the registrant’s Current</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Report on Form 8-K as filed on July 13, 2010</w:t>
            </w:r>
          </w:p>
        </w:tc>
      </w:tr>
      <w:tr>
        <w:trPr>
          <w:trHeight w:val="318"/>
        </w:trPr>
        <w:tc>
          <w:tcPr>
            <w:tcW w:w="1120" w:type="dxa"/>
            <w:vAlign w:val="bottom"/>
          </w:tcPr>
          <w:p>
            <w:pPr>
              <w:jc w:val="center"/>
              <w:ind w:right="432"/>
              <w:spacing w:after="0"/>
              <w:rPr>
                <w:sz w:val="20"/>
                <w:szCs w:val="20"/>
                <w:color w:val="auto"/>
              </w:rPr>
            </w:pPr>
            <w:r>
              <w:rPr>
                <w:rFonts w:ascii="Arial" w:cs="Arial" w:eastAsia="Arial" w:hAnsi="Arial"/>
                <w:sz w:val="18"/>
                <w:szCs w:val="18"/>
                <w:color w:val="auto"/>
                <w:w w:val="88"/>
              </w:rPr>
              <w:t>10.3#</w:t>
            </w:r>
          </w:p>
        </w:tc>
        <w:tc>
          <w:tcPr>
            <w:tcW w:w="10240" w:type="dxa"/>
            <w:vAlign w:val="bottom"/>
          </w:tcPr>
          <w:p>
            <w:pPr>
              <w:ind w:left="260"/>
              <w:spacing w:after="0"/>
              <w:rPr>
                <w:sz w:val="20"/>
                <w:szCs w:val="20"/>
                <w:color w:val="auto"/>
              </w:rPr>
            </w:pPr>
            <w:r>
              <w:rPr>
                <w:rFonts w:ascii="Arial" w:cs="Arial" w:eastAsia="Arial" w:hAnsi="Arial"/>
                <w:sz w:val="18"/>
                <w:szCs w:val="18"/>
                <w:color w:val="auto"/>
                <w:w w:val="89"/>
              </w:rPr>
              <w:t>Form of Stock Option Agreement and Notice of Grant of Stock Options and Option Agreement for use with the Amended and Restated 1995</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Stock Option Plan</w:t>
            </w:r>
          </w:p>
        </w:tc>
      </w:tr>
      <w:tr>
        <w:trPr>
          <w:trHeight w:val="318"/>
        </w:trPr>
        <w:tc>
          <w:tcPr>
            <w:tcW w:w="1120" w:type="dxa"/>
            <w:vAlign w:val="bottom"/>
          </w:tcPr>
          <w:p>
            <w:pPr>
              <w:jc w:val="center"/>
              <w:ind w:right="432"/>
              <w:spacing w:after="0"/>
              <w:rPr>
                <w:sz w:val="20"/>
                <w:szCs w:val="20"/>
                <w:color w:val="auto"/>
              </w:rPr>
            </w:pPr>
            <w:r>
              <w:rPr>
                <w:rFonts w:ascii="Arial" w:cs="Arial" w:eastAsia="Arial" w:hAnsi="Arial"/>
                <w:sz w:val="18"/>
                <w:szCs w:val="18"/>
                <w:color w:val="auto"/>
                <w:w w:val="88"/>
              </w:rPr>
              <w:t>10.4#</w:t>
            </w:r>
          </w:p>
        </w:tc>
        <w:tc>
          <w:tcPr>
            <w:tcW w:w="10240" w:type="dxa"/>
            <w:vAlign w:val="bottom"/>
          </w:tcPr>
          <w:p>
            <w:pPr>
              <w:ind w:left="260"/>
              <w:spacing w:after="0"/>
              <w:rPr>
                <w:sz w:val="20"/>
                <w:szCs w:val="20"/>
                <w:color w:val="auto"/>
              </w:rPr>
            </w:pPr>
            <w:r>
              <w:rPr>
                <w:rFonts w:ascii="Arial" w:cs="Arial" w:eastAsia="Arial" w:hAnsi="Arial"/>
                <w:sz w:val="18"/>
                <w:szCs w:val="18"/>
                <w:color w:val="auto"/>
                <w:w w:val="92"/>
              </w:rPr>
              <w:t>Form of Stock Unit Agreement and Notice of Grant of Award and Award Agreement for use with the Amended and Restated 1995 Stock</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Option Plan</w:t>
            </w:r>
          </w:p>
        </w:tc>
      </w:tr>
      <w:tr>
        <w:trPr>
          <w:trHeight w:val="318"/>
        </w:trPr>
        <w:tc>
          <w:tcPr>
            <w:tcW w:w="1120" w:type="dxa"/>
            <w:vAlign w:val="bottom"/>
          </w:tcPr>
          <w:p>
            <w:pPr>
              <w:jc w:val="right"/>
              <w:ind w:right="612"/>
              <w:spacing w:after="0"/>
              <w:rPr>
                <w:sz w:val="20"/>
                <w:szCs w:val="20"/>
                <w:color w:val="auto"/>
              </w:rPr>
            </w:pPr>
            <w:r>
              <w:rPr>
                <w:rFonts w:ascii="Arial" w:cs="Arial" w:eastAsia="Arial" w:hAnsi="Arial"/>
                <w:sz w:val="18"/>
                <w:szCs w:val="18"/>
                <w:color w:val="auto"/>
              </w:rPr>
              <w:t>31.1</w:t>
            </w:r>
          </w:p>
        </w:tc>
        <w:tc>
          <w:tcPr>
            <w:tcW w:w="10240" w:type="dxa"/>
            <w:vAlign w:val="bottom"/>
          </w:tcPr>
          <w:p>
            <w:pPr>
              <w:ind w:left="26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302 of the Sarbanes-Oxley Act of</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2002</w:t>
            </w:r>
          </w:p>
        </w:tc>
      </w:tr>
      <w:tr>
        <w:trPr>
          <w:trHeight w:val="318"/>
        </w:trPr>
        <w:tc>
          <w:tcPr>
            <w:tcW w:w="1120" w:type="dxa"/>
            <w:vAlign w:val="bottom"/>
          </w:tcPr>
          <w:p>
            <w:pPr>
              <w:jc w:val="right"/>
              <w:ind w:right="612"/>
              <w:spacing w:after="0"/>
              <w:rPr>
                <w:sz w:val="20"/>
                <w:szCs w:val="20"/>
                <w:color w:val="auto"/>
              </w:rPr>
            </w:pPr>
            <w:r>
              <w:rPr>
                <w:rFonts w:ascii="Arial" w:cs="Arial" w:eastAsia="Arial" w:hAnsi="Arial"/>
                <w:sz w:val="18"/>
                <w:szCs w:val="18"/>
                <w:color w:val="auto"/>
              </w:rPr>
              <w:t>31.2</w:t>
            </w:r>
          </w:p>
        </w:tc>
        <w:tc>
          <w:tcPr>
            <w:tcW w:w="10240" w:type="dxa"/>
            <w:vAlign w:val="bottom"/>
          </w:tcPr>
          <w:p>
            <w:pPr>
              <w:ind w:left="26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302 of the Sarbanes-Oxley Act of</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2002</w:t>
            </w:r>
          </w:p>
        </w:tc>
      </w:tr>
      <w:tr>
        <w:trPr>
          <w:trHeight w:val="318"/>
        </w:trPr>
        <w:tc>
          <w:tcPr>
            <w:tcW w:w="1120" w:type="dxa"/>
            <w:vAlign w:val="bottom"/>
          </w:tcPr>
          <w:p>
            <w:pPr>
              <w:jc w:val="center"/>
              <w:ind w:right="432"/>
              <w:spacing w:after="0"/>
              <w:rPr>
                <w:sz w:val="20"/>
                <w:szCs w:val="20"/>
                <w:color w:val="auto"/>
              </w:rPr>
            </w:pPr>
            <w:r>
              <w:rPr>
                <w:rFonts w:ascii="Arial" w:cs="Arial" w:eastAsia="Arial" w:hAnsi="Arial"/>
                <w:sz w:val="18"/>
                <w:szCs w:val="18"/>
                <w:color w:val="auto"/>
                <w:w w:val="95"/>
              </w:rPr>
              <w:t>32.1*</w:t>
            </w:r>
          </w:p>
        </w:tc>
        <w:tc>
          <w:tcPr>
            <w:tcW w:w="10240" w:type="dxa"/>
            <w:vAlign w:val="bottom"/>
          </w:tcPr>
          <w:p>
            <w:pPr>
              <w:ind w:left="26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906 of the Sarbanes-Oxley Act of</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2002</w:t>
            </w:r>
          </w:p>
        </w:tc>
      </w:tr>
      <w:tr>
        <w:trPr>
          <w:trHeight w:val="318"/>
        </w:trPr>
        <w:tc>
          <w:tcPr>
            <w:tcW w:w="1120" w:type="dxa"/>
            <w:vAlign w:val="bottom"/>
          </w:tcPr>
          <w:p>
            <w:pPr>
              <w:jc w:val="center"/>
              <w:ind w:right="432"/>
              <w:spacing w:after="0"/>
              <w:rPr>
                <w:sz w:val="20"/>
                <w:szCs w:val="20"/>
                <w:color w:val="auto"/>
              </w:rPr>
            </w:pPr>
            <w:r>
              <w:rPr>
                <w:rFonts w:ascii="Arial" w:cs="Arial" w:eastAsia="Arial" w:hAnsi="Arial"/>
                <w:sz w:val="18"/>
                <w:szCs w:val="18"/>
                <w:color w:val="auto"/>
                <w:w w:val="95"/>
              </w:rPr>
              <w:t>32.2*</w:t>
            </w:r>
          </w:p>
        </w:tc>
        <w:tc>
          <w:tcPr>
            <w:tcW w:w="10240" w:type="dxa"/>
            <w:vAlign w:val="bottom"/>
          </w:tcPr>
          <w:p>
            <w:pPr>
              <w:ind w:left="26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906 of the Sarbanes-Oxley Act of</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2002</w:t>
            </w:r>
          </w:p>
        </w:tc>
      </w:tr>
      <w:tr>
        <w:trPr>
          <w:trHeight w:val="324"/>
        </w:trPr>
        <w:tc>
          <w:tcPr>
            <w:tcW w:w="1120" w:type="dxa"/>
            <w:vAlign w:val="bottom"/>
          </w:tcPr>
          <w:p>
            <w:pPr>
              <w:jc w:val="center"/>
              <w:ind w:right="192"/>
              <w:spacing w:after="0"/>
              <w:rPr>
                <w:sz w:val="20"/>
                <w:szCs w:val="20"/>
                <w:color w:val="auto"/>
              </w:rPr>
            </w:pPr>
            <w:r>
              <w:rPr>
                <w:rFonts w:ascii="Arial" w:cs="Arial" w:eastAsia="Arial" w:hAnsi="Arial"/>
                <w:sz w:val="18"/>
                <w:szCs w:val="18"/>
                <w:color w:val="auto"/>
                <w:w w:val="96"/>
              </w:rPr>
              <w:t>101.INS**</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Instance Document</w:t>
            </w:r>
          </w:p>
        </w:tc>
      </w:tr>
      <w:tr>
        <w:trPr>
          <w:trHeight w:val="324"/>
        </w:trPr>
        <w:tc>
          <w:tcPr>
            <w:tcW w:w="1120" w:type="dxa"/>
            <w:vAlign w:val="bottom"/>
          </w:tcPr>
          <w:p>
            <w:pPr>
              <w:jc w:val="center"/>
              <w:ind w:right="172"/>
              <w:spacing w:after="0"/>
              <w:rPr>
                <w:sz w:val="20"/>
                <w:szCs w:val="20"/>
                <w:color w:val="auto"/>
              </w:rPr>
            </w:pPr>
            <w:r>
              <w:rPr>
                <w:rFonts w:ascii="Arial" w:cs="Arial" w:eastAsia="Arial" w:hAnsi="Arial"/>
                <w:sz w:val="18"/>
                <w:szCs w:val="18"/>
                <w:color w:val="auto"/>
                <w:w w:val="94"/>
              </w:rPr>
              <w:t>101.SCH**</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120" w:type="dxa"/>
            <w:vAlign w:val="bottom"/>
          </w:tcPr>
          <w:p>
            <w:pPr>
              <w:jc w:val="center"/>
              <w:ind w:right="192"/>
              <w:spacing w:after="0"/>
              <w:rPr>
                <w:sz w:val="20"/>
                <w:szCs w:val="20"/>
                <w:color w:val="auto"/>
              </w:rPr>
            </w:pPr>
            <w:r>
              <w:rPr>
                <w:rFonts w:ascii="Arial" w:cs="Arial" w:eastAsia="Arial" w:hAnsi="Arial"/>
                <w:sz w:val="18"/>
                <w:szCs w:val="18"/>
                <w:color w:val="auto"/>
                <w:w w:val="99"/>
              </w:rPr>
              <w:t>101.CAL**</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120" w:type="dxa"/>
            <w:vAlign w:val="bottom"/>
          </w:tcPr>
          <w:p>
            <w:pPr>
              <w:jc w:val="center"/>
              <w:ind w:right="172"/>
              <w:spacing w:after="0"/>
              <w:rPr>
                <w:sz w:val="20"/>
                <w:szCs w:val="20"/>
                <w:color w:val="auto"/>
              </w:rPr>
            </w:pPr>
            <w:r>
              <w:rPr>
                <w:rFonts w:ascii="Arial" w:cs="Arial" w:eastAsia="Arial" w:hAnsi="Arial"/>
                <w:sz w:val="18"/>
                <w:szCs w:val="18"/>
                <w:color w:val="auto"/>
                <w:w w:val="96"/>
              </w:rPr>
              <w:t>101.DEF**</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1120" w:type="dxa"/>
            <w:vAlign w:val="bottom"/>
          </w:tcPr>
          <w:p>
            <w:pPr>
              <w:jc w:val="center"/>
              <w:ind w:right="192"/>
              <w:spacing w:after="0"/>
              <w:rPr>
                <w:sz w:val="20"/>
                <w:szCs w:val="20"/>
                <w:color w:val="auto"/>
              </w:rPr>
            </w:pPr>
            <w:r>
              <w:rPr>
                <w:rFonts w:ascii="Arial" w:cs="Arial" w:eastAsia="Arial" w:hAnsi="Arial"/>
                <w:sz w:val="18"/>
                <w:szCs w:val="18"/>
                <w:color w:val="auto"/>
              </w:rPr>
              <w:t>101.LAB**</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120" w:type="dxa"/>
            <w:vAlign w:val="bottom"/>
          </w:tcPr>
          <w:p>
            <w:pPr>
              <w:jc w:val="center"/>
              <w:ind w:right="192"/>
              <w:spacing w:after="0"/>
              <w:rPr>
                <w:sz w:val="20"/>
                <w:szCs w:val="20"/>
                <w:color w:val="auto"/>
              </w:rPr>
            </w:pPr>
            <w:r>
              <w:rPr>
                <w:rFonts w:ascii="Arial" w:cs="Arial" w:eastAsia="Arial" w:hAnsi="Arial"/>
                <w:sz w:val="18"/>
                <w:szCs w:val="18"/>
                <w:color w:val="auto"/>
                <w:w w:val="92"/>
              </w:rPr>
              <w:t>101.PRE**</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120" w:hanging="452"/>
        <w:spacing w:after="0" w:line="281"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w:t>
      </w:r>
    </w:p>
    <w:p>
      <w:pPr>
        <w:spacing w:after="0" w:line="1" w:lineRule="exact"/>
        <w:rPr>
          <w:sz w:val="20"/>
          <w:szCs w:val="20"/>
          <w:color w:val="auto"/>
        </w:rPr>
      </w:pPr>
    </w:p>
    <w:p>
      <w:pPr>
        <w:ind w:left="460" w:right="40"/>
        <w:spacing w:after="0" w:line="250" w:lineRule="auto"/>
        <w:rPr>
          <w:sz w:val="20"/>
          <w:szCs w:val="20"/>
          <w:color w:val="auto"/>
        </w:rPr>
      </w:pPr>
      <w:r>
        <w:rPr>
          <w:rFonts w:ascii="Arial" w:cs="Arial" w:eastAsia="Arial" w:hAnsi="Arial"/>
          <w:sz w:val="18"/>
          <w:szCs w:val="18"/>
          <w:color w:val="auto"/>
        </w:rPr>
        <w:t>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 the registrant specifically incorporates it by reference.</w:t>
      </w:r>
    </w:p>
    <w:p>
      <w:pPr>
        <w:spacing w:after="0" w:line="1" w:lineRule="exact"/>
        <w:rPr>
          <w:sz w:val="20"/>
          <w:szCs w:val="20"/>
          <w:color w:val="auto"/>
        </w:rPr>
      </w:pPr>
    </w:p>
    <w:p>
      <w:pPr>
        <w:ind w:left="460" w:hanging="452"/>
        <w:spacing w:after="0" w:line="253"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380"/>
          </w:cols>
          <w:pgMar w:left="240" w:top="459" w:right="279" w:bottom="1440" w:gutter="0" w:footer="0" w:header="0"/>
        </w:sectPr>
      </w:pPr>
    </w:p>
    <w:bookmarkStart w:id="48" w:name="page49"/>
    <w:bookmarkEnd w:id="48"/>
    <w:p>
      <w:pPr>
        <w:ind w:left="10520"/>
        <w:spacing w:after="0"/>
        <w:rPr>
          <w:sz w:val="20"/>
          <w:szCs w:val="20"/>
          <w:color w:val="auto"/>
        </w:rPr>
      </w:pPr>
      <w:r>
        <w:rPr>
          <w:rFonts w:ascii="Arial" w:cs="Arial" w:eastAsia="Arial" w:hAnsi="Arial"/>
          <w:sz w:val="16"/>
          <w:szCs w:val="16"/>
          <w:b w:val="1"/>
          <w:bCs w:val="1"/>
          <w:color w:val="auto"/>
        </w:rPr>
        <w:t>Exhibit 10.3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175260</wp:posOffset>
            </wp:positionV>
            <wp:extent cx="7246620" cy="260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p>
      <w:pPr>
        <w:spacing w:after="0" w:line="200" w:lineRule="exact"/>
        <w:rPr>
          <w:sz w:val="20"/>
          <w:szCs w:val="20"/>
          <w:color w:val="auto"/>
        </w:rPr>
      </w:pPr>
    </w:p>
    <w:p>
      <w:pPr>
        <w:spacing w:after="0" w:line="372" w:lineRule="exact"/>
        <w:rPr>
          <w:sz w:val="20"/>
          <w:szCs w:val="20"/>
          <w:color w:val="auto"/>
        </w:rPr>
      </w:pPr>
    </w:p>
    <w:p>
      <w:pPr>
        <w:ind w:right="1900"/>
        <w:spacing w:after="0" w:line="329" w:lineRule="auto"/>
        <w:rPr>
          <w:sz w:val="20"/>
          <w:szCs w:val="20"/>
          <w:color w:val="auto"/>
        </w:rPr>
      </w:pPr>
      <w:r>
        <w:rPr>
          <w:rFonts w:ascii="Arial" w:cs="Arial" w:eastAsia="Arial" w:hAnsi="Arial"/>
          <w:sz w:val="22"/>
          <w:szCs w:val="22"/>
          <w:b w:val="1"/>
          <w:bCs w:val="1"/>
          <w:color w:val="auto"/>
        </w:rPr>
        <w:t>Form of Notice of Grant of Stock Options and Option Agreement</w:t>
      </w:r>
    </w:p>
    <w:p>
      <w:pPr>
        <w:spacing w:after="0" w:line="20" w:lineRule="exact"/>
        <w:rPr>
          <w:sz w:val="20"/>
          <w:szCs w:val="20"/>
          <w:color w:val="auto"/>
        </w:rPr>
      </w:pPr>
      <w:r>
        <w:rPr>
          <w:sz w:val="20"/>
          <w:szCs w:val="20"/>
          <w:color w:val="auto"/>
        </w:rPr>
        <w:br w:type="column"/>
      </w:r>
    </w:p>
    <w:p>
      <w:pPr>
        <w:spacing w:after="0" w:line="30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Marvell Technology Group LTD</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ID: </w:t>
      </w:r>
      <w:r>
        <w:rPr>
          <w:rFonts w:ascii="Arial" w:cs="Arial" w:eastAsia="Arial" w:hAnsi="Arial"/>
          <w:sz w:val="18"/>
          <w:szCs w:val="18"/>
          <w:color w:val="auto"/>
        </w:rPr>
        <w:t>77-0481679</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Argyle House, 41a Cedar Avenue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 O Box HM 1179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EX,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-3842385</wp:posOffset>
            </wp:positionH>
            <wp:positionV relativeFrom="paragraph">
              <wp:posOffset>24130</wp:posOffset>
            </wp:positionV>
            <wp:extent cx="7246620" cy="260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172" w:lineRule="exact"/>
        <w:rPr>
          <w:sz w:val="20"/>
          <w:szCs w:val="20"/>
          <w:color w:val="auto"/>
        </w:rPr>
      </w:pPr>
    </w:p>
    <w:p>
      <w:pPr>
        <w:sectPr>
          <w:pgSz w:w="11900" w:h="16838" w:orient="portrait"/>
          <w:cols w:equalWidth="0" w:num="2">
            <w:col w:w="5340" w:space="720"/>
            <w:col w:w="5360"/>
          </w:cols>
          <w:pgMar w:left="240" w:top="125" w:right="239" w:bottom="1440" w:gutter="0" w:footer="0" w:header="0"/>
          <w:type w:val="continuous"/>
        </w:sectPr>
      </w:pPr>
    </w:p>
    <w:tbl>
      <w:tblPr>
        <w:tblLayout w:type="fixed"/>
        <w:tblInd w:w="0" w:type="dxa"/>
        <w:tblCellMar>
          <w:top w:w="0" w:type="dxa"/>
          <w:left w:w="0" w:type="dxa"/>
          <w:bottom w:w="0" w:type="dxa"/>
          <w:right w:w="0" w:type="dxa"/>
        </w:tblCellMar>
      </w:tblPr>
      <w:tr>
        <w:trPr>
          <w:trHeight w:val="216"/>
        </w:trPr>
        <w:tc>
          <w:tcPr>
            <w:tcW w:w="4180" w:type="dxa"/>
            <w:vAlign w:val="bottom"/>
          </w:tcPr>
          <w:p>
            <w:pPr>
              <w:spacing w:after="0"/>
              <w:rPr>
                <w:sz w:val="20"/>
                <w:szCs w:val="20"/>
                <w:color w:val="auto"/>
              </w:rPr>
            </w:pPr>
            <w:r>
              <w:rPr>
                <w:rFonts w:ascii="Arial" w:cs="Arial" w:eastAsia="Arial" w:hAnsi="Arial"/>
                <w:sz w:val="18"/>
                <w:szCs w:val="18"/>
                <w:b w:val="1"/>
                <w:bCs w:val="1"/>
                <w:color w:val="auto"/>
              </w:rPr>
              <w:t>Name</w:t>
            </w:r>
          </w:p>
        </w:tc>
        <w:tc>
          <w:tcPr>
            <w:tcW w:w="5320" w:type="dxa"/>
            <w:vAlign w:val="bottom"/>
          </w:tcPr>
          <w:p>
            <w:pPr>
              <w:ind w:left="3560"/>
              <w:spacing w:after="0"/>
              <w:rPr>
                <w:sz w:val="20"/>
                <w:szCs w:val="20"/>
                <w:color w:val="auto"/>
              </w:rPr>
            </w:pPr>
            <w:r>
              <w:rPr>
                <w:rFonts w:ascii="Arial" w:cs="Arial" w:eastAsia="Arial" w:hAnsi="Arial"/>
                <w:sz w:val="18"/>
                <w:szCs w:val="18"/>
                <w:b w:val="1"/>
                <w:bCs w:val="1"/>
                <w:color w:val="auto"/>
              </w:rPr>
              <w:t>Option Number:</w:t>
            </w:r>
          </w:p>
        </w:tc>
        <w:tc>
          <w:tcPr>
            <w:tcW w:w="1920" w:type="dxa"/>
            <w:vAlign w:val="bottom"/>
          </w:tcPr>
          <w:p>
            <w:pPr>
              <w:ind w:left="520"/>
              <w:spacing w:after="0"/>
              <w:rPr>
                <w:sz w:val="20"/>
                <w:szCs w:val="20"/>
                <w:color w:val="auto"/>
              </w:rPr>
            </w:pPr>
            <w:r>
              <w:rPr>
                <w:rFonts w:ascii="Arial" w:cs="Arial" w:eastAsia="Arial" w:hAnsi="Arial"/>
                <w:sz w:val="18"/>
                <w:szCs w:val="18"/>
                <w:b w:val="1"/>
                <w:bCs w:val="1"/>
                <w:color w:val="auto"/>
              </w:rPr>
              <w:t>00000000</w:t>
            </w:r>
          </w:p>
        </w:tc>
      </w:tr>
      <w:tr>
        <w:trPr>
          <w:trHeight w:val="216"/>
        </w:trPr>
        <w:tc>
          <w:tcPr>
            <w:tcW w:w="4180" w:type="dxa"/>
            <w:vAlign w:val="bottom"/>
          </w:tcPr>
          <w:p>
            <w:pPr>
              <w:spacing w:after="0"/>
              <w:rPr>
                <w:sz w:val="20"/>
                <w:szCs w:val="20"/>
                <w:color w:val="auto"/>
              </w:rPr>
            </w:pPr>
            <w:r>
              <w:rPr>
                <w:rFonts w:ascii="Arial" w:cs="Arial" w:eastAsia="Arial" w:hAnsi="Arial"/>
                <w:sz w:val="18"/>
                <w:szCs w:val="18"/>
                <w:b w:val="1"/>
                <w:bCs w:val="1"/>
                <w:color w:val="auto"/>
              </w:rPr>
              <w:t>Address</w:t>
            </w:r>
          </w:p>
        </w:tc>
        <w:tc>
          <w:tcPr>
            <w:tcW w:w="5320" w:type="dxa"/>
            <w:vAlign w:val="bottom"/>
          </w:tcPr>
          <w:p>
            <w:pPr>
              <w:ind w:left="3560"/>
              <w:spacing w:after="0"/>
              <w:rPr>
                <w:sz w:val="20"/>
                <w:szCs w:val="20"/>
                <w:color w:val="auto"/>
              </w:rPr>
            </w:pPr>
            <w:r>
              <w:rPr>
                <w:rFonts w:ascii="Arial" w:cs="Arial" w:eastAsia="Arial" w:hAnsi="Arial"/>
                <w:sz w:val="18"/>
                <w:szCs w:val="18"/>
                <w:b w:val="1"/>
                <w:bCs w:val="1"/>
                <w:color w:val="auto"/>
              </w:rPr>
              <w:t>Plan:</w:t>
            </w:r>
          </w:p>
        </w:tc>
        <w:tc>
          <w:tcPr>
            <w:tcW w:w="1920" w:type="dxa"/>
            <w:vAlign w:val="bottom"/>
          </w:tcPr>
          <w:p>
            <w:pPr>
              <w:ind w:left="520"/>
              <w:spacing w:after="0"/>
              <w:rPr>
                <w:sz w:val="20"/>
                <w:szCs w:val="20"/>
                <w:color w:val="auto"/>
              </w:rPr>
            </w:pPr>
            <w:r>
              <w:rPr>
                <w:rFonts w:ascii="Arial" w:cs="Arial" w:eastAsia="Arial" w:hAnsi="Arial"/>
                <w:sz w:val="18"/>
                <w:szCs w:val="18"/>
                <w:b w:val="1"/>
                <w:bCs w:val="1"/>
                <w:color w:val="auto"/>
              </w:rPr>
              <w:t>1995</w:t>
            </w:r>
          </w:p>
        </w:tc>
      </w:tr>
      <w:tr>
        <w:trPr>
          <w:trHeight w:val="228"/>
        </w:trPr>
        <w:tc>
          <w:tcPr>
            <w:tcW w:w="4180" w:type="dxa"/>
            <w:vAlign w:val="bottom"/>
          </w:tcPr>
          <w:p>
            <w:pPr>
              <w:spacing w:after="0"/>
              <w:rPr>
                <w:sz w:val="20"/>
                <w:szCs w:val="20"/>
                <w:color w:val="auto"/>
              </w:rPr>
            </w:pPr>
            <w:r>
              <w:rPr>
                <w:rFonts w:ascii="Arial" w:cs="Arial" w:eastAsia="Arial" w:hAnsi="Arial"/>
                <w:sz w:val="18"/>
                <w:szCs w:val="18"/>
                <w:b w:val="1"/>
                <w:bCs w:val="1"/>
                <w:color w:val="auto"/>
              </w:rPr>
              <w:t>Address</w:t>
            </w:r>
          </w:p>
        </w:tc>
        <w:tc>
          <w:tcPr>
            <w:tcW w:w="5320" w:type="dxa"/>
            <w:vAlign w:val="bottom"/>
          </w:tcPr>
          <w:p>
            <w:pPr>
              <w:ind w:left="3560"/>
              <w:spacing w:after="0"/>
              <w:rPr>
                <w:sz w:val="20"/>
                <w:szCs w:val="20"/>
                <w:color w:val="auto"/>
              </w:rPr>
            </w:pPr>
            <w:r>
              <w:rPr>
                <w:rFonts w:ascii="Arial" w:cs="Arial" w:eastAsia="Arial" w:hAnsi="Arial"/>
                <w:sz w:val="18"/>
                <w:szCs w:val="18"/>
                <w:b w:val="1"/>
                <w:bCs w:val="1"/>
                <w:color w:val="auto"/>
              </w:rPr>
              <w:t>ID:</w:t>
            </w:r>
          </w:p>
        </w:tc>
        <w:tc>
          <w:tcPr>
            <w:tcW w:w="1920" w:type="dxa"/>
            <w:vAlign w:val="bottom"/>
          </w:tcPr>
          <w:p>
            <w:pPr>
              <w:ind w:left="520"/>
              <w:spacing w:after="0"/>
              <w:rPr>
                <w:sz w:val="20"/>
                <w:szCs w:val="20"/>
                <w:color w:val="auto"/>
              </w:rPr>
            </w:pPr>
            <w:r>
              <w:rPr>
                <w:rFonts w:ascii="Arial" w:cs="Arial" w:eastAsia="Arial" w:hAnsi="Arial"/>
                <w:sz w:val="18"/>
                <w:szCs w:val="18"/>
                <w:b w:val="1"/>
                <w:bCs w:val="1"/>
                <w:color w:val="auto"/>
              </w:rPr>
              <w:t>0000</w:t>
            </w:r>
          </w:p>
        </w:tc>
      </w:tr>
      <w:tr>
        <w:trPr>
          <w:trHeight w:val="144"/>
        </w:trPr>
        <w:tc>
          <w:tcPr>
            <w:tcW w:w="4180" w:type="dxa"/>
            <w:vAlign w:val="bottom"/>
            <w:tcBorders>
              <w:bottom w:val="single" w:sz="8" w:color="auto"/>
            </w:tcBorders>
          </w:tcPr>
          <w:p>
            <w:pPr>
              <w:spacing w:after="0"/>
              <w:rPr>
                <w:sz w:val="12"/>
                <w:szCs w:val="12"/>
                <w:color w:val="auto"/>
              </w:rPr>
            </w:pPr>
          </w:p>
        </w:tc>
        <w:tc>
          <w:tcPr>
            <w:tcW w:w="5320" w:type="dxa"/>
            <w:vAlign w:val="bottom"/>
            <w:tcBorders>
              <w:bottom w:val="single" w:sz="8" w:color="auto"/>
            </w:tcBorders>
          </w:tcPr>
          <w:p>
            <w:pPr>
              <w:spacing w:after="0"/>
              <w:rPr>
                <w:sz w:val="12"/>
                <w:szCs w:val="12"/>
                <w:color w:val="auto"/>
              </w:rPr>
            </w:pPr>
          </w:p>
        </w:tc>
        <w:tc>
          <w:tcPr>
            <w:tcW w:w="1920" w:type="dxa"/>
            <w:vAlign w:val="bottom"/>
            <w:tcBorders>
              <w:bottom w:val="single" w:sz="8" w:color="auto"/>
            </w:tcBorders>
          </w:tcPr>
          <w:p>
            <w:pPr>
              <w:spacing w:after="0"/>
              <w:rPr>
                <w:sz w:val="12"/>
                <w:szCs w:val="12"/>
                <w:color w:val="auto"/>
              </w:rPr>
            </w:pPr>
          </w:p>
        </w:tc>
      </w:tr>
    </w:tbl>
    <w:p>
      <w:pPr>
        <w:spacing w:after="0" w:line="175" w:lineRule="exact"/>
        <w:rPr>
          <w:sz w:val="20"/>
          <w:szCs w:val="20"/>
          <w:color w:val="auto"/>
        </w:rPr>
      </w:pPr>
    </w:p>
    <w:p>
      <w:pPr>
        <w:ind w:right="300"/>
        <w:spacing w:after="0" w:line="275" w:lineRule="auto"/>
        <w:rPr>
          <w:sz w:val="20"/>
          <w:szCs w:val="20"/>
          <w:color w:val="auto"/>
        </w:rPr>
      </w:pPr>
      <w:r>
        <w:rPr>
          <w:rFonts w:ascii="Arial" w:cs="Arial" w:eastAsia="Arial" w:hAnsi="Arial"/>
          <w:sz w:val="18"/>
          <w:szCs w:val="18"/>
          <w:color w:val="auto"/>
        </w:rPr>
        <w:t xml:space="preserve">Effective </w:t>
      </w:r>
      <w:r>
        <w:rPr>
          <w:rFonts w:ascii="Arial" w:cs="Arial" w:eastAsia="Arial" w:hAnsi="Arial"/>
          <w:sz w:val="18"/>
          <w:szCs w:val="18"/>
          <w:b w:val="1"/>
          <w:bCs w:val="1"/>
          <w:color w:val="auto"/>
        </w:rPr>
        <w:t>XX/XX/XXXX</w:t>
      </w:r>
      <w:r>
        <w:rPr>
          <w:rFonts w:ascii="Arial" w:cs="Arial" w:eastAsia="Arial" w:hAnsi="Arial"/>
          <w:sz w:val="18"/>
          <w:szCs w:val="18"/>
          <w:color w:val="auto"/>
        </w:rPr>
        <w:t>, you have been granted a(n) Non-Qualified Stock Option to buy XXXXX shares of Marvell Technology Group LTD (the Company) stock at US$[Exercise Price] per share.</w:t>
      </w:r>
    </w:p>
    <w:p>
      <w:pPr>
        <w:spacing w:after="0" w:line="126" w:lineRule="exact"/>
        <w:rPr>
          <w:sz w:val="20"/>
          <w:szCs w:val="20"/>
          <w:color w:val="auto"/>
        </w:rPr>
      </w:pPr>
    </w:p>
    <w:p>
      <w:pPr>
        <w:spacing w:after="0"/>
        <w:rPr>
          <w:sz w:val="20"/>
          <w:szCs w:val="20"/>
          <w:color w:val="auto"/>
        </w:rPr>
      </w:pPr>
      <w:r>
        <w:rPr>
          <w:rFonts w:ascii="Arial" w:cs="Arial" w:eastAsia="Arial" w:hAnsi="Arial"/>
          <w:sz w:val="18"/>
          <w:szCs w:val="18"/>
          <w:color w:val="auto"/>
        </w:rPr>
        <w:t>The total option price of the shares granted is $XX,XXX.XX.</w:t>
      </w:r>
    </w:p>
    <w:p>
      <w:pPr>
        <w:spacing w:after="0" w:line="171" w:lineRule="exact"/>
        <w:rPr>
          <w:sz w:val="20"/>
          <w:szCs w:val="20"/>
          <w:color w:val="auto"/>
        </w:rPr>
      </w:pPr>
    </w:p>
    <w:p>
      <w:pPr>
        <w:ind w:right="80"/>
        <w:spacing w:after="0" w:line="306" w:lineRule="auto"/>
        <w:rPr>
          <w:sz w:val="20"/>
          <w:szCs w:val="20"/>
          <w:color w:val="auto"/>
        </w:rPr>
      </w:pPr>
      <w:r>
        <w:rPr>
          <w:rFonts w:ascii="Arial" w:cs="Arial" w:eastAsia="Arial" w:hAnsi="Arial"/>
          <w:sz w:val="16"/>
          <w:szCs w:val="16"/>
          <w:color w:val="auto"/>
        </w:rPr>
        <w:t>Shares in each period will become fully vested on the date shown. This Notice of Grant is subject to all of the terms and conditions set forth herein, as well as the Stock Option Agreement, the Appendix (which include the special provisions for Optionee’s country of residence, if any), and the Plan, all of which are incorporated herein by reference. Capitalized terms used in this Notice of Grant but not defined shall have the same meaning as provided in the Plan.</w:t>
      </w:r>
    </w:p>
    <w:p>
      <w:pPr>
        <w:spacing w:after="0" w:line="147" w:lineRule="exact"/>
        <w:rPr>
          <w:sz w:val="20"/>
          <w:szCs w:val="20"/>
          <w:color w:val="auto"/>
        </w:rPr>
      </w:pPr>
    </w:p>
    <w:tbl>
      <w:tblPr>
        <w:tblLayout w:type="fixed"/>
        <w:tblInd w:w="2080" w:type="dxa"/>
        <w:tblCellMar>
          <w:top w:w="0" w:type="dxa"/>
          <w:left w:w="0" w:type="dxa"/>
          <w:bottom w:w="0" w:type="dxa"/>
          <w:right w:w="0" w:type="dxa"/>
        </w:tblCellMar>
      </w:tblPr>
      <w:tr>
        <w:trPr>
          <w:trHeight w:val="231"/>
        </w:trPr>
        <w:tc>
          <w:tcPr>
            <w:tcW w:w="17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0"/>
              </w:rPr>
              <w:t>Shares</w:t>
            </w:r>
          </w:p>
        </w:tc>
        <w:tc>
          <w:tcPr>
            <w:tcW w:w="140" w:type="dxa"/>
            <w:vAlign w:val="bottom"/>
          </w:tcPr>
          <w:p>
            <w:pPr>
              <w:spacing w:after="0"/>
              <w:rPr>
                <w:sz w:val="20"/>
                <w:szCs w:val="20"/>
                <w:color w:val="auto"/>
              </w:rPr>
            </w:pPr>
          </w:p>
        </w:tc>
        <w:tc>
          <w:tcPr>
            <w:tcW w:w="1680" w:type="dxa"/>
            <w:vAlign w:val="bottom"/>
            <w:tcBorders>
              <w:bottom w:val="single" w:sz="8" w:color="auto"/>
            </w:tcBorders>
          </w:tcPr>
          <w:p>
            <w:pPr>
              <w:ind w:left="480"/>
              <w:spacing w:after="0"/>
              <w:rPr>
                <w:sz w:val="20"/>
                <w:szCs w:val="20"/>
                <w:color w:val="auto"/>
              </w:rPr>
            </w:pPr>
            <w:r>
              <w:rPr>
                <w:rFonts w:ascii="Arial" w:cs="Arial" w:eastAsia="Arial" w:hAnsi="Arial"/>
                <w:sz w:val="18"/>
                <w:szCs w:val="18"/>
                <w:color w:val="auto"/>
              </w:rPr>
              <w:t>Vest Type</w:t>
            </w:r>
          </w:p>
        </w:tc>
        <w:tc>
          <w:tcPr>
            <w:tcW w:w="160" w:type="dxa"/>
            <w:vAlign w:val="bottom"/>
          </w:tcPr>
          <w:p>
            <w:pPr>
              <w:spacing w:after="0"/>
              <w:rPr>
                <w:sz w:val="20"/>
                <w:szCs w:val="20"/>
                <w:color w:val="auto"/>
              </w:rPr>
            </w:pPr>
          </w:p>
        </w:tc>
        <w:tc>
          <w:tcPr>
            <w:tcW w:w="1740" w:type="dxa"/>
            <w:vAlign w:val="bottom"/>
            <w:tcBorders>
              <w:bottom w:val="single" w:sz="8" w:color="auto"/>
            </w:tcBorders>
          </w:tcPr>
          <w:p>
            <w:pPr>
              <w:ind w:left="540"/>
              <w:spacing w:after="0"/>
              <w:rPr>
                <w:sz w:val="20"/>
                <w:szCs w:val="20"/>
                <w:color w:val="auto"/>
              </w:rPr>
            </w:pPr>
            <w:r>
              <w:rPr>
                <w:rFonts w:ascii="Arial" w:cs="Arial" w:eastAsia="Arial" w:hAnsi="Arial"/>
                <w:sz w:val="18"/>
                <w:szCs w:val="18"/>
                <w:color w:val="auto"/>
              </w:rPr>
              <w:t>Full Vest</w:t>
            </w:r>
          </w:p>
        </w:tc>
        <w:tc>
          <w:tcPr>
            <w:tcW w:w="140" w:type="dxa"/>
            <w:vAlign w:val="bottom"/>
          </w:tcPr>
          <w:p>
            <w:pPr>
              <w:spacing w:after="0"/>
              <w:rPr>
                <w:sz w:val="20"/>
                <w:szCs w:val="20"/>
                <w:color w:val="auto"/>
              </w:rPr>
            </w:pPr>
          </w:p>
        </w:tc>
        <w:tc>
          <w:tcPr>
            <w:tcW w:w="1660" w:type="dxa"/>
            <w:vAlign w:val="bottom"/>
            <w:tcBorders>
              <w:bottom w:val="single" w:sz="8" w:color="auto"/>
            </w:tcBorders>
          </w:tcPr>
          <w:p>
            <w:pPr>
              <w:ind w:left="460"/>
              <w:spacing w:after="0"/>
              <w:rPr>
                <w:sz w:val="20"/>
                <w:szCs w:val="20"/>
                <w:color w:val="auto"/>
              </w:rPr>
            </w:pPr>
            <w:r>
              <w:rPr>
                <w:rFonts w:ascii="Arial" w:cs="Arial" w:eastAsia="Arial" w:hAnsi="Arial"/>
                <w:sz w:val="18"/>
                <w:szCs w:val="18"/>
                <w:color w:val="auto"/>
              </w:rPr>
              <w:t>Expiration</w:t>
            </w:r>
          </w:p>
        </w:tc>
      </w:tr>
      <w:tr>
        <w:trPr>
          <w:trHeight w:val="208"/>
        </w:trPr>
        <w:tc>
          <w:tcPr>
            <w:tcW w:w="1760" w:type="dxa"/>
            <w:vAlign w:val="bottom"/>
          </w:tcPr>
          <w:p>
            <w:pPr>
              <w:jc w:val="center"/>
              <w:spacing w:after="0"/>
              <w:rPr>
                <w:sz w:val="20"/>
                <w:szCs w:val="20"/>
                <w:color w:val="auto"/>
              </w:rPr>
            </w:pPr>
            <w:r>
              <w:rPr>
                <w:rFonts w:ascii="Arial" w:cs="Arial" w:eastAsia="Arial" w:hAnsi="Arial"/>
                <w:sz w:val="18"/>
                <w:szCs w:val="18"/>
                <w:color w:val="auto"/>
                <w:w w:val="91"/>
              </w:rPr>
              <w:t>%% SHARES</w:t>
            </w:r>
          </w:p>
        </w:tc>
        <w:tc>
          <w:tcPr>
            <w:tcW w:w="140" w:type="dxa"/>
            <w:vAlign w:val="bottom"/>
          </w:tcPr>
          <w:p>
            <w:pPr>
              <w:spacing w:after="0"/>
              <w:rPr>
                <w:sz w:val="18"/>
                <w:szCs w:val="18"/>
                <w:color w:val="auto"/>
              </w:rPr>
            </w:pPr>
          </w:p>
        </w:tc>
        <w:tc>
          <w:tcPr>
            <w:tcW w:w="1680" w:type="dxa"/>
            <w:vAlign w:val="bottom"/>
          </w:tcPr>
          <w:p>
            <w:pPr>
              <w:spacing w:after="0"/>
              <w:rPr>
                <w:sz w:val="20"/>
                <w:szCs w:val="20"/>
                <w:color w:val="auto"/>
              </w:rPr>
            </w:pPr>
            <w:r>
              <w:rPr>
                <w:rFonts w:ascii="Arial" w:cs="Arial" w:eastAsia="Arial" w:hAnsi="Arial"/>
                <w:sz w:val="18"/>
                <w:szCs w:val="18"/>
                <w:color w:val="auto"/>
              </w:rPr>
              <w:t>On Vest Date</w:t>
            </w:r>
          </w:p>
        </w:tc>
        <w:tc>
          <w:tcPr>
            <w:tcW w:w="16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60" w:type="dxa"/>
            <w:vAlign w:val="bottom"/>
          </w:tcPr>
          <w:p>
            <w:pPr>
              <w:spacing w:after="0"/>
              <w:rPr>
                <w:sz w:val="18"/>
                <w:szCs w:val="18"/>
                <w:color w:val="auto"/>
              </w:rPr>
            </w:pPr>
          </w:p>
        </w:tc>
      </w:tr>
      <w:tr>
        <w:trPr>
          <w:trHeight w:val="222"/>
        </w:trPr>
        <w:tc>
          <w:tcPr>
            <w:tcW w:w="1760" w:type="dxa"/>
            <w:vAlign w:val="bottom"/>
          </w:tcPr>
          <w:p>
            <w:pPr>
              <w:jc w:val="center"/>
              <w:spacing w:after="0"/>
              <w:rPr>
                <w:sz w:val="20"/>
                <w:szCs w:val="20"/>
                <w:color w:val="auto"/>
              </w:rPr>
            </w:pPr>
            <w:r>
              <w:rPr>
                <w:rFonts w:ascii="Arial" w:cs="Arial" w:eastAsia="Arial" w:hAnsi="Arial"/>
                <w:sz w:val="18"/>
                <w:szCs w:val="18"/>
                <w:color w:val="auto"/>
                <w:w w:val="91"/>
              </w:rPr>
              <w:t>%% SHARES</w:t>
            </w:r>
          </w:p>
        </w:tc>
        <w:tc>
          <w:tcPr>
            <w:tcW w:w="1820" w:type="dxa"/>
            <w:vAlign w:val="bottom"/>
            <w:gridSpan w:val="2"/>
          </w:tcPr>
          <w:p>
            <w:pPr>
              <w:ind w:left="140"/>
              <w:spacing w:after="0"/>
              <w:rPr>
                <w:sz w:val="20"/>
                <w:szCs w:val="20"/>
                <w:color w:val="auto"/>
              </w:rPr>
            </w:pPr>
            <w:r>
              <w:rPr>
                <w:rFonts w:ascii="Arial" w:cs="Arial" w:eastAsia="Arial" w:hAnsi="Arial"/>
                <w:sz w:val="18"/>
                <w:szCs w:val="18"/>
                <w:color w:val="auto"/>
              </w:rPr>
              <w:t>Monthly</w:t>
            </w:r>
          </w:p>
        </w:tc>
        <w:tc>
          <w:tcPr>
            <w:tcW w:w="16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60" w:type="dxa"/>
            <w:vAlign w:val="bottom"/>
          </w:tcPr>
          <w:p>
            <w:pPr>
              <w:spacing w:after="0"/>
              <w:rPr>
                <w:sz w:val="19"/>
                <w:szCs w:val="19"/>
                <w:color w:val="auto"/>
              </w:rPr>
            </w:pPr>
          </w:p>
        </w:tc>
      </w:tr>
    </w:tbl>
    <w:p>
      <w:pPr>
        <w:spacing w:after="0" w:line="15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By signing this document, the Optionee acknowledges receipt of a copy of the Plan, and agrees that (a) these Options are granted under and governed by the terms and conditions of the Plan, the Stock Option Agreement, and the Appendix (the special provisions for Optionee’s country of residence, if any); (b) the Optionee has carefully read, fully understands and agrees to all of the terms and conditions described in the attached Stock Option Agreement, the Appendix, and the Plan; (c) the Optionee understands and agrees that the Stock Option Agreement and Appendix, including any cover sheet and attachments, constitute the entire understanding between the Optionee and the Company regarding this grant, and that any prior agreements, commitments or negotiations concerning this grant are replaced and superseded; and (d) the Optionee has been given an opportunity to consult legal counsel with respect to all matters relating to this grant prior to signing this cover sheet and that the Optionee has either consulted such counsel or voluntarily declined to consult such counsel. The Stock Option Agreement, the Appendix and prospectus are available on the Company’s website at https://intranet/stockselfservice or by request from the Company’s Stock Administration Department. The Optionee hereby agrees that these documents are deemed to be delivered to him or her.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124460</wp:posOffset>
            </wp:positionV>
            <wp:extent cx="7246620" cy="260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spacing w:after="0"/>
        <w:tabs>
          <w:tab w:leader="none" w:pos="6040" w:val="left"/>
        </w:tabs>
        <w:rPr>
          <w:sz w:val="20"/>
          <w:szCs w:val="20"/>
          <w:color w:val="auto"/>
        </w:rPr>
      </w:pPr>
      <w:r>
        <w:rPr>
          <w:rFonts w:ascii="Arial" w:cs="Arial" w:eastAsia="Arial" w:hAnsi="Arial"/>
          <w:sz w:val="18"/>
          <w:szCs w:val="18"/>
          <w:color w:val="auto"/>
        </w:rPr>
        <w:t>Marvell Technology Group LTD</w:t>
      </w:r>
      <w:r>
        <w:rPr>
          <w:sz w:val="20"/>
          <w:szCs w:val="20"/>
          <w:color w:val="auto"/>
        </w:rPr>
        <w:tab/>
      </w:r>
      <w:r>
        <w:rPr>
          <w:rFonts w:ascii="Arial" w:cs="Arial" w:eastAsia="Arial" w:hAnsi="Arial"/>
          <w:sz w:val="15"/>
          <w:szCs w:val="15"/>
          <w:color w:val="auto"/>
        </w:rPr>
        <w:t>Date</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tabs>
          <w:tab w:leader="none" w:pos="6040" w:val="left"/>
        </w:tabs>
        <w:rPr>
          <w:sz w:val="20"/>
          <w:szCs w:val="20"/>
          <w:color w:val="auto"/>
        </w:rPr>
      </w:pPr>
      <w:r>
        <w:rPr>
          <w:rFonts w:ascii="Arial" w:cs="Arial" w:eastAsia="Arial" w:hAnsi="Arial"/>
          <w:sz w:val="18"/>
          <w:szCs w:val="18"/>
          <w:color w:val="auto"/>
        </w:rPr>
        <w:t>Name of Optionee</w:t>
      </w:r>
      <w:r>
        <w:rPr>
          <w:sz w:val="20"/>
          <w:szCs w:val="20"/>
          <w:color w:val="auto"/>
        </w:rPr>
        <w:tab/>
      </w:r>
      <w:r>
        <w:rPr>
          <w:rFonts w:ascii="Arial" w:cs="Arial" w:eastAsia="Arial" w:hAnsi="Arial"/>
          <w:sz w:val="15"/>
          <w:szCs w:val="15"/>
          <w:color w:val="auto"/>
        </w:rPr>
        <w:t>Date</w:t>
      </w:r>
    </w:p>
    <w:p>
      <w:pPr>
        <w:sectPr>
          <w:pgSz w:w="11900" w:h="16838" w:orient="portrait"/>
          <w:cols w:equalWidth="0" w:num="1">
            <w:col w:w="11420"/>
          </w:cols>
          <w:pgMar w:left="240" w:top="125" w:right="239" w:bottom="1440" w:gutter="0" w:footer="0" w:header="0"/>
          <w:type w:val="continuous"/>
        </w:sectPr>
      </w:pPr>
    </w:p>
    <w:bookmarkStart w:id="49" w:name="page50"/>
    <w:bookmarkEnd w:id="49"/>
    <w:p>
      <w:pPr>
        <w:jc w:val="center"/>
        <w:ind w:right="-1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MARVELL TECHNOLOGY GROUP LTD.</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78"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FORM OF STOCK OPTION AGREEMENT</w:t>
      </w:r>
    </w:p>
    <w:p>
      <w:pPr>
        <w:spacing w:after="0" w:line="177" w:lineRule="exact"/>
        <w:rPr>
          <w:sz w:val="20"/>
          <w:szCs w:val="20"/>
          <w:color w:val="auto"/>
        </w:rPr>
      </w:pPr>
    </w:p>
    <w:p>
      <w:pPr>
        <w:ind w:right="100" w:firstLine="464"/>
        <w:spacing w:after="0" w:line="255" w:lineRule="auto"/>
        <w:tabs>
          <w:tab w:leader="none" w:pos="632"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Grant of Option</w:t>
      </w:r>
      <w:r>
        <w:rPr>
          <w:rFonts w:ascii="Arial" w:cs="Arial" w:eastAsia="Arial" w:hAnsi="Arial"/>
          <w:sz w:val="18"/>
          <w:szCs w:val="18"/>
          <w:color w:val="auto"/>
        </w:rPr>
        <w:t>. The Company hereby grants to the optionee named in the Notice of Grant (the “Optionee”), the Option to purchase the Shares, at the exercise price per Share set forth in the Notice of Grant (the “Exercise Price”) subject to the terms, definitions and provisions of the Marvell Technology Group Ltd. Amended and Restated 1995 Stock Option Plan, as the same may be amended from time to time as set forth therein and herein (the “Plan”), which is incorporated herein by reference. Unless otherwise defined herein, the terms defined in the Plan shall have the same defined meanings in this Stock Option Agreement (the “Option Agreement”) and the Notice of Grant.</w:t>
      </w:r>
    </w:p>
    <w:p>
      <w:pPr>
        <w:spacing w:after="0" w:line="14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For U.S. tax purposes, if designated in the Notice of Grant as an Incentive Stock Option, this Option is intended to qualify as an Incentive Stock Option as defined in Section 422 of the Code. However, if this Option is intended to be an Incentive Stock Option, to the extent that it exceeds the $100,000 rule of Code Section 422(d) it shall be treated as a Nonstatutory Stock Option.</w:t>
      </w:r>
    </w:p>
    <w:p>
      <w:pPr>
        <w:spacing w:after="0" w:line="140" w:lineRule="exact"/>
        <w:rPr>
          <w:sz w:val="20"/>
          <w:szCs w:val="20"/>
          <w:color w:val="auto"/>
        </w:rPr>
      </w:pPr>
    </w:p>
    <w:p>
      <w:pPr>
        <w:ind w:right="160" w:firstLine="464"/>
        <w:spacing w:after="0" w:line="268" w:lineRule="auto"/>
        <w:tabs>
          <w:tab w:leader="none" w:pos="632"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Exercise of Option</w:t>
      </w:r>
      <w:r>
        <w:rPr>
          <w:rFonts w:ascii="Arial" w:cs="Arial" w:eastAsia="Arial" w:hAnsi="Arial"/>
          <w:sz w:val="18"/>
          <w:szCs w:val="18"/>
          <w:color w:val="auto"/>
        </w:rPr>
        <w:t>. This Option shall be exercisable during its term and shall vest in accordance with the Vesting Schedule and with the provisions of Section 9 of the Plan as follows:</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1"/>
          <w:numId w:val="18"/>
        </w:numPr>
        <w:rPr>
          <w:rFonts w:ascii="Arial" w:cs="Arial" w:eastAsia="Arial" w:hAnsi="Arial"/>
          <w:sz w:val="18"/>
          <w:szCs w:val="18"/>
          <w:color w:val="auto"/>
        </w:rPr>
      </w:pPr>
      <w:r>
        <w:rPr>
          <w:rFonts w:ascii="Arial" w:cs="Arial" w:eastAsia="Arial" w:hAnsi="Arial"/>
          <w:sz w:val="18"/>
          <w:szCs w:val="18"/>
          <w:u w:val="single" w:color="auto"/>
          <w:color w:val="auto"/>
        </w:rPr>
        <w:t>Right to Exercise</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1740" w:hanging="248"/>
        <w:spacing w:after="0"/>
        <w:tabs>
          <w:tab w:leader="none" w:pos="1740" w:val="left"/>
        </w:tabs>
        <w:numPr>
          <w:ilvl w:val="2"/>
          <w:numId w:val="18"/>
        </w:numPr>
        <w:rPr>
          <w:rFonts w:ascii="Arial" w:cs="Arial" w:eastAsia="Arial" w:hAnsi="Arial"/>
          <w:sz w:val="18"/>
          <w:szCs w:val="18"/>
          <w:color w:val="auto"/>
        </w:rPr>
      </w:pPr>
      <w:r>
        <w:rPr>
          <w:rFonts w:ascii="Arial" w:cs="Arial" w:eastAsia="Arial" w:hAnsi="Arial"/>
          <w:sz w:val="18"/>
          <w:szCs w:val="18"/>
          <w:color w:val="auto"/>
        </w:rPr>
        <w:t>This Option may not be exercised for a fraction of a Share.</w:t>
      </w:r>
    </w:p>
    <w:p>
      <w:pPr>
        <w:spacing w:after="0" w:line="171" w:lineRule="exact"/>
        <w:rPr>
          <w:rFonts w:ascii="Arial" w:cs="Arial" w:eastAsia="Arial" w:hAnsi="Arial"/>
          <w:sz w:val="18"/>
          <w:szCs w:val="18"/>
          <w:color w:val="auto"/>
        </w:rPr>
      </w:pPr>
    </w:p>
    <w:p>
      <w:pPr>
        <w:ind w:right="40" w:firstLine="1492"/>
        <w:spacing w:after="0" w:line="268" w:lineRule="auto"/>
        <w:tabs>
          <w:tab w:leader="none" w:pos="1732" w:val="left"/>
        </w:tabs>
        <w:numPr>
          <w:ilvl w:val="2"/>
          <w:numId w:val="18"/>
        </w:numPr>
        <w:rPr>
          <w:rFonts w:ascii="Arial" w:cs="Arial" w:eastAsia="Arial" w:hAnsi="Arial"/>
          <w:sz w:val="18"/>
          <w:szCs w:val="18"/>
          <w:color w:val="auto"/>
        </w:rPr>
      </w:pPr>
      <w:r>
        <w:rPr>
          <w:rFonts w:ascii="Arial" w:cs="Arial" w:eastAsia="Arial" w:hAnsi="Arial"/>
          <w:sz w:val="18"/>
          <w:szCs w:val="18"/>
          <w:color w:val="auto"/>
        </w:rPr>
        <w:t>In the event of Optionee’s death, disability or other termination of Optionee’s Continuous Service, the exercisability of this Option shall be governed by Sections 5, 6 and 7 below.</w:t>
      </w:r>
    </w:p>
    <w:p>
      <w:pPr>
        <w:spacing w:after="0" w:line="131" w:lineRule="exact"/>
        <w:rPr>
          <w:rFonts w:ascii="Arial" w:cs="Arial" w:eastAsia="Arial" w:hAnsi="Arial"/>
          <w:sz w:val="18"/>
          <w:szCs w:val="18"/>
          <w:color w:val="auto"/>
        </w:rPr>
      </w:pPr>
    </w:p>
    <w:p>
      <w:pPr>
        <w:ind w:left="1740" w:hanging="248"/>
        <w:spacing w:after="0"/>
        <w:tabs>
          <w:tab w:leader="none" w:pos="1740" w:val="left"/>
        </w:tabs>
        <w:numPr>
          <w:ilvl w:val="2"/>
          <w:numId w:val="18"/>
        </w:numPr>
        <w:rPr>
          <w:rFonts w:ascii="Arial" w:cs="Arial" w:eastAsia="Arial" w:hAnsi="Arial"/>
          <w:sz w:val="16"/>
          <w:szCs w:val="16"/>
          <w:color w:val="auto"/>
        </w:rPr>
      </w:pPr>
      <w:r>
        <w:rPr>
          <w:rFonts w:ascii="Arial" w:cs="Arial" w:eastAsia="Arial" w:hAnsi="Arial"/>
          <w:sz w:val="16"/>
          <w:szCs w:val="16"/>
          <w:color w:val="auto"/>
        </w:rPr>
        <w:t>In no event may this Option be exercised after the date of expiration of the term of this Option as set forth in the Notice of Grant.</w:t>
      </w:r>
    </w:p>
    <w:p>
      <w:pPr>
        <w:spacing w:after="0" w:line="194" w:lineRule="exact"/>
        <w:rPr>
          <w:sz w:val="20"/>
          <w:szCs w:val="20"/>
          <w:color w:val="auto"/>
        </w:rPr>
      </w:pPr>
    </w:p>
    <w:p>
      <w:pPr>
        <w:ind w:left="1180" w:hanging="259"/>
        <w:spacing w:after="0"/>
        <w:tabs>
          <w:tab w:leader="none" w:pos="1180"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Method of Exercise</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firstLine="1492"/>
        <w:spacing w:after="0" w:line="312" w:lineRule="auto"/>
        <w:tabs>
          <w:tab w:leader="none" w:pos="1722" w:val="left"/>
        </w:tabs>
        <w:numPr>
          <w:ilvl w:val="1"/>
          <w:numId w:val="19"/>
        </w:numPr>
        <w:rPr>
          <w:rFonts w:ascii="Arial" w:cs="Arial" w:eastAsia="Arial" w:hAnsi="Arial"/>
          <w:sz w:val="15"/>
          <w:szCs w:val="15"/>
          <w:color w:val="auto"/>
        </w:rPr>
      </w:pPr>
      <w:r>
        <w:rPr>
          <w:rFonts w:ascii="Arial" w:cs="Arial" w:eastAsia="Arial" w:hAnsi="Arial"/>
          <w:sz w:val="15"/>
          <w:szCs w:val="15"/>
          <w:color w:val="auto"/>
        </w:rPr>
        <w:t>Primarily, options are to be exercised online through Marvell’s designated broker(s). Marvell’s intranet has the contact information for the current designated broker. In case Marvell’s designated broker is not used, or if the payment is submitted directly to Marvell for cash exercise, options can be exercised by a written notice (in the form attached as Exhibit A), which shall state the election to exercise this Option, the number of Shares in respect of which this Option is being exercised, and such other representations and agreements as to as may reasonably be required by the Company. Such written notice shall be signed by Optionee and shall be delivered in person or by certified mail to the Stock Administration department of the Company. The written notice shall be accompanied by payment of the aggregate Exercise Price for the number of Shares in respect of which the Option is being exercised and any Tax Obligations (as defined in Section 11 below). This Option shall be deemed to be exercised upon receipt by the Company of such written notice accompanied by</w:t>
      </w:r>
    </w:p>
    <w:p>
      <w:pPr>
        <w:sectPr>
          <w:pgSz w:w="11900" w:h="16838" w:orient="portrait"/>
          <w:cols w:equalWidth="0" w:num="1">
            <w:col w:w="11320"/>
          </w:cols>
          <w:pgMar w:left="240" w:top="274" w:right="339" w:bottom="1440" w:gutter="0" w:footer="0" w:header="0"/>
        </w:sectPr>
      </w:pPr>
    </w:p>
    <w:bookmarkStart w:id="50" w:name="page51"/>
    <w:bookmarkEnd w:id="50"/>
    <w:p>
      <w:pPr>
        <w:spacing w:after="0"/>
        <w:rPr>
          <w:sz w:val="20"/>
          <w:szCs w:val="20"/>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aggregate Exercise Price for the number of Shares in respect of which the Option is being exercised and any Tax Obligations (as defined in Section 11 below).</w:t>
      </w:r>
    </w:p>
    <w:p>
      <w:pPr>
        <w:spacing w:after="0" w:line="206" w:lineRule="exact"/>
        <w:rPr>
          <w:sz w:val="20"/>
          <w:szCs w:val="20"/>
          <w:color w:val="auto"/>
        </w:rPr>
      </w:pPr>
    </w:p>
    <w:p>
      <w:pPr>
        <w:ind w:right="340" w:firstLine="1492"/>
        <w:spacing w:after="0" w:line="256" w:lineRule="auto"/>
        <w:tabs>
          <w:tab w:leader="none" w:pos="1732" w:val="left"/>
        </w:tabs>
        <w:numPr>
          <w:ilvl w:val="3"/>
          <w:numId w:val="20"/>
        </w:numPr>
        <w:rPr>
          <w:rFonts w:ascii="Arial" w:cs="Arial" w:eastAsia="Arial" w:hAnsi="Arial"/>
          <w:sz w:val="18"/>
          <w:szCs w:val="18"/>
          <w:color w:val="auto"/>
        </w:rPr>
      </w:pPr>
      <w:r>
        <w:rPr>
          <w:rFonts w:ascii="Arial" w:cs="Arial" w:eastAsia="Arial" w:hAnsi="Arial"/>
          <w:sz w:val="18"/>
          <w:szCs w:val="18"/>
          <w:color w:val="auto"/>
        </w:rPr>
        <w:t>No Shares will be issued pursuant to the exercise of an Option unless such issuance and such exercise shall comply with all relevant applicable provisions of law, whether foreign or domestic, and the requirements of any stock exchange or interdealer quotation system upon which the Shares may then be listed or traded. Assuming such compliance, for U.S. income tax purposes the Shares shall be considered transferred to Optionee on the date on which this Option is exercised with respect to such Shares.</w:t>
      </w:r>
    </w:p>
    <w:p>
      <w:pPr>
        <w:spacing w:after="0" w:line="143" w:lineRule="exact"/>
        <w:rPr>
          <w:rFonts w:ascii="Arial" w:cs="Arial" w:eastAsia="Arial" w:hAnsi="Arial"/>
          <w:sz w:val="18"/>
          <w:szCs w:val="18"/>
          <w:color w:val="auto"/>
        </w:rPr>
      </w:pPr>
    </w:p>
    <w:p>
      <w:pPr>
        <w:ind w:right="120" w:firstLine="1492"/>
        <w:spacing w:after="0" w:line="268" w:lineRule="auto"/>
        <w:tabs>
          <w:tab w:leader="none" w:pos="1722" w:val="left"/>
        </w:tabs>
        <w:numPr>
          <w:ilvl w:val="3"/>
          <w:numId w:val="20"/>
        </w:numPr>
        <w:rPr>
          <w:rFonts w:ascii="Arial" w:cs="Arial" w:eastAsia="Arial" w:hAnsi="Arial"/>
          <w:sz w:val="18"/>
          <w:szCs w:val="18"/>
          <w:color w:val="auto"/>
        </w:rPr>
      </w:pPr>
      <w:r>
        <w:rPr>
          <w:rFonts w:ascii="Arial" w:cs="Arial" w:eastAsia="Arial" w:hAnsi="Arial"/>
          <w:sz w:val="18"/>
          <w:szCs w:val="18"/>
          <w:color w:val="auto"/>
        </w:rPr>
        <w:t>If this Option is being exercised by the representative of the Optionee, the exercise notice shall be accompanied by proof (satisfactory to the Company) of the representative’s right to exercise this Option.</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1"/>
          <w:numId w:val="21"/>
        </w:numPr>
        <w:rPr>
          <w:rFonts w:ascii="Arial" w:cs="Arial" w:eastAsia="Arial" w:hAnsi="Arial"/>
          <w:sz w:val="18"/>
          <w:szCs w:val="18"/>
          <w:color w:val="auto"/>
        </w:rPr>
      </w:pPr>
      <w:r>
        <w:rPr>
          <w:rFonts w:ascii="Arial" w:cs="Arial" w:eastAsia="Arial" w:hAnsi="Arial"/>
          <w:sz w:val="18"/>
          <w:szCs w:val="18"/>
          <w:u w:val="single" w:color="auto"/>
          <w:color w:val="auto"/>
        </w:rPr>
        <w:t>Payment</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2"/>
          <w:numId w:val="21"/>
        </w:numPr>
        <w:rPr>
          <w:rFonts w:ascii="Arial" w:cs="Arial" w:eastAsia="Arial" w:hAnsi="Arial"/>
          <w:sz w:val="16"/>
          <w:szCs w:val="16"/>
          <w:color w:val="auto"/>
        </w:rPr>
      </w:pPr>
      <w:r>
        <w:rPr>
          <w:rFonts w:ascii="Arial" w:cs="Arial" w:eastAsia="Arial" w:hAnsi="Arial"/>
          <w:sz w:val="16"/>
          <w:szCs w:val="16"/>
          <w:color w:val="auto"/>
        </w:rPr>
        <w:t>Payment of the Exercise Price shall be by any of the following, or a combination thereof, at the election of Optionee: (i) cash, (ii) check, or</w:t>
      </w:r>
    </w:p>
    <w:p>
      <w:pPr>
        <w:spacing w:after="0" w:line="38" w:lineRule="exact"/>
        <w:rPr>
          <w:rFonts w:ascii="Arial" w:cs="Arial" w:eastAsia="Arial" w:hAnsi="Arial"/>
          <w:sz w:val="16"/>
          <w:szCs w:val="16"/>
          <w:color w:val="auto"/>
        </w:rPr>
      </w:pPr>
    </w:p>
    <w:p>
      <w:pPr>
        <w:ind w:firstLine="8"/>
        <w:spacing w:after="0" w:line="252" w:lineRule="auto"/>
        <w:tabs>
          <w:tab w:leader="none" w:pos="307" w:val="left"/>
        </w:tabs>
        <w:numPr>
          <w:ilvl w:val="0"/>
          <w:numId w:val="22"/>
        </w:numPr>
        <w:rPr>
          <w:rFonts w:ascii="Arial" w:cs="Arial" w:eastAsia="Arial" w:hAnsi="Arial"/>
          <w:sz w:val="18"/>
          <w:szCs w:val="18"/>
          <w:color w:val="auto"/>
        </w:rPr>
      </w:pPr>
      <w:r>
        <w:rPr>
          <w:rFonts w:ascii="Arial" w:cs="Arial" w:eastAsia="Arial" w:hAnsi="Arial"/>
          <w:sz w:val="18"/>
          <w:szCs w:val="18"/>
          <w:color w:val="auto"/>
        </w:rPr>
        <w:t>irrevocable directions to a designated broker appointed by the Company to sell all or a portion of the Shares subject to the exercised Option, and to deliver to the Company from the sale proceeds an amount sufficient to pay the Exercise Price and any Tax Obligations (as defined in Section 11 below). The balance of the sale proceeds, if any, will be delivered to the Optionee in cash if all Shares were directed to be sold, or in Shares if only a portion of the Shares were directed to be sold to cover the Exercise Price and Tax Obligations (as defined in Section 11 below). Regardless of the method of payment of the Exercise Price, the exercise instructions must be received in a form approved by the Administrator and Optionee must provide any other documentation required by the Administrator at the time of exercise.</w:t>
      </w:r>
    </w:p>
    <w:p>
      <w:pPr>
        <w:spacing w:after="0" w:line="148" w:lineRule="exact"/>
        <w:rPr>
          <w:rFonts w:ascii="Arial" w:cs="Arial" w:eastAsia="Arial" w:hAnsi="Arial"/>
          <w:sz w:val="18"/>
          <w:szCs w:val="18"/>
          <w:color w:val="auto"/>
        </w:rPr>
      </w:pPr>
    </w:p>
    <w:p>
      <w:pPr>
        <w:ind w:right="120" w:firstLine="921"/>
        <w:spacing w:after="0" w:line="259" w:lineRule="auto"/>
        <w:tabs>
          <w:tab w:leader="none" w:pos="1162" w:val="left"/>
        </w:tabs>
        <w:numPr>
          <w:ilvl w:val="2"/>
          <w:numId w:val="22"/>
        </w:numPr>
        <w:rPr>
          <w:rFonts w:ascii="Arial" w:cs="Arial" w:eastAsia="Arial" w:hAnsi="Arial"/>
          <w:sz w:val="18"/>
          <w:szCs w:val="18"/>
          <w:color w:val="auto"/>
        </w:rPr>
      </w:pPr>
      <w:r>
        <w:rPr>
          <w:rFonts w:ascii="Arial" w:cs="Arial" w:eastAsia="Arial" w:hAnsi="Arial"/>
          <w:sz w:val="18"/>
          <w:szCs w:val="18"/>
          <w:color w:val="auto"/>
        </w:rPr>
        <w:t xml:space="preserve">Neither the Optionee nor the Optionee’s representative shall have any rights as a shareholder with respect to any Shares subject to this Option until the Optionee or the Optionee’s representative becomes entitled to receive such Shares by filing a notice of exercise and paying the aggregate Exercise Price pursuant to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3(a)</w:t>
      </w:r>
      <w:r>
        <w:rPr>
          <w:rFonts w:ascii="Arial" w:cs="Arial" w:eastAsia="Arial" w:hAnsi="Arial"/>
          <w:sz w:val="18"/>
          <w:szCs w:val="18"/>
          <w:color w:val="auto"/>
        </w:rPr>
        <w:t>.</w:t>
      </w:r>
    </w:p>
    <w:p>
      <w:pPr>
        <w:spacing w:after="0" w:line="140" w:lineRule="exact"/>
        <w:rPr>
          <w:rFonts w:ascii="Arial" w:cs="Arial" w:eastAsia="Arial" w:hAnsi="Arial"/>
          <w:sz w:val="18"/>
          <w:szCs w:val="18"/>
          <w:color w:val="auto"/>
        </w:rPr>
      </w:pPr>
    </w:p>
    <w:p>
      <w:pPr>
        <w:ind w:right="100" w:firstLine="464"/>
        <w:spacing w:after="0" w:line="298" w:lineRule="auto"/>
        <w:tabs>
          <w:tab w:leader="none" w:pos="632" w:val="left"/>
        </w:tabs>
        <w:numPr>
          <w:ilvl w:val="1"/>
          <w:numId w:val="22"/>
        </w:numPr>
        <w:rPr>
          <w:rFonts w:ascii="Arial" w:cs="Arial" w:eastAsia="Arial" w:hAnsi="Arial"/>
          <w:sz w:val="16"/>
          <w:szCs w:val="16"/>
          <w:color w:val="auto"/>
        </w:rPr>
      </w:pPr>
      <w:r>
        <w:rPr>
          <w:rFonts w:ascii="Arial" w:cs="Arial" w:eastAsia="Arial" w:hAnsi="Arial"/>
          <w:sz w:val="16"/>
          <w:szCs w:val="16"/>
          <w:u w:val="single" w:color="auto"/>
          <w:color w:val="auto"/>
        </w:rPr>
        <w:t>Restrictions on Exercise</w:t>
      </w:r>
      <w:r>
        <w:rPr>
          <w:rFonts w:ascii="Arial" w:cs="Arial" w:eastAsia="Arial" w:hAnsi="Arial"/>
          <w:sz w:val="16"/>
          <w:szCs w:val="16"/>
          <w:color w:val="auto"/>
        </w:rPr>
        <w:t>. This Option may not be exercised if the issuance of Shares upon such exercise or the method of payment of consideration for such shares would constitute a violation of any applicable U.S. federal or state securities or other foreign or local law or regulation, including any rule under Part 207 of Title 12 of the Code of Federal Regulations (“Regulation G”) as promulgated by the Federal Reserve Board. As a condition to the exercise of this Option, the Company may require Optionee to make any representation and warranty to the Company as may be required by any applicable law or regulation.</w:t>
      </w:r>
    </w:p>
    <w:p>
      <w:pPr>
        <w:spacing w:after="0" w:line="112" w:lineRule="exact"/>
        <w:rPr>
          <w:rFonts w:ascii="Arial" w:cs="Arial" w:eastAsia="Arial" w:hAnsi="Arial"/>
          <w:sz w:val="16"/>
          <w:szCs w:val="16"/>
          <w:color w:val="auto"/>
        </w:rPr>
      </w:pPr>
    </w:p>
    <w:p>
      <w:pPr>
        <w:ind w:right="20" w:firstLine="464"/>
        <w:spacing w:after="0" w:line="298" w:lineRule="auto"/>
        <w:tabs>
          <w:tab w:leader="none" w:pos="632" w:val="left"/>
        </w:tabs>
        <w:numPr>
          <w:ilvl w:val="1"/>
          <w:numId w:val="22"/>
        </w:numPr>
        <w:rPr>
          <w:rFonts w:ascii="Arial" w:cs="Arial" w:eastAsia="Arial" w:hAnsi="Arial"/>
          <w:sz w:val="16"/>
          <w:szCs w:val="16"/>
          <w:color w:val="auto"/>
        </w:rPr>
      </w:pPr>
      <w:r>
        <w:rPr>
          <w:rFonts w:ascii="Arial" w:cs="Arial" w:eastAsia="Arial" w:hAnsi="Arial"/>
          <w:sz w:val="16"/>
          <w:szCs w:val="16"/>
          <w:u w:val="single" w:color="auto"/>
          <w:color w:val="auto"/>
        </w:rPr>
        <w:t>Termination of Relationship</w:t>
      </w:r>
      <w:r>
        <w:rPr>
          <w:rFonts w:ascii="Arial" w:cs="Arial" w:eastAsia="Arial" w:hAnsi="Arial"/>
          <w:sz w:val="16"/>
          <w:szCs w:val="16"/>
          <w:color w:val="auto"/>
        </w:rPr>
        <w:t>. In the event an Optionee’s Continuous Service as an Employee or Consultant terminates, Optionee may, to the extent this Option was vested at the date of such termination (the “Termination Date”), exercise this Option at any time during the 30 day period immediately following the Termination Date. To the extent that Optionee was not vested in this Option at the date of such termination, or if Optionee does not exercise this Option within the time specified herein, this Option shall terminate. For the purposes of this Option Agreement, the period of</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51" w:name="page52"/>
    <w:bookmarkEnd w:id="51"/>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Continuous Service will not be extended by any notice period mandated under local law and the Termination Date will be the last date of active service. Notwithstanding the foregoing, in no event shall any Option be exercisable later than the Term/Expiration Date as provided in the Notice of Grant. If you go on an approved leave of absence, then the vesting schedule specified in the Notice of Grant will be adjusted to suspend vesting in accordance with the terms and conditions governing the approved leave of absence and, if applicable, the Company’s leave of absence policy as then in effect and as the Company may adopt and/or adjust from time to time.</w:t>
      </w:r>
    </w:p>
    <w:p>
      <w:pPr>
        <w:spacing w:after="0" w:line="143" w:lineRule="exact"/>
        <w:rPr>
          <w:sz w:val="20"/>
          <w:szCs w:val="20"/>
          <w:color w:val="auto"/>
        </w:rPr>
      </w:pPr>
    </w:p>
    <w:p>
      <w:pPr>
        <w:ind w:right="120" w:firstLine="464"/>
        <w:spacing w:after="0" w:line="287" w:lineRule="auto"/>
        <w:tabs>
          <w:tab w:leader="none" w:pos="632" w:val="left"/>
        </w:tabs>
        <w:numPr>
          <w:ilvl w:val="0"/>
          <w:numId w:val="23"/>
        </w:numPr>
        <w:rPr>
          <w:rFonts w:ascii="Arial" w:cs="Arial" w:eastAsia="Arial" w:hAnsi="Arial"/>
          <w:sz w:val="16"/>
          <w:szCs w:val="16"/>
          <w:color w:val="auto"/>
        </w:rPr>
      </w:pPr>
      <w:r>
        <w:rPr>
          <w:rFonts w:ascii="Arial" w:cs="Arial" w:eastAsia="Arial" w:hAnsi="Arial"/>
          <w:sz w:val="16"/>
          <w:szCs w:val="16"/>
          <w:u w:val="single" w:color="auto"/>
          <w:color w:val="auto"/>
        </w:rPr>
        <w:t>Disability of Optionee</w:t>
      </w:r>
      <w:r>
        <w:rPr>
          <w:rFonts w:ascii="Arial" w:cs="Arial" w:eastAsia="Arial" w:hAnsi="Arial"/>
          <w:sz w:val="16"/>
          <w:szCs w:val="16"/>
          <w:color w:val="auto"/>
        </w:rPr>
        <w:t>. Notwithstanding the provisions of Section 5 above, in the event of termination of an Optionee’s Continuous Service as an Employee or Consultant as a result of his or her disability, as defined below, Optionee may, but only within the six month period (or such other period of time in excess of six months as is determined by the Administrator in its absolute discretion) immediately following the Termination Date, exercise this Option to the extent this Option was vested on the Termination Date. To the extent that Optionee was not vested in this Option at the date of termination, or if Optionee does not exercise this Option within the time specified herein, this Option shall terminate, and the Shares covered by this Option shall revert to the Plan. Notwithstanding the foregoing, in no event shall any Option be exercisable later than the Expiration Date as provided in the Notice of Grant. For the purposes of receiving treatment under this Section 6, “disability” shall be defined as an inability to engage in any substantial gainful activity by reason of any medically determinable physical or mental impairment that can be expected to result in death or can be expected to last for a continuous period of not less than 12 months. For the purposes of administering the Plan, the Administrator shall determine whether Optionee’s Continuous Service terminated due to disability as defined hereunder.</w:t>
      </w:r>
    </w:p>
    <w:p>
      <w:pPr>
        <w:spacing w:after="0" w:line="122" w:lineRule="exact"/>
        <w:rPr>
          <w:rFonts w:ascii="Arial" w:cs="Arial" w:eastAsia="Arial" w:hAnsi="Arial"/>
          <w:sz w:val="16"/>
          <w:szCs w:val="16"/>
          <w:color w:val="auto"/>
        </w:rPr>
      </w:pPr>
    </w:p>
    <w:p>
      <w:pPr>
        <w:ind w:right="120" w:firstLine="464"/>
        <w:spacing w:after="0" w:line="291" w:lineRule="auto"/>
        <w:tabs>
          <w:tab w:leader="none" w:pos="632" w:val="left"/>
        </w:tabs>
        <w:numPr>
          <w:ilvl w:val="0"/>
          <w:numId w:val="23"/>
        </w:numPr>
        <w:rPr>
          <w:rFonts w:ascii="Arial" w:cs="Arial" w:eastAsia="Arial" w:hAnsi="Arial"/>
          <w:sz w:val="16"/>
          <w:szCs w:val="16"/>
          <w:color w:val="auto"/>
        </w:rPr>
      </w:pPr>
      <w:r>
        <w:rPr>
          <w:rFonts w:ascii="Arial" w:cs="Arial" w:eastAsia="Arial" w:hAnsi="Arial"/>
          <w:sz w:val="16"/>
          <w:szCs w:val="16"/>
          <w:u w:val="single" w:color="auto"/>
          <w:color w:val="auto"/>
        </w:rPr>
        <w:t>Death of Optionee</w:t>
      </w:r>
      <w:r>
        <w:rPr>
          <w:rFonts w:ascii="Arial" w:cs="Arial" w:eastAsia="Arial" w:hAnsi="Arial"/>
          <w:sz w:val="16"/>
          <w:szCs w:val="16"/>
          <w:color w:val="auto"/>
        </w:rPr>
        <w:t>. Notwithstanding the provisions of Section 5 above, in the event of termination of Optionee’s Continuous Service as an Employee or Consultant as a result of the death of Optionee, this Option may be exercised at any time within the 360 day period immediately following the date of death, by Optionee’s estate or legal representative or by a person who acquired the right to exercise this Option by bequest or inheritance, but only to the extent Optionee could exercise this Option at the date of death. Notwithstanding the foregoing, in no event shall any Option be exercisable later than the Expiration Date as provided in the Notice of Grant. To the extent that Optionee is not vested in this Option at the date of death, or if this Option is not exercised within the time specified herein, this Option shall terminate, and the Shares covered by such Option shall revert to the Plan.</w:t>
      </w:r>
    </w:p>
    <w:p>
      <w:pPr>
        <w:spacing w:after="0" w:line="120" w:lineRule="exact"/>
        <w:rPr>
          <w:rFonts w:ascii="Arial" w:cs="Arial" w:eastAsia="Arial" w:hAnsi="Arial"/>
          <w:sz w:val="16"/>
          <w:szCs w:val="16"/>
          <w:color w:val="auto"/>
        </w:rPr>
      </w:pPr>
    </w:p>
    <w:p>
      <w:pPr>
        <w:ind w:firstLine="464"/>
        <w:spacing w:after="0" w:line="259" w:lineRule="auto"/>
        <w:tabs>
          <w:tab w:leader="none" w:pos="632"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Non-Transferability of Option</w:t>
      </w:r>
      <w:r>
        <w:rPr>
          <w:rFonts w:ascii="Arial" w:cs="Arial" w:eastAsia="Arial" w:hAnsi="Arial"/>
          <w:sz w:val="18"/>
          <w:szCs w:val="18"/>
          <w:color w:val="auto"/>
        </w:rPr>
        <w:t>. This Option may not be transferred in any manner otherwise than by will or by the laws of descent or distribution and may be exercised during the lifetime of Optionee only by Optionee. The terms of this Option shall be binding upon the executors, administrators, heirs, successors and assigns of Optionee.</w:t>
      </w:r>
    </w:p>
    <w:p>
      <w:pPr>
        <w:spacing w:after="0" w:line="140" w:lineRule="exact"/>
        <w:rPr>
          <w:rFonts w:ascii="Arial" w:cs="Arial" w:eastAsia="Arial" w:hAnsi="Arial"/>
          <w:sz w:val="18"/>
          <w:szCs w:val="18"/>
          <w:color w:val="auto"/>
        </w:rPr>
      </w:pPr>
    </w:p>
    <w:p>
      <w:pPr>
        <w:ind w:right="240" w:firstLine="464"/>
        <w:spacing w:after="0" w:line="298" w:lineRule="auto"/>
        <w:tabs>
          <w:tab w:leader="none" w:pos="632" w:val="left"/>
        </w:tabs>
        <w:numPr>
          <w:ilvl w:val="0"/>
          <w:numId w:val="23"/>
        </w:numPr>
        <w:rPr>
          <w:rFonts w:ascii="Arial" w:cs="Arial" w:eastAsia="Arial" w:hAnsi="Arial"/>
          <w:sz w:val="16"/>
          <w:szCs w:val="16"/>
          <w:color w:val="auto"/>
        </w:rPr>
      </w:pPr>
      <w:r>
        <w:rPr>
          <w:rFonts w:ascii="Arial" w:cs="Arial" w:eastAsia="Arial" w:hAnsi="Arial"/>
          <w:sz w:val="16"/>
          <w:szCs w:val="16"/>
          <w:u w:val="single" w:color="auto"/>
          <w:color w:val="auto"/>
        </w:rPr>
        <w:t>Term of Option</w:t>
      </w:r>
      <w:r>
        <w:rPr>
          <w:rFonts w:ascii="Arial" w:cs="Arial" w:eastAsia="Arial" w:hAnsi="Arial"/>
          <w:sz w:val="16"/>
          <w:szCs w:val="16"/>
          <w:color w:val="auto"/>
        </w:rPr>
        <w:t>. This Option may be exercised only within the term set out in the Notice of Grant, and may be exercised during such term only in accordance with the Plan and the terms of this Option. The limitations set out in Section 8 of the Plan regarding Options designated as Incentive Stock Options that are granted to more than ten percent (10%) shareholders shall apply to this Option. All expiration periods set forth in this Option Agreement and the Plan shall terminate at 5:00 p.m. California time on the date provided in this Option Agreement or the Plan.</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80" w:right="239" w:bottom="1440" w:gutter="0" w:footer="0" w:header="0"/>
        </w:sectPr>
      </w:pPr>
    </w:p>
    <w:bookmarkStart w:id="52" w:name="page53"/>
    <w:bookmarkEnd w:id="52"/>
    <w:p>
      <w:pPr>
        <w:ind w:left="-40" w:right="60" w:firstLine="464"/>
        <w:spacing w:after="0" w:line="254" w:lineRule="auto"/>
        <w:tabs>
          <w:tab w:leader="none" w:pos="680"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Tax Consequences</w:t>
      </w:r>
      <w:r>
        <w:rPr>
          <w:rFonts w:ascii="Arial" w:cs="Arial" w:eastAsia="Arial" w:hAnsi="Arial"/>
          <w:sz w:val="18"/>
          <w:szCs w:val="18"/>
          <w:color w:val="auto"/>
        </w:rPr>
        <w:t>. Optionee acknowledges that he or she has read the description of tax consequences in the Plan Prospectus and has consulted his or her personal tax advisor regarding the same to the extent he or she has determined advisable. Optionee is not relying on the Company, or any of its officers, directors, employees or advisors, for any tax advice or planning information whatsoever. Set forth below is a brief summary as of the date of this Option of some of the federal and state tax consequences of exercise of this Option and disposition of the Shares. THIS SUMMARY IS NECESSARILY INCOMPLETE, AND THE TAX LAWS AND REGULATIONS ARE SUBJECT TO CHANGE. OPTIONEE SHOULD CONSULT A TAX ADVISOR BEFORE EXERCISING THIS OPTION OR DISPOSING OF THE SHARES.</w:t>
      </w:r>
    </w:p>
    <w:p>
      <w:pPr>
        <w:spacing w:after="0" w:line="144" w:lineRule="exact"/>
        <w:rPr>
          <w:rFonts w:ascii="Arial" w:cs="Arial" w:eastAsia="Arial" w:hAnsi="Arial"/>
          <w:sz w:val="18"/>
          <w:szCs w:val="18"/>
          <w:color w:val="auto"/>
        </w:rPr>
      </w:pPr>
    </w:p>
    <w:p>
      <w:pPr>
        <w:ind w:left="1120" w:hanging="239"/>
        <w:spacing w:after="0"/>
        <w:tabs>
          <w:tab w:leader="none" w:pos="1120" w:val="left"/>
        </w:tabs>
        <w:numPr>
          <w:ilvl w:val="1"/>
          <w:numId w:val="24"/>
        </w:numPr>
        <w:rPr>
          <w:rFonts w:ascii="Arial" w:cs="Arial" w:eastAsia="Arial" w:hAnsi="Arial"/>
          <w:sz w:val="18"/>
          <w:szCs w:val="18"/>
          <w:color w:val="auto"/>
        </w:rPr>
      </w:pPr>
      <w:r>
        <w:rPr>
          <w:rFonts w:ascii="Arial" w:cs="Arial" w:eastAsia="Arial" w:hAnsi="Arial"/>
          <w:sz w:val="18"/>
          <w:szCs w:val="18"/>
          <w:u w:val="single" w:color="auto"/>
          <w:color w:val="auto"/>
        </w:rPr>
        <w:t>U.S. Tax Consequences</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left="-40" w:right="240" w:firstLine="1492"/>
        <w:spacing w:after="0" w:line="256" w:lineRule="auto"/>
        <w:tabs>
          <w:tab w:leader="none" w:pos="1653" w:val="left"/>
        </w:tabs>
        <w:numPr>
          <w:ilvl w:val="2"/>
          <w:numId w:val="24"/>
        </w:numPr>
        <w:rPr>
          <w:rFonts w:ascii="Arial" w:cs="Arial" w:eastAsia="Arial" w:hAnsi="Arial"/>
          <w:sz w:val="18"/>
          <w:szCs w:val="18"/>
          <w:color w:val="auto"/>
        </w:rPr>
      </w:pPr>
      <w:r>
        <w:rPr>
          <w:rFonts w:ascii="Arial" w:cs="Arial" w:eastAsia="Arial" w:hAnsi="Arial"/>
          <w:sz w:val="18"/>
          <w:szCs w:val="18"/>
          <w:u w:val="single" w:color="auto"/>
          <w:color w:val="auto"/>
        </w:rPr>
        <w:t>Exercise of Incentive Stock Option</w:t>
      </w:r>
      <w:r>
        <w:rPr>
          <w:rFonts w:ascii="Arial" w:cs="Arial" w:eastAsia="Arial" w:hAnsi="Arial"/>
          <w:sz w:val="18"/>
          <w:szCs w:val="18"/>
          <w:color w:val="auto"/>
        </w:rPr>
        <w:t>. If this Option qualifies as an Incentive Stock Option, there will be no regular federal income tax liability or state income tax liability upon the exercise of this Option, although the excess, if any, of the Fair Market Value of the Shares on the date of exercise over the Exercise Price will be treated as an adjustment to the alternative minimum tax for federal tax purposes and may subject Optionee to the alternative minimum tax in the year of exercise.</w:t>
      </w:r>
    </w:p>
    <w:p>
      <w:pPr>
        <w:spacing w:after="0" w:line="143" w:lineRule="exact"/>
        <w:rPr>
          <w:rFonts w:ascii="Arial" w:cs="Arial" w:eastAsia="Arial" w:hAnsi="Arial"/>
          <w:sz w:val="18"/>
          <w:szCs w:val="18"/>
          <w:color w:val="auto"/>
        </w:rPr>
      </w:pPr>
    </w:p>
    <w:p>
      <w:pPr>
        <w:ind w:left="-40" w:firstLine="1492"/>
        <w:spacing w:after="0" w:line="298" w:lineRule="auto"/>
        <w:tabs>
          <w:tab w:leader="none" w:pos="1702" w:val="left"/>
        </w:tabs>
        <w:numPr>
          <w:ilvl w:val="2"/>
          <w:numId w:val="24"/>
        </w:numPr>
        <w:rPr>
          <w:rFonts w:ascii="Arial" w:cs="Arial" w:eastAsia="Arial" w:hAnsi="Arial"/>
          <w:sz w:val="16"/>
          <w:szCs w:val="16"/>
          <w:color w:val="auto"/>
        </w:rPr>
      </w:pPr>
      <w:r>
        <w:rPr>
          <w:rFonts w:ascii="Arial" w:cs="Arial" w:eastAsia="Arial" w:hAnsi="Arial"/>
          <w:sz w:val="16"/>
          <w:szCs w:val="16"/>
          <w:u w:val="single" w:color="auto"/>
          <w:color w:val="auto"/>
        </w:rPr>
        <w:t>Exercise of Incentive Stock Option Following Disability</w:t>
      </w:r>
      <w:r>
        <w:rPr>
          <w:rFonts w:ascii="Arial" w:cs="Arial" w:eastAsia="Arial" w:hAnsi="Arial"/>
          <w:sz w:val="16"/>
          <w:szCs w:val="16"/>
          <w:color w:val="auto"/>
        </w:rPr>
        <w:t>. If Optionee’s Continuous Service as an Employee or Consultant terminates as a result of disability that is not total and permanent disability as defined in Section 22(e)(3) of the Code, to the extent permitted on the Termination Date, Optionee must exercise an Incentive Stock Option within three months of such termination for the Incentive Stock Option to be qualified as an Incentive Stock Option. (If the Option is not exercised within this time period, it will become a Nonstatutory Stock Option three months after the disability.)</w:t>
      </w:r>
    </w:p>
    <w:p>
      <w:pPr>
        <w:spacing w:after="0" w:line="112" w:lineRule="exact"/>
        <w:rPr>
          <w:rFonts w:ascii="Arial" w:cs="Arial" w:eastAsia="Arial" w:hAnsi="Arial"/>
          <w:sz w:val="16"/>
          <w:szCs w:val="16"/>
          <w:color w:val="auto"/>
        </w:rPr>
      </w:pPr>
    </w:p>
    <w:p>
      <w:pPr>
        <w:ind w:left="-40" w:right="160" w:firstLine="1492"/>
        <w:spacing w:after="0" w:line="290" w:lineRule="auto"/>
        <w:tabs>
          <w:tab w:leader="none" w:pos="1751" w:val="left"/>
        </w:tabs>
        <w:numPr>
          <w:ilvl w:val="2"/>
          <w:numId w:val="24"/>
        </w:numPr>
        <w:rPr>
          <w:rFonts w:ascii="Arial" w:cs="Arial" w:eastAsia="Arial" w:hAnsi="Arial"/>
          <w:sz w:val="16"/>
          <w:szCs w:val="16"/>
          <w:color w:val="auto"/>
        </w:rPr>
      </w:pPr>
      <w:r>
        <w:rPr>
          <w:rFonts w:ascii="Arial" w:cs="Arial" w:eastAsia="Arial" w:hAnsi="Arial"/>
          <w:sz w:val="16"/>
          <w:szCs w:val="16"/>
          <w:u w:val="single" w:color="auto"/>
          <w:color w:val="auto"/>
        </w:rPr>
        <w:t>Exercise of Nonstatutory Stock Option</w:t>
      </w:r>
      <w:r>
        <w:rPr>
          <w:rFonts w:ascii="Arial" w:cs="Arial" w:eastAsia="Arial" w:hAnsi="Arial"/>
          <w:sz w:val="16"/>
          <w:szCs w:val="16"/>
          <w:color w:val="auto"/>
        </w:rPr>
        <w:t>. There may be a regular federal income tax liability and state income tax liability upon the exercise of a Nonstatutory Stock Option. Optionee will be treated as having received compensation income (taxable at ordinary income tax rates) equal to the excess, if any, of the Fair Market Value of the Shares on the date of exercise over the Exercise Price. If Optionee is an Employee or a former Employee, the Company will be required to withhold from Optionee’s compensation or collect from Optionee and pay to the applicable taxing authorities an amount in cash equal to a percentage of this compensation income at the time of exercise, and may refuse to honor the exercise and refuse to deliver Shares if such withholding amounts are not delivered at the time of exercise. If this Optionee is subject to Section 16 of the Securities Act of 1934, as amended, the date of income recognition may be deferred for up to six months.</w:t>
      </w:r>
    </w:p>
    <w:p>
      <w:pPr>
        <w:spacing w:after="0" w:line="118" w:lineRule="exact"/>
        <w:rPr>
          <w:rFonts w:ascii="Arial" w:cs="Arial" w:eastAsia="Arial" w:hAnsi="Arial"/>
          <w:sz w:val="16"/>
          <w:szCs w:val="16"/>
          <w:color w:val="auto"/>
        </w:rPr>
      </w:pPr>
    </w:p>
    <w:p>
      <w:pPr>
        <w:ind w:left="-40" w:right="160" w:firstLine="1492"/>
        <w:spacing w:after="0" w:line="294" w:lineRule="auto"/>
        <w:tabs>
          <w:tab w:leader="none" w:pos="1741" w:val="left"/>
        </w:tabs>
        <w:numPr>
          <w:ilvl w:val="2"/>
          <w:numId w:val="24"/>
        </w:numPr>
        <w:rPr>
          <w:rFonts w:ascii="Arial" w:cs="Arial" w:eastAsia="Arial" w:hAnsi="Arial"/>
          <w:sz w:val="16"/>
          <w:szCs w:val="16"/>
          <w:color w:val="auto"/>
        </w:rPr>
      </w:pPr>
      <w:r>
        <w:rPr>
          <w:rFonts w:ascii="Arial" w:cs="Arial" w:eastAsia="Arial" w:hAnsi="Arial"/>
          <w:sz w:val="16"/>
          <w:szCs w:val="16"/>
          <w:u w:val="single" w:color="auto"/>
          <w:color w:val="auto"/>
        </w:rPr>
        <w:t>Disposition of Shares</w:t>
      </w:r>
      <w:r>
        <w:rPr>
          <w:rFonts w:ascii="Arial" w:cs="Arial" w:eastAsia="Arial" w:hAnsi="Arial"/>
          <w:sz w:val="16"/>
          <w:szCs w:val="16"/>
          <w:color w:val="auto"/>
        </w:rPr>
        <w:t>. In the case of an Nonstatutory Stock Option, if Shares are held for at least one year, any gain realized on disposition of the Shares will be treated as long-term capital gain for federal and state income tax purposes. In the case of an Incentive Stock Option, if Shares transferred pursuant to this Option are held for at least one year after exercise and are disposed of at least two years after the date of grant (the “Date of Grant”), any gain realized on disposition of the Shares will also be treated as long-term capital gain for federal and California income tax purposes. If Shares purchased under an Incentive Stock Option are disposed of within such one-year period or</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60"/>
          </w:cols>
          <w:pgMar w:left="280" w:top="280" w:right="259" w:bottom="1440" w:gutter="0" w:footer="0" w:header="0"/>
        </w:sectPr>
      </w:pPr>
    </w:p>
    <w:bookmarkStart w:id="53" w:name="page54"/>
    <w:bookmarkEnd w:id="53"/>
    <w:p>
      <w:pPr>
        <w:jc w:val="both"/>
        <w:ind w:right="2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within two years after the Date of Grant, any gain realized on such disposition will be treated as compensation income (taxable at ordinary income rates) to the extent of the difference between the Exercise Price and the lesser of (1) the Fair Market Value of the Shares on the date of exercise, or (2) the sale price of the Shares.</w:t>
      </w:r>
    </w:p>
    <w:p>
      <w:pPr>
        <w:spacing w:after="0" w:line="140" w:lineRule="exact"/>
        <w:rPr>
          <w:sz w:val="20"/>
          <w:szCs w:val="20"/>
          <w:color w:val="auto"/>
        </w:rPr>
      </w:pPr>
    </w:p>
    <w:p>
      <w:pPr>
        <w:ind w:right="100" w:firstLine="1492"/>
        <w:spacing w:after="0" w:line="298" w:lineRule="auto"/>
        <w:tabs>
          <w:tab w:leader="none" w:pos="1732" w:val="left"/>
        </w:tabs>
        <w:numPr>
          <w:ilvl w:val="2"/>
          <w:numId w:val="25"/>
        </w:numPr>
        <w:rPr>
          <w:rFonts w:ascii="Arial" w:cs="Arial" w:eastAsia="Arial" w:hAnsi="Arial"/>
          <w:sz w:val="16"/>
          <w:szCs w:val="16"/>
          <w:color w:val="auto"/>
        </w:rPr>
      </w:pPr>
      <w:r>
        <w:rPr>
          <w:rFonts w:ascii="Arial" w:cs="Arial" w:eastAsia="Arial" w:hAnsi="Arial"/>
          <w:sz w:val="16"/>
          <w:szCs w:val="16"/>
          <w:u w:val="single" w:color="auto"/>
          <w:color w:val="auto"/>
        </w:rPr>
        <w:t>Notice of Disqualifying Disposition of Incentive Stock Option Shares</w:t>
      </w:r>
      <w:r>
        <w:rPr>
          <w:rFonts w:ascii="Arial" w:cs="Arial" w:eastAsia="Arial" w:hAnsi="Arial"/>
          <w:sz w:val="16"/>
          <w:szCs w:val="16"/>
          <w:color w:val="auto"/>
        </w:rPr>
        <w:t>. If this Option granted to Optionee herein is an Incentive Stock Option, and if Optionee sells or otherwise disposes of any of the Shares acquired pursuant to the Incentive Stock Option on or before the later of (1) the date two years after the Date of Grant, or (2) the date one year after the date of exercise, Optionee shall immediately notify the Company in writing of such disposition. Optionee agrees that Optionee may be subject to income tax withholding by the Company on the compensation income recognized by Optionee.</w:t>
      </w:r>
    </w:p>
    <w:p>
      <w:pPr>
        <w:spacing w:after="0" w:line="112" w:lineRule="exact"/>
        <w:rPr>
          <w:rFonts w:ascii="Arial" w:cs="Arial" w:eastAsia="Arial" w:hAnsi="Arial"/>
          <w:sz w:val="16"/>
          <w:szCs w:val="16"/>
          <w:color w:val="auto"/>
        </w:rPr>
      </w:pPr>
    </w:p>
    <w:p>
      <w:pPr>
        <w:ind w:right="520" w:firstLine="921"/>
        <w:spacing w:after="0" w:line="268" w:lineRule="auto"/>
        <w:tabs>
          <w:tab w:leader="none" w:pos="1161" w:val="left"/>
        </w:tabs>
        <w:numPr>
          <w:ilvl w:val="1"/>
          <w:numId w:val="26"/>
        </w:numPr>
        <w:rPr>
          <w:rFonts w:ascii="Arial" w:cs="Arial" w:eastAsia="Arial" w:hAnsi="Arial"/>
          <w:sz w:val="18"/>
          <w:szCs w:val="18"/>
          <w:color w:val="auto"/>
        </w:rPr>
      </w:pPr>
      <w:r>
        <w:rPr>
          <w:rFonts w:ascii="Arial" w:cs="Arial" w:eastAsia="Arial" w:hAnsi="Arial"/>
          <w:sz w:val="18"/>
          <w:szCs w:val="18"/>
          <w:u w:val="single" w:color="auto"/>
          <w:color w:val="auto"/>
        </w:rPr>
        <w:t>Non-U.S. Taxpayers</w:t>
      </w:r>
      <w:r>
        <w:rPr>
          <w:rFonts w:ascii="Arial" w:cs="Arial" w:eastAsia="Arial" w:hAnsi="Arial"/>
          <w:sz w:val="18"/>
          <w:szCs w:val="18"/>
          <w:color w:val="auto"/>
        </w:rPr>
        <w:t>. The Optionee is advised to seek appropriate professional tax advice as to how the relevant tax laws in the Optionee’s country may apply to the Optionee’s situation and how the Option will be taxed.</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Tax Withholding</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ind w:firstLine="921"/>
        <w:spacing w:after="0" w:line="287" w:lineRule="auto"/>
        <w:tabs>
          <w:tab w:leader="none" w:pos="1152" w:val="left"/>
        </w:tabs>
        <w:numPr>
          <w:ilvl w:val="1"/>
          <w:numId w:val="27"/>
        </w:numPr>
        <w:rPr>
          <w:rFonts w:ascii="Arial" w:cs="Arial" w:eastAsia="Arial" w:hAnsi="Arial"/>
          <w:sz w:val="16"/>
          <w:szCs w:val="16"/>
          <w:color w:val="auto"/>
        </w:rPr>
      </w:pPr>
      <w:r>
        <w:rPr>
          <w:rFonts w:ascii="Arial" w:cs="Arial" w:eastAsia="Arial" w:hAnsi="Arial"/>
          <w:sz w:val="16"/>
          <w:szCs w:val="16"/>
          <w:color w:val="auto"/>
        </w:rPr>
        <w:t>Regardless of any action the Company and/or the Optionee’s employer (the “Employer”) takes with respect to any or all income tax, social insurance, payroll tax, payment on account or other tax-related items arising out of Optionee’s participation in the Plan and legally applicable to Optionee (“Tax Obligation”), Optionee acknowledges that the ultimate liability for all Tax Obligations is and remains Optionee’s responsibility and may exceed the amount actually withheld by the Company and/or the Employer. Optionee further acknowledges that the Company and/or the Employer (i) make no representations or undertakings regarding the treatment of any Tax Obligations in connection with any aspect of the Option, including, but not limited to, the grant, vesting or exercise of the Option, the subsequent sale of Shares acquired pursuant to such exercise and the receipt of any dividends; and (ii) do not commit and are under no obligation to structure the terms of the grant or any aspect of the Option to reduce or eliminate Optionee’s liability for Tax Obligations or achieve any particular tax result. Further, if Optionee has become subject to tax in more than one jurisdiction between the Date of Grant and the date of any relevant taxable event, Optionee acknowledges that the Company and/or the Employer (or former employer, as applicable) may be required to withhold or account for Tax Obligations in more than one jurisdiction.</w:t>
      </w:r>
    </w:p>
    <w:p>
      <w:pPr>
        <w:spacing w:after="0" w:line="122" w:lineRule="exact"/>
        <w:rPr>
          <w:rFonts w:ascii="Arial" w:cs="Arial" w:eastAsia="Arial" w:hAnsi="Arial"/>
          <w:sz w:val="16"/>
          <w:szCs w:val="16"/>
          <w:color w:val="auto"/>
        </w:rPr>
      </w:pPr>
    </w:p>
    <w:p>
      <w:pPr>
        <w:ind w:firstLine="921"/>
        <w:spacing w:after="0" w:line="254" w:lineRule="auto"/>
        <w:tabs>
          <w:tab w:leader="none" w:pos="1162" w:val="left"/>
        </w:tabs>
        <w:numPr>
          <w:ilvl w:val="1"/>
          <w:numId w:val="27"/>
        </w:numPr>
        <w:rPr>
          <w:rFonts w:ascii="Arial" w:cs="Arial" w:eastAsia="Arial" w:hAnsi="Arial"/>
          <w:sz w:val="18"/>
          <w:szCs w:val="18"/>
          <w:color w:val="auto"/>
        </w:rPr>
      </w:pPr>
      <w:r>
        <w:rPr>
          <w:rFonts w:ascii="Arial" w:cs="Arial" w:eastAsia="Arial" w:hAnsi="Arial"/>
          <w:sz w:val="18"/>
          <w:szCs w:val="18"/>
          <w:color w:val="auto"/>
        </w:rPr>
        <w:t>Prior to the relevant taxable or tax withholding event, as applicable, Optionee shall pay or make arrangements satisfactory to the Company and/or the Employer to satisfy all Tax Obligations. In this regard, Optionee authorizes the Company and/or the Employer, or their respective agents, at their discretion, to satisfy the Tax Obligations by one or a combination of the following: (i) withholding from Optionee’s wages or other cash compensation paid to Optionee by the Company, the Employer and/or any Subsidiary; or (ii) withholding from proceeds of the sale of Shares acquired at exercise of the Option either through a voluntary sale or through a mandatory sale arranged by the Company (on Optionee’s behalf pursuant to this authorization); or (iii) withholding in Shares to be issued at exercise of the Option.</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80" w:right="259" w:bottom="1440" w:gutter="0" w:footer="0" w:header="0"/>
        </w:sectPr>
      </w:pPr>
    </w:p>
    <w:bookmarkStart w:id="54" w:name="page55"/>
    <w:bookmarkEnd w:id="54"/>
    <w:p>
      <w:pPr>
        <w:ind w:right="120" w:firstLine="921"/>
        <w:spacing w:after="0" w:line="298" w:lineRule="auto"/>
        <w:tabs>
          <w:tab w:leader="none" w:pos="1152" w:val="left"/>
        </w:tabs>
        <w:numPr>
          <w:ilvl w:val="1"/>
          <w:numId w:val="2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avoid any negative accounting treatment, the Company may withhold or account for Tax Obligations by considering applicable minimum statutory withholding amounts or other applicable withholding rates. If the obligation for Tax Obligations is satisfied by withholding in Shares, for tax purposes, Optionee is deemed to have been issued the full number of Shares subject to the exercised Options, notwithstanding that a number of the Shares are held back solely for the purpose of paying the Tax Obligations due as a result of any aspect of Optionee’s participation in the Plan.</w:t>
      </w:r>
    </w:p>
    <w:p>
      <w:pPr>
        <w:spacing w:after="0" w:line="112" w:lineRule="exact"/>
        <w:rPr>
          <w:rFonts w:ascii="Arial" w:cs="Arial" w:eastAsia="Arial" w:hAnsi="Arial"/>
          <w:sz w:val="16"/>
          <w:szCs w:val="16"/>
          <w:color w:val="auto"/>
        </w:rPr>
      </w:pPr>
    </w:p>
    <w:p>
      <w:pPr>
        <w:ind w:firstLine="921"/>
        <w:spacing w:after="0" w:line="256" w:lineRule="auto"/>
        <w:tabs>
          <w:tab w:leader="none" w:pos="1162" w:val="left"/>
        </w:tabs>
        <w:numPr>
          <w:ilvl w:val="1"/>
          <w:numId w:val="28"/>
        </w:numPr>
        <w:rPr>
          <w:rFonts w:ascii="Arial" w:cs="Arial" w:eastAsia="Arial" w:hAnsi="Arial"/>
          <w:sz w:val="18"/>
          <w:szCs w:val="18"/>
          <w:color w:val="auto"/>
        </w:rPr>
      </w:pPr>
      <w:r>
        <w:rPr>
          <w:rFonts w:ascii="Arial" w:cs="Arial" w:eastAsia="Arial" w:hAnsi="Arial"/>
          <w:sz w:val="18"/>
          <w:szCs w:val="18"/>
          <w:color w:val="auto"/>
        </w:rPr>
        <w:t>Optionee shall pay to the Company or the Employer any amount of Tax Obligations that the Company or the Employer may be required to withhold or account for as a result of Optionee’s participation in the Plan that cannot be satisfied by the means previously described in this Section. The Company may refuse to issue or deliver the Shares or the proceeds of the sale of Shares, if Optionee fails to comply with Optionee’s obligations in connection with the Tax Obligations.</w:t>
      </w:r>
    </w:p>
    <w:p>
      <w:pPr>
        <w:spacing w:after="0" w:line="143" w:lineRule="exact"/>
        <w:rPr>
          <w:rFonts w:ascii="Arial" w:cs="Arial" w:eastAsia="Arial" w:hAnsi="Arial"/>
          <w:sz w:val="18"/>
          <w:szCs w:val="18"/>
          <w:color w:val="auto"/>
        </w:rPr>
      </w:pPr>
    </w:p>
    <w:p>
      <w:pPr>
        <w:ind w:right="40" w:firstLine="921"/>
        <w:spacing w:after="0" w:line="298" w:lineRule="auto"/>
        <w:tabs>
          <w:tab w:leader="none" w:pos="1152" w:val="left"/>
        </w:tabs>
        <w:numPr>
          <w:ilvl w:val="1"/>
          <w:numId w:val="28"/>
        </w:numPr>
        <w:rPr>
          <w:rFonts w:ascii="Arial" w:cs="Arial" w:eastAsia="Arial" w:hAnsi="Arial"/>
          <w:sz w:val="16"/>
          <w:szCs w:val="16"/>
          <w:color w:val="auto"/>
        </w:rPr>
      </w:pPr>
      <w:r>
        <w:rPr>
          <w:rFonts w:ascii="Arial" w:cs="Arial" w:eastAsia="Arial" w:hAnsi="Arial"/>
          <w:sz w:val="16"/>
          <w:szCs w:val="16"/>
          <w:color w:val="auto"/>
        </w:rPr>
        <w:t>If the Option granted to the Optionee herein is an Incentive Stock Option and the Optionee is a U.S. taxpayer, and if the Optionee sells or otherwise disposes of any of the Shares acquired pursuant to the Incentive Stock Option on or before the later of (i) the date two (2) years after the Date of Grant, or (ii) the date one (1) year after the date of exercise, the Optionee shall immediately notify the Company in writing of such disposition. The Optionee agrees that the Optionee may be subject to a Tax Obligation by the Company or the Employer on the compensation income recognized by the Optionee.</w:t>
      </w:r>
    </w:p>
    <w:p>
      <w:pPr>
        <w:spacing w:after="0" w:line="112" w:lineRule="exact"/>
        <w:rPr>
          <w:rFonts w:ascii="Arial" w:cs="Arial" w:eastAsia="Arial" w:hAnsi="Arial"/>
          <w:sz w:val="16"/>
          <w:szCs w:val="16"/>
          <w:color w:val="auto"/>
        </w:rPr>
      </w:pPr>
    </w:p>
    <w:p>
      <w:pPr>
        <w:ind w:left="720" w:hanging="256"/>
        <w:spacing w:after="0"/>
        <w:tabs>
          <w:tab w:leader="none" w:pos="720"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Nature of Grant</w:t>
      </w:r>
      <w:r>
        <w:rPr>
          <w:rFonts w:ascii="Arial" w:cs="Arial" w:eastAsia="Arial" w:hAnsi="Arial"/>
          <w:sz w:val="18"/>
          <w:szCs w:val="18"/>
          <w:color w:val="auto"/>
        </w:rPr>
        <w:t>. In accepting the Option, Optionee acknowledges that:</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29"/>
        </w:numPr>
        <w:rPr>
          <w:rFonts w:ascii="Arial" w:cs="Arial" w:eastAsia="Arial" w:hAnsi="Arial"/>
          <w:sz w:val="15"/>
          <w:szCs w:val="15"/>
          <w:color w:val="auto"/>
        </w:rPr>
      </w:pPr>
      <w:r>
        <w:rPr>
          <w:rFonts w:ascii="Arial" w:cs="Arial" w:eastAsia="Arial" w:hAnsi="Arial"/>
          <w:sz w:val="15"/>
          <w:szCs w:val="15"/>
          <w:color w:val="auto"/>
        </w:rPr>
        <w:t>the Plan is established voluntarily by the Company, is discretionary in nature, and may be amended, suspended or terminated by the Company at</w:t>
      </w:r>
    </w:p>
    <w:p>
      <w:pPr>
        <w:spacing w:after="0" w:line="49" w:lineRule="exact"/>
        <w:rPr>
          <w:rFonts w:ascii="Arial" w:cs="Arial" w:eastAsia="Arial" w:hAnsi="Arial"/>
          <w:sz w:val="15"/>
          <w:szCs w:val="15"/>
          <w:color w:val="auto"/>
        </w:rPr>
      </w:pPr>
    </w:p>
    <w:p>
      <w:pPr>
        <w:spacing w:after="0"/>
        <w:rPr>
          <w:rFonts w:ascii="Arial" w:cs="Arial" w:eastAsia="Arial" w:hAnsi="Arial"/>
          <w:sz w:val="15"/>
          <w:szCs w:val="15"/>
          <w:color w:val="auto"/>
        </w:rPr>
      </w:pPr>
      <w:r>
        <w:rPr>
          <w:rFonts w:ascii="Arial" w:cs="Arial" w:eastAsia="Arial" w:hAnsi="Arial"/>
          <w:sz w:val="18"/>
          <w:szCs w:val="18"/>
          <w:color w:val="auto"/>
        </w:rPr>
        <w:t>any time;</w:t>
      </w:r>
    </w:p>
    <w:p>
      <w:pPr>
        <w:spacing w:after="0" w:line="164" w:lineRule="exact"/>
        <w:rPr>
          <w:rFonts w:ascii="Arial" w:cs="Arial" w:eastAsia="Arial" w:hAnsi="Arial"/>
          <w:sz w:val="15"/>
          <w:szCs w:val="15"/>
          <w:color w:val="auto"/>
        </w:rPr>
      </w:pPr>
    </w:p>
    <w:p>
      <w:pPr>
        <w:ind w:right="540" w:firstLine="921"/>
        <w:spacing w:after="0" w:line="268" w:lineRule="auto"/>
        <w:tabs>
          <w:tab w:leader="none" w:pos="1162" w:val="left"/>
        </w:tabs>
        <w:numPr>
          <w:ilvl w:val="1"/>
          <w:numId w:val="29"/>
        </w:numPr>
        <w:rPr>
          <w:rFonts w:ascii="Arial" w:cs="Arial" w:eastAsia="Arial" w:hAnsi="Arial"/>
          <w:sz w:val="18"/>
          <w:szCs w:val="18"/>
          <w:color w:val="auto"/>
        </w:rPr>
      </w:pPr>
      <w:r>
        <w:rPr>
          <w:rFonts w:ascii="Arial" w:cs="Arial" w:eastAsia="Arial" w:hAnsi="Arial"/>
          <w:sz w:val="18"/>
          <w:szCs w:val="18"/>
          <w:color w:val="auto"/>
        </w:rPr>
        <w:t>the grant of the Option is voluntary and occasional and does not create any contractual or other right to receive future grants of options, or benefits in lieu of options, even if options have been granted repeatedly in the past;</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1"/>
          <w:numId w:val="29"/>
        </w:numPr>
        <w:rPr>
          <w:rFonts w:ascii="Arial" w:cs="Arial" w:eastAsia="Arial" w:hAnsi="Arial"/>
          <w:sz w:val="18"/>
          <w:szCs w:val="18"/>
          <w:color w:val="auto"/>
        </w:rPr>
      </w:pPr>
      <w:r>
        <w:rPr>
          <w:rFonts w:ascii="Arial" w:cs="Arial" w:eastAsia="Arial" w:hAnsi="Arial"/>
          <w:sz w:val="18"/>
          <w:szCs w:val="18"/>
          <w:color w:val="auto"/>
        </w:rPr>
        <w:t>all decisions with respect to future option grants, if any, will be at the sole discretion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29"/>
        </w:numPr>
        <w:rPr>
          <w:rFonts w:ascii="Arial" w:cs="Arial" w:eastAsia="Arial" w:hAnsi="Arial"/>
          <w:sz w:val="18"/>
          <w:szCs w:val="18"/>
          <w:color w:val="auto"/>
        </w:rPr>
      </w:pPr>
      <w:r>
        <w:rPr>
          <w:rFonts w:ascii="Arial" w:cs="Arial" w:eastAsia="Arial" w:hAnsi="Arial"/>
          <w:sz w:val="18"/>
          <w:szCs w:val="18"/>
          <w:color w:val="auto"/>
        </w:rPr>
        <w:t>Optionee’s participation in the Plan is voluntary;</w:t>
      </w:r>
    </w:p>
    <w:p>
      <w:pPr>
        <w:spacing w:after="0" w:line="171" w:lineRule="exact"/>
        <w:rPr>
          <w:rFonts w:ascii="Arial" w:cs="Arial" w:eastAsia="Arial" w:hAnsi="Arial"/>
          <w:sz w:val="18"/>
          <w:szCs w:val="18"/>
          <w:color w:val="auto"/>
        </w:rPr>
      </w:pPr>
    </w:p>
    <w:p>
      <w:pPr>
        <w:ind w:right="40" w:firstLine="921"/>
        <w:spacing w:after="0" w:line="268" w:lineRule="auto"/>
        <w:tabs>
          <w:tab w:leader="none" w:pos="1152" w:val="left"/>
        </w:tabs>
        <w:numPr>
          <w:ilvl w:val="1"/>
          <w:numId w:val="29"/>
        </w:numPr>
        <w:rPr>
          <w:rFonts w:ascii="Arial" w:cs="Arial" w:eastAsia="Arial" w:hAnsi="Arial"/>
          <w:sz w:val="18"/>
          <w:szCs w:val="18"/>
          <w:color w:val="auto"/>
        </w:rPr>
      </w:pPr>
      <w:r>
        <w:rPr>
          <w:rFonts w:ascii="Arial" w:cs="Arial" w:eastAsia="Arial" w:hAnsi="Arial"/>
          <w:sz w:val="18"/>
          <w:szCs w:val="18"/>
          <w:color w:val="auto"/>
        </w:rPr>
        <w:t>Optionee’s participation in the Plan shall not create a right to further employment with the Employer and shall not interfere with the ability of the Employer to terminate Optionee’s employment or service relationship (if any) at any time;</w:t>
      </w:r>
    </w:p>
    <w:p>
      <w:pPr>
        <w:spacing w:after="0" w:line="131" w:lineRule="exact"/>
        <w:rPr>
          <w:rFonts w:ascii="Arial" w:cs="Arial" w:eastAsia="Arial" w:hAnsi="Arial"/>
          <w:sz w:val="18"/>
          <w:szCs w:val="18"/>
          <w:color w:val="auto"/>
        </w:rPr>
      </w:pPr>
    </w:p>
    <w:p>
      <w:pPr>
        <w:ind w:right="300" w:firstLine="921"/>
        <w:spacing w:after="0" w:line="332" w:lineRule="auto"/>
        <w:tabs>
          <w:tab w:leader="none" w:pos="1132" w:val="left"/>
        </w:tabs>
        <w:numPr>
          <w:ilvl w:val="1"/>
          <w:numId w:val="29"/>
        </w:numPr>
        <w:rPr>
          <w:rFonts w:ascii="Arial" w:cs="Arial" w:eastAsia="Arial" w:hAnsi="Arial"/>
          <w:sz w:val="16"/>
          <w:szCs w:val="16"/>
          <w:color w:val="auto"/>
        </w:rPr>
      </w:pPr>
      <w:r>
        <w:rPr>
          <w:rFonts w:ascii="Arial" w:cs="Arial" w:eastAsia="Arial" w:hAnsi="Arial"/>
          <w:sz w:val="16"/>
          <w:szCs w:val="16"/>
          <w:color w:val="auto"/>
        </w:rPr>
        <w:t>the Option and any Shares acquired under the Plan are extraordinary items that do not constitute compensation of any kind for services of any kind rendered to the Employer, the Company or any Subsidiary, and that are outside the scope of Optionee’s employment or service contract, if any;</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80" w:right="259" w:bottom="1440" w:gutter="0" w:footer="0" w:header="0"/>
        </w:sectPr>
      </w:pPr>
    </w:p>
    <w:bookmarkStart w:id="55" w:name="page56"/>
    <w:bookmarkEnd w:id="55"/>
    <w:p>
      <w:pPr>
        <w:ind w:left="1160" w:hanging="239"/>
        <w:spacing w:after="0"/>
        <w:tabs>
          <w:tab w:leader="none" w:pos="1160" w:val="left"/>
        </w:tabs>
        <w:numPr>
          <w:ilvl w:val="1"/>
          <w:numId w:val="3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Option and any Shares acquired under the Plan are not intended to replace any pension rights or compensation;</w:t>
      </w:r>
    </w:p>
    <w:p>
      <w:pPr>
        <w:spacing w:after="0" w:line="171" w:lineRule="exact"/>
        <w:rPr>
          <w:rFonts w:ascii="Arial" w:cs="Arial" w:eastAsia="Arial" w:hAnsi="Arial"/>
          <w:sz w:val="18"/>
          <w:szCs w:val="18"/>
          <w:color w:val="auto"/>
        </w:rPr>
      </w:pPr>
    </w:p>
    <w:p>
      <w:pPr>
        <w:ind w:right="20" w:firstLine="921"/>
        <w:spacing w:after="0" w:line="256" w:lineRule="auto"/>
        <w:tabs>
          <w:tab w:leader="none" w:pos="1162"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Option and any Shares acquired under the Plan are not part of normal or expected compensation or salary for any purposes, including, but not limited to, calculating any severance, resignation, termination, redundancy, end-of-service payments, bonuses, long-service awards, pension or retirement or welfare benefits or similar payments and in no event should be considered as compensation for, or relating in any way to, past services for the Employer, the Company or any Subsidiary;</w:t>
      </w:r>
    </w:p>
    <w:p>
      <w:pPr>
        <w:spacing w:after="0" w:line="143" w:lineRule="exact"/>
        <w:rPr>
          <w:rFonts w:ascii="Arial" w:cs="Arial" w:eastAsia="Arial" w:hAnsi="Arial"/>
          <w:sz w:val="18"/>
          <w:szCs w:val="18"/>
          <w:color w:val="auto"/>
        </w:rPr>
      </w:pPr>
    </w:p>
    <w:p>
      <w:pPr>
        <w:ind w:left="1140" w:hanging="219"/>
        <w:spacing w:after="0"/>
        <w:tabs>
          <w:tab w:leader="none" w:pos="114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future value of the Shares underlying the Option is unknown and cannot be predicted with certainty;</w:t>
      </w:r>
    </w:p>
    <w:p>
      <w:pPr>
        <w:spacing w:after="0" w:line="171" w:lineRule="exact"/>
        <w:rPr>
          <w:rFonts w:ascii="Arial" w:cs="Arial" w:eastAsia="Arial" w:hAnsi="Arial"/>
          <w:sz w:val="18"/>
          <w:szCs w:val="18"/>
          <w:color w:val="auto"/>
        </w:rPr>
      </w:pPr>
    </w:p>
    <w:p>
      <w:pPr>
        <w:ind w:left="1140" w:hanging="219"/>
        <w:spacing w:after="0"/>
        <w:tabs>
          <w:tab w:leader="none" w:pos="1140" w:val="left"/>
        </w:tabs>
        <w:numPr>
          <w:ilvl w:val="1"/>
          <w:numId w:val="30"/>
        </w:numPr>
        <w:rPr>
          <w:rFonts w:ascii="Arial" w:cs="Arial" w:eastAsia="Arial" w:hAnsi="Arial"/>
          <w:sz w:val="18"/>
          <w:szCs w:val="18"/>
          <w:color w:val="auto"/>
        </w:rPr>
      </w:pPr>
      <w:r>
        <w:rPr>
          <w:rFonts w:ascii="Arial" w:cs="Arial" w:eastAsia="Arial" w:hAnsi="Arial"/>
          <w:sz w:val="18"/>
          <w:szCs w:val="18"/>
          <w:color w:val="auto"/>
        </w:rPr>
        <w:t>if the underlying Shares do not increase in value, the Option will have no value;</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30"/>
        </w:numPr>
        <w:rPr>
          <w:rFonts w:ascii="Arial" w:cs="Arial" w:eastAsia="Arial" w:hAnsi="Arial"/>
          <w:sz w:val="15"/>
          <w:szCs w:val="15"/>
          <w:color w:val="auto"/>
        </w:rPr>
      </w:pPr>
      <w:r>
        <w:rPr>
          <w:rFonts w:ascii="Arial" w:cs="Arial" w:eastAsia="Arial" w:hAnsi="Arial"/>
          <w:sz w:val="15"/>
          <w:szCs w:val="15"/>
          <w:color w:val="auto"/>
        </w:rPr>
        <w:t>if Optionee exercises the Option and acquires Shares, the value of such Shares may increase or decrease in value, even below the Exercise Price;</w:t>
      </w:r>
    </w:p>
    <w:p>
      <w:pPr>
        <w:spacing w:after="0" w:line="205" w:lineRule="exact"/>
        <w:rPr>
          <w:rFonts w:ascii="Arial" w:cs="Arial" w:eastAsia="Arial" w:hAnsi="Arial"/>
          <w:sz w:val="15"/>
          <w:szCs w:val="15"/>
          <w:color w:val="auto"/>
        </w:rPr>
      </w:pPr>
    </w:p>
    <w:p>
      <w:pPr>
        <w:ind w:right="20" w:firstLine="921"/>
        <w:spacing w:after="0" w:line="255" w:lineRule="auto"/>
        <w:tabs>
          <w:tab w:leader="none" w:pos="1123" w:val="left"/>
        </w:tabs>
        <w:numPr>
          <w:ilvl w:val="1"/>
          <w:numId w:val="30"/>
        </w:numPr>
        <w:rPr>
          <w:rFonts w:ascii="Arial" w:cs="Arial" w:eastAsia="Arial" w:hAnsi="Arial"/>
          <w:sz w:val="18"/>
          <w:szCs w:val="18"/>
          <w:color w:val="auto"/>
        </w:rPr>
      </w:pPr>
      <w:r>
        <w:rPr>
          <w:rFonts w:ascii="Arial" w:cs="Arial" w:eastAsia="Arial" w:hAnsi="Arial"/>
          <w:sz w:val="18"/>
          <w:szCs w:val="18"/>
          <w:color w:val="auto"/>
        </w:rPr>
        <w:t>in consideration of the grant of the Option, no claim or entitlement to compensation or damages shall arise from termination of the vesting of the Option or cancellation of the Option following termination of Optionee’s Continuous Service (for any reason whatsoever and whether or not in breach of local labor laws) and Optionee irrevocably releases the Employer, the Company and/or any Subsidiary from any such claim that may arise; if, notwithstanding the foregoing, any such claim is found by a court of competent jurisdiction to have arisen, then, by signing the Notice of Grant, Optionee shall be deemed irrevocably to have waived his or her entitlement to pursue such claim;</w:t>
      </w:r>
    </w:p>
    <w:p>
      <w:pPr>
        <w:spacing w:after="0" w:line="142" w:lineRule="exact"/>
        <w:rPr>
          <w:rFonts w:ascii="Arial" w:cs="Arial" w:eastAsia="Arial" w:hAnsi="Arial"/>
          <w:sz w:val="18"/>
          <w:szCs w:val="18"/>
          <w:color w:val="auto"/>
        </w:rPr>
      </w:pPr>
    </w:p>
    <w:p>
      <w:pPr>
        <w:ind w:right="600" w:firstLine="921"/>
        <w:spacing w:after="0" w:line="268" w:lineRule="auto"/>
        <w:tabs>
          <w:tab w:leader="none" w:pos="121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Company is not providing any tax, legal or financial advice, nor is the Company making any recommendations regarding Optionee’s participation in the Plan or Optionee’s purchase or sale of Shares;</w:t>
      </w:r>
    </w:p>
    <w:p>
      <w:pPr>
        <w:spacing w:after="0" w:line="131" w:lineRule="exact"/>
        <w:rPr>
          <w:rFonts w:ascii="Arial" w:cs="Arial" w:eastAsia="Arial" w:hAnsi="Arial"/>
          <w:sz w:val="18"/>
          <w:szCs w:val="18"/>
          <w:color w:val="auto"/>
        </w:rPr>
      </w:pPr>
    </w:p>
    <w:p>
      <w:pPr>
        <w:ind w:right="340" w:firstLine="921"/>
        <w:spacing w:after="0" w:line="268" w:lineRule="auto"/>
        <w:tabs>
          <w:tab w:leader="none" w:pos="1162" w:val="left"/>
        </w:tabs>
        <w:numPr>
          <w:ilvl w:val="1"/>
          <w:numId w:val="30"/>
        </w:numPr>
        <w:rPr>
          <w:rFonts w:ascii="Arial" w:cs="Arial" w:eastAsia="Arial" w:hAnsi="Arial"/>
          <w:sz w:val="18"/>
          <w:szCs w:val="18"/>
          <w:color w:val="auto"/>
        </w:rPr>
      </w:pPr>
      <w:r>
        <w:rPr>
          <w:rFonts w:ascii="Arial" w:cs="Arial" w:eastAsia="Arial" w:hAnsi="Arial"/>
          <w:sz w:val="18"/>
          <w:szCs w:val="18"/>
          <w:color w:val="auto"/>
        </w:rPr>
        <w:t>Optionee is hereby advised to consult with his or her own personal tax, legal and financial advisors regarding participation in the Plan before taking any action related to the Plan; and</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1"/>
          <w:numId w:val="30"/>
        </w:numPr>
        <w:rPr>
          <w:rFonts w:ascii="Arial" w:cs="Arial" w:eastAsia="Arial" w:hAnsi="Arial"/>
          <w:sz w:val="15"/>
          <w:szCs w:val="15"/>
          <w:color w:val="auto"/>
        </w:rPr>
      </w:pPr>
      <w:r>
        <w:rPr>
          <w:rFonts w:ascii="Arial" w:cs="Arial" w:eastAsia="Arial" w:hAnsi="Arial"/>
          <w:sz w:val="15"/>
          <w:szCs w:val="15"/>
          <w:color w:val="auto"/>
        </w:rPr>
        <w:t>the Option and the benefits under the Plan, if any, will not automatically transfer to another company in the case of a merger, take-over or transfer</w:t>
      </w:r>
    </w:p>
    <w:p>
      <w:pPr>
        <w:spacing w:after="0" w:line="49" w:lineRule="exact"/>
        <w:rPr>
          <w:rFonts w:ascii="Arial" w:cs="Arial" w:eastAsia="Arial" w:hAnsi="Arial"/>
          <w:sz w:val="15"/>
          <w:szCs w:val="15"/>
          <w:color w:val="auto"/>
        </w:rPr>
      </w:pPr>
    </w:p>
    <w:p>
      <w:pPr>
        <w:spacing w:after="0"/>
        <w:rPr>
          <w:rFonts w:ascii="Arial" w:cs="Arial" w:eastAsia="Arial" w:hAnsi="Arial"/>
          <w:sz w:val="15"/>
          <w:szCs w:val="15"/>
          <w:color w:val="auto"/>
        </w:rPr>
      </w:pPr>
      <w:r>
        <w:rPr>
          <w:rFonts w:ascii="Arial" w:cs="Arial" w:eastAsia="Arial" w:hAnsi="Arial"/>
          <w:sz w:val="18"/>
          <w:szCs w:val="18"/>
          <w:color w:val="auto"/>
        </w:rPr>
        <w:t>of liability.</w:t>
      </w:r>
    </w:p>
    <w:p>
      <w:pPr>
        <w:spacing w:after="0" w:line="164" w:lineRule="exact"/>
        <w:rPr>
          <w:rFonts w:ascii="Arial" w:cs="Arial" w:eastAsia="Arial" w:hAnsi="Arial"/>
          <w:sz w:val="15"/>
          <w:szCs w:val="15"/>
          <w:color w:val="auto"/>
        </w:rPr>
      </w:pPr>
    </w:p>
    <w:p>
      <w:pPr>
        <w:ind w:right="20" w:firstLine="464"/>
        <w:spacing w:after="0" w:line="306" w:lineRule="auto"/>
        <w:tabs>
          <w:tab w:leader="none" w:pos="720" w:val="left"/>
        </w:tabs>
        <w:numPr>
          <w:ilvl w:val="0"/>
          <w:numId w:val="31"/>
        </w:numPr>
        <w:rPr>
          <w:rFonts w:ascii="Arial" w:cs="Arial" w:eastAsia="Arial" w:hAnsi="Arial"/>
          <w:sz w:val="16"/>
          <w:szCs w:val="16"/>
          <w:color w:val="auto"/>
        </w:rPr>
      </w:pPr>
      <w:r>
        <w:rPr>
          <w:rFonts w:ascii="Arial" w:cs="Arial" w:eastAsia="Arial" w:hAnsi="Arial"/>
          <w:sz w:val="16"/>
          <w:szCs w:val="16"/>
          <w:b w:val="1"/>
          <w:bCs w:val="1"/>
          <w:i w:val="1"/>
          <w:iCs w:val="1"/>
          <w:u w:val="single" w:color="auto"/>
          <w:color w:val="auto"/>
        </w:rPr>
        <w:t>Data Privacy Notice and Consent</w:t>
      </w:r>
      <w:r>
        <w:rPr>
          <w:rFonts w:ascii="Arial" w:cs="Arial" w:eastAsia="Arial" w:hAnsi="Arial"/>
          <w:sz w:val="16"/>
          <w:szCs w:val="16"/>
          <w:b w:val="1"/>
          <w:bCs w:val="1"/>
          <w:i w:val="1"/>
          <w:iCs w:val="1"/>
          <w:color w:val="auto"/>
        </w:rPr>
        <w:t>. Optionee hereby explicitly and unambiguously consents to the collection, use and transfer, in electronic or other form, of Optionee’s personal data as described in this Option Agreement by and among, as applicable, the Employer, the Company and any Subsidiary for the exclusive purpose of implementing, administering and managing Optionee’s participation in the Plan.</w:t>
      </w:r>
    </w:p>
    <w:p>
      <w:pPr>
        <w:spacing w:after="0" w:line="107" w:lineRule="exact"/>
        <w:rPr>
          <w:sz w:val="20"/>
          <w:szCs w:val="20"/>
          <w:color w:val="auto"/>
        </w:rPr>
      </w:pPr>
    </w:p>
    <w:p>
      <w:pPr>
        <w:ind w:right="200"/>
        <w:spacing w:after="0" w:line="332" w:lineRule="auto"/>
        <w:rPr>
          <w:sz w:val="20"/>
          <w:szCs w:val="20"/>
          <w:color w:val="auto"/>
        </w:rPr>
      </w:pPr>
      <w:r>
        <w:rPr>
          <w:rFonts w:ascii="Arial" w:cs="Arial" w:eastAsia="Arial" w:hAnsi="Arial"/>
          <w:sz w:val="16"/>
          <w:szCs w:val="16"/>
          <w:b w:val="1"/>
          <w:bCs w:val="1"/>
          <w:i w:val="1"/>
          <w:iCs w:val="1"/>
          <w:color w:val="auto"/>
        </w:rPr>
        <w:t>Optionee understands that the Company and the Employer may hold certain personal information about Optionee, including, but not limited to, Optionee’s name, home address and telephone number, date of birth, social insurance or other identification number, salary, nationality, job title,</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280" w:right="259" w:bottom="1440" w:gutter="0" w:footer="0" w:header="0"/>
        </w:sectPr>
      </w:pPr>
    </w:p>
    <w:bookmarkStart w:id="56" w:name="page57"/>
    <w:bookmarkEnd w:id="56"/>
    <w:p>
      <w:pPr>
        <w:ind w:right="320"/>
        <w:spacing w:after="0" w:line="370" w:lineRule="auto"/>
        <w:rPr>
          <w:sz w:val="20"/>
          <w:szCs w:val="20"/>
          <w:color w:val="auto"/>
        </w:rPr>
      </w:pPr>
      <w:r>
        <w:rPr>
          <w:rFonts w:ascii="Arial" w:cs="Arial" w:eastAsia="Arial" w:hAnsi="Arial"/>
          <w:sz w:val="15"/>
          <w:szCs w:val="15"/>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shares or directorships held in the Company or any Subsidiary, details of all options or any other entitlement to Shares awarded, canceled, exercised, vested, unvested or outstanding in Optionee’s favor, for the exclusive purpose of implementing, administering and managing the Plan (“Data”).</w:t>
      </w:r>
    </w:p>
    <w:p>
      <w:pPr>
        <w:spacing w:after="0" w:line="62" w:lineRule="exact"/>
        <w:rPr>
          <w:sz w:val="20"/>
          <w:szCs w:val="20"/>
          <w:color w:val="auto"/>
        </w:rPr>
      </w:pPr>
    </w:p>
    <w:p>
      <w:pPr>
        <w:ind w:right="40"/>
        <w:spacing w:after="0" w:line="306" w:lineRule="auto"/>
        <w:rPr>
          <w:sz w:val="20"/>
          <w:szCs w:val="20"/>
          <w:color w:val="auto"/>
        </w:rPr>
      </w:pPr>
      <w:r>
        <w:rPr>
          <w:rFonts w:ascii="Arial" w:cs="Arial" w:eastAsia="Arial" w:hAnsi="Arial"/>
          <w:sz w:val="15"/>
          <w:szCs w:val="15"/>
          <w:b w:val="1"/>
          <w:bCs w:val="1"/>
          <w:i w:val="1"/>
          <w:iCs w:val="1"/>
          <w:color w:val="auto"/>
        </w:rPr>
        <w:t>Optionee understands that Data will be transferred to Smith Barney, E*Trade or to any other third party assisting in the implementation, administration and management of the Plan. Optionee understands that the recipients of the Data may be located in Optionee’s country or elsewhere, and that the recipient’s country may have different data privacy laws and protections than Optionee’s country. Optionee understands that he or she may request a list with the names and addresses of any potential recipients of Data by contacting Optionee’s local human resources representative. Optionee authorizes the Company, Smith Barney, E*Trade and any other recipients of Data which may assist the Company (presently or in the future) with implementing, administering and managing the Plan to receive, possess, use, retain and transfer Data, in electronic or other form, for the purposes of implementing, administering and managing Optionee’s participation in the Plan, including any requisite transfer of Data as may be required to a broker or other third party with whom Optionee may elect to deposit any Shares purchased upon exercise of the Option. Optionee understands that Data will be held only as long as is necessary to implement, administer and manage Optionee’s participation in the Plan. Optionee understands that he or she may, at any time, view Data, request additional information about the storage and processing of Data, require any necessary amendments to Data or refuse or withdraw the consents herein, in any case without cost, by contacting in writing Optionee’s local human resources representative. Optionee understands that refusal or withdrawal of consent may affect Optionee’s ability to participate in the Plan. For more information on the consequences of Optionee’s refusal to consent or withdrawal of consent, Optionee understands that he or she may contact his or her local human resources representative.</w:t>
      </w:r>
    </w:p>
    <w:p>
      <w:pPr>
        <w:spacing w:after="0" w:line="112" w:lineRule="exact"/>
        <w:rPr>
          <w:sz w:val="20"/>
          <w:szCs w:val="20"/>
          <w:color w:val="auto"/>
        </w:rPr>
      </w:pPr>
    </w:p>
    <w:p>
      <w:pPr>
        <w:ind w:firstLine="464"/>
        <w:spacing w:after="0" w:line="287" w:lineRule="auto"/>
        <w:tabs>
          <w:tab w:leader="none" w:pos="720" w:val="left"/>
        </w:tabs>
        <w:numPr>
          <w:ilvl w:val="0"/>
          <w:numId w:val="32"/>
        </w:numPr>
        <w:rPr>
          <w:rFonts w:ascii="Arial" w:cs="Arial" w:eastAsia="Arial" w:hAnsi="Arial"/>
          <w:sz w:val="16"/>
          <w:szCs w:val="16"/>
          <w:color w:val="auto"/>
        </w:rPr>
      </w:pPr>
      <w:r>
        <w:rPr>
          <w:rFonts w:ascii="Arial" w:cs="Arial" w:eastAsia="Arial" w:hAnsi="Arial"/>
          <w:sz w:val="16"/>
          <w:szCs w:val="16"/>
          <w:u w:val="single" w:color="auto"/>
          <w:color w:val="auto"/>
        </w:rPr>
        <w:t>Entire Agreement; Governing Law</w:t>
      </w:r>
      <w:r>
        <w:rPr>
          <w:rFonts w:ascii="Arial" w:cs="Arial" w:eastAsia="Arial" w:hAnsi="Arial"/>
          <w:sz w:val="16"/>
          <w:szCs w:val="16"/>
          <w:color w:val="auto"/>
        </w:rPr>
        <w:t>. The Plan is incorporated herein by reference. The Plan, the Notice of Grant and this Option Agreement constitute the entire agreement of the parties with respect to the subject matter hereof and supersede in their entirety all prior undertakings and agreements and all contemporaneous oral undertakings and agreements of the Company and Optionee with respect to the subject matter hereof, including but not limited to the grant or promise of any right or option to purchase shares of capital stock of the Company to Optionee pursuant to any employment agreement or offer letter delivered by the Company to Optionee or otherwise, and may not be modified to materially and adversely affect the Optionee’s interest except by means of a writing signed by the Company and Optionee. This Option Agreement shall be governed by the laws of the State of California without giving effect to the conflict of law principles thereof. For purposes of litigating any dispute that arises directly or indirectly from the relationship of the parties evidenced by this grant or this Option Agreement, the parties hereby submit to and consent to the exclusive jurisdiction of the State of California, and agree that such litigation shall be conducted only in the courts of Santa Clara County, California, or the federal courts for the United States for the Northern District of California, and no other courts, where this grant is made and/or to be performed.</w:t>
      </w:r>
    </w:p>
    <w:p>
      <w:pPr>
        <w:spacing w:after="0" w:line="122" w:lineRule="exact"/>
        <w:rPr>
          <w:rFonts w:ascii="Arial" w:cs="Arial" w:eastAsia="Arial" w:hAnsi="Arial"/>
          <w:sz w:val="16"/>
          <w:szCs w:val="16"/>
          <w:color w:val="auto"/>
        </w:rPr>
      </w:pPr>
    </w:p>
    <w:p>
      <w:pPr>
        <w:ind w:right="560" w:firstLine="464"/>
        <w:spacing w:after="0" w:line="259" w:lineRule="auto"/>
        <w:tabs>
          <w:tab w:leader="none" w:pos="720" w:val="left"/>
        </w:tabs>
        <w:numPr>
          <w:ilvl w:val="0"/>
          <w:numId w:val="32"/>
        </w:numPr>
        <w:rPr>
          <w:rFonts w:ascii="Arial" w:cs="Arial" w:eastAsia="Arial" w:hAnsi="Arial"/>
          <w:sz w:val="18"/>
          <w:szCs w:val="18"/>
          <w:color w:val="auto"/>
        </w:rPr>
      </w:pPr>
      <w:r>
        <w:rPr>
          <w:rFonts w:ascii="Arial" w:cs="Arial" w:eastAsia="Arial" w:hAnsi="Arial"/>
          <w:sz w:val="18"/>
          <w:szCs w:val="18"/>
          <w:u w:val="single" w:color="auto"/>
          <w:color w:val="auto"/>
        </w:rPr>
        <w:t>Optionee Acknowledgments</w:t>
      </w:r>
      <w:r>
        <w:rPr>
          <w:rFonts w:ascii="Arial" w:cs="Arial" w:eastAsia="Arial" w:hAnsi="Arial"/>
          <w:sz w:val="18"/>
          <w:szCs w:val="18"/>
          <w:color w:val="auto"/>
        </w:rPr>
        <w:t>. OPTIONEE ACKNOWLEDGES AND AGREES THAT THE VESTING OF OPTIONS IS EARNED ONLY BY CONTINUING CONSULTANCY WITH THE COMPANY OR A SUBSIDIARY OR EMPLOYMENT AT THE WILL OF THE EMPLOYER (NOT THROUGH ANY OTHER MEANS, INCLUDING WITHOUT LIMITATION, THE ACT OF</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80"/>
          </w:cols>
          <w:pgMar w:left="240" w:top="280" w:right="279" w:bottom="1440" w:gutter="0" w:footer="0" w:header="0"/>
        </w:sectPr>
      </w:pPr>
    </w:p>
    <w:bookmarkStart w:id="57" w:name="page58"/>
    <w:bookmarkEnd w:id="57"/>
    <w:p>
      <w:pPr>
        <w:ind w:right="2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BEING HIRED, BEING GRANTED THIS OPTION OR ACQUIRING SHARES HEREUNDER). OPTIONEE FURTHER ACKNOWLEDGES AND AGREES THAT NOTHING IN THIS OPTION AGREEMENT, NOR IN THE PLAN WHICH IS INCORPORATED HEREIN BY REFERENCE, SHALL CONFER UPON OPTIONEE ANY RIGHT WITH RESPECT TO CONTINUATION OF EMPLOYMENT OR CONSULTANCY BY THE COMPANY OR A SUBSIDIARY, NOR SHALL IT INTERFERE IN ANY WAY WITH OPTIONEE’S RIGHT OR THE EMPLOYER’S RIGHT TO TERMINATE OPTIONEE’S EMPLOYMENT OR CONSULTANCY AT ANY TIME, WITH OR WITHOUT CAUSE.</w:t>
      </w:r>
    </w:p>
    <w:p>
      <w:pPr>
        <w:spacing w:after="0" w:line="143"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Optionee acknowledges receipt of a copy of the Plan and represents that he or she is familiar with the terms and provisions thereof, and hereby accepts this Option subject to all of the terms and provisions thereof. Optionee has reviewed the Plan, this Option Agreement, including the Appendix hereto, and the Notice of Grant in their entirety, has had an opportunity to obtain the advice of counsel prior to executing this Option and fully understands all provisions of such documents. Optionee hereby agrees to accept as binding, conclusive and final all decisions or interpretations of the Administrator upon any questions arising under the Plan, the Notice of Grant or this Option Agreement. Notwithstanding the foregoing, if any party brings any action, suit, counterclaim, cross-claim, appeal, arbitration, or mediation for any relief against the other to enforce the terms of or to declare rights under this Plan or the Option Agreement, in addition to any damages and costs which the prevailing party otherwise would be entitled, the non-prevailing party shall pay to the prevailing party a reasonable sum for attorneys’ fees and costs incurred in bringing and prosecuting or defending such action or enforcing any judgment, order, ruling, or award. Optionee agrees to timely notify the Company upon any change in the residence address indicated below, and acknowledges that the Company may at in its discretion deliver share certificates representing Shares issued pursuant to the exercise of this Option to such address. Optionee acknowledges that the Company will rely on such agreement.</w:t>
      </w:r>
    </w:p>
    <w:p>
      <w:pPr>
        <w:spacing w:after="0" w:line="127" w:lineRule="exact"/>
        <w:rPr>
          <w:sz w:val="20"/>
          <w:szCs w:val="20"/>
          <w:color w:val="auto"/>
        </w:rPr>
      </w:pPr>
    </w:p>
    <w:p>
      <w:pPr>
        <w:jc w:val="both"/>
        <w:ind w:right="60" w:firstLine="464"/>
        <w:spacing w:after="0" w:line="256" w:lineRule="auto"/>
        <w:tabs>
          <w:tab w:leader="none" w:pos="72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Electronic Delivery and Participation</w:t>
      </w:r>
      <w:r>
        <w:rPr>
          <w:rFonts w:ascii="Arial" w:cs="Arial" w:eastAsia="Arial" w:hAnsi="Arial"/>
          <w:sz w:val="18"/>
          <w:szCs w:val="18"/>
          <w:color w:val="auto"/>
        </w:rPr>
        <w:t>. The Company may, in its sole discretion, decide to deliver any documents related to the Option or future options that may be granted under the Plan by electronic means or request Optionee’s consent to participate in the Plan by electronic means. Optionee hereby consents to receive such documents by electronic delivery and, if requested, to agree to participate in the Plan through an on-line or electronic system established and maintained by the Company or a third party designated by the Company.</w:t>
      </w:r>
    </w:p>
    <w:p>
      <w:pPr>
        <w:spacing w:after="0" w:line="143" w:lineRule="exact"/>
        <w:rPr>
          <w:rFonts w:ascii="Arial" w:cs="Arial" w:eastAsia="Arial" w:hAnsi="Arial"/>
          <w:sz w:val="18"/>
          <w:szCs w:val="18"/>
          <w:color w:val="auto"/>
        </w:rPr>
      </w:pPr>
    </w:p>
    <w:p>
      <w:pPr>
        <w:ind w:firstLine="464"/>
        <w:spacing w:after="0" w:line="268" w:lineRule="auto"/>
        <w:tabs>
          <w:tab w:leader="none" w:pos="72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Language</w:t>
      </w:r>
      <w:r>
        <w:rPr>
          <w:rFonts w:ascii="Arial" w:cs="Arial" w:eastAsia="Arial" w:hAnsi="Arial"/>
          <w:sz w:val="18"/>
          <w:szCs w:val="18"/>
          <w:color w:val="auto"/>
        </w:rPr>
        <w:t>. If Optionee has received this Option Agreement, or any other document related to the Option and/or the Plan translated into a language other than English and if the translated version is different than the English version, the English version will control.</w:t>
      </w:r>
    </w:p>
    <w:p>
      <w:pPr>
        <w:spacing w:after="0" w:line="131" w:lineRule="exact"/>
        <w:rPr>
          <w:rFonts w:ascii="Arial" w:cs="Arial" w:eastAsia="Arial" w:hAnsi="Arial"/>
          <w:sz w:val="18"/>
          <w:szCs w:val="18"/>
          <w:color w:val="auto"/>
        </w:rPr>
      </w:pPr>
    </w:p>
    <w:p>
      <w:pPr>
        <w:ind w:right="580" w:firstLine="464"/>
        <w:spacing w:after="0" w:line="268" w:lineRule="auto"/>
        <w:tabs>
          <w:tab w:leader="none" w:pos="72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 The provisions of this Option Agreement are severable and if any one or more provisions are determined to be illegal or otherwise unenforceable, in whole or in part, the remaining provisions shall nevertheless be binding and enforceable.</w:t>
      </w:r>
    </w:p>
    <w:p>
      <w:pPr>
        <w:spacing w:after="0" w:line="131" w:lineRule="exact"/>
        <w:rPr>
          <w:rFonts w:ascii="Arial" w:cs="Arial" w:eastAsia="Arial" w:hAnsi="Arial"/>
          <w:sz w:val="18"/>
          <w:szCs w:val="18"/>
          <w:color w:val="auto"/>
        </w:rPr>
      </w:pPr>
    </w:p>
    <w:p>
      <w:pPr>
        <w:ind w:right="100" w:firstLine="464"/>
        <w:spacing w:after="0" w:line="259" w:lineRule="auto"/>
        <w:tabs>
          <w:tab w:leader="none" w:pos="72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Appendix</w:t>
      </w:r>
      <w:r>
        <w:rPr>
          <w:rFonts w:ascii="Arial" w:cs="Arial" w:eastAsia="Arial" w:hAnsi="Arial"/>
          <w:sz w:val="18"/>
          <w:szCs w:val="18"/>
          <w:color w:val="auto"/>
        </w:rPr>
        <w:t>. For Optionees outside of the U.S., the Option shall be subject to any special provisions set forth in the Appendix for Optionee’s country of residence. If Optionee relocates to one of the countries included in the Appendix during the life of the Option, the special provisions for such country shall apply to Optionee, to the extent the Company determines that the application of such</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00"/>
          </w:cols>
          <w:pgMar w:left="240" w:top="280" w:right="259" w:bottom="1440" w:gutter="0" w:footer="0" w:header="0"/>
        </w:sectPr>
      </w:pPr>
    </w:p>
    <w:bookmarkStart w:id="58" w:name="page59"/>
    <w:bookmarkEnd w:id="58"/>
    <w:p>
      <w:pPr>
        <w:ind w:right="180"/>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provisions is necessary or advisable in order to comply with local law or facilitate the administration of the Plan. This Appendix constitutes part of this Option Agreement</w:t>
      </w:r>
    </w:p>
    <w:p>
      <w:pPr>
        <w:spacing w:after="0" w:line="132" w:lineRule="exact"/>
        <w:rPr>
          <w:sz w:val="20"/>
          <w:szCs w:val="20"/>
          <w:color w:val="auto"/>
        </w:rPr>
      </w:pPr>
    </w:p>
    <w:p>
      <w:pPr>
        <w:ind w:firstLine="464"/>
        <w:spacing w:after="0" w:line="306" w:lineRule="auto"/>
        <w:tabs>
          <w:tab w:leader="none" w:pos="720" w:val="left"/>
        </w:tabs>
        <w:numPr>
          <w:ilvl w:val="0"/>
          <w:numId w:val="34"/>
        </w:numPr>
        <w:rPr>
          <w:rFonts w:ascii="Arial" w:cs="Arial" w:eastAsia="Arial" w:hAnsi="Arial"/>
          <w:sz w:val="16"/>
          <w:szCs w:val="16"/>
          <w:color w:val="auto"/>
        </w:rPr>
      </w:pPr>
      <w:r>
        <w:rPr>
          <w:rFonts w:ascii="Arial" w:cs="Arial" w:eastAsia="Arial" w:hAnsi="Arial"/>
          <w:sz w:val="16"/>
          <w:szCs w:val="16"/>
          <w:u w:val="single" w:color="auto"/>
          <w:color w:val="auto"/>
        </w:rPr>
        <w:t>Imposition of Other Requirements</w:t>
      </w:r>
      <w:r>
        <w:rPr>
          <w:rFonts w:ascii="Arial" w:cs="Arial" w:eastAsia="Arial" w:hAnsi="Arial"/>
          <w:sz w:val="16"/>
          <w:szCs w:val="16"/>
          <w:color w:val="auto"/>
        </w:rPr>
        <w:t>. The Company reserves the right to impose other requirements on the Option and the Shares purchased upon exercise of the Option, to the extent the Company determines it is necessary or advisable in order to comply with local laws or facilitate the administration of the Plan, and to require Optionee to sign any additional agreements or undertakings that may be necessary to accomplish the foregoing.</w:t>
      </w:r>
    </w:p>
    <w:p>
      <w:pPr>
        <w:spacing w:after="0" w:line="9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320"/>
          </w:cols>
          <w:pgMar w:left="240" w:top="280" w:right="339" w:bottom="1440" w:gutter="0" w:footer="0" w:header="0"/>
        </w:sectPr>
      </w:pPr>
    </w:p>
    <w:bookmarkStart w:id="59" w:name="page60"/>
    <w:bookmarkEnd w:id="59"/>
    <w:p>
      <w:pPr>
        <w:ind w:left="10520"/>
        <w:spacing w:after="0"/>
        <w:rPr>
          <w:sz w:val="20"/>
          <w:szCs w:val="20"/>
          <w:color w:val="auto"/>
        </w:rPr>
      </w:pPr>
      <w:r>
        <w:rPr>
          <w:rFonts w:ascii="Arial" w:cs="Arial" w:eastAsia="Arial" w:hAnsi="Arial"/>
          <w:sz w:val="16"/>
          <w:szCs w:val="16"/>
          <w:b w:val="1"/>
          <w:bCs w:val="1"/>
          <w:color w:val="auto"/>
        </w:rPr>
        <w:t>Exhibit 10.4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175260</wp:posOffset>
            </wp:positionV>
            <wp:extent cx="7246620" cy="260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p>
      <w:pPr>
        <w:spacing w:after="0" w:line="200" w:lineRule="exact"/>
        <w:rPr>
          <w:sz w:val="20"/>
          <w:szCs w:val="20"/>
          <w:color w:val="auto"/>
        </w:rPr>
      </w:pPr>
    </w:p>
    <w:p>
      <w:pPr>
        <w:spacing w:after="0" w:line="372" w:lineRule="exact"/>
        <w:rPr>
          <w:sz w:val="20"/>
          <w:szCs w:val="20"/>
          <w:color w:val="auto"/>
        </w:rPr>
      </w:pPr>
    </w:p>
    <w:p>
      <w:pPr>
        <w:ind w:right="2220"/>
        <w:spacing w:after="0" w:line="329" w:lineRule="auto"/>
        <w:rPr>
          <w:sz w:val="20"/>
          <w:szCs w:val="20"/>
          <w:color w:val="auto"/>
        </w:rPr>
      </w:pPr>
      <w:r>
        <w:rPr>
          <w:rFonts w:ascii="Arial" w:cs="Arial" w:eastAsia="Arial" w:hAnsi="Arial"/>
          <w:sz w:val="22"/>
          <w:szCs w:val="22"/>
          <w:b w:val="1"/>
          <w:bCs w:val="1"/>
          <w:color w:val="auto"/>
        </w:rPr>
        <w:t>Form of Notice of Grant of Award and Award Agreement</w:t>
      </w:r>
    </w:p>
    <w:p>
      <w:pPr>
        <w:spacing w:after="0" w:line="20" w:lineRule="exact"/>
        <w:rPr>
          <w:sz w:val="20"/>
          <w:szCs w:val="20"/>
          <w:color w:val="auto"/>
        </w:rPr>
      </w:pPr>
      <w:r>
        <w:rPr>
          <w:sz w:val="20"/>
          <w:szCs w:val="20"/>
          <w:color w:val="auto"/>
        </w:rPr>
        <w:br w:type="column"/>
      </w:r>
    </w:p>
    <w:p>
      <w:pPr>
        <w:spacing w:after="0" w:line="30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Marvell Technology Group LTD</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ID: </w:t>
      </w:r>
      <w:r>
        <w:rPr>
          <w:rFonts w:ascii="Arial" w:cs="Arial" w:eastAsia="Arial" w:hAnsi="Arial"/>
          <w:sz w:val="18"/>
          <w:szCs w:val="18"/>
          <w:color w:val="auto"/>
        </w:rPr>
        <w:t>77-0481679</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Argyle House, 41a Cedar Avenue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 O Box HM 1179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EX,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-3842385</wp:posOffset>
            </wp:positionH>
            <wp:positionV relativeFrom="paragraph">
              <wp:posOffset>24130</wp:posOffset>
            </wp:positionV>
            <wp:extent cx="7246620" cy="260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172" w:lineRule="exact"/>
        <w:rPr>
          <w:sz w:val="20"/>
          <w:szCs w:val="20"/>
          <w:color w:val="auto"/>
        </w:rPr>
      </w:pPr>
    </w:p>
    <w:p>
      <w:pPr>
        <w:sectPr>
          <w:pgSz w:w="11900" w:h="16838" w:orient="portrait"/>
          <w:cols w:equalWidth="0" w:num="2">
            <w:col w:w="5340" w:space="720"/>
            <w:col w:w="5360"/>
          </w:cols>
          <w:pgMar w:left="240" w:top="125" w:right="239" w:bottom="1440" w:gutter="0" w:footer="0" w:header="0"/>
          <w:type w:val="continuous"/>
        </w:sectPr>
      </w:pPr>
    </w:p>
    <w:tbl>
      <w:tblPr>
        <w:tblLayout w:type="fixed"/>
        <w:tblInd w:w="0" w:type="dxa"/>
        <w:tblCellMar>
          <w:top w:w="0" w:type="dxa"/>
          <w:left w:w="0" w:type="dxa"/>
          <w:bottom w:w="0" w:type="dxa"/>
          <w:right w:w="0" w:type="dxa"/>
        </w:tblCellMar>
      </w:tblPr>
      <w:tr>
        <w:trPr>
          <w:trHeight w:val="216"/>
        </w:trPr>
        <w:tc>
          <w:tcPr>
            <w:tcW w:w="5040" w:type="dxa"/>
            <w:vAlign w:val="bottom"/>
          </w:tcPr>
          <w:p>
            <w:pPr>
              <w:spacing w:after="0"/>
              <w:rPr>
                <w:sz w:val="20"/>
                <w:szCs w:val="20"/>
                <w:color w:val="auto"/>
              </w:rPr>
            </w:pPr>
            <w:r>
              <w:rPr>
                <w:rFonts w:ascii="Arial" w:cs="Arial" w:eastAsia="Arial" w:hAnsi="Arial"/>
                <w:sz w:val="18"/>
                <w:szCs w:val="18"/>
                <w:b w:val="1"/>
                <w:bCs w:val="1"/>
                <w:color w:val="auto"/>
              </w:rPr>
              <w:t>Name</w:t>
            </w:r>
          </w:p>
        </w:tc>
        <w:tc>
          <w:tcPr>
            <w:tcW w:w="4460" w:type="dxa"/>
            <w:vAlign w:val="bottom"/>
          </w:tcPr>
          <w:p>
            <w:pPr>
              <w:ind w:left="2700"/>
              <w:spacing w:after="0"/>
              <w:rPr>
                <w:sz w:val="20"/>
                <w:szCs w:val="20"/>
                <w:color w:val="auto"/>
              </w:rPr>
            </w:pPr>
            <w:r>
              <w:rPr>
                <w:rFonts w:ascii="Arial" w:cs="Arial" w:eastAsia="Arial" w:hAnsi="Arial"/>
                <w:sz w:val="18"/>
                <w:szCs w:val="18"/>
                <w:b w:val="1"/>
                <w:bCs w:val="1"/>
                <w:color w:val="auto"/>
              </w:rPr>
              <w:t>Award Number:</w:t>
            </w:r>
          </w:p>
        </w:tc>
        <w:tc>
          <w:tcPr>
            <w:tcW w:w="1920" w:type="dxa"/>
            <w:vAlign w:val="bottom"/>
          </w:tcPr>
          <w:p>
            <w:pPr>
              <w:ind w:left="520"/>
              <w:spacing w:after="0"/>
              <w:rPr>
                <w:sz w:val="20"/>
                <w:szCs w:val="20"/>
                <w:color w:val="auto"/>
              </w:rPr>
            </w:pPr>
            <w:r>
              <w:rPr>
                <w:rFonts w:ascii="Arial" w:cs="Arial" w:eastAsia="Arial" w:hAnsi="Arial"/>
                <w:sz w:val="18"/>
                <w:szCs w:val="18"/>
                <w:b w:val="1"/>
                <w:bCs w:val="1"/>
                <w:color w:val="auto"/>
              </w:rPr>
              <w:t>00000000</w:t>
            </w:r>
          </w:p>
        </w:tc>
      </w:tr>
      <w:tr>
        <w:trPr>
          <w:trHeight w:val="216"/>
        </w:trPr>
        <w:tc>
          <w:tcPr>
            <w:tcW w:w="5040" w:type="dxa"/>
            <w:vAlign w:val="bottom"/>
          </w:tcPr>
          <w:p>
            <w:pPr>
              <w:spacing w:after="0"/>
              <w:rPr>
                <w:sz w:val="20"/>
                <w:szCs w:val="20"/>
                <w:color w:val="auto"/>
              </w:rPr>
            </w:pPr>
            <w:r>
              <w:rPr>
                <w:rFonts w:ascii="Arial" w:cs="Arial" w:eastAsia="Arial" w:hAnsi="Arial"/>
                <w:sz w:val="18"/>
                <w:szCs w:val="18"/>
                <w:b w:val="1"/>
                <w:bCs w:val="1"/>
                <w:color w:val="auto"/>
              </w:rPr>
              <w:t>Address line 1</w:t>
            </w:r>
          </w:p>
        </w:tc>
        <w:tc>
          <w:tcPr>
            <w:tcW w:w="4460" w:type="dxa"/>
            <w:vAlign w:val="bottom"/>
          </w:tcPr>
          <w:p>
            <w:pPr>
              <w:ind w:left="2700"/>
              <w:spacing w:after="0"/>
              <w:rPr>
                <w:sz w:val="20"/>
                <w:szCs w:val="20"/>
                <w:color w:val="auto"/>
              </w:rPr>
            </w:pPr>
            <w:r>
              <w:rPr>
                <w:rFonts w:ascii="Arial" w:cs="Arial" w:eastAsia="Arial" w:hAnsi="Arial"/>
                <w:sz w:val="18"/>
                <w:szCs w:val="18"/>
                <w:b w:val="1"/>
                <w:bCs w:val="1"/>
                <w:color w:val="auto"/>
              </w:rPr>
              <w:t>Plan:</w:t>
            </w:r>
          </w:p>
        </w:tc>
        <w:tc>
          <w:tcPr>
            <w:tcW w:w="1920" w:type="dxa"/>
            <w:vAlign w:val="bottom"/>
          </w:tcPr>
          <w:p>
            <w:pPr>
              <w:ind w:left="520"/>
              <w:spacing w:after="0"/>
              <w:rPr>
                <w:sz w:val="20"/>
                <w:szCs w:val="20"/>
                <w:color w:val="auto"/>
              </w:rPr>
            </w:pPr>
            <w:r>
              <w:rPr>
                <w:rFonts w:ascii="Arial" w:cs="Arial" w:eastAsia="Arial" w:hAnsi="Arial"/>
                <w:sz w:val="18"/>
                <w:szCs w:val="18"/>
                <w:b w:val="1"/>
                <w:bCs w:val="1"/>
                <w:color w:val="auto"/>
              </w:rPr>
              <w:t>1995</w:t>
            </w:r>
          </w:p>
        </w:tc>
      </w:tr>
      <w:tr>
        <w:trPr>
          <w:trHeight w:val="228"/>
        </w:trPr>
        <w:tc>
          <w:tcPr>
            <w:tcW w:w="5040" w:type="dxa"/>
            <w:vAlign w:val="bottom"/>
          </w:tcPr>
          <w:p>
            <w:pPr>
              <w:spacing w:after="0"/>
              <w:rPr>
                <w:sz w:val="20"/>
                <w:szCs w:val="20"/>
                <w:color w:val="auto"/>
              </w:rPr>
            </w:pPr>
            <w:r>
              <w:rPr>
                <w:rFonts w:ascii="Arial" w:cs="Arial" w:eastAsia="Arial" w:hAnsi="Arial"/>
                <w:sz w:val="18"/>
                <w:szCs w:val="18"/>
                <w:b w:val="1"/>
                <w:bCs w:val="1"/>
                <w:color w:val="auto"/>
              </w:rPr>
              <w:t>City, State United States 00000</w:t>
            </w:r>
          </w:p>
        </w:tc>
        <w:tc>
          <w:tcPr>
            <w:tcW w:w="4460" w:type="dxa"/>
            <w:vAlign w:val="bottom"/>
          </w:tcPr>
          <w:p>
            <w:pPr>
              <w:ind w:left="2700"/>
              <w:spacing w:after="0"/>
              <w:rPr>
                <w:sz w:val="20"/>
                <w:szCs w:val="20"/>
                <w:color w:val="auto"/>
              </w:rPr>
            </w:pPr>
            <w:r>
              <w:rPr>
                <w:rFonts w:ascii="Arial" w:cs="Arial" w:eastAsia="Arial" w:hAnsi="Arial"/>
                <w:sz w:val="18"/>
                <w:szCs w:val="18"/>
                <w:b w:val="1"/>
                <w:bCs w:val="1"/>
                <w:color w:val="auto"/>
              </w:rPr>
              <w:t>ID:</w:t>
            </w:r>
          </w:p>
        </w:tc>
        <w:tc>
          <w:tcPr>
            <w:tcW w:w="1920" w:type="dxa"/>
            <w:vAlign w:val="bottom"/>
          </w:tcPr>
          <w:p>
            <w:pPr>
              <w:ind w:left="520"/>
              <w:spacing w:after="0"/>
              <w:rPr>
                <w:sz w:val="20"/>
                <w:szCs w:val="20"/>
                <w:color w:val="auto"/>
              </w:rPr>
            </w:pPr>
            <w:r>
              <w:rPr>
                <w:rFonts w:ascii="Arial" w:cs="Arial" w:eastAsia="Arial" w:hAnsi="Arial"/>
                <w:sz w:val="18"/>
                <w:szCs w:val="18"/>
                <w:b w:val="1"/>
                <w:bCs w:val="1"/>
                <w:color w:val="auto"/>
              </w:rPr>
              <w:t>0000</w:t>
            </w:r>
          </w:p>
        </w:tc>
      </w:tr>
      <w:tr>
        <w:trPr>
          <w:trHeight w:val="144"/>
        </w:trPr>
        <w:tc>
          <w:tcPr>
            <w:tcW w:w="5040" w:type="dxa"/>
            <w:vAlign w:val="bottom"/>
            <w:tcBorders>
              <w:bottom w:val="single" w:sz="8" w:color="auto"/>
            </w:tcBorders>
          </w:tcPr>
          <w:p>
            <w:pPr>
              <w:spacing w:after="0"/>
              <w:rPr>
                <w:sz w:val="12"/>
                <w:szCs w:val="12"/>
                <w:color w:val="auto"/>
              </w:rPr>
            </w:pPr>
          </w:p>
        </w:tc>
        <w:tc>
          <w:tcPr>
            <w:tcW w:w="4460" w:type="dxa"/>
            <w:vAlign w:val="bottom"/>
            <w:tcBorders>
              <w:bottom w:val="single" w:sz="8" w:color="auto"/>
            </w:tcBorders>
          </w:tcPr>
          <w:p>
            <w:pPr>
              <w:spacing w:after="0"/>
              <w:rPr>
                <w:sz w:val="12"/>
                <w:szCs w:val="12"/>
                <w:color w:val="auto"/>
              </w:rPr>
            </w:pPr>
          </w:p>
        </w:tc>
        <w:tc>
          <w:tcPr>
            <w:tcW w:w="1920" w:type="dxa"/>
            <w:vAlign w:val="bottom"/>
            <w:tcBorders>
              <w:bottom w:val="single" w:sz="8" w:color="auto"/>
            </w:tcBorders>
          </w:tcPr>
          <w:p>
            <w:pPr>
              <w:spacing w:after="0"/>
              <w:rPr>
                <w:sz w:val="12"/>
                <w:szCs w:val="12"/>
                <w:color w:val="auto"/>
              </w:rPr>
            </w:pPr>
          </w:p>
        </w:tc>
      </w:tr>
    </w:tbl>
    <w:p>
      <w:pPr>
        <w:spacing w:after="0" w:line="181" w:lineRule="exact"/>
        <w:rPr>
          <w:sz w:val="20"/>
          <w:szCs w:val="20"/>
          <w:color w:val="auto"/>
        </w:rPr>
      </w:pPr>
    </w:p>
    <w:p>
      <w:pPr>
        <w:jc w:val="both"/>
        <w:spacing w:after="0" w:line="268" w:lineRule="auto"/>
        <w:rPr>
          <w:sz w:val="20"/>
          <w:szCs w:val="20"/>
          <w:color w:val="auto"/>
        </w:rPr>
      </w:pPr>
      <w:r>
        <w:rPr>
          <w:rFonts w:ascii="Arial" w:cs="Arial" w:eastAsia="Arial" w:hAnsi="Arial"/>
          <w:sz w:val="18"/>
          <w:szCs w:val="18"/>
          <w:color w:val="auto"/>
        </w:rPr>
        <w:t>Effective X/XX/XXXX, you have been granted an award of XX,XXX restricted stock units. These units are restricted until the vest date(s) shown below, at which time you will receive shares of Marvell Technology Group LTD (the Company) common stock.</w:t>
      </w:r>
    </w:p>
    <w:p>
      <w:pPr>
        <w:spacing w:after="0" w:line="132" w:lineRule="exact"/>
        <w:rPr>
          <w:sz w:val="20"/>
          <w:szCs w:val="20"/>
          <w:color w:val="auto"/>
        </w:rPr>
      </w:pPr>
    </w:p>
    <w:p>
      <w:pPr>
        <w:spacing w:after="0"/>
        <w:rPr>
          <w:sz w:val="20"/>
          <w:szCs w:val="20"/>
          <w:color w:val="auto"/>
        </w:rPr>
      </w:pPr>
      <w:r>
        <w:rPr>
          <w:rFonts w:ascii="Arial" w:cs="Arial" w:eastAsia="Arial" w:hAnsi="Arial"/>
          <w:sz w:val="18"/>
          <w:szCs w:val="18"/>
          <w:color w:val="auto"/>
        </w:rPr>
        <w:t>The current total value of the award is [$total value of award].</w:t>
      </w:r>
    </w:p>
    <w:p>
      <w:pPr>
        <w:spacing w:after="0" w:line="171" w:lineRule="exact"/>
        <w:rPr>
          <w:sz w:val="20"/>
          <w:szCs w:val="20"/>
          <w:color w:val="auto"/>
        </w:rPr>
      </w:pPr>
    </w:p>
    <w:p>
      <w:pPr>
        <w:ind w:right="320"/>
        <w:spacing w:after="0" w:line="306" w:lineRule="auto"/>
        <w:rPr>
          <w:sz w:val="20"/>
          <w:szCs w:val="20"/>
          <w:color w:val="auto"/>
        </w:rPr>
      </w:pPr>
      <w:r>
        <w:rPr>
          <w:rFonts w:ascii="Arial" w:cs="Arial" w:eastAsia="Arial" w:hAnsi="Arial"/>
          <w:sz w:val="16"/>
          <w:szCs w:val="16"/>
          <w:color w:val="auto"/>
        </w:rPr>
        <w:t>The Award will vest in increments on the date(s) shown. This Notice of Grant is subject to all of the terms and conditions set forth herein, as well as the Stock Unit Award Agreement, the Appendix (which include the special provisions for participant’s country of residence if any), and the Plan, all of which are incorporated herein by reference. Capitalized terms used in this Notice of Grant but not defined shall have the same meaning as provided in the Plan.</w:t>
      </w:r>
    </w:p>
    <w:p>
      <w:pPr>
        <w:spacing w:after="0" w:line="147" w:lineRule="exact"/>
        <w:rPr>
          <w:sz w:val="20"/>
          <w:szCs w:val="20"/>
          <w:color w:val="auto"/>
        </w:rPr>
      </w:pPr>
    </w:p>
    <w:tbl>
      <w:tblPr>
        <w:tblLayout w:type="fixed"/>
        <w:tblInd w:w="3440" w:type="dxa"/>
        <w:tblCellMar>
          <w:top w:w="0" w:type="dxa"/>
          <w:left w:w="0" w:type="dxa"/>
          <w:bottom w:w="0" w:type="dxa"/>
          <w:right w:w="0" w:type="dxa"/>
        </w:tblCellMar>
      </w:tblPr>
      <w:tr>
        <w:trPr>
          <w:trHeight w:val="231"/>
        </w:trPr>
        <w:tc>
          <w:tcPr>
            <w:tcW w:w="22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0"/>
              </w:rPr>
              <w:t>Shares</w:t>
            </w:r>
          </w:p>
        </w:tc>
        <w:tc>
          <w:tcPr>
            <w:tcW w:w="220" w:type="dxa"/>
            <w:vAlign w:val="bottom"/>
          </w:tcPr>
          <w:p>
            <w:pPr>
              <w:spacing w:after="0"/>
              <w:rPr>
                <w:sz w:val="20"/>
                <w:szCs w:val="20"/>
                <w:color w:val="auto"/>
              </w:rPr>
            </w:pPr>
          </w:p>
        </w:tc>
        <w:tc>
          <w:tcPr>
            <w:tcW w:w="21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Full Vest</w:t>
            </w:r>
          </w:p>
        </w:tc>
      </w:tr>
      <w:tr>
        <w:trPr>
          <w:trHeight w:val="208"/>
        </w:trPr>
        <w:tc>
          <w:tcPr>
            <w:tcW w:w="2240" w:type="dxa"/>
            <w:vAlign w:val="bottom"/>
          </w:tcPr>
          <w:p>
            <w:pPr>
              <w:jc w:val="center"/>
              <w:spacing w:after="0"/>
              <w:rPr>
                <w:sz w:val="20"/>
                <w:szCs w:val="20"/>
                <w:color w:val="auto"/>
              </w:rPr>
            </w:pPr>
            <w:r>
              <w:rPr>
                <w:rFonts w:ascii="Arial" w:cs="Arial" w:eastAsia="Arial" w:hAnsi="Arial"/>
                <w:sz w:val="18"/>
                <w:szCs w:val="18"/>
                <w:color w:val="auto"/>
                <w:w w:val="91"/>
              </w:rPr>
              <w:t>%% SHARES</w:t>
            </w:r>
          </w:p>
        </w:tc>
        <w:tc>
          <w:tcPr>
            <w:tcW w:w="220" w:type="dxa"/>
            <w:vAlign w:val="bottom"/>
          </w:tcPr>
          <w:p>
            <w:pPr>
              <w:spacing w:after="0"/>
              <w:rPr>
                <w:sz w:val="18"/>
                <w:szCs w:val="18"/>
                <w:color w:val="auto"/>
              </w:rPr>
            </w:pPr>
          </w:p>
        </w:tc>
        <w:tc>
          <w:tcPr>
            <w:tcW w:w="2100" w:type="dxa"/>
            <w:vAlign w:val="bottom"/>
          </w:tcPr>
          <w:p>
            <w:pPr>
              <w:jc w:val="center"/>
              <w:spacing w:after="0"/>
              <w:rPr>
                <w:sz w:val="20"/>
                <w:szCs w:val="20"/>
                <w:color w:val="auto"/>
              </w:rPr>
            </w:pPr>
            <w:r>
              <w:rPr>
                <w:rFonts w:ascii="Arial" w:cs="Arial" w:eastAsia="Arial" w:hAnsi="Arial"/>
                <w:sz w:val="18"/>
                <w:szCs w:val="18"/>
                <w:color w:val="auto"/>
                <w:w w:val="91"/>
              </w:rPr>
              <w:t>%% VEST DATE</w:t>
            </w:r>
          </w:p>
        </w:tc>
      </w:tr>
      <w:tr>
        <w:trPr>
          <w:trHeight w:val="216"/>
        </w:trPr>
        <w:tc>
          <w:tcPr>
            <w:tcW w:w="2240" w:type="dxa"/>
            <w:vAlign w:val="bottom"/>
          </w:tcPr>
          <w:p>
            <w:pPr>
              <w:jc w:val="center"/>
              <w:spacing w:after="0"/>
              <w:rPr>
                <w:sz w:val="20"/>
                <w:szCs w:val="20"/>
                <w:color w:val="auto"/>
              </w:rPr>
            </w:pPr>
            <w:r>
              <w:rPr>
                <w:rFonts w:ascii="Arial" w:cs="Arial" w:eastAsia="Arial" w:hAnsi="Arial"/>
                <w:sz w:val="18"/>
                <w:szCs w:val="18"/>
                <w:color w:val="auto"/>
                <w:w w:val="91"/>
              </w:rPr>
              <w:t>%% SHARES</w:t>
            </w:r>
          </w:p>
        </w:tc>
        <w:tc>
          <w:tcPr>
            <w:tcW w:w="220" w:type="dxa"/>
            <w:vAlign w:val="bottom"/>
          </w:tcPr>
          <w:p>
            <w:pPr>
              <w:spacing w:after="0"/>
              <w:rPr>
                <w:sz w:val="18"/>
                <w:szCs w:val="18"/>
                <w:color w:val="auto"/>
              </w:rPr>
            </w:pPr>
          </w:p>
        </w:tc>
        <w:tc>
          <w:tcPr>
            <w:tcW w:w="2100" w:type="dxa"/>
            <w:vAlign w:val="bottom"/>
          </w:tcPr>
          <w:p>
            <w:pPr>
              <w:jc w:val="center"/>
              <w:spacing w:after="0"/>
              <w:rPr>
                <w:sz w:val="20"/>
                <w:szCs w:val="20"/>
                <w:color w:val="auto"/>
              </w:rPr>
            </w:pPr>
            <w:r>
              <w:rPr>
                <w:rFonts w:ascii="Arial" w:cs="Arial" w:eastAsia="Arial" w:hAnsi="Arial"/>
                <w:sz w:val="18"/>
                <w:szCs w:val="18"/>
                <w:color w:val="auto"/>
                <w:w w:val="91"/>
              </w:rPr>
              <w:t>%% VEST DATE</w:t>
            </w:r>
          </w:p>
        </w:tc>
      </w:tr>
      <w:tr>
        <w:trPr>
          <w:trHeight w:val="216"/>
        </w:trPr>
        <w:tc>
          <w:tcPr>
            <w:tcW w:w="2240" w:type="dxa"/>
            <w:vAlign w:val="bottom"/>
          </w:tcPr>
          <w:p>
            <w:pPr>
              <w:jc w:val="center"/>
              <w:spacing w:after="0"/>
              <w:rPr>
                <w:sz w:val="20"/>
                <w:szCs w:val="20"/>
                <w:color w:val="auto"/>
              </w:rPr>
            </w:pPr>
            <w:r>
              <w:rPr>
                <w:rFonts w:ascii="Arial" w:cs="Arial" w:eastAsia="Arial" w:hAnsi="Arial"/>
                <w:sz w:val="18"/>
                <w:szCs w:val="18"/>
                <w:color w:val="auto"/>
                <w:w w:val="91"/>
              </w:rPr>
              <w:t>%% SHARES</w:t>
            </w:r>
          </w:p>
        </w:tc>
        <w:tc>
          <w:tcPr>
            <w:tcW w:w="220" w:type="dxa"/>
            <w:vAlign w:val="bottom"/>
          </w:tcPr>
          <w:p>
            <w:pPr>
              <w:spacing w:after="0"/>
              <w:rPr>
                <w:sz w:val="18"/>
                <w:szCs w:val="18"/>
                <w:color w:val="auto"/>
              </w:rPr>
            </w:pPr>
          </w:p>
        </w:tc>
        <w:tc>
          <w:tcPr>
            <w:tcW w:w="2100" w:type="dxa"/>
            <w:vAlign w:val="bottom"/>
          </w:tcPr>
          <w:p>
            <w:pPr>
              <w:jc w:val="center"/>
              <w:spacing w:after="0"/>
              <w:rPr>
                <w:sz w:val="20"/>
                <w:szCs w:val="20"/>
                <w:color w:val="auto"/>
              </w:rPr>
            </w:pPr>
            <w:r>
              <w:rPr>
                <w:rFonts w:ascii="Arial" w:cs="Arial" w:eastAsia="Arial" w:hAnsi="Arial"/>
                <w:sz w:val="18"/>
                <w:szCs w:val="18"/>
                <w:color w:val="auto"/>
                <w:w w:val="91"/>
              </w:rPr>
              <w:t>%% VEST DATE</w:t>
            </w:r>
          </w:p>
        </w:tc>
      </w:tr>
      <w:tr>
        <w:trPr>
          <w:trHeight w:val="222"/>
        </w:trPr>
        <w:tc>
          <w:tcPr>
            <w:tcW w:w="2240" w:type="dxa"/>
            <w:vAlign w:val="bottom"/>
          </w:tcPr>
          <w:p>
            <w:pPr>
              <w:jc w:val="center"/>
              <w:spacing w:after="0"/>
              <w:rPr>
                <w:sz w:val="20"/>
                <w:szCs w:val="20"/>
                <w:color w:val="auto"/>
              </w:rPr>
            </w:pPr>
            <w:r>
              <w:rPr>
                <w:rFonts w:ascii="Arial" w:cs="Arial" w:eastAsia="Arial" w:hAnsi="Arial"/>
                <w:sz w:val="18"/>
                <w:szCs w:val="18"/>
                <w:color w:val="auto"/>
                <w:w w:val="91"/>
              </w:rPr>
              <w:t>%% SHARES</w:t>
            </w:r>
          </w:p>
        </w:tc>
        <w:tc>
          <w:tcPr>
            <w:tcW w:w="220" w:type="dxa"/>
            <w:vAlign w:val="bottom"/>
          </w:tcPr>
          <w:p>
            <w:pPr>
              <w:spacing w:after="0"/>
              <w:rPr>
                <w:sz w:val="19"/>
                <w:szCs w:val="19"/>
                <w:color w:val="auto"/>
              </w:rPr>
            </w:pPr>
          </w:p>
        </w:tc>
        <w:tc>
          <w:tcPr>
            <w:tcW w:w="2100" w:type="dxa"/>
            <w:vAlign w:val="bottom"/>
          </w:tcPr>
          <w:p>
            <w:pPr>
              <w:jc w:val="center"/>
              <w:spacing w:after="0"/>
              <w:rPr>
                <w:sz w:val="20"/>
                <w:szCs w:val="20"/>
                <w:color w:val="auto"/>
              </w:rPr>
            </w:pPr>
            <w:r>
              <w:rPr>
                <w:rFonts w:ascii="Arial" w:cs="Arial" w:eastAsia="Arial" w:hAnsi="Arial"/>
                <w:sz w:val="18"/>
                <w:szCs w:val="18"/>
                <w:color w:val="auto"/>
                <w:w w:val="91"/>
              </w:rPr>
              <w:t>%% VEST DATE</w:t>
            </w:r>
          </w:p>
        </w:tc>
      </w:tr>
    </w:tbl>
    <w:p>
      <w:pPr>
        <w:spacing w:after="0" w:line="156" w:lineRule="exact"/>
        <w:rPr>
          <w:sz w:val="20"/>
          <w:szCs w:val="20"/>
          <w:color w:val="auto"/>
        </w:rPr>
      </w:pPr>
    </w:p>
    <w:p>
      <w:pPr>
        <w:ind w:right="100"/>
        <w:spacing w:after="0" w:line="288" w:lineRule="auto"/>
        <w:rPr>
          <w:sz w:val="20"/>
          <w:szCs w:val="20"/>
          <w:color w:val="auto"/>
        </w:rPr>
      </w:pPr>
      <w:r>
        <w:rPr>
          <w:rFonts w:ascii="Arial" w:cs="Arial" w:eastAsia="Arial" w:hAnsi="Arial"/>
          <w:sz w:val="16"/>
          <w:szCs w:val="16"/>
          <w:color w:val="auto"/>
        </w:rPr>
        <w:t>By signing this document, the participant acknowledges receipt of a copy of the Plan, and agrees that (a) these restricted stock units (“Stock Units”) are granted under and governed by the terms and conditions of the Plan, the Stock Unit Agreement, and the Appendix (the special provisions for participant’s country of residence, if any); (b) the Participant has carefully read, fully understands and agrees to all of the terms and conditions described in the attached Stock Unit Agreement, the Appendix, and the Plan; (c) the participant understands and agrees that the Stock Unit Agreement and Appendix, including any cover sheet and attachments, constitute the entire understanding between the participant and the Company regarding this Award, and that any prior agreements, commitments or negotiations concerning this Award are replaced and superseded; and (d) the participant has been given an opportunity to consult legal counsel with respect to all matters relating to this Award prior to signing this cover sheet and that the participant has either consulted such counsel or voluntarily declined to consult such counsel. The Stock Unit Agreement, the Appendix and prospectus are available on the Company’s website at https://intranet/stockselfservice or by request from the Company’s Stock Administration Department. The participant hereby agrees that these documents are deemed to be delivered to him or her.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124460</wp:posOffset>
            </wp:positionV>
            <wp:extent cx="7246620" cy="260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spacing w:after="0"/>
        <w:tabs>
          <w:tab w:leader="none" w:pos="6040" w:val="left"/>
        </w:tabs>
        <w:rPr>
          <w:sz w:val="20"/>
          <w:szCs w:val="20"/>
          <w:color w:val="auto"/>
        </w:rPr>
      </w:pPr>
      <w:r>
        <w:rPr>
          <w:rFonts w:ascii="Arial" w:cs="Arial" w:eastAsia="Arial" w:hAnsi="Arial"/>
          <w:sz w:val="18"/>
          <w:szCs w:val="18"/>
          <w:color w:val="auto"/>
        </w:rPr>
        <w:t>Marvell Technology Group LTD</w:t>
      </w:r>
      <w:r>
        <w:rPr>
          <w:sz w:val="20"/>
          <w:szCs w:val="20"/>
          <w:color w:val="auto"/>
        </w:rPr>
        <w:tab/>
      </w:r>
      <w:r>
        <w:rPr>
          <w:rFonts w:ascii="Arial" w:cs="Arial" w:eastAsia="Arial" w:hAnsi="Arial"/>
          <w:sz w:val="15"/>
          <w:szCs w:val="15"/>
          <w:color w:val="auto"/>
        </w:rPr>
        <w:t>Date</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tabs>
          <w:tab w:leader="none" w:pos="6040" w:val="left"/>
        </w:tabs>
        <w:rPr>
          <w:sz w:val="20"/>
          <w:szCs w:val="20"/>
          <w:color w:val="auto"/>
        </w:rPr>
      </w:pPr>
      <w:r>
        <w:rPr>
          <w:rFonts w:ascii="Arial" w:cs="Arial" w:eastAsia="Arial" w:hAnsi="Arial"/>
          <w:sz w:val="18"/>
          <w:szCs w:val="18"/>
          <w:color w:val="auto"/>
        </w:rPr>
        <w:t>Name of Grantee</w:t>
      </w:r>
      <w:r>
        <w:rPr>
          <w:sz w:val="20"/>
          <w:szCs w:val="20"/>
          <w:color w:val="auto"/>
        </w:rPr>
        <w:tab/>
      </w:r>
      <w:r>
        <w:rPr>
          <w:rFonts w:ascii="Arial" w:cs="Arial" w:eastAsia="Arial" w:hAnsi="Arial"/>
          <w:sz w:val="15"/>
          <w:szCs w:val="15"/>
          <w:color w:val="auto"/>
        </w:rPr>
        <w:t>Date</w:t>
      </w:r>
    </w:p>
    <w:p>
      <w:pPr>
        <w:spacing w:after="0" w:line="182" w:lineRule="exact"/>
        <w:rPr>
          <w:sz w:val="20"/>
          <w:szCs w:val="20"/>
          <w:color w:val="auto"/>
        </w:rPr>
      </w:pPr>
    </w:p>
    <w:p>
      <w:pPr>
        <w:jc w:val="right"/>
        <w:spacing w:after="0"/>
        <w:rPr>
          <w:sz w:val="20"/>
          <w:szCs w:val="20"/>
          <w:color w:val="auto"/>
        </w:rPr>
      </w:pPr>
      <w:r>
        <w:rPr>
          <w:rFonts w:ascii="Arial" w:cs="Arial" w:eastAsia="Arial" w:hAnsi="Arial"/>
          <w:sz w:val="14"/>
          <w:szCs w:val="14"/>
          <w:color w:val="auto"/>
        </w:rPr>
        <w:t>Page 1 of 1</w:t>
      </w:r>
    </w:p>
    <w:p>
      <w:pPr>
        <w:sectPr>
          <w:pgSz w:w="11900" w:h="16838" w:orient="portrait"/>
          <w:cols w:equalWidth="0" w:num="1">
            <w:col w:w="11420"/>
          </w:cols>
          <w:pgMar w:left="240" w:top="125" w:right="239" w:bottom="1440" w:gutter="0" w:footer="0" w:header="0"/>
          <w:type w:val="continuous"/>
        </w:sectPr>
      </w:pPr>
    </w:p>
    <w:bookmarkStart w:id="60" w:name="page61"/>
    <w:bookmarkEnd w:id="6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7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STOCK UNIT AGREEMENT</w:t>
      </w:r>
    </w:p>
    <w:p>
      <w:pPr>
        <w:spacing w:after="0" w:line="177" w:lineRule="exact"/>
        <w:rPr>
          <w:sz w:val="20"/>
          <w:szCs w:val="20"/>
          <w:color w:val="auto"/>
        </w:rPr>
      </w:pPr>
    </w:p>
    <w:p>
      <w:pPr>
        <w:ind w:left="-20" w:right="20" w:firstLine="464"/>
        <w:spacing w:after="0" w:line="298" w:lineRule="auto"/>
        <w:tabs>
          <w:tab w:leader="none" w:pos="612" w:val="left"/>
        </w:tabs>
        <w:numPr>
          <w:ilvl w:val="0"/>
          <w:numId w:val="35"/>
        </w:numPr>
        <w:rPr>
          <w:rFonts w:ascii="Arial" w:cs="Arial" w:eastAsia="Arial" w:hAnsi="Arial"/>
          <w:sz w:val="16"/>
          <w:szCs w:val="16"/>
          <w:color w:val="auto"/>
        </w:rPr>
      </w:pPr>
      <w:r>
        <w:rPr>
          <w:rFonts w:ascii="Arial" w:cs="Arial" w:eastAsia="Arial" w:hAnsi="Arial"/>
          <w:sz w:val="16"/>
          <w:szCs w:val="16"/>
          <w:u w:val="single" w:color="auto"/>
          <w:color w:val="auto"/>
        </w:rPr>
        <w:t>Grant</w:t>
      </w:r>
      <w:r>
        <w:rPr>
          <w:rFonts w:ascii="Arial" w:cs="Arial" w:eastAsia="Arial" w:hAnsi="Arial"/>
          <w:sz w:val="16"/>
          <w:szCs w:val="16"/>
          <w:color w:val="auto"/>
        </w:rPr>
        <w:t>. The Company hereby grants to the participant named in the Notice of Grant (the “Participant”) an Award of restricted stock units (“Stock Units”), subject to all of the terms and conditions in this Stock Unit Agreement (the “Agreement”) and the Plan, which is incorporated herein by reference. Subject to Section 15 of the Plan, in the event of a conflict between the terms and conditions of the Plan and the terms and conditions of this Agreement, the terms and conditions of the Plan will prevail. Capitalized terms used herein but not defined shall have the same meaning as ascribed in the Plan.</w:t>
      </w:r>
    </w:p>
    <w:p>
      <w:pPr>
        <w:spacing w:after="0" w:line="112" w:lineRule="exact"/>
        <w:rPr>
          <w:rFonts w:ascii="Arial" w:cs="Arial" w:eastAsia="Arial" w:hAnsi="Arial"/>
          <w:sz w:val="16"/>
          <w:szCs w:val="16"/>
          <w:color w:val="auto"/>
        </w:rPr>
      </w:pPr>
    </w:p>
    <w:p>
      <w:pPr>
        <w:ind w:left="-20" w:right="40" w:firstLine="464"/>
        <w:spacing w:after="0" w:line="288" w:lineRule="auto"/>
        <w:tabs>
          <w:tab w:leader="none" w:pos="612" w:val="left"/>
        </w:tabs>
        <w:numPr>
          <w:ilvl w:val="0"/>
          <w:numId w:val="35"/>
        </w:numPr>
        <w:rPr>
          <w:rFonts w:ascii="Arial" w:cs="Arial" w:eastAsia="Arial" w:hAnsi="Arial"/>
          <w:sz w:val="16"/>
          <w:szCs w:val="16"/>
          <w:color w:val="auto"/>
        </w:rPr>
      </w:pPr>
      <w:r>
        <w:rPr>
          <w:rFonts w:ascii="Arial" w:cs="Arial" w:eastAsia="Arial" w:hAnsi="Arial"/>
          <w:sz w:val="16"/>
          <w:szCs w:val="16"/>
          <w:u w:val="single" w:color="auto"/>
          <w:color w:val="auto"/>
        </w:rPr>
        <w:t>Company’s Obligation to Pay</w:t>
      </w:r>
      <w:r>
        <w:rPr>
          <w:rFonts w:ascii="Arial" w:cs="Arial" w:eastAsia="Arial" w:hAnsi="Arial"/>
          <w:sz w:val="16"/>
          <w:szCs w:val="16"/>
          <w:color w:val="auto"/>
        </w:rPr>
        <w:t xml:space="preserve">. Each Stock Unit represents the right to receive a Share on the date it vests. It is a bookkeeping entry that represents only the Company's unfunded and unsecured promise to issue Shares (or distribute cash) on a future date. As a holder of Stock Units, Participant has no rights other than the rights of a general creditor of the Company. Unless and until the Stock Units will have vested in the manner set forth in Section 3, Participant will have no right to payment of any such Stock Units. Prior to actual payment of any vested Stock Units, such Stock Unit will represent an unsecured obligation of the Company, payable (if at all) only from the general assets of the Company. Any Stock Units that vest in accordance with Sections 3 or 4 will be paid to Participant (or in the event of Participant’s death, to his or her estate or legal representative) in whole Shares, subject to Participant satisfying any applicable tax withholding obligations as set forth in Section 7. Subject to the provisions of Section 4, such vested Stock Units will be paid in Shares as soon as practicable after vesting, but in each such case within the period ending no later than the date that is two and one half (2 </w:t>
      </w:r>
      <w:r>
        <w:rPr>
          <w:rFonts w:ascii="Arial" w:cs="Arial" w:eastAsia="Arial" w:hAnsi="Arial"/>
          <w:sz w:val="10"/>
          <w:szCs w:val="10"/>
          <w:color w:val="auto"/>
        </w:rPr>
        <w:t>1</w:t>
      </w:r>
      <w:r>
        <w:rPr>
          <w:rFonts w:ascii="Arial" w:cs="Arial" w:eastAsia="Arial" w:hAnsi="Arial"/>
          <w:sz w:val="16"/>
          <w:szCs w:val="16"/>
          <w:color w:val="auto"/>
        </w:rPr>
        <w:t>/</w:t>
      </w:r>
      <w:r>
        <w:rPr>
          <w:rFonts w:ascii="Arial" w:cs="Arial" w:eastAsia="Arial" w:hAnsi="Arial"/>
          <w:sz w:val="12"/>
          <w:szCs w:val="12"/>
          <w:color w:val="auto"/>
        </w:rPr>
        <w:t>2</w:t>
      </w:r>
      <w:r>
        <w:rPr>
          <w:rFonts w:ascii="Arial" w:cs="Arial" w:eastAsia="Arial" w:hAnsi="Arial"/>
          <w:sz w:val="16"/>
          <w:szCs w:val="16"/>
          <w:color w:val="auto"/>
        </w:rPr>
        <w:t>) months from the end of the Company’s tax year that includes the vesting date.</w:t>
      </w:r>
    </w:p>
    <w:p>
      <w:pPr>
        <w:spacing w:after="0" w:line="119" w:lineRule="exact"/>
        <w:rPr>
          <w:rFonts w:ascii="Arial" w:cs="Arial" w:eastAsia="Arial" w:hAnsi="Arial"/>
          <w:sz w:val="16"/>
          <w:szCs w:val="16"/>
          <w:color w:val="auto"/>
        </w:rPr>
      </w:pPr>
    </w:p>
    <w:p>
      <w:pPr>
        <w:ind w:left="-20" w:firstLine="464"/>
        <w:spacing w:after="0" w:line="287" w:lineRule="auto"/>
        <w:tabs>
          <w:tab w:leader="none" w:pos="612" w:val="left"/>
        </w:tabs>
        <w:numPr>
          <w:ilvl w:val="0"/>
          <w:numId w:val="35"/>
        </w:numPr>
        <w:rPr>
          <w:rFonts w:ascii="Arial" w:cs="Arial" w:eastAsia="Arial" w:hAnsi="Arial"/>
          <w:sz w:val="16"/>
          <w:szCs w:val="16"/>
          <w:color w:val="auto"/>
        </w:rPr>
      </w:pPr>
      <w:r>
        <w:rPr>
          <w:rFonts w:ascii="Arial" w:cs="Arial" w:eastAsia="Arial" w:hAnsi="Arial"/>
          <w:sz w:val="16"/>
          <w:szCs w:val="16"/>
          <w:u w:val="single" w:color="auto"/>
          <w:color w:val="auto"/>
        </w:rPr>
        <w:t>Vesting Schedule</w:t>
      </w:r>
      <w:r>
        <w:rPr>
          <w:rFonts w:ascii="Arial" w:cs="Arial" w:eastAsia="Arial" w:hAnsi="Arial"/>
          <w:sz w:val="16"/>
          <w:szCs w:val="16"/>
          <w:color w:val="auto"/>
        </w:rPr>
        <w:t>. Except as provided in Section 4, and subject to Section 5, the Stock Units awarded by this Agreement will vest in accordance with the vesting provisions set forth in the Notice of Grant. Stock Units scheduled to vest on a certain date or upon the occurrence of a certain condition will not vest in Participant in accordance with any of the provisions of this Agreement, unless Participant has provided Continuous Service (defined below) from the date of grant until the date such vesting occurs. If you go on an approved leave of absence, then the vesting schedule specified in the Notice of Grant will be adjusted to suspend vesting in accordance with the terms and conditions governing the approved leave of absence and, if applicable, the Company’s leave of absence policy as then in effect and as the Company may adopt and/or adjust from time to time. For the purpose of this Agreement, “Continuous Service” means that a Participant’s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ectPr>
          <w:pgSz w:w="11900" w:h="16838" w:orient="portrait"/>
          <w:cols w:equalWidth="0" w:num="1">
            <w:col w:w="11380"/>
          </w:cols>
          <w:pgMar w:left="260" w:top="328" w:right="259" w:bottom="1440" w:gutter="0" w:footer="0" w:header="0"/>
        </w:sectPr>
      </w:pPr>
    </w:p>
    <w:bookmarkStart w:id="61" w:name="page62"/>
    <w:bookmarkEnd w:id="61"/>
    <w:p>
      <w:pPr>
        <w:ind w:right="100" w:firstLine="464"/>
        <w:spacing w:after="0" w:line="259" w:lineRule="auto"/>
        <w:tabs>
          <w:tab w:leader="none" w:pos="632"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Administrator Discretion</w:t>
      </w:r>
      <w:r>
        <w:rPr>
          <w:rFonts w:ascii="Arial" w:cs="Arial" w:eastAsia="Arial" w:hAnsi="Arial"/>
          <w:sz w:val="18"/>
          <w:szCs w:val="18"/>
          <w:color w:val="auto"/>
        </w:rPr>
        <w:t>. The Administrator, in its discretion, may accelerate the vesting of the balance, or some lesser portion of the balance, of the unvested Stock Units at any time, subject to the terms of the Plan. If so accelerated, such Stock Units will be considered as having vested as of the date specified by the Administrator.</w:t>
      </w:r>
    </w:p>
    <w:p>
      <w:pPr>
        <w:spacing w:after="0" w:line="140" w:lineRule="exact"/>
        <w:rPr>
          <w:sz w:val="20"/>
          <w:szCs w:val="20"/>
          <w:color w:val="auto"/>
        </w:rPr>
      </w:pPr>
    </w:p>
    <w:p>
      <w:pPr>
        <w:ind w:firstLine="913"/>
        <w:spacing w:after="0" w:line="286" w:lineRule="auto"/>
        <w:rPr>
          <w:sz w:val="20"/>
          <w:szCs w:val="20"/>
          <w:color w:val="auto"/>
        </w:rPr>
      </w:pPr>
      <w:r>
        <w:rPr>
          <w:rFonts w:ascii="Arial" w:cs="Arial" w:eastAsia="Arial" w:hAnsi="Arial"/>
          <w:sz w:val="16"/>
          <w:szCs w:val="16"/>
          <w:color w:val="auto"/>
        </w:rPr>
        <w:t>For U.S. tax purposes, notwithstanding anything in the Plan or this Agreement to the contrary, if the vesting of the balance, or some lesser portion of the balance, of the Stock Units is accelerated in connection with Participant’s termination of Continuous Service (provided that such termination is a “separation from service” within the meaning of Section 409A, as determined by the Company), other than due to death, and if (x) Participant is a “specified employee” within the meaning of Section 409A at the time of such termination of Continuous Service and (y) the payment of such accelerated Stock Units will result in the imposition of additional tax under Section 409A if paid to Participant on or within the six (6) month period following Participant’s termination of Continuous Service, then the payment of such accelerated Stock Units will not be made until the date six (6) months and one (1) day following the date of Participant’s termination of Continuous Service, unless the Participant dies following his or her termination of Continuous Service, in which case, the Stock Units will be paid in Shares to the Participant’s estate as soon as practicable following his or her death. It is the intent of this Agreement to comply with the requirements of Section 409A so that none of the Stock Units provided under this Agreement or Shares issuable thereunder will be subject to the additional tax imposed under Section 409A, and any ambiguities herein will be interpreted to so comply. For purposes of this Agreement, “Section 409A” means Section 409A of the Code and any Treasury Regulations and Internal Revenue Service guidance thereunder, as each may be amended from time to time.</w:t>
      </w:r>
    </w:p>
    <w:p>
      <w:pPr>
        <w:spacing w:after="0" w:line="127" w:lineRule="exact"/>
        <w:rPr>
          <w:sz w:val="20"/>
          <w:szCs w:val="20"/>
          <w:color w:val="auto"/>
        </w:rPr>
      </w:pPr>
    </w:p>
    <w:p>
      <w:pPr>
        <w:ind w:right="60" w:firstLine="464"/>
        <w:spacing w:after="0" w:line="298" w:lineRule="auto"/>
        <w:tabs>
          <w:tab w:leader="none" w:pos="632" w:val="left"/>
        </w:tabs>
        <w:numPr>
          <w:ilvl w:val="1"/>
          <w:numId w:val="37"/>
        </w:numPr>
        <w:rPr>
          <w:rFonts w:ascii="Arial" w:cs="Arial" w:eastAsia="Arial" w:hAnsi="Arial"/>
          <w:sz w:val="16"/>
          <w:szCs w:val="16"/>
          <w:color w:val="auto"/>
        </w:rPr>
      </w:pPr>
      <w:r>
        <w:rPr>
          <w:rFonts w:ascii="Arial" w:cs="Arial" w:eastAsia="Arial" w:hAnsi="Arial"/>
          <w:sz w:val="16"/>
          <w:szCs w:val="16"/>
          <w:u w:val="single" w:color="auto"/>
          <w:color w:val="auto"/>
        </w:rPr>
        <w:t>Forfeiture upon Termination of Continuous Service</w:t>
      </w:r>
      <w:r>
        <w:rPr>
          <w:rFonts w:ascii="Arial" w:cs="Arial" w:eastAsia="Arial" w:hAnsi="Arial"/>
          <w:sz w:val="16"/>
          <w:szCs w:val="16"/>
          <w:color w:val="auto"/>
        </w:rPr>
        <w:t>. Notwithstanding any contrary provision of this Agreement, the balance of the Stock Units that have not vested as of the time of Participant’s termination of Continuous Service for any or no reason and Participant’s right to acquire any Shares hereunder will immediately terminate. The date on which Continuous Service terminates shall not be extended by any notice of termination period requested to be given under local law; such termination date will be considered to be the last date of active employment.</w:t>
      </w:r>
    </w:p>
    <w:p>
      <w:pPr>
        <w:spacing w:after="0" w:line="112" w:lineRule="exact"/>
        <w:rPr>
          <w:rFonts w:ascii="Arial" w:cs="Arial" w:eastAsia="Arial" w:hAnsi="Arial"/>
          <w:sz w:val="16"/>
          <w:szCs w:val="16"/>
          <w:color w:val="auto"/>
        </w:rPr>
      </w:pPr>
    </w:p>
    <w:p>
      <w:pPr>
        <w:ind w:right="120" w:firstLine="464"/>
        <w:spacing w:after="0" w:line="303" w:lineRule="auto"/>
        <w:tabs>
          <w:tab w:leader="none" w:pos="632" w:val="left"/>
        </w:tabs>
        <w:numPr>
          <w:ilvl w:val="1"/>
          <w:numId w:val="37"/>
        </w:numPr>
        <w:rPr>
          <w:rFonts w:ascii="Arial" w:cs="Arial" w:eastAsia="Arial" w:hAnsi="Arial"/>
          <w:sz w:val="15"/>
          <w:szCs w:val="15"/>
          <w:color w:val="auto"/>
        </w:rPr>
      </w:pPr>
      <w:r>
        <w:rPr>
          <w:rFonts w:ascii="Arial" w:cs="Arial" w:eastAsia="Arial" w:hAnsi="Arial"/>
          <w:sz w:val="15"/>
          <w:szCs w:val="15"/>
          <w:u w:val="single" w:color="auto"/>
          <w:color w:val="auto"/>
        </w:rPr>
        <w:t>Death of Participant</w:t>
      </w:r>
      <w:r>
        <w:rPr>
          <w:rFonts w:ascii="Arial" w:cs="Arial" w:eastAsia="Arial" w:hAnsi="Arial"/>
          <w:sz w:val="15"/>
          <w:szCs w:val="15"/>
          <w:color w:val="auto"/>
        </w:rPr>
        <w:t>. Any distribution or delivery to be made to Participant under this Agreement will, if Participant is then deceased, be made to Participant’s designated beneficiary, or if no beneficiary (or legal representative for employees outside the U.S.) survives Participant, the administrator, executor or legal representative of Participant’s estate. Any such transferee must furnish the Company with (a) written notice of his or her status as transferee, and</w:t>
      </w:r>
    </w:p>
    <w:p>
      <w:pPr>
        <w:spacing w:after="0" w:line="1" w:lineRule="exact"/>
        <w:rPr>
          <w:rFonts w:ascii="Arial" w:cs="Arial" w:eastAsia="Arial" w:hAnsi="Arial"/>
          <w:sz w:val="15"/>
          <w:szCs w:val="15"/>
          <w:color w:val="auto"/>
        </w:rPr>
      </w:pPr>
    </w:p>
    <w:p>
      <w:pPr>
        <w:ind w:right="220" w:firstLine="8"/>
        <w:spacing w:after="0" w:line="261" w:lineRule="auto"/>
        <w:tabs>
          <w:tab w:leader="none" w:pos="249" w:val="left"/>
        </w:tabs>
        <w:numPr>
          <w:ilvl w:val="0"/>
          <w:numId w:val="38"/>
        </w:numPr>
        <w:rPr>
          <w:rFonts w:ascii="Arial" w:cs="Arial" w:eastAsia="Arial" w:hAnsi="Arial"/>
          <w:sz w:val="18"/>
          <w:szCs w:val="18"/>
          <w:color w:val="auto"/>
        </w:rPr>
      </w:pPr>
      <w:r>
        <w:rPr>
          <w:rFonts w:ascii="Arial" w:cs="Arial" w:eastAsia="Arial" w:hAnsi="Arial"/>
          <w:sz w:val="18"/>
          <w:szCs w:val="18"/>
          <w:color w:val="auto"/>
        </w:rPr>
        <w:t>evidence satisfactory to the Company to establish the validity of the transfer and compliance with any local or foreign laws or regulations pertaining to said transfer.</w:t>
      </w:r>
    </w:p>
    <w:p>
      <w:pPr>
        <w:spacing w:after="0" w:line="137" w:lineRule="exact"/>
        <w:rPr>
          <w:rFonts w:ascii="Arial" w:cs="Arial" w:eastAsia="Arial" w:hAnsi="Arial"/>
          <w:sz w:val="18"/>
          <w:szCs w:val="18"/>
          <w:color w:val="auto"/>
        </w:rPr>
      </w:pPr>
    </w:p>
    <w:p>
      <w:pPr>
        <w:ind w:right="180" w:firstLine="464"/>
        <w:spacing w:after="0" w:line="256" w:lineRule="auto"/>
        <w:tabs>
          <w:tab w:leader="none" w:pos="632"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Withholding of Taxes</w:t>
      </w:r>
      <w:r>
        <w:rPr>
          <w:rFonts w:ascii="Arial" w:cs="Arial" w:eastAsia="Arial" w:hAnsi="Arial"/>
          <w:sz w:val="18"/>
          <w:szCs w:val="18"/>
          <w:color w:val="auto"/>
        </w:rPr>
        <w:t>. Regardless of any action the Company or Participant’s employer (the “Employer”) takes with respect to any or all income tax, social insurance, payroll tax, payment on account or other tax-related items related to Participant’s participation in the Plan and legally applicable to Participant (“Tax-Related Items”), Participant acknowledges that the ultimate liability for all Tax-Related Items is and remains Participant’s responsibility and may exceed the amount actually withheld by the Company or the Employer. Participant further</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62" w:name="page63"/>
    <w:bookmarkEnd w:id="62"/>
    <w:p>
      <w:pPr>
        <w:ind w:right="20"/>
        <w:spacing w:after="0" w:line="314" w:lineRule="auto"/>
        <w:rPr>
          <w:sz w:val="20"/>
          <w:szCs w:val="20"/>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acknowledges that the Company and/or the Employer (i) make no representations or undertakings regarding the treatment of any Tax-Related Items in connection with any aspect of the Stock Unit, including, but not limited to, the grant, vesting or settlement of the Stock Unit, the issuance of Shares upon settlement of the Stock Unit, the subsequent sale of Shares acquired pursuant to such issuance; and (ii) do not commit to and are under no obligation to structure the terms of the grant or any aspect of the Stock Unit to reduce or eliminate Participant’s liability for Tax-Related Items or achieve any particular tax result. Further, if Participant has become subject to tax in more than one jurisdiction between the date of grant and the date of any relevant taxable event, Participant acknowledges that the Company and/or the Employer (or former employer, as applicable) may be required to withhold or account for Tax-Related Items in more than one jurisdiction.</w:t>
      </w:r>
    </w:p>
    <w:p>
      <w:pPr>
        <w:spacing w:after="0" w:line="105" w:lineRule="exact"/>
        <w:rPr>
          <w:sz w:val="20"/>
          <w:szCs w:val="20"/>
          <w:color w:val="auto"/>
        </w:rPr>
      </w:pPr>
    </w:p>
    <w:p>
      <w:pPr>
        <w:ind w:firstLine="913"/>
        <w:spacing w:after="0" w:line="306" w:lineRule="auto"/>
        <w:rPr>
          <w:sz w:val="20"/>
          <w:szCs w:val="20"/>
          <w:color w:val="auto"/>
        </w:rPr>
      </w:pPr>
      <w:r>
        <w:rPr>
          <w:rFonts w:ascii="Arial" w:cs="Arial" w:eastAsia="Arial" w:hAnsi="Arial"/>
          <w:sz w:val="16"/>
          <w:szCs w:val="16"/>
          <w:color w:val="auto"/>
        </w:rPr>
        <w:t>Prior to any relevant taxable or tax withholding event, as applicable, Participant will pay or make adequate arrangements satisfactory to the Company and/or the Employer to satisfy all Tax-Related Items. In this regard, Participant authorizes the Company and/or the Employer, or their respective agents, at their discretion, to satisfy the obligations with regard to all Tax-Related Items by one or a combination of the following:</w:t>
      </w:r>
    </w:p>
    <w:p>
      <w:pPr>
        <w:spacing w:after="0" w:line="26" w:lineRule="exact"/>
        <w:rPr>
          <w:sz w:val="20"/>
          <w:szCs w:val="20"/>
          <w:color w:val="auto"/>
        </w:rPr>
      </w:pPr>
    </w:p>
    <w:p>
      <w:pPr>
        <w:ind w:left="1480" w:right="120" w:hanging="567"/>
        <w:spacing w:after="0" w:line="268" w:lineRule="auto"/>
        <w:tabs>
          <w:tab w:leader="none" w:pos="14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withholding from Participant’s wages or other cash compensation paid to Participant by the Company, the Employer and/or any Subsidiary; or</w:t>
      </w:r>
    </w:p>
    <w:p>
      <w:pPr>
        <w:spacing w:after="0" w:line="50" w:lineRule="exact"/>
        <w:rPr>
          <w:rFonts w:ascii="Arial" w:cs="Arial" w:eastAsia="Arial" w:hAnsi="Arial"/>
          <w:sz w:val="18"/>
          <w:szCs w:val="18"/>
          <w:color w:val="auto"/>
        </w:rPr>
      </w:pPr>
    </w:p>
    <w:p>
      <w:pPr>
        <w:ind w:left="1480" w:right="560" w:hanging="567"/>
        <w:spacing w:after="0" w:line="332" w:lineRule="auto"/>
        <w:tabs>
          <w:tab w:leader="none" w:pos="1480" w:val="left"/>
        </w:tabs>
        <w:numPr>
          <w:ilvl w:val="0"/>
          <w:numId w:val="39"/>
        </w:numPr>
        <w:rPr>
          <w:rFonts w:ascii="Arial" w:cs="Arial" w:eastAsia="Arial" w:hAnsi="Arial"/>
          <w:sz w:val="16"/>
          <w:szCs w:val="16"/>
          <w:color w:val="auto"/>
        </w:rPr>
      </w:pPr>
      <w:r>
        <w:rPr>
          <w:rFonts w:ascii="Arial" w:cs="Arial" w:eastAsia="Arial" w:hAnsi="Arial"/>
          <w:sz w:val="16"/>
          <w:szCs w:val="16"/>
          <w:color w:val="auto"/>
        </w:rPr>
        <w:t>withholding from proceeds of the sale of Shares acquired upon vesting/settlement of the Stock Unit either through a voluntary sale or through a mandatory sale arranged by the Company (on Participant’s behalf pursuant to this authorization); or</w:t>
      </w:r>
    </w:p>
    <w:p>
      <w:pPr>
        <w:spacing w:after="0" w:line="4" w:lineRule="exact"/>
        <w:rPr>
          <w:rFonts w:ascii="Arial" w:cs="Arial" w:eastAsia="Arial" w:hAnsi="Arial"/>
          <w:sz w:val="16"/>
          <w:szCs w:val="16"/>
          <w:color w:val="auto"/>
        </w:rPr>
      </w:pPr>
    </w:p>
    <w:p>
      <w:pPr>
        <w:ind w:left="1480" w:hanging="567"/>
        <w:spacing w:after="0"/>
        <w:tabs>
          <w:tab w:leader="none" w:pos="14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withholding in Shares to be issued upon vesting/settlement of the Stock Unit.</w:t>
      </w:r>
    </w:p>
    <w:p>
      <w:pPr>
        <w:spacing w:after="0" w:line="171" w:lineRule="exact"/>
        <w:rPr>
          <w:sz w:val="20"/>
          <w:szCs w:val="20"/>
          <w:color w:val="auto"/>
        </w:rPr>
      </w:pPr>
    </w:p>
    <w:p>
      <w:pPr>
        <w:ind w:right="60" w:firstLine="913"/>
        <w:spacing w:after="0" w:line="298" w:lineRule="auto"/>
        <w:rPr>
          <w:sz w:val="20"/>
          <w:szCs w:val="20"/>
          <w:color w:val="auto"/>
        </w:rPr>
      </w:pPr>
      <w:r>
        <w:rPr>
          <w:rFonts w:ascii="Arial" w:cs="Arial" w:eastAsia="Arial" w:hAnsi="Arial"/>
          <w:sz w:val="16"/>
          <w:szCs w:val="16"/>
          <w:color w:val="auto"/>
        </w:rPr>
        <w:t>To avoid negative accounting treatment, the Company may withhold or account for Tax-Related Items by considering applicable minimum statutory withholding amounts or other applicable withholding rates. If the obligation for Tax-Related Items is satisfied by withholding in Shares, for tax purposes, Participant is deemed to have been issued the full number of Shares subject to the vested Stock Unit, notwithstanding that a number of the Shares are held back solely for the purpose of paying the Tax-Related Items due as a result of any aspect of Participant’s participation in the Plan.</w:t>
      </w:r>
    </w:p>
    <w:p>
      <w:pPr>
        <w:spacing w:after="0" w:line="113" w:lineRule="exact"/>
        <w:rPr>
          <w:sz w:val="20"/>
          <w:szCs w:val="20"/>
          <w:color w:val="auto"/>
        </w:rPr>
      </w:pPr>
    </w:p>
    <w:p>
      <w:pPr>
        <w:ind w:right="460" w:firstLine="913"/>
        <w:spacing w:after="0" w:line="332" w:lineRule="auto"/>
        <w:rPr>
          <w:sz w:val="20"/>
          <w:szCs w:val="20"/>
          <w:color w:val="auto"/>
        </w:rPr>
      </w:pPr>
      <w:r>
        <w:rPr>
          <w:rFonts w:ascii="Arial" w:cs="Arial" w:eastAsia="Arial" w:hAnsi="Arial"/>
          <w:sz w:val="16"/>
          <w:szCs w:val="16"/>
          <w:color w:val="auto"/>
        </w:rPr>
        <w:t>Participant shall pay to the Company or the Employer any amount of Tax-Related Items that the Company or the Employer may be required to withhold or account for as a result of Participant’s participation in the Plan that cannot be satisfied by the means previously described in this Section.</w:t>
      </w:r>
    </w:p>
    <w:p>
      <w:pPr>
        <w:spacing w:after="0" w:line="85" w:lineRule="exact"/>
        <w:rPr>
          <w:sz w:val="20"/>
          <w:szCs w:val="20"/>
          <w:color w:val="auto"/>
        </w:rPr>
      </w:pPr>
    </w:p>
    <w:p>
      <w:pPr>
        <w:ind w:right="140" w:firstLine="913"/>
        <w:spacing w:after="0" w:line="259" w:lineRule="auto"/>
        <w:rPr>
          <w:sz w:val="20"/>
          <w:szCs w:val="20"/>
          <w:color w:val="auto"/>
        </w:rPr>
      </w:pPr>
      <w:r>
        <w:rPr>
          <w:rFonts w:ascii="Arial" w:cs="Arial" w:eastAsia="Arial" w:hAnsi="Arial"/>
          <w:sz w:val="18"/>
          <w:szCs w:val="18"/>
          <w:color w:val="auto"/>
        </w:rPr>
        <w:t>If Participant fails to make satisfactory arrangements for the payment of any required tax withholding obligations hereunder at the time any applicable Stock Units otherwise are scheduled to vest pursuant to Sections 3 or 4, Participant will permanently forfeit such Stock Units and any right to receive Shares thereunder and the Stock Units will be returned to the Company at no cost to the Company.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63" w:name="page64"/>
    <w:bookmarkEnd w:id="63"/>
    <w:p>
      <w:pPr>
        <w:ind w:left="-20" w:right="60" w:firstLine="464"/>
        <w:spacing w:after="0" w:line="298" w:lineRule="auto"/>
        <w:tabs>
          <w:tab w:leader="none" w:pos="612" w:val="left"/>
        </w:tabs>
        <w:numPr>
          <w:ilvl w:val="0"/>
          <w:numId w:val="40"/>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Rights as Shareholder</w:t>
      </w:r>
      <w:r>
        <w:rPr>
          <w:rFonts w:ascii="Arial" w:cs="Arial" w:eastAsia="Arial" w:hAnsi="Arial"/>
          <w:sz w:val="16"/>
          <w:szCs w:val="16"/>
          <w:color w:val="auto"/>
        </w:rPr>
        <w:t>. Neither Participant nor any person claiming under or through Participant will have any of the rights or privileges of a shareholder of the Company in respect of any Shares deliverable hereunder unless and until certificates representing such Shares will have been issued, recorded on the records of the Company or its transfer agents or registrars, and delivered to Participant. After such issuance, recordation and delivery, Participant will have all the rights of a shareholder of the Company with respect to voting such Shares and receipt of dividends and distributions on such Shares.</w:t>
      </w:r>
    </w:p>
    <w:p>
      <w:pPr>
        <w:spacing w:after="0" w:line="112" w:lineRule="exact"/>
        <w:rPr>
          <w:rFonts w:ascii="Arial" w:cs="Arial" w:eastAsia="Arial" w:hAnsi="Arial"/>
          <w:sz w:val="16"/>
          <w:szCs w:val="16"/>
          <w:color w:val="auto"/>
        </w:rPr>
      </w:pPr>
    </w:p>
    <w:p>
      <w:pPr>
        <w:ind w:left="620" w:hanging="176"/>
        <w:spacing w:after="0"/>
        <w:tabs>
          <w:tab w:leader="none" w:pos="620"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Nature of Grant</w:t>
      </w:r>
      <w:r>
        <w:rPr>
          <w:rFonts w:ascii="Arial" w:cs="Arial" w:eastAsia="Arial" w:hAnsi="Arial"/>
          <w:sz w:val="18"/>
          <w:szCs w:val="18"/>
          <w:color w:val="auto"/>
        </w:rPr>
        <w:t>. In accepting the grant, Participant acknowledges that:</w:t>
      </w:r>
    </w:p>
    <w:p>
      <w:pPr>
        <w:spacing w:after="0" w:line="171" w:lineRule="exact"/>
        <w:rPr>
          <w:rFonts w:ascii="Arial" w:cs="Arial" w:eastAsia="Arial" w:hAnsi="Arial"/>
          <w:sz w:val="18"/>
          <w:szCs w:val="18"/>
          <w:color w:val="auto"/>
        </w:rPr>
      </w:pPr>
    </w:p>
    <w:p>
      <w:pPr>
        <w:ind w:left="-20" w:right="60" w:firstLine="921"/>
        <w:spacing w:after="0" w:line="268" w:lineRule="auto"/>
        <w:tabs>
          <w:tab w:leader="none" w:pos="1132"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Plan is established voluntarily by the Company, it is discretionary in nature and it may be modified, amended, suspended or terminated by the Company at any time;</w:t>
      </w:r>
    </w:p>
    <w:p>
      <w:pPr>
        <w:spacing w:after="0" w:line="131" w:lineRule="exact"/>
        <w:rPr>
          <w:rFonts w:ascii="Arial" w:cs="Arial" w:eastAsia="Arial" w:hAnsi="Arial"/>
          <w:sz w:val="18"/>
          <w:szCs w:val="18"/>
          <w:color w:val="auto"/>
        </w:rPr>
      </w:pPr>
    </w:p>
    <w:p>
      <w:pPr>
        <w:ind w:left="-20" w:right="160" w:firstLine="921"/>
        <w:spacing w:after="0" w:line="268" w:lineRule="auto"/>
        <w:tabs>
          <w:tab w:leader="none" w:pos="1142"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grant of the Stock Unit is voluntary and occasional and does not create any contractual or other right to receive future grants of Stock Units, or benefits in lieu of Stock Units, even if Stock Units have been granted repeatedly in the past;</w:t>
      </w:r>
    </w:p>
    <w:p>
      <w:pPr>
        <w:spacing w:after="0" w:line="131" w:lineRule="exact"/>
        <w:rPr>
          <w:rFonts w:ascii="Arial" w:cs="Arial" w:eastAsia="Arial" w:hAnsi="Arial"/>
          <w:sz w:val="18"/>
          <w:szCs w:val="18"/>
          <w:color w:val="auto"/>
        </w:rPr>
      </w:pPr>
    </w:p>
    <w:p>
      <w:pPr>
        <w:ind w:left="1140" w:hanging="239"/>
        <w:spacing w:after="0"/>
        <w:tabs>
          <w:tab w:leader="none" w:pos="1140" w:val="left"/>
        </w:tabs>
        <w:numPr>
          <w:ilvl w:val="1"/>
          <w:numId w:val="40"/>
        </w:numPr>
        <w:rPr>
          <w:rFonts w:ascii="Arial" w:cs="Arial" w:eastAsia="Arial" w:hAnsi="Arial"/>
          <w:sz w:val="18"/>
          <w:szCs w:val="18"/>
          <w:color w:val="auto"/>
        </w:rPr>
      </w:pPr>
      <w:r>
        <w:rPr>
          <w:rFonts w:ascii="Arial" w:cs="Arial" w:eastAsia="Arial" w:hAnsi="Arial"/>
          <w:sz w:val="18"/>
          <w:szCs w:val="18"/>
          <w:color w:val="auto"/>
        </w:rPr>
        <w:t>all decisions with respect to future Stock Unit grants, if any, will be at the sole discretion of the Company;</w:t>
      </w:r>
    </w:p>
    <w:p>
      <w:pPr>
        <w:spacing w:after="0" w:line="171" w:lineRule="exact"/>
        <w:rPr>
          <w:rFonts w:ascii="Arial" w:cs="Arial" w:eastAsia="Arial" w:hAnsi="Arial"/>
          <w:sz w:val="18"/>
          <w:szCs w:val="18"/>
          <w:color w:val="auto"/>
        </w:rPr>
      </w:pPr>
    </w:p>
    <w:p>
      <w:pPr>
        <w:ind w:left="-20" w:right="200" w:firstLine="921"/>
        <w:spacing w:after="0" w:line="268" w:lineRule="auto"/>
        <w:tabs>
          <w:tab w:leader="none" w:pos="1142" w:val="left"/>
        </w:tabs>
        <w:numPr>
          <w:ilvl w:val="1"/>
          <w:numId w:val="40"/>
        </w:numPr>
        <w:rPr>
          <w:rFonts w:ascii="Arial" w:cs="Arial" w:eastAsia="Arial" w:hAnsi="Arial"/>
          <w:sz w:val="18"/>
          <w:szCs w:val="18"/>
          <w:color w:val="auto"/>
        </w:rPr>
      </w:pPr>
      <w:r>
        <w:rPr>
          <w:rFonts w:ascii="Arial" w:cs="Arial" w:eastAsia="Arial" w:hAnsi="Arial"/>
          <w:sz w:val="18"/>
          <w:szCs w:val="18"/>
          <w:color w:val="auto"/>
        </w:rPr>
        <w:t>Participant’s participation in the Plan shall not create a right to further employment with the Employer and shall not interfere with the ability of the Employer to terminate Participant’s employment or service relationship (if any) at any time;</w:t>
      </w:r>
    </w:p>
    <w:p>
      <w:pPr>
        <w:spacing w:after="0" w:line="131" w:lineRule="exact"/>
        <w:rPr>
          <w:rFonts w:ascii="Arial" w:cs="Arial" w:eastAsia="Arial" w:hAnsi="Arial"/>
          <w:sz w:val="18"/>
          <w:szCs w:val="18"/>
          <w:color w:val="auto"/>
        </w:rPr>
      </w:pPr>
    </w:p>
    <w:p>
      <w:pPr>
        <w:ind w:left="1140" w:hanging="239"/>
        <w:spacing w:after="0"/>
        <w:tabs>
          <w:tab w:leader="none" w:pos="1140" w:val="left"/>
        </w:tabs>
        <w:numPr>
          <w:ilvl w:val="1"/>
          <w:numId w:val="40"/>
        </w:numPr>
        <w:rPr>
          <w:rFonts w:ascii="Arial" w:cs="Arial" w:eastAsia="Arial" w:hAnsi="Arial"/>
          <w:sz w:val="18"/>
          <w:szCs w:val="18"/>
          <w:color w:val="auto"/>
        </w:rPr>
      </w:pPr>
      <w:r>
        <w:rPr>
          <w:rFonts w:ascii="Arial" w:cs="Arial" w:eastAsia="Arial" w:hAnsi="Arial"/>
          <w:sz w:val="18"/>
          <w:szCs w:val="18"/>
          <w:color w:val="auto"/>
        </w:rPr>
        <w:t>Participant is voluntarily participating in the Plan;</w:t>
      </w:r>
    </w:p>
    <w:p>
      <w:pPr>
        <w:spacing w:after="0" w:line="171" w:lineRule="exact"/>
        <w:rPr>
          <w:rFonts w:ascii="Arial" w:cs="Arial" w:eastAsia="Arial" w:hAnsi="Arial"/>
          <w:sz w:val="18"/>
          <w:szCs w:val="18"/>
          <w:color w:val="auto"/>
        </w:rPr>
      </w:pPr>
    </w:p>
    <w:p>
      <w:pPr>
        <w:ind w:left="-20" w:right="20" w:firstLine="921"/>
        <w:spacing w:after="0" w:line="332" w:lineRule="auto"/>
        <w:tabs>
          <w:tab w:leader="none" w:pos="1112" w:val="left"/>
        </w:tabs>
        <w:numPr>
          <w:ilvl w:val="1"/>
          <w:numId w:val="40"/>
        </w:numPr>
        <w:rPr>
          <w:rFonts w:ascii="Arial" w:cs="Arial" w:eastAsia="Arial" w:hAnsi="Arial"/>
          <w:sz w:val="16"/>
          <w:szCs w:val="16"/>
          <w:color w:val="auto"/>
        </w:rPr>
      </w:pPr>
      <w:r>
        <w:rPr>
          <w:rFonts w:ascii="Arial" w:cs="Arial" w:eastAsia="Arial" w:hAnsi="Arial"/>
          <w:sz w:val="16"/>
          <w:szCs w:val="16"/>
          <w:color w:val="auto"/>
        </w:rPr>
        <w:t>the Stock Unit and the Shares subject to the Stock Unit are extraordinary items that do not constitute compensation of any kind for services of any kind rendered to the Company, the Employer or any Subsidiary, and is outside the scope of Participant’s service or employment contract, if any;</w:t>
      </w:r>
    </w:p>
    <w:p>
      <w:pPr>
        <w:spacing w:after="0" w:line="85" w:lineRule="exact"/>
        <w:rPr>
          <w:rFonts w:ascii="Arial" w:cs="Arial" w:eastAsia="Arial" w:hAnsi="Arial"/>
          <w:sz w:val="16"/>
          <w:szCs w:val="16"/>
          <w:color w:val="auto"/>
        </w:rPr>
      </w:pPr>
    </w:p>
    <w:p>
      <w:pPr>
        <w:ind w:left="1140" w:hanging="239"/>
        <w:spacing w:after="0"/>
        <w:tabs>
          <w:tab w:leader="none" w:pos="1140"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Stock Unit and the Shares subject to the Stock Unit are not intended to replace any pension rights or compensation;</w:t>
      </w:r>
    </w:p>
    <w:p>
      <w:pPr>
        <w:spacing w:after="0" w:line="171" w:lineRule="exact"/>
        <w:rPr>
          <w:rFonts w:ascii="Arial" w:cs="Arial" w:eastAsia="Arial" w:hAnsi="Arial"/>
          <w:sz w:val="18"/>
          <w:szCs w:val="18"/>
          <w:color w:val="auto"/>
        </w:rPr>
      </w:pPr>
    </w:p>
    <w:p>
      <w:pPr>
        <w:ind w:left="-20" w:firstLine="921"/>
        <w:spacing w:after="0" w:line="256" w:lineRule="auto"/>
        <w:tabs>
          <w:tab w:leader="none" w:pos="1142"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Stock Unit and the Shares subject to the Stock Unit are not part of normal or expected compensation or salary for any purposes, including, but not limited to, calculating any severance, resignation, termination, redundancy, dismissal, end-of-service payments, bonuses, long-service awards, pension or retirement or welfare benefits or similar payments and in no event should be considered as compensation for, or relating in any way to, past services for the Company, the Employer or any Subsidiary;</w:t>
      </w:r>
    </w:p>
    <w:p>
      <w:pPr>
        <w:spacing w:after="0" w:line="143" w:lineRule="exact"/>
        <w:rPr>
          <w:rFonts w:ascii="Arial" w:cs="Arial" w:eastAsia="Arial" w:hAnsi="Arial"/>
          <w:sz w:val="18"/>
          <w:szCs w:val="18"/>
          <w:color w:val="auto"/>
        </w:rPr>
      </w:pPr>
    </w:p>
    <w:p>
      <w:pPr>
        <w:ind w:left="-20" w:right="340" w:firstLine="921"/>
        <w:spacing w:after="0" w:line="268" w:lineRule="auto"/>
        <w:tabs>
          <w:tab w:leader="none" w:pos="1103"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Stock Unit grant and Participant’s participation in the Plan will not be interpreted to form an employment contract or relationship with the Company or any Subsidiary of the Company;</w:t>
      </w:r>
    </w:p>
    <w:p>
      <w:pPr>
        <w:spacing w:after="0" w:line="131" w:lineRule="exact"/>
        <w:rPr>
          <w:rFonts w:ascii="Arial" w:cs="Arial" w:eastAsia="Arial" w:hAnsi="Arial"/>
          <w:sz w:val="18"/>
          <w:szCs w:val="18"/>
          <w:color w:val="auto"/>
        </w:rPr>
      </w:pPr>
    </w:p>
    <w:p>
      <w:pPr>
        <w:ind w:left="1120" w:hanging="219"/>
        <w:spacing w:after="0"/>
        <w:tabs>
          <w:tab w:leader="none" w:pos="1120"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future value of the underlying Shares is unknown and cannot be predicted with certainty;</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60" w:top="280" w:right="239" w:bottom="1440" w:gutter="0" w:footer="0" w:header="0"/>
        </w:sectPr>
      </w:pPr>
    </w:p>
    <w:bookmarkStart w:id="64" w:name="page65"/>
    <w:bookmarkEnd w:id="64"/>
    <w:p>
      <w:pPr>
        <w:ind w:right="40" w:firstLine="921"/>
        <w:spacing w:after="0" w:line="255" w:lineRule="auto"/>
        <w:tabs>
          <w:tab w:leader="none" w:pos="1162" w:val="left"/>
        </w:tabs>
        <w:numPr>
          <w:ilvl w:val="0"/>
          <w:numId w:val="4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consideration of the Award of Stock Units, no claim or entitlement to compensation or damages shall arise from forfeiture of the Stock Units resulting from termination of Participant’s Continuous Service with the Company, the Employer or any Subsidiary (for any reason whatsoever and whether or not in breach of local labor laws), and Participant irrevocably releases the Company, the Employer, and any Subsidiary from any such claim that may arise; if, notwithstanding the foregoing, any such claim is found by a court of competent jurisdiction to have arisen, Participant shall be deemed irrevocably to have waived Participant’s entitlement to pursue such claim;</w:t>
      </w:r>
    </w:p>
    <w:p>
      <w:pPr>
        <w:spacing w:after="0" w:line="142" w:lineRule="exact"/>
        <w:rPr>
          <w:rFonts w:ascii="Arial" w:cs="Arial" w:eastAsia="Arial" w:hAnsi="Arial"/>
          <w:sz w:val="18"/>
          <w:szCs w:val="18"/>
          <w:color w:val="auto"/>
        </w:rPr>
      </w:pPr>
    </w:p>
    <w:p>
      <w:pPr>
        <w:jc w:val="both"/>
        <w:ind w:right="320" w:firstLine="921"/>
        <w:spacing w:after="0" w:line="298" w:lineRule="auto"/>
        <w:tabs>
          <w:tab w:leader="none" w:pos="1123" w:val="left"/>
        </w:tabs>
        <w:numPr>
          <w:ilvl w:val="0"/>
          <w:numId w:val="41"/>
        </w:numPr>
        <w:rPr>
          <w:rFonts w:ascii="Arial" w:cs="Arial" w:eastAsia="Arial" w:hAnsi="Arial"/>
          <w:sz w:val="16"/>
          <w:szCs w:val="16"/>
          <w:color w:val="auto"/>
        </w:rPr>
      </w:pPr>
      <w:r>
        <w:rPr>
          <w:rFonts w:ascii="Arial" w:cs="Arial" w:eastAsia="Arial" w:hAnsi="Arial"/>
          <w:sz w:val="16"/>
          <w:szCs w:val="16"/>
          <w:color w:val="auto"/>
        </w:rPr>
        <w:t>in the event of termination of Participant’s Continuous Service (whether or not in breach of local labor laws), Participant’s right to vest in the Stock Unit under the Plan, if any, will terminate effective as of the date that Participant is no longer actively employed and will not be extended by any notice period mandated under local law (</w:t>
      </w:r>
      <w:r>
        <w:rPr>
          <w:rFonts w:ascii="Arial" w:cs="Arial" w:eastAsia="Arial" w:hAnsi="Arial"/>
          <w:sz w:val="16"/>
          <w:szCs w:val="16"/>
          <w:i w:val="1"/>
          <w:iCs w:val="1"/>
          <w:color w:val="auto"/>
        </w:rPr>
        <w:t>e.g.</w:t>
      </w:r>
      <w:r>
        <w:rPr>
          <w:rFonts w:ascii="Arial" w:cs="Arial" w:eastAsia="Arial" w:hAnsi="Arial"/>
          <w:sz w:val="16"/>
          <w:szCs w:val="16"/>
          <w:color w:val="auto"/>
        </w:rPr>
        <w:t>, active Continuous Service would not include a period of “garden leave” or similar period pursuant to local law); the Administrator shall have the exclusive discretion to determine when I am no longer actively employed for purposes of Participant’s Stock Unit grant;</w:t>
      </w:r>
    </w:p>
    <w:p>
      <w:pPr>
        <w:spacing w:after="0" w:line="112" w:lineRule="exact"/>
        <w:rPr>
          <w:rFonts w:ascii="Arial" w:cs="Arial" w:eastAsia="Arial" w:hAnsi="Arial"/>
          <w:sz w:val="16"/>
          <w:szCs w:val="16"/>
          <w:color w:val="auto"/>
        </w:rPr>
      </w:pPr>
    </w:p>
    <w:p>
      <w:pPr>
        <w:ind w:right="480" w:firstLine="921"/>
        <w:spacing w:after="0" w:line="268" w:lineRule="auto"/>
        <w:tabs>
          <w:tab w:leader="none" w:pos="121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Company is not providing any tax, legal or financial advice, nor is the Company making any recommendations regarding Participant’s participation in the Plan;</w:t>
      </w:r>
    </w:p>
    <w:p>
      <w:pPr>
        <w:spacing w:after="0" w:line="131" w:lineRule="exact"/>
        <w:rPr>
          <w:rFonts w:ascii="Arial" w:cs="Arial" w:eastAsia="Arial" w:hAnsi="Arial"/>
          <w:sz w:val="18"/>
          <w:szCs w:val="18"/>
          <w:color w:val="auto"/>
        </w:rPr>
      </w:pPr>
    </w:p>
    <w:p>
      <w:pPr>
        <w:ind w:right="220" w:firstLine="921"/>
        <w:spacing w:after="0" w:line="268" w:lineRule="auto"/>
        <w:tabs>
          <w:tab w:leader="none" w:pos="1162" w:val="left"/>
        </w:tabs>
        <w:numPr>
          <w:ilvl w:val="0"/>
          <w:numId w:val="41"/>
        </w:numPr>
        <w:rPr>
          <w:rFonts w:ascii="Arial" w:cs="Arial" w:eastAsia="Arial" w:hAnsi="Arial"/>
          <w:sz w:val="18"/>
          <w:szCs w:val="18"/>
          <w:color w:val="auto"/>
        </w:rPr>
      </w:pPr>
      <w:r>
        <w:rPr>
          <w:rFonts w:ascii="Arial" w:cs="Arial" w:eastAsia="Arial" w:hAnsi="Arial"/>
          <w:sz w:val="18"/>
          <w:szCs w:val="18"/>
          <w:color w:val="auto"/>
        </w:rPr>
        <w:t>Participant is hereby advised to consult with his or her own personal tax, legal and financial advisors regarding participation in the Plan before taking any action related to the Plan; and</w:t>
      </w:r>
    </w:p>
    <w:p>
      <w:pPr>
        <w:spacing w:after="0" w:line="131" w:lineRule="exact"/>
        <w:rPr>
          <w:rFonts w:ascii="Arial" w:cs="Arial" w:eastAsia="Arial" w:hAnsi="Arial"/>
          <w:sz w:val="18"/>
          <w:szCs w:val="18"/>
          <w:color w:val="auto"/>
        </w:rPr>
      </w:pPr>
    </w:p>
    <w:p>
      <w:pPr>
        <w:ind w:right="300" w:firstLine="921"/>
        <w:spacing w:after="0" w:line="268" w:lineRule="auto"/>
        <w:tabs>
          <w:tab w:leader="none" w:pos="1162"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Stock Unit and the benefits under the Plan, if any, will not automatically transfer to another company in the case of a merger, take-over or transfer of liability.</w:t>
      </w:r>
    </w:p>
    <w:p>
      <w:pPr>
        <w:spacing w:after="0" w:line="132" w:lineRule="exact"/>
        <w:rPr>
          <w:sz w:val="20"/>
          <w:szCs w:val="20"/>
          <w:color w:val="auto"/>
        </w:rPr>
      </w:pPr>
    </w:p>
    <w:p>
      <w:pPr>
        <w:ind w:right="100" w:firstLine="464"/>
        <w:spacing w:after="0" w:line="335" w:lineRule="auto"/>
        <w:tabs>
          <w:tab w:leader="none" w:pos="720" w:val="left"/>
        </w:tabs>
        <w:numPr>
          <w:ilvl w:val="0"/>
          <w:numId w:val="42"/>
        </w:numPr>
        <w:rPr>
          <w:rFonts w:ascii="Arial" w:cs="Arial" w:eastAsia="Arial" w:hAnsi="Arial"/>
          <w:sz w:val="15"/>
          <w:szCs w:val="15"/>
          <w:color w:val="auto"/>
        </w:rPr>
      </w:pPr>
      <w:r>
        <w:rPr>
          <w:rFonts w:ascii="Arial" w:cs="Arial" w:eastAsia="Arial" w:hAnsi="Arial"/>
          <w:sz w:val="15"/>
          <w:szCs w:val="15"/>
          <w:b w:val="1"/>
          <w:bCs w:val="1"/>
          <w:i w:val="1"/>
          <w:iCs w:val="1"/>
          <w:u w:val="single" w:color="auto"/>
          <w:color w:val="auto"/>
        </w:rPr>
        <w:t>Data Privacy Notice and Consent</w:t>
      </w:r>
      <w:r>
        <w:rPr>
          <w:rFonts w:ascii="Arial" w:cs="Arial" w:eastAsia="Arial" w:hAnsi="Arial"/>
          <w:sz w:val="15"/>
          <w:szCs w:val="15"/>
          <w:b w:val="1"/>
          <w:bCs w:val="1"/>
          <w:i w:val="1"/>
          <w:iCs w:val="1"/>
          <w:color w:val="auto"/>
        </w:rPr>
        <w:t>. Participant hereby explicitly and unambiguously consents to the collection, use and transfer, in electronic or other form, of Participant’s personal data as described in this Agreement and any other Stock Unit grant materials by and among, as applicable, the Employer, the Company and its Subsidiaries for the exclusive purpose of implementing, administering and managing Participant’s participation in the Plan.</w:t>
      </w:r>
    </w:p>
    <w:p>
      <w:pPr>
        <w:spacing w:after="0" w:line="88" w:lineRule="exact"/>
        <w:rPr>
          <w:sz w:val="20"/>
          <w:szCs w:val="20"/>
          <w:color w:val="auto"/>
        </w:rPr>
      </w:pPr>
    </w:p>
    <w:p>
      <w:pPr>
        <w:ind w:firstLine="913"/>
        <w:spacing w:after="0" w:line="323" w:lineRule="auto"/>
        <w:rPr>
          <w:sz w:val="20"/>
          <w:szCs w:val="20"/>
          <w:color w:val="auto"/>
        </w:rPr>
      </w:pPr>
      <w:r>
        <w:rPr>
          <w:rFonts w:ascii="Arial" w:cs="Arial" w:eastAsia="Arial" w:hAnsi="Arial"/>
          <w:sz w:val="15"/>
          <w:szCs w:val="15"/>
          <w:b w:val="1"/>
          <w:bCs w:val="1"/>
          <w:i w:val="1"/>
          <w:iCs w:val="1"/>
          <w:color w:val="auto"/>
        </w:rPr>
        <w:t>Participant understands that the Company and the Employer may hold certain personal information about Participant, including, but not limited to, Participant’s name, home address and telephone number, date of birth, social insurance number or other identification number, salary, nationality, job title, any Shares or directorships held in the Company, details of all Stock Units or any other entitlement to shares of stock awarded, canceled, exercised, vested, unvested or outstanding in Participant’s favor, for the exclusive purpose of implementing, administering and managing the Plan (“Data”).</w:t>
      </w:r>
    </w:p>
    <w:p>
      <w:pPr>
        <w:spacing w:after="0" w:line="98" w:lineRule="exact"/>
        <w:rPr>
          <w:sz w:val="20"/>
          <w:szCs w:val="20"/>
          <w:color w:val="auto"/>
        </w:rPr>
      </w:pPr>
    </w:p>
    <w:p>
      <w:pPr>
        <w:ind w:right="260" w:firstLine="913"/>
        <w:spacing w:after="0" w:line="259" w:lineRule="auto"/>
        <w:rPr>
          <w:sz w:val="20"/>
          <w:szCs w:val="20"/>
          <w:color w:val="auto"/>
        </w:rPr>
      </w:pPr>
      <w:r>
        <w:rPr>
          <w:rFonts w:ascii="Arial" w:cs="Arial" w:eastAsia="Arial" w:hAnsi="Arial"/>
          <w:sz w:val="18"/>
          <w:szCs w:val="18"/>
          <w:b w:val="1"/>
          <w:bCs w:val="1"/>
          <w:i w:val="1"/>
          <w:iCs w:val="1"/>
          <w:color w:val="auto"/>
        </w:rPr>
        <w:t>Participant understands that Data will be transferred to Smith Barney, E*Trade or to any other third party assisting in the implementation, administration and management of the Plan. Participant understands that the recipients of the Data may be located in the United States or elsewhere, and that the recipients’ country (e.g., the United States) may have different</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80" w:right="259" w:bottom="1440" w:gutter="0" w:footer="0" w:header="0"/>
        </w:sectPr>
      </w:pPr>
    </w:p>
    <w:bookmarkStart w:id="65" w:name="page66"/>
    <w:bookmarkEnd w:id="65"/>
    <w:p>
      <w:pPr>
        <w:spacing w:after="0" w:line="308" w:lineRule="auto"/>
        <w:rPr>
          <w:sz w:val="20"/>
          <w:szCs w:val="20"/>
          <w:color w:val="auto"/>
        </w:rPr>
      </w:pPr>
      <w:r>
        <w:rPr>
          <w:rFonts w:ascii="Arial" w:cs="Arial" w:eastAsia="Arial" w:hAnsi="Arial"/>
          <w:sz w:val="15"/>
          <w:szCs w:val="15"/>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data privacy laws and protections than Participant’s country. Participant understands that Participant may request a list with the names and addresses of any potential recipients of the Data by contacting Participant’s local human resources representative. Participant authorizes the Company, Smith Barney, E*Trade and any other possible recipients which may assist the Company (presently or in the future) with implementing, administering and managing the Plan to receive, possess, use, retain and transfer the Data, in electronic or other form, for the sole purpose of implementing, administering and managing Participant’s participation in the Plan. Participant understands that Data will be held only as long as is necessary to implement, administer and manage Participant’s participation in the Plan. Participant understands that Participant may, at any time, view Data, request additional information about the storage and processing of Data, require any necessary amendments to Data or refuse or withdraw the consents herein, in any case without cost, by contacting in writing Participant’s local human resources representative. Participant understands, however, that refusing or withdrawing Participant’s consent may affect Participant’s ability to participate in the Plan. For more information on the consequences of Participant’s refusal to consent or withdrawal of consent, Participant understands that Participant may contact Participant’s local human resources representative.</w:t>
      </w:r>
    </w:p>
    <w:p>
      <w:pPr>
        <w:spacing w:after="0" w:line="103" w:lineRule="exact"/>
        <w:rPr>
          <w:sz w:val="20"/>
          <w:szCs w:val="20"/>
          <w:color w:val="auto"/>
        </w:rPr>
      </w:pPr>
    </w:p>
    <w:p>
      <w:pPr>
        <w:ind w:right="80" w:firstLine="464"/>
        <w:spacing w:after="0" w:line="290" w:lineRule="auto"/>
        <w:tabs>
          <w:tab w:leader="none" w:pos="713" w:val="left"/>
        </w:tabs>
        <w:numPr>
          <w:ilvl w:val="0"/>
          <w:numId w:val="43"/>
        </w:numPr>
        <w:rPr>
          <w:rFonts w:ascii="Arial" w:cs="Arial" w:eastAsia="Arial" w:hAnsi="Arial"/>
          <w:sz w:val="16"/>
          <w:szCs w:val="16"/>
          <w:color w:val="auto"/>
        </w:rPr>
      </w:pPr>
      <w:r>
        <w:rPr>
          <w:rFonts w:ascii="Arial" w:cs="Arial" w:eastAsia="Arial" w:hAnsi="Arial"/>
          <w:sz w:val="16"/>
          <w:szCs w:val="16"/>
          <w:b w:val="1"/>
          <w:bCs w:val="1"/>
          <w:u w:val="single" w:color="auto"/>
          <w:color w:val="auto"/>
        </w:rPr>
        <w:t>No Guarantee of Continued Service</w:t>
      </w:r>
      <w:r>
        <w:rPr>
          <w:rFonts w:ascii="Arial" w:cs="Arial" w:eastAsia="Arial" w:hAnsi="Arial"/>
          <w:sz w:val="16"/>
          <w:szCs w:val="16"/>
          <w:b w:val="1"/>
          <w:bCs w:val="1"/>
          <w:color w:val="auto"/>
        </w:rPr>
        <w:t>. PARTICIPANT ACKNOWLEDGES AND AGREES THAT THE VESTING OF THE STOCK UNITS PURSUANT TO THE VESTING SCHEDULE HEREOF IS EARNED ONLY BY PROVIDING CONTINUOUS SERVICE AT THE WILL OF THE EMPLOYER AND NOT THROUGH THE ACT OF BEING HIRED, BEING GRANTED THIS AWARD OF STOCK UNITS OR ACQUIRING SHARES HEREUNDER. PARTICIPANT FURTHER ACKNOWLEDGES AND AGREES THAT THIS AGREEMENT, THE TRANSACTIONS CONTEMPLATED HEREUNDER AND THE VESTING SCHEDULE SET FORTH HEREIN DO NOT CONSTITUTE AN EXPRESS OR IMPLIED PROMISE OF CONTINUED ENGAGEMENT FOR CONTINUOUS SERVICE FOR THE VESTING PERIOD, FOR ANY PERIOD, OR AT ALL, AND WILL NOT INTERFERE IN ANY WAY WITH PARTICIPANT’S RIGHT OR THE RIGHT OF THE EMPLOYER TO TERMINATE PARTICIPANT’S CONTINUOUS SERVICE AT ANY TIME, WITH OR WITHOUT CAUSE.</w:t>
      </w:r>
    </w:p>
    <w:p>
      <w:pPr>
        <w:spacing w:after="0" w:line="118" w:lineRule="exact"/>
        <w:rPr>
          <w:rFonts w:ascii="Arial" w:cs="Arial" w:eastAsia="Arial" w:hAnsi="Arial"/>
          <w:sz w:val="16"/>
          <w:szCs w:val="16"/>
          <w:color w:val="auto"/>
        </w:rPr>
      </w:pPr>
    </w:p>
    <w:p>
      <w:pPr>
        <w:ind w:right="440" w:firstLine="464"/>
        <w:spacing w:after="0" w:line="268" w:lineRule="auto"/>
        <w:tabs>
          <w:tab w:leader="none" w:pos="720" w:val="left"/>
        </w:tabs>
        <w:numPr>
          <w:ilvl w:val="0"/>
          <w:numId w:val="43"/>
        </w:numPr>
        <w:rPr>
          <w:rFonts w:ascii="Arial" w:cs="Arial" w:eastAsia="Arial" w:hAnsi="Arial"/>
          <w:sz w:val="18"/>
          <w:szCs w:val="18"/>
          <w:color w:val="auto"/>
        </w:rPr>
      </w:pPr>
      <w:r>
        <w:rPr>
          <w:rFonts w:ascii="Arial" w:cs="Arial" w:eastAsia="Arial" w:hAnsi="Arial"/>
          <w:sz w:val="18"/>
          <w:szCs w:val="18"/>
          <w:u w:val="single" w:color="auto"/>
          <w:color w:val="auto"/>
        </w:rPr>
        <w:t>Address for Notices</w:t>
      </w:r>
      <w:r>
        <w:rPr>
          <w:rFonts w:ascii="Arial" w:cs="Arial" w:eastAsia="Arial" w:hAnsi="Arial"/>
          <w:sz w:val="18"/>
          <w:szCs w:val="18"/>
          <w:color w:val="auto"/>
        </w:rPr>
        <w:t>. Any notice to be given to the Company under the terms of this Agreement will be addressed to the Company at its corporate headquarters, or at such other address as the Company may hereafter designate in writing.</w:t>
      </w:r>
    </w:p>
    <w:p>
      <w:pPr>
        <w:spacing w:after="0" w:line="131" w:lineRule="exact"/>
        <w:rPr>
          <w:rFonts w:ascii="Arial" w:cs="Arial" w:eastAsia="Arial" w:hAnsi="Arial"/>
          <w:sz w:val="18"/>
          <w:szCs w:val="18"/>
          <w:color w:val="auto"/>
        </w:rPr>
      </w:pPr>
    </w:p>
    <w:p>
      <w:pPr>
        <w:ind w:right="620" w:firstLine="464"/>
        <w:spacing w:after="0" w:line="332" w:lineRule="auto"/>
        <w:tabs>
          <w:tab w:leader="none" w:pos="720" w:val="left"/>
        </w:tabs>
        <w:numPr>
          <w:ilvl w:val="0"/>
          <w:numId w:val="43"/>
        </w:numPr>
        <w:rPr>
          <w:rFonts w:ascii="Arial" w:cs="Arial" w:eastAsia="Arial" w:hAnsi="Arial"/>
          <w:sz w:val="16"/>
          <w:szCs w:val="16"/>
          <w:color w:val="auto"/>
        </w:rPr>
      </w:pPr>
      <w:r>
        <w:rPr>
          <w:rFonts w:ascii="Arial" w:cs="Arial" w:eastAsia="Arial" w:hAnsi="Arial"/>
          <w:sz w:val="16"/>
          <w:szCs w:val="16"/>
          <w:u w:val="single" w:color="auto"/>
          <w:color w:val="auto"/>
        </w:rPr>
        <w:t>Grant is Not Transferable</w:t>
      </w:r>
      <w:r>
        <w:rPr>
          <w:rFonts w:ascii="Arial" w:cs="Arial" w:eastAsia="Arial" w:hAnsi="Arial"/>
          <w:sz w:val="16"/>
          <w:szCs w:val="16"/>
          <w:color w:val="auto"/>
        </w:rPr>
        <w:t>. This Award of Stock Units may not be transferred in any manner otherwise than by will or by the laws of descent or distribution. The terms of Award of Stock Units shall be binding upon the executors, administrators, heirs, successors and assigns of Participant.</w:t>
      </w:r>
    </w:p>
    <w:p>
      <w:pPr>
        <w:spacing w:after="0" w:line="85" w:lineRule="exact"/>
        <w:rPr>
          <w:rFonts w:ascii="Arial" w:cs="Arial" w:eastAsia="Arial" w:hAnsi="Arial"/>
          <w:sz w:val="16"/>
          <w:szCs w:val="16"/>
          <w:color w:val="auto"/>
        </w:rPr>
      </w:pPr>
    </w:p>
    <w:p>
      <w:pPr>
        <w:ind w:right="480" w:firstLine="464"/>
        <w:spacing w:after="0" w:line="268" w:lineRule="auto"/>
        <w:tabs>
          <w:tab w:leader="none" w:pos="720" w:val="left"/>
        </w:tabs>
        <w:numPr>
          <w:ilvl w:val="0"/>
          <w:numId w:val="43"/>
        </w:numPr>
        <w:rPr>
          <w:rFonts w:ascii="Arial" w:cs="Arial" w:eastAsia="Arial" w:hAnsi="Arial"/>
          <w:sz w:val="18"/>
          <w:szCs w:val="18"/>
          <w:color w:val="auto"/>
        </w:rPr>
      </w:pPr>
      <w:r>
        <w:rPr>
          <w:rFonts w:ascii="Arial" w:cs="Arial" w:eastAsia="Arial" w:hAnsi="Arial"/>
          <w:sz w:val="18"/>
          <w:szCs w:val="18"/>
          <w:u w:val="single" w:color="auto"/>
          <w:color w:val="auto"/>
        </w:rPr>
        <w:t>Plan Governs</w:t>
      </w:r>
      <w:r>
        <w:rPr>
          <w:rFonts w:ascii="Arial" w:cs="Arial" w:eastAsia="Arial" w:hAnsi="Arial"/>
          <w:sz w:val="18"/>
          <w:szCs w:val="18"/>
          <w:color w:val="auto"/>
        </w:rPr>
        <w:t>. This Agreement is subject to all terms and provisions of the Plan. In the event of a conflict between one or more provisions of this Agreement and one or more provisions of the Plan, the provisions of the Plan will govern.</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280" w:right="279" w:bottom="1440" w:gutter="0" w:footer="0" w:header="0"/>
        </w:sectPr>
      </w:pPr>
    </w:p>
    <w:bookmarkStart w:id="66" w:name="page67"/>
    <w:bookmarkEnd w:id="66"/>
    <w:p>
      <w:pPr>
        <w:ind w:left="-40" w:right="60" w:firstLine="464"/>
        <w:spacing w:after="0" w:line="268" w:lineRule="auto"/>
        <w:tabs>
          <w:tab w:leader="none" w:pos="68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Binding Agreement</w:t>
      </w:r>
      <w:r>
        <w:rPr>
          <w:rFonts w:ascii="Arial" w:cs="Arial" w:eastAsia="Arial" w:hAnsi="Arial"/>
          <w:sz w:val="18"/>
          <w:szCs w:val="18"/>
          <w:color w:val="auto"/>
        </w:rPr>
        <w:t>. Subject to the limitation on the transferability of this grant contained herein, this Agreement will be binding upon and inure to the benefit of the heirs, legatees, legal representatives, successors and assigns of the parties hereto.</w:t>
      </w:r>
    </w:p>
    <w:p>
      <w:pPr>
        <w:spacing w:after="0" w:line="131" w:lineRule="exact"/>
        <w:rPr>
          <w:rFonts w:ascii="Arial" w:cs="Arial" w:eastAsia="Arial" w:hAnsi="Arial"/>
          <w:sz w:val="18"/>
          <w:szCs w:val="18"/>
          <w:color w:val="auto"/>
        </w:rPr>
      </w:pPr>
    </w:p>
    <w:p>
      <w:pPr>
        <w:ind w:left="-40" w:firstLine="464"/>
        <w:spacing w:after="0" w:line="289" w:lineRule="auto"/>
        <w:tabs>
          <w:tab w:leader="none" w:pos="680" w:val="left"/>
        </w:tabs>
        <w:numPr>
          <w:ilvl w:val="0"/>
          <w:numId w:val="44"/>
        </w:numPr>
        <w:rPr>
          <w:rFonts w:ascii="Arial" w:cs="Arial" w:eastAsia="Arial" w:hAnsi="Arial"/>
          <w:sz w:val="16"/>
          <w:szCs w:val="16"/>
          <w:color w:val="auto"/>
        </w:rPr>
      </w:pPr>
      <w:r>
        <w:rPr>
          <w:rFonts w:ascii="Arial" w:cs="Arial" w:eastAsia="Arial" w:hAnsi="Arial"/>
          <w:sz w:val="16"/>
          <w:szCs w:val="16"/>
          <w:u w:val="single" w:color="auto"/>
          <w:color w:val="auto"/>
        </w:rPr>
        <w:t>Additional Conditions to Issuance of Stock</w:t>
      </w:r>
      <w:r>
        <w:rPr>
          <w:rFonts w:ascii="Arial" w:cs="Arial" w:eastAsia="Arial" w:hAnsi="Arial"/>
          <w:sz w:val="16"/>
          <w:szCs w:val="16"/>
          <w:color w:val="auto"/>
        </w:rPr>
        <w:t>. If at any time the Company will determine, in its discretion, that the listing, registration or qualification of the Shares upon any securities exchange or under any U.S. state or federal law, any local or foreign law, or the consent or approval of any governmental regulatory authority is necessary or desirable as a condition to the issuance of Shares to Participant (or his or her estate or legal representative), such issuance will not occur unless and until such listing, registration, qualification, consent or approval will have been effected or obtained free of any conditions not acceptable to the Company. Where the Company determines that the delivery of the payment of any Shares will violate federal securities laws or other applicable laws, the Company will defer delivery until the earliest date at which the Company reasonably anticipates that the delivery of Shares will no longer cause such violation. The Company will make all reasonable efforts to meet the requirements of any such U.S. state or federal law, or any local or foreign securities exchange, and to obtain any such consent or approval of any such governmental authority.</w:t>
      </w:r>
    </w:p>
    <w:p>
      <w:pPr>
        <w:spacing w:after="0" w:line="118" w:lineRule="exact"/>
        <w:rPr>
          <w:rFonts w:ascii="Arial" w:cs="Arial" w:eastAsia="Arial" w:hAnsi="Arial"/>
          <w:sz w:val="16"/>
          <w:szCs w:val="16"/>
          <w:color w:val="auto"/>
        </w:rPr>
      </w:pPr>
    </w:p>
    <w:p>
      <w:pPr>
        <w:ind w:left="-40" w:firstLine="464"/>
        <w:spacing w:after="0" w:line="294" w:lineRule="auto"/>
        <w:tabs>
          <w:tab w:leader="none" w:pos="680" w:val="left"/>
        </w:tabs>
        <w:numPr>
          <w:ilvl w:val="0"/>
          <w:numId w:val="44"/>
        </w:numPr>
        <w:rPr>
          <w:rFonts w:ascii="Arial" w:cs="Arial" w:eastAsia="Arial" w:hAnsi="Arial"/>
          <w:sz w:val="16"/>
          <w:szCs w:val="16"/>
          <w:color w:val="auto"/>
        </w:rPr>
      </w:pPr>
      <w:r>
        <w:rPr>
          <w:rFonts w:ascii="Arial" w:cs="Arial" w:eastAsia="Arial" w:hAnsi="Arial"/>
          <w:sz w:val="16"/>
          <w:szCs w:val="16"/>
          <w:u w:val="single" w:color="auto"/>
          <w:color w:val="auto"/>
        </w:rPr>
        <w:t>Administrator Authority</w:t>
      </w:r>
      <w:r>
        <w:rPr>
          <w:rFonts w:ascii="Arial" w:cs="Arial" w:eastAsia="Arial" w:hAnsi="Arial"/>
          <w:sz w:val="16"/>
          <w:szCs w:val="16"/>
          <w:color w:val="auto"/>
        </w:rPr>
        <w:t>. The Administrator will have the power to interpret the Plan and this Agreement and to adopt such rules for the administration, interpretation and application of the Plan as are consistent therewith and to interpret or revoke any such rules (including, but not limited to, the determination of whether or not any Stock Units have vested). All actions taken and all interpretations and determinations made by the Administrator in good faith will be final and binding upon Participant, the Company and all other interested persons. No member of the Administrator will be personally liable for any action, determination or interpretation made in good faith with respect to the Plan or this Agreement.</w:t>
      </w:r>
    </w:p>
    <w:p>
      <w:pPr>
        <w:spacing w:after="0" w:line="115" w:lineRule="exact"/>
        <w:rPr>
          <w:rFonts w:ascii="Arial" w:cs="Arial" w:eastAsia="Arial" w:hAnsi="Arial"/>
          <w:sz w:val="16"/>
          <w:szCs w:val="16"/>
          <w:color w:val="auto"/>
        </w:rPr>
      </w:pPr>
    </w:p>
    <w:p>
      <w:pPr>
        <w:ind w:left="-40" w:firstLine="464"/>
        <w:spacing w:after="0" w:line="298" w:lineRule="auto"/>
        <w:tabs>
          <w:tab w:leader="none" w:pos="680" w:val="left"/>
        </w:tabs>
        <w:numPr>
          <w:ilvl w:val="0"/>
          <w:numId w:val="44"/>
        </w:numPr>
        <w:rPr>
          <w:rFonts w:ascii="Arial" w:cs="Arial" w:eastAsia="Arial" w:hAnsi="Arial"/>
          <w:sz w:val="16"/>
          <w:szCs w:val="16"/>
          <w:color w:val="auto"/>
        </w:rPr>
      </w:pPr>
      <w:r>
        <w:rPr>
          <w:rFonts w:ascii="Arial" w:cs="Arial" w:eastAsia="Arial" w:hAnsi="Arial"/>
          <w:sz w:val="16"/>
          <w:szCs w:val="16"/>
          <w:u w:val="single" w:color="auto"/>
          <w:color w:val="auto"/>
        </w:rPr>
        <w:t>Electronic Delivery and Participation</w:t>
      </w:r>
      <w:r>
        <w:rPr>
          <w:rFonts w:ascii="Arial" w:cs="Arial" w:eastAsia="Arial" w:hAnsi="Arial"/>
          <w:sz w:val="16"/>
          <w:szCs w:val="16"/>
          <w:color w:val="auto"/>
        </w:rPr>
        <w:t>. The Company may, in its sole discretion, decide to deliver any documents related to Stock Units awarded under the Plan or future Stock Units that may be awarded under the Plan by electronic means or request Participant’s consent to participate in the Plan by electronic means. Participant hereby consents to receive such documents by electronic delivery and agrees to participate in the Plan through any on-line or electronic system established and maintained by the Company or another third party designated by the Company.</w:t>
      </w:r>
    </w:p>
    <w:p>
      <w:pPr>
        <w:spacing w:after="0" w:line="112" w:lineRule="exact"/>
        <w:rPr>
          <w:rFonts w:ascii="Arial" w:cs="Arial" w:eastAsia="Arial" w:hAnsi="Arial"/>
          <w:sz w:val="16"/>
          <w:szCs w:val="16"/>
          <w:color w:val="auto"/>
        </w:rPr>
      </w:pPr>
    </w:p>
    <w:p>
      <w:pPr>
        <w:ind w:left="680" w:hanging="256"/>
        <w:spacing w:after="0"/>
        <w:tabs>
          <w:tab w:leader="none" w:pos="680" w:val="left"/>
        </w:tabs>
        <w:numPr>
          <w:ilvl w:val="0"/>
          <w:numId w:val="44"/>
        </w:numPr>
        <w:rPr>
          <w:rFonts w:ascii="Arial" w:cs="Arial" w:eastAsia="Arial" w:hAnsi="Arial"/>
          <w:sz w:val="16"/>
          <w:szCs w:val="16"/>
          <w:color w:val="auto"/>
        </w:rPr>
      </w:pPr>
      <w:r>
        <w:rPr>
          <w:rFonts w:ascii="Arial" w:cs="Arial" w:eastAsia="Arial" w:hAnsi="Arial"/>
          <w:sz w:val="16"/>
          <w:szCs w:val="16"/>
          <w:u w:val="single" w:color="auto"/>
          <w:color w:val="auto"/>
        </w:rPr>
        <w:t>Captions</w:t>
      </w:r>
      <w:r>
        <w:rPr>
          <w:rFonts w:ascii="Arial" w:cs="Arial" w:eastAsia="Arial" w:hAnsi="Arial"/>
          <w:sz w:val="16"/>
          <w:szCs w:val="16"/>
          <w:color w:val="auto"/>
        </w:rPr>
        <w:t>. Captions provided herein are for convenience only and are not to serve as a basis for interpretation or construction of this Agreement.</w:t>
      </w:r>
    </w:p>
    <w:p>
      <w:pPr>
        <w:spacing w:after="0" w:line="194" w:lineRule="exact"/>
        <w:rPr>
          <w:rFonts w:ascii="Arial" w:cs="Arial" w:eastAsia="Arial" w:hAnsi="Arial"/>
          <w:sz w:val="16"/>
          <w:szCs w:val="16"/>
          <w:color w:val="auto"/>
        </w:rPr>
      </w:pPr>
    </w:p>
    <w:p>
      <w:pPr>
        <w:ind w:left="-40" w:right="200" w:firstLine="464"/>
        <w:spacing w:after="0" w:line="332" w:lineRule="auto"/>
        <w:tabs>
          <w:tab w:leader="none" w:pos="680" w:val="left"/>
        </w:tabs>
        <w:numPr>
          <w:ilvl w:val="0"/>
          <w:numId w:val="44"/>
        </w:numPr>
        <w:rPr>
          <w:rFonts w:ascii="Arial" w:cs="Arial" w:eastAsia="Arial" w:hAnsi="Arial"/>
          <w:sz w:val="16"/>
          <w:szCs w:val="16"/>
          <w:color w:val="auto"/>
        </w:rPr>
      </w:pPr>
      <w:r>
        <w:rPr>
          <w:rFonts w:ascii="Arial" w:cs="Arial" w:eastAsia="Arial" w:hAnsi="Arial"/>
          <w:sz w:val="16"/>
          <w:szCs w:val="16"/>
          <w:u w:val="single" w:color="auto"/>
          <w:color w:val="auto"/>
        </w:rPr>
        <w:t>Agreement Severable</w:t>
      </w:r>
      <w:r>
        <w:rPr>
          <w:rFonts w:ascii="Arial" w:cs="Arial" w:eastAsia="Arial" w:hAnsi="Arial"/>
          <w:sz w:val="16"/>
          <w:szCs w:val="16"/>
          <w:color w:val="auto"/>
        </w:rPr>
        <w:t>. In the event that any provision in this Agreement will be held invalid or unenforceable, such provision will be severable from, and such invalidity or unenforceability will not be construed to have any effect on, the remaining provisions of this Agreement.</w:t>
      </w:r>
    </w:p>
    <w:p>
      <w:pPr>
        <w:spacing w:after="0" w:line="85" w:lineRule="exact"/>
        <w:rPr>
          <w:rFonts w:ascii="Arial" w:cs="Arial" w:eastAsia="Arial" w:hAnsi="Arial"/>
          <w:sz w:val="16"/>
          <w:szCs w:val="16"/>
          <w:color w:val="auto"/>
        </w:rPr>
      </w:pPr>
    </w:p>
    <w:p>
      <w:pPr>
        <w:ind w:left="-40" w:right="440" w:firstLine="464"/>
        <w:spacing w:after="0" w:line="259" w:lineRule="auto"/>
        <w:tabs>
          <w:tab w:leader="none" w:pos="68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Modifications to the Agreement</w:t>
      </w:r>
      <w:r>
        <w:rPr>
          <w:rFonts w:ascii="Arial" w:cs="Arial" w:eastAsia="Arial" w:hAnsi="Arial"/>
          <w:sz w:val="18"/>
          <w:szCs w:val="18"/>
          <w:color w:val="auto"/>
        </w:rPr>
        <w:t>. This Agreement constitutes the entire understanding of the parties on the subjects covered. Participant expressly warrants that he or she is not accepting this Agreement in reliance on any promises, representations, or inducements other than those contained herein. Modifications to this Agreement or the Plan can be made only</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40"/>
          </w:cols>
          <w:pgMar w:left="280" w:top="280" w:right="279" w:bottom="1440" w:gutter="0" w:footer="0" w:header="0"/>
        </w:sectPr>
      </w:pPr>
    </w:p>
    <w:bookmarkStart w:id="67" w:name="page68"/>
    <w:bookmarkEnd w:id="67"/>
    <w:p>
      <w:pPr>
        <w:ind w:right="120"/>
        <w:spacing w:after="0" w:line="30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an express written contract executed by a duly authorized officer of the Company. Notwithstanding anything to the contrary in the Plan or this Agreement, the Company reserves the right to revise this Agreement as it deems necessary or advisable, in its sole discretion and without the consent of Participant, to comply with Section or to otherwise avoid imposition of any additional tax or income recognition under Section 409A in connection to this Award of Stock Units.</w:t>
      </w:r>
    </w:p>
    <w:p>
      <w:pPr>
        <w:spacing w:after="0" w:line="107" w:lineRule="exact"/>
        <w:rPr>
          <w:sz w:val="20"/>
          <w:szCs w:val="20"/>
          <w:color w:val="auto"/>
        </w:rPr>
      </w:pPr>
    </w:p>
    <w:p>
      <w:pPr>
        <w:jc w:val="both"/>
        <w:ind w:right="220" w:firstLine="464"/>
        <w:spacing w:after="0" w:line="259" w:lineRule="auto"/>
        <w:tabs>
          <w:tab w:leader="none" w:pos="720"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Amendment, Suspension or Termination of the Plan</w:t>
      </w:r>
      <w:r>
        <w:rPr>
          <w:rFonts w:ascii="Arial" w:cs="Arial" w:eastAsia="Arial" w:hAnsi="Arial"/>
          <w:sz w:val="18"/>
          <w:szCs w:val="18"/>
          <w:color w:val="auto"/>
        </w:rPr>
        <w:t>. By accepting this Award, Participant expressly warrants that he or she has received an Award of Stock Units under the Plan, and has received, read and understood a description of the Plan. Participant understands that the Plan is discretionary in nature and may be amended, suspended or terminated by the Company at any time.</w:t>
      </w:r>
    </w:p>
    <w:p>
      <w:pPr>
        <w:spacing w:after="0" w:line="140" w:lineRule="exact"/>
        <w:rPr>
          <w:rFonts w:ascii="Arial" w:cs="Arial" w:eastAsia="Arial" w:hAnsi="Arial"/>
          <w:sz w:val="18"/>
          <w:szCs w:val="18"/>
          <w:color w:val="auto"/>
        </w:rPr>
      </w:pPr>
    </w:p>
    <w:p>
      <w:pPr>
        <w:jc w:val="both"/>
        <w:ind w:right="20" w:firstLine="464"/>
        <w:spacing w:after="0" w:line="298" w:lineRule="auto"/>
        <w:tabs>
          <w:tab w:leader="none" w:pos="720" w:val="left"/>
        </w:tabs>
        <w:numPr>
          <w:ilvl w:val="0"/>
          <w:numId w:val="45"/>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the laws of the State of California, without giving effect to the conflict of law principles thereof. For purposes of litigating any dispute that arises under this Award of Stock Units or this Agreement, the parties hereby submit to and consent to the jurisdiction of the State of California, and agree that such litigation will be conducted in the courts of Santa Clara County, California, or the federal courts for the United States for the Northern District of California, and no other courts, where this Award of Stock Units is made and/or to be performed.</w:t>
      </w:r>
    </w:p>
    <w:p>
      <w:pPr>
        <w:spacing w:after="0" w:line="112" w:lineRule="exact"/>
        <w:rPr>
          <w:rFonts w:ascii="Arial" w:cs="Arial" w:eastAsia="Arial" w:hAnsi="Arial"/>
          <w:sz w:val="16"/>
          <w:szCs w:val="16"/>
          <w:color w:val="auto"/>
        </w:rPr>
      </w:pPr>
    </w:p>
    <w:p>
      <w:pPr>
        <w:ind w:right="140" w:firstLine="464"/>
        <w:spacing w:after="0" w:line="268" w:lineRule="auto"/>
        <w:tabs>
          <w:tab w:leader="none" w:pos="720"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Language</w:t>
      </w:r>
      <w:r>
        <w:rPr>
          <w:rFonts w:ascii="Arial" w:cs="Arial" w:eastAsia="Arial" w:hAnsi="Arial"/>
          <w:sz w:val="18"/>
          <w:szCs w:val="18"/>
          <w:color w:val="auto"/>
        </w:rPr>
        <w:t>. If Participant has received this Agreement or any other document related to the Plan translated into a language other than English and if the meaning of the translated version is different than the English version, the English version will control.</w:t>
      </w:r>
    </w:p>
    <w:p>
      <w:pPr>
        <w:spacing w:after="0" w:line="131" w:lineRule="exact"/>
        <w:rPr>
          <w:rFonts w:ascii="Arial" w:cs="Arial" w:eastAsia="Arial" w:hAnsi="Arial"/>
          <w:sz w:val="18"/>
          <w:szCs w:val="18"/>
          <w:color w:val="auto"/>
        </w:rPr>
      </w:pPr>
    </w:p>
    <w:p>
      <w:pPr>
        <w:ind w:right="120" w:firstLine="464"/>
        <w:spacing w:after="0" w:line="298" w:lineRule="auto"/>
        <w:tabs>
          <w:tab w:leader="none" w:pos="720" w:val="left"/>
        </w:tabs>
        <w:numPr>
          <w:ilvl w:val="0"/>
          <w:numId w:val="45"/>
        </w:numPr>
        <w:rPr>
          <w:rFonts w:ascii="Arial" w:cs="Arial" w:eastAsia="Arial" w:hAnsi="Arial"/>
          <w:sz w:val="16"/>
          <w:szCs w:val="16"/>
          <w:color w:val="auto"/>
        </w:rPr>
      </w:pPr>
      <w:r>
        <w:rPr>
          <w:rFonts w:ascii="Arial" w:cs="Arial" w:eastAsia="Arial" w:hAnsi="Arial"/>
          <w:sz w:val="16"/>
          <w:szCs w:val="16"/>
          <w:u w:val="single" w:color="auto"/>
          <w:color w:val="auto"/>
        </w:rPr>
        <w:t>Appendix</w:t>
      </w:r>
      <w:r>
        <w:rPr>
          <w:rFonts w:ascii="Arial" w:cs="Arial" w:eastAsia="Arial" w:hAnsi="Arial"/>
          <w:sz w:val="16"/>
          <w:szCs w:val="16"/>
          <w:color w:val="auto"/>
        </w:rPr>
        <w:t>. Notwithstanding any provisions in this Agreement, the Stock Unit grant shall be subject to any special terms and conditions set forth in any Appendix to this Agreement for Participant’s country. Moreover, if Participant relocates to one of the countries included in the Appendix, the special terms and conditions for such country will apply to Participant, to the extent the Company determines that the application of such terms and conditions is necessary or advisable in order to comply with local law or facilitate the administration of the Plan. The Appendix constitutes part of this Agreement.</w:t>
      </w:r>
    </w:p>
    <w:p>
      <w:pPr>
        <w:spacing w:after="0" w:line="112" w:lineRule="exact"/>
        <w:rPr>
          <w:rFonts w:ascii="Arial" w:cs="Arial" w:eastAsia="Arial" w:hAnsi="Arial"/>
          <w:sz w:val="16"/>
          <w:szCs w:val="16"/>
          <w:color w:val="auto"/>
        </w:rPr>
      </w:pPr>
    </w:p>
    <w:p>
      <w:pPr>
        <w:ind w:firstLine="464"/>
        <w:spacing w:after="0" w:line="335" w:lineRule="auto"/>
        <w:tabs>
          <w:tab w:leader="none" w:pos="720" w:val="left"/>
        </w:tabs>
        <w:numPr>
          <w:ilvl w:val="0"/>
          <w:numId w:val="45"/>
        </w:numPr>
        <w:rPr>
          <w:rFonts w:ascii="Arial" w:cs="Arial" w:eastAsia="Arial" w:hAnsi="Arial"/>
          <w:sz w:val="15"/>
          <w:szCs w:val="15"/>
          <w:color w:val="auto"/>
        </w:rPr>
      </w:pPr>
      <w:r>
        <w:rPr>
          <w:rFonts w:ascii="Arial" w:cs="Arial" w:eastAsia="Arial" w:hAnsi="Arial"/>
          <w:sz w:val="15"/>
          <w:szCs w:val="15"/>
          <w:u w:val="single" w:color="auto"/>
          <w:color w:val="auto"/>
        </w:rPr>
        <w:t>Imposition of Other Requirements</w:t>
      </w:r>
      <w:r>
        <w:rPr>
          <w:rFonts w:ascii="Arial" w:cs="Arial" w:eastAsia="Arial" w:hAnsi="Arial"/>
          <w:sz w:val="15"/>
          <w:szCs w:val="15"/>
          <w:color w:val="auto"/>
        </w:rPr>
        <w:t>. The Company reserves the right to impose other requirements on Participant’s participation in the Plan, on the Stock Unit and on any Shares acquired under the Plan, to the extent the Company determines it is necessary or advisable in order to comply with local law or facilitate the administration of the Plan, and to require Participant to sign any additional agreements or undertakings that may be necessary to accomplish the foregoing.</w:t>
      </w:r>
    </w:p>
    <w:p>
      <w:pPr>
        <w:spacing w:after="0" w:line="7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80" w:right="239" w:bottom="1440" w:gutter="0" w:footer="0" w:header="0"/>
        </w:sectPr>
      </w:pPr>
    </w:p>
    <w:bookmarkStart w:id="68" w:name="page69"/>
    <w:bookmarkEnd w:id="68"/>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15d-14(a), AS ADOPTED PURSUANT TO SECTION 302 OF</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SARBANES-OXLEY ACT OF 2002</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46"/>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4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46"/>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4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September 3, 2010</w:t>
      </w:r>
      <w:r>
        <w:rPr>
          <w:sz w:val="20"/>
          <w:szCs w:val="20"/>
          <w:color w:val="auto"/>
        </w:rPr>
        <w:tab/>
      </w:r>
      <w:r>
        <w:rPr>
          <w:rFonts w:ascii="Arial" w:cs="Arial" w:eastAsia="Arial" w:hAnsi="Arial"/>
          <w:sz w:val="16"/>
          <w:szCs w:val="16"/>
          <w:color w:val="auto"/>
        </w:rPr>
        <w:t>By:  /</w:t>
      </w:r>
      <w:r>
        <w:rPr>
          <w:rFonts w:ascii="Arial" w:cs="Arial" w:eastAsia="Arial" w:hAnsi="Arial"/>
          <w:sz w:val="13"/>
          <w:szCs w:val="13"/>
          <w:color w:val="auto"/>
        </w:rPr>
        <w:t>S</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125" w:right="239" w:bottom="1440" w:gutter="0" w:footer="0" w:header="0"/>
        </w:sectPr>
      </w:pPr>
    </w:p>
    <w:bookmarkStart w:id="69" w:name="page70"/>
    <w:bookmarkEnd w:id="69"/>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ind w:left="260" w:right="1740"/>
        <w:spacing w:after="0" w:line="262" w:lineRule="auto"/>
        <w:rPr>
          <w:sz w:val="20"/>
          <w:szCs w:val="20"/>
          <w:color w:val="auto"/>
        </w:rPr>
      </w:pPr>
      <w:r>
        <w:rPr>
          <w:rFonts w:ascii="Arial" w:cs="Arial" w:eastAsia="Arial" w:hAnsi="Arial"/>
          <w:sz w:val="18"/>
          <w:szCs w:val="18"/>
          <w:b w:val="1"/>
          <w:bCs w:val="1"/>
          <w:color w:val="auto"/>
        </w:rPr>
        <w:t>CERTIFICATION OF THE CHIEF FINANCIAL OFFICER PURSUANT TO SECURITIES EXCHANGE ACT RULES 13a-14(a) AND 15d-14(a), AS ADOPTED PURSUANT TO SECTION 302 OF THE SARBANES-OXLEY ACT OF 2002</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47"/>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4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47"/>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September 3, 2010</w:t>
      </w:r>
      <w:r>
        <w:rPr>
          <w:sz w:val="20"/>
          <w:szCs w:val="20"/>
          <w:color w:val="auto"/>
        </w:rPr>
        <w:tab/>
      </w:r>
      <w:r>
        <w:rPr>
          <w:rFonts w:ascii="Arial" w:cs="Arial" w:eastAsia="Arial" w:hAnsi="Arial"/>
          <w:sz w:val="16"/>
          <w:szCs w:val="16"/>
          <w:color w:val="auto"/>
        </w:rPr>
        <w:t>By:  /</w:t>
      </w:r>
      <w:r>
        <w:rPr>
          <w:rFonts w:ascii="Arial" w:cs="Arial" w:eastAsia="Arial" w:hAnsi="Arial"/>
          <w:sz w:val="13"/>
          <w:szCs w:val="13"/>
          <w:color w:val="auto"/>
        </w:rPr>
        <w:t>S</w:t>
      </w:r>
      <w:r>
        <w:rPr>
          <w:rFonts w:ascii="Arial" w:cs="Arial" w:eastAsia="Arial" w:hAnsi="Arial"/>
          <w:sz w:val="16"/>
          <w:szCs w:val="16"/>
          <w:color w:val="auto"/>
        </w:rPr>
        <w:t>/ 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Chief Financial Officer and Secretary</w:t>
      </w:r>
    </w:p>
    <w:p>
      <w:pPr>
        <w:sectPr>
          <w:pgSz w:w="11900" w:h="16838" w:orient="portrait"/>
          <w:cols w:equalWidth="0" w:num="1">
            <w:col w:w="11420"/>
          </w:cols>
          <w:pgMar w:left="240" w:top="125" w:right="239" w:bottom="1440" w:gutter="0" w:footer="0" w:header="0"/>
        </w:sectPr>
      </w:pPr>
    </w:p>
    <w:bookmarkStart w:id="70" w:name="page71"/>
    <w:bookmarkEnd w:id="70"/>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ind w:left="280"/>
        <w:spacing w:after="0"/>
        <w:rPr>
          <w:sz w:val="20"/>
          <w:szCs w:val="20"/>
          <w:color w:val="auto"/>
        </w:rPr>
      </w:pPr>
      <w:r>
        <w:rPr>
          <w:rFonts w:ascii="Arial" w:cs="Arial" w:eastAsia="Arial" w:hAnsi="Arial"/>
          <w:sz w:val="16"/>
          <w:szCs w:val="16"/>
          <w:b w:val="1"/>
          <w:bCs w:val="1"/>
          <w:color w:val="auto"/>
        </w:rPr>
        <w:t>STATEMENT OF THE PRESIDENT AND CHIEF EXECUTIVE OFFICER PURSUANT TO 18 U.S.C. § 1350, AS ADOPTED PURSUANT TO</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65"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80" w:hanging="446"/>
        <w:spacing w:after="0" w:line="268" w:lineRule="auto"/>
        <w:tabs>
          <w:tab w:leader="none" w:pos="9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31, 2010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September 3, 2010</w:t>
      </w:r>
    </w:p>
    <w:p>
      <w:pPr>
        <w:sectPr>
          <w:pgSz w:w="11900" w:h="16838" w:orient="portrait"/>
          <w:cols w:equalWidth="0" w:num="1">
            <w:col w:w="11420"/>
          </w:cols>
          <w:pgMar w:left="240" w:top="125" w:right="239" w:bottom="1440" w:gutter="0" w:footer="0" w:header="0"/>
        </w:sectPr>
      </w:pPr>
    </w:p>
    <w:bookmarkStart w:id="71" w:name="page72"/>
    <w:bookmarkEnd w:id="71"/>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ind w:left="320"/>
        <w:spacing w:after="0"/>
        <w:rPr>
          <w:sz w:val="20"/>
          <w:szCs w:val="20"/>
          <w:color w:val="auto"/>
        </w:rPr>
      </w:pPr>
      <w:r>
        <w:rPr>
          <w:rFonts w:ascii="Arial" w:cs="Arial" w:eastAsia="Arial" w:hAnsi="Arial"/>
          <w:sz w:val="16"/>
          <w:szCs w:val="16"/>
          <w:b w:val="1"/>
          <w:bCs w:val="1"/>
          <w:color w:val="auto"/>
        </w:rPr>
        <w:t>STATEMENT OF THE PRESIDENT AND CHIEF FINANCIAL OFFICER PURSUANT TO 18 U.S.C. § 1350, AS ADOPTED PURSUANT TO</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6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color w:val="auto"/>
        </w:rPr>
        <w:t>I, Clyde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180" w:hanging="446"/>
        <w:spacing w:after="0" w:line="268" w:lineRule="auto"/>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July 31, 2010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4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 and Secretary</w:t>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September 3, 2010</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9838CB2"/>
    <w:multiLevelType w:val="hybridMultilevel"/>
    <w:lvl w:ilvl="0">
      <w:lvlJc w:val="left"/>
      <w:lvlText w:val="☒"/>
      <w:numFmt w:val="bullet"/>
      <w:start w:val="1"/>
    </w:lvl>
  </w:abstractNum>
  <w:abstractNum w:abstractNumId="1">
    <w:nsid w:val="4353D0CD"/>
    <w:multiLevelType w:val="hybridMultilevel"/>
    <w:lvl w:ilvl="0">
      <w:lvlJc w:val="left"/>
      <w:lvlText w:val="☐"/>
      <w:numFmt w:val="bullet"/>
      <w:start w:val="1"/>
    </w:lvl>
  </w:abstractNum>
  <w:abstractNum w:abstractNumId="2">
    <w:nsid w:val="B03E0C6"/>
    <w:multiLevelType w:val="hybridMultilevel"/>
    <w:lvl w:ilvl="0">
      <w:lvlJc w:val="left"/>
      <w:lvlText w:val="*"/>
      <w:numFmt w:val="bullet"/>
      <w:start w:val="1"/>
    </w:lvl>
  </w:abstractNum>
  <w:abstractNum w:abstractNumId="3">
    <w:nsid w:val="189A769B"/>
    <w:multiLevelType w:val="hybridMultilevel"/>
    <w:lvl w:ilvl="0">
      <w:lvlJc w:val="left"/>
      <w:lvlText w:val="•"/>
      <w:numFmt w:val="bullet"/>
      <w:start w:val="1"/>
    </w:lvl>
  </w:abstractNum>
  <w:abstractNum w:abstractNumId="4">
    <w:nsid w:val="54E49EB4"/>
    <w:multiLevelType w:val="hybridMultilevel"/>
    <w:lvl w:ilvl="0">
      <w:lvlJc w:val="left"/>
      <w:lvlText w:val="•"/>
      <w:numFmt w:val="bullet"/>
      <w:start w:val="1"/>
    </w:lvl>
  </w:abstractNum>
  <w:abstractNum w:abstractNumId="5">
    <w:nsid w:val="71F32454"/>
    <w:multiLevelType w:val="hybridMultilevel"/>
    <w:lvl w:ilvl="0">
      <w:lvlJc w:val="left"/>
      <w:lvlText w:val="•"/>
      <w:numFmt w:val="bullet"/>
      <w:start w:val="1"/>
    </w:lvl>
  </w:abstractNum>
  <w:abstractNum w:abstractNumId="6">
    <w:nsid w:val="2CA88611"/>
    <w:multiLevelType w:val="hybridMultilevel"/>
    <w:lvl w:ilvl="0">
      <w:lvlJc w:val="left"/>
      <w:lvlText w:val="•"/>
      <w:numFmt w:val="bullet"/>
      <w:start w:val="1"/>
    </w:lvl>
  </w:abstractNum>
  <w:abstractNum w:abstractNumId="7">
    <w:nsid w:val="836C40E"/>
    <w:multiLevelType w:val="hybridMultilevel"/>
    <w:lvl w:ilvl="0">
      <w:lvlJc w:val="left"/>
      <w:lvlText w:val="•"/>
      <w:numFmt w:val="bullet"/>
      <w:start w:val="1"/>
    </w:lvl>
  </w:abstractNum>
  <w:abstractNum w:abstractNumId="8">
    <w:nsid w:val="2901D82"/>
    <w:multiLevelType w:val="hybridMultilevel"/>
    <w:lvl w:ilvl="0">
      <w:lvlJc w:val="left"/>
      <w:lvlText w:val="•"/>
      <w:numFmt w:val="bullet"/>
      <w:start w:val="1"/>
    </w:lvl>
  </w:abstractNum>
  <w:abstractNum w:abstractNumId="9">
    <w:nsid w:val="3A95F874"/>
    <w:multiLevelType w:val="hybridMultilevel"/>
    <w:lvl w:ilvl="0">
      <w:lvlJc w:val="left"/>
      <w:lvlText w:val="•"/>
      <w:numFmt w:val="bullet"/>
      <w:start w:val="1"/>
    </w:lvl>
  </w:abstractNum>
  <w:abstractNum w:abstractNumId="10">
    <w:nsid w:val="8138641"/>
    <w:multiLevelType w:val="hybridMultilevel"/>
    <w:lvl w:ilvl="0">
      <w:lvlJc w:val="left"/>
      <w:lvlText w:val="#"/>
      <w:numFmt w:val="bullet"/>
      <w:start w:val="1"/>
    </w:lvl>
  </w:abstractNum>
  <w:abstractNum w:abstractNumId="11">
    <w:nsid w:val="1E7FF521"/>
    <w:multiLevelType w:val="hybridMultilevel"/>
    <w:lvl w:ilvl="0">
      <w:lvlJc w:val="left"/>
      <w:lvlText w:val="*"/>
      <w:numFmt w:val="bullet"/>
      <w:start w:val="1"/>
    </w:lvl>
  </w:abstractNum>
  <w:abstractNum w:abstractNumId="12">
    <w:nsid w:val="7C3DBD3D"/>
    <w:multiLevelType w:val="hybridMultilevel"/>
    <w:lvl w:ilvl="0">
      <w:lvlJc w:val="left"/>
      <w:lvlText w:val="**"/>
      <w:numFmt w:val="bullet"/>
      <w:start w:val="1"/>
    </w:lvl>
  </w:abstractNum>
  <w:abstractNum w:abstractNumId="13">
    <w:nsid w:val="737B8DDC"/>
    <w:multiLevelType w:val="hybridMultilevel"/>
    <w:lvl w:ilvl="0">
      <w:lvlJc w:val="left"/>
      <w:lvlText w:val="#"/>
      <w:numFmt w:val="bullet"/>
      <w:start w:val="1"/>
    </w:lvl>
  </w:abstractNum>
  <w:abstractNum w:abstractNumId="14">
    <w:nsid w:val="6CEAF087"/>
    <w:multiLevelType w:val="hybridMultilevel"/>
    <w:lvl w:ilvl="0">
      <w:lvlJc w:val="left"/>
      <w:lvlText w:val="*"/>
      <w:numFmt w:val="bullet"/>
      <w:start w:val="1"/>
    </w:lvl>
  </w:abstractNum>
  <w:abstractNum w:abstractNumId="15">
    <w:nsid w:val="22221A70"/>
    <w:multiLevelType w:val="hybridMultilevel"/>
    <w:lvl w:ilvl="0">
      <w:lvlJc w:val="left"/>
      <w:lvlText w:val="**"/>
      <w:numFmt w:val="bullet"/>
      <w:start w:val="1"/>
    </w:lvl>
  </w:abstractNum>
  <w:abstractNum w:abstractNumId="16">
    <w:nsid w:val="4516DDE9"/>
    <w:multiLevelType w:val="hybridMultilevel"/>
    <w:lvl w:ilvl="0">
      <w:lvlJc w:val="left"/>
      <w:lvlText w:val="%1."/>
      <w:numFmt w:val="decimal"/>
      <w:start w:val="1"/>
    </w:lvl>
  </w:abstractNum>
  <w:abstractNum w:abstractNumId="17">
    <w:nsid w:val="3006C83E"/>
    <w:multiLevelType w:val="hybridMultilevel"/>
    <w:lvl w:ilvl="0">
      <w:lvlJc w:val="left"/>
      <w:lvlText w:val="%1."/>
      <w:numFmt w:val="decimal"/>
      <w:start w:val="2"/>
    </w:lvl>
    <w:lvl w:ilvl="1">
      <w:lvlJc w:val="left"/>
      <w:lvlText w:val="(%2)"/>
      <w:numFmt w:val="lowerLetter"/>
      <w:start w:val="9"/>
    </w:lvl>
    <w:lvl w:ilvl="2">
      <w:lvlJc w:val="left"/>
      <w:lvlText w:val="(%3)"/>
      <w:numFmt w:val="lowerLetter"/>
      <w:start w:val="1"/>
    </w:lvl>
  </w:abstractNum>
  <w:abstractNum w:abstractNumId="18">
    <w:nsid w:val="614FD4A1"/>
    <w:multiLevelType w:val="hybridMultilevel"/>
    <w:lvl w:ilvl="0">
      <w:lvlJc w:val="left"/>
      <w:lvlText w:val="(%1)"/>
      <w:numFmt w:val="lowerLetter"/>
      <w:start w:val="35"/>
    </w:lvl>
    <w:lvl w:ilvl="1">
      <w:lvlJc w:val="left"/>
      <w:lvlText w:val="(%2)"/>
      <w:numFmt w:val="lowerLetter"/>
      <w:start w:val="1"/>
    </w:lvl>
  </w:abstractNum>
  <w:abstractNum w:abstractNumId="19">
    <w:nsid w:val="419AC241"/>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lvl w:ilvl="3">
      <w:lvlJc w:val="left"/>
      <w:lvlText w:val="(%4)"/>
      <w:numFmt w:val="lowerLetter"/>
      <w:start w:val="2"/>
    </w:lvl>
  </w:abstractNum>
  <w:abstractNum w:abstractNumId="20">
    <w:nsid w:val="5577F8E1"/>
    <w:multiLevelType w:val="hybridMultilevel"/>
    <w:lvl w:ilvl="0">
      <w:lvlJc w:val="left"/>
      <w:lvlText w:val="%1"/>
      <w:numFmt w:val="lowerLetter"/>
      <w:start w:val="1"/>
    </w:lvl>
    <w:lvl w:ilvl="1">
      <w:lvlJc w:val="left"/>
      <w:lvlText w:val="%2."/>
      <w:numFmt w:val="decimal"/>
      <w:start w:val="3"/>
    </w:lvl>
    <w:lvl w:ilvl="2">
      <w:lvlJc w:val="left"/>
      <w:lvlText w:val="(%3)"/>
      <w:numFmt w:val="lowerLetter"/>
      <w:start w:val="1"/>
    </w:lvl>
    <w:lvl w:ilvl="3">
      <w:lvlJc w:val="left"/>
      <w:lvlText w:val="%4"/>
      <w:numFmt w:val="lowerLetter"/>
      <w:start w:val="1"/>
    </w:lvl>
  </w:abstractNum>
  <w:abstractNum w:abstractNumId="21">
    <w:nsid w:val="440BADFC"/>
    <w:multiLevelType w:val="hybridMultilevel"/>
    <w:lvl w:ilvl="0">
      <w:lvlJc w:val="left"/>
      <w:lvlText w:val="(%1)"/>
      <w:numFmt w:val="lowerLetter"/>
      <w:start w:val="61"/>
    </w:lvl>
    <w:lvl w:ilvl="1">
      <w:lvlJc w:val="left"/>
      <w:lvlText w:val="%2."/>
      <w:numFmt w:val="decimal"/>
      <w:start w:val="3"/>
    </w:lvl>
    <w:lvl w:ilvl="2">
      <w:lvlJc w:val="left"/>
      <w:lvlText w:val="(%3)"/>
      <w:numFmt w:val="lowerLetter"/>
      <w:start w:val="2"/>
    </w:lvl>
    <w:lvl w:ilvl="3">
      <w:lvlJc w:val="left"/>
      <w:lvlText w:val="%4"/>
      <w:numFmt w:val="lowerLetter"/>
      <w:start w:val="1"/>
    </w:lvl>
  </w:abstractNum>
  <w:abstractNum w:abstractNumId="22">
    <w:nsid w:val="5072367"/>
    <w:multiLevelType w:val="hybridMultilevel"/>
    <w:lvl w:ilvl="0">
      <w:lvlJc w:val="left"/>
      <w:lvlText w:val="%1."/>
      <w:numFmt w:val="decimal"/>
      <w:start w:val="6"/>
    </w:lvl>
  </w:abstractNum>
  <w:abstractNum w:abstractNumId="23">
    <w:nsid w:val="3804823E"/>
    <w:multiLevelType w:val="hybridMultilevel"/>
    <w:lvl w:ilvl="0">
      <w:lvlJc w:val="left"/>
      <w:lvlText w:val="%1."/>
      <w:numFmt w:val="decimal"/>
      <w:start w:val="10"/>
    </w:lvl>
    <w:lvl w:ilvl="1">
      <w:lvlJc w:val="left"/>
      <w:lvlText w:val="(%2)"/>
      <w:numFmt w:val="lowerLetter"/>
      <w:start w:val="1"/>
    </w:lvl>
    <w:lvl w:ilvl="2">
      <w:lvlJc w:val="left"/>
      <w:lvlText w:val="(%3)"/>
      <w:numFmt w:val="lowerRoman"/>
      <w:start w:val="1"/>
    </w:lvl>
  </w:abstractNum>
  <w:abstractNum w:abstractNumId="24">
    <w:nsid w:val="77465F01"/>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22"/>
    </w:lvl>
  </w:abstractNum>
  <w:abstractNum w:abstractNumId="25">
    <w:nsid w:val="7724C67E"/>
    <w:multiLevelType w:val="hybridMultilevel"/>
    <w:lvl w:ilvl="0">
      <w:lvlJc w:val="left"/>
      <w:lvlText w:val="%1"/>
      <w:numFmt w:val="decimal"/>
      <w:start w:val="1"/>
    </w:lvl>
    <w:lvl w:ilvl="1">
      <w:lvlJc w:val="left"/>
      <w:lvlText w:val="(%2)"/>
      <w:numFmt w:val="lowerLetter"/>
      <w:start w:val="2"/>
    </w:lvl>
    <w:lvl w:ilvl="2">
      <w:lvlJc w:val="left"/>
      <w:lvlText w:val="%3"/>
      <w:numFmt w:val="lowerLetter"/>
      <w:start w:val="1"/>
    </w:lvl>
  </w:abstractNum>
  <w:abstractNum w:abstractNumId="26">
    <w:nsid w:val="5C482A97"/>
    <w:multiLevelType w:val="hybridMultilevel"/>
    <w:lvl w:ilvl="0">
      <w:lvlJc w:val="left"/>
      <w:lvlText w:val="%1."/>
      <w:numFmt w:val="decimal"/>
      <w:start w:val="11"/>
    </w:lvl>
    <w:lvl w:ilvl="1">
      <w:lvlJc w:val="left"/>
      <w:lvlText w:val="(%2)"/>
      <w:numFmt w:val="lowerLetter"/>
      <w:start w:val="1"/>
    </w:lvl>
    <w:lvl w:ilvl="2">
      <w:lvlJc w:val="left"/>
      <w:lvlText w:val="%3"/>
      <w:numFmt w:val="lowerLetter"/>
      <w:start w:val="1"/>
    </w:lvl>
  </w:abstractNum>
  <w:abstractNum w:abstractNumId="27">
    <w:nsid w:val="2463B9EA"/>
    <w:multiLevelType w:val="hybridMultilevel"/>
    <w:lvl w:ilvl="0">
      <w:lvlJc w:val="left"/>
      <w:lvlText w:val="%1"/>
      <w:numFmt w:val="decimal"/>
      <w:start w:val="1"/>
    </w:lvl>
    <w:lvl w:ilvl="1">
      <w:lvlJc w:val="left"/>
      <w:lvlText w:val="(%2)"/>
      <w:numFmt w:val="lowerLetter"/>
      <w:start w:val="3"/>
    </w:lvl>
  </w:abstractNum>
  <w:abstractNum w:abstractNumId="28">
    <w:nsid w:val="5E884ADC"/>
    <w:multiLevelType w:val="hybridMultilevel"/>
    <w:lvl w:ilvl="0">
      <w:lvlJc w:val="left"/>
      <w:lvlText w:val="%1."/>
      <w:numFmt w:val="decimal"/>
      <w:start w:val="12"/>
    </w:lvl>
    <w:lvl w:ilvl="1">
      <w:lvlJc w:val="left"/>
      <w:lvlText w:val="(%2)"/>
      <w:numFmt w:val="lowerLetter"/>
      <w:start w:val="1"/>
    </w:lvl>
  </w:abstractNum>
  <w:abstractNum w:abstractNumId="29">
    <w:nsid w:val="51EAD36B"/>
    <w:multiLevelType w:val="hybridMultilevel"/>
    <w:lvl w:ilvl="0">
      <w:lvlJc w:val="left"/>
      <w:lvlText w:val="%1"/>
      <w:numFmt w:val="decimal"/>
      <w:start w:val="1"/>
    </w:lvl>
    <w:lvl w:ilvl="1">
      <w:lvlJc w:val="left"/>
      <w:lvlText w:val="(%2)"/>
      <w:numFmt w:val="lowerLetter"/>
      <w:start w:val="7"/>
    </w:lvl>
  </w:abstractNum>
  <w:abstractNum w:abstractNumId="30">
    <w:nsid w:val="2D517796"/>
    <w:multiLevelType w:val="hybridMultilevel"/>
    <w:lvl w:ilvl="0">
      <w:lvlJc w:val="left"/>
      <w:lvlText w:val="%1."/>
      <w:numFmt w:val="decimal"/>
      <w:start w:val="13"/>
    </w:lvl>
    <w:lvl w:ilvl="1">
      <w:lvlJc w:val="left"/>
      <w:lvlText w:val="%2"/>
      <w:numFmt w:val="lowerLetter"/>
      <w:start w:val="1"/>
    </w:lvl>
  </w:abstractNum>
  <w:abstractNum w:abstractNumId="31">
    <w:nsid w:val="580BD78F"/>
    <w:multiLevelType w:val="hybridMultilevel"/>
    <w:lvl w:ilvl="0">
      <w:lvlJc w:val="left"/>
      <w:lvlText w:val="%1."/>
      <w:numFmt w:val="decimal"/>
      <w:start w:val="14"/>
    </w:lvl>
  </w:abstractNum>
  <w:abstractNum w:abstractNumId="32">
    <w:nsid w:val="153EA438"/>
    <w:multiLevelType w:val="hybridMultilevel"/>
    <w:lvl w:ilvl="0">
      <w:lvlJc w:val="left"/>
      <w:lvlText w:val="%1."/>
      <w:numFmt w:val="decimal"/>
      <w:start w:val="16"/>
    </w:lvl>
  </w:abstractNum>
  <w:abstractNum w:abstractNumId="33">
    <w:nsid w:val="3855585C"/>
    <w:multiLevelType w:val="hybridMultilevel"/>
    <w:lvl w:ilvl="0">
      <w:lvlJc w:val="left"/>
      <w:lvlText w:val="%1."/>
      <w:numFmt w:val="decimal"/>
      <w:start w:val="20"/>
    </w:lvl>
  </w:abstractNum>
  <w:abstractNum w:abstractNumId="34">
    <w:nsid w:val="70A64E2A"/>
    <w:multiLevelType w:val="hybridMultilevel"/>
    <w:lvl w:ilvl="0">
      <w:lvlJc w:val="left"/>
      <w:lvlText w:val="%1."/>
      <w:numFmt w:val="decimal"/>
      <w:start w:val="1"/>
    </w:lvl>
  </w:abstractNum>
  <w:abstractNum w:abstractNumId="35">
    <w:nsid w:val="6A2342EC"/>
    <w:multiLevelType w:val="hybridMultilevel"/>
    <w:lvl w:ilvl="0">
      <w:lvlJc w:val="left"/>
      <w:lvlText w:val="%1."/>
      <w:numFmt w:val="decimal"/>
      <w:start w:val="4"/>
    </w:lvl>
  </w:abstractNum>
  <w:abstractNum w:abstractNumId="36">
    <w:nsid w:val="2A487CB0"/>
    <w:multiLevelType w:val="hybridMultilevel"/>
    <w:lvl w:ilvl="0">
      <w:lvlJc w:val="left"/>
      <w:lvlText w:val="%1"/>
      <w:numFmt w:val="lowerLetter"/>
      <w:start w:val="1"/>
    </w:lvl>
    <w:lvl w:ilvl="1">
      <w:lvlJc w:val="left"/>
      <w:lvlText w:val="%2."/>
      <w:numFmt w:val="decimal"/>
      <w:start w:val="5"/>
    </w:lvl>
  </w:abstractNum>
  <w:abstractNum w:abstractNumId="37">
    <w:nsid w:val="1D4ED43B"/>
    <w:multiLevelType w:val="hybridMultilevel"/>
    <w:lvl w:ilvl="0">
      <w:lvlJc w:val="left"/>
      <w:lvlText w:val="(%1)"/>
      <w:numFmt w:val="lowerLetter"/>
      <w:start w:val="2"/>
    </w:lvl>
    <w:lvl w:ilvl="1">
      <w:lvlJc w:val="left"/>
      <w:lvlText w:val="%2."/>
      <w:numFmt w:val="decimal"/>
      <w:start w:val="7"/>
    </w:lvl>
  </w:abstractNum>
  <w:abstractNum w:abstractNumId="38">
    <w:nsid w:val="725A06FB"/>
    <w:multiLevelType w:val="hybridMultilevel"/>
    <w:lvl w:ilvl="0">
      <w:lvlJc w:val="left"/>
      <w:lvlText w:val="(%1)"/>
      <w:numFmt w:val="lowerRoman"/>
      <w:start w:val="1"/>
    </w:lvl>
  </w:abstractNum>
  <w:abstractNum w:abstractNumId="39">
    <w:nsid w:val="2CD89A32"/>
    <w:multiLevelType w:val="hybridMultilevel"/>
    <w:lvl w:ilvl="0">
      <w:lvlJc w:val="left"/>
      <w:lvlText w:val="%1."/>
      <w:numFmt w:val="decimal"/>
      <w:start w:val="8"/>
    </w:lvl>
    <w:lvl w:ilvl="1">
      <w:lvlJc w:val="left"/>
      <w:lvlText w:val="(%2)"/>
      <w:numFmt w:val="lowerLetter"/>
      <w:start w:val="1"/>
    </w:lvl>
  </w:abstractNum>
  <w:abstractNum w:abstractNumId="40">
    <w:nsid w:val="57E4CCAF"/>
    <w:multiLevelType w:val="hybridMultilevel"/>
    <w:lvl w:ilvl="0">
      <w:lvlJc w:val="left"/>
      <w:lvlText w:val="(%1)"/>
      <w:numFmt w:val="lowerLetter"/>
      <w:start w:val="11"/>
    </w:lvl>
  </w:abstractNum>
  <w:abstractNum w:abstractNumId="41">
    <w:nsid w:val="7A6D8D3C"/>
    <w:multiLevelType w:val="hybridMultilevel"/>
    <w:lvl w:ilvl="0">
      <w:lvlJc w:val="left"/>
      <w:lvlText w:val="%1."/>
      <w:numFmt w:val="decimal"/>
      <w:start w:val="10"/>
    </w:lvl>
  </w:abstractNum>
  <w:abstractNum w:abstractNumId="42">
    <w:nsid w:val="4B588F54"/>
    <w:multiLevelType w:val="hybridMultilevel"/>
    <w:lvl w:ilvl="0">
      <w:lvlJc w:val="left"/>
      <w:lvlText w:val="%1."/>
      <w:numFmt w:val="decimal"/>
      <w:start w:val="11"/>
    </w:lvl>
  </w:abstractNum>
  <w:abstractNum w:abstractNumId="43">
    <w:nsid w:val="542289EC"/>
    <w:multiLevelType w:val="hybridMultilevel"/>
    <w:lvl w:ilvl="0">
      <w:lvlJc w:val="left"/>
      <w:lvlText w:val="%1."/>
      <w:numFmt w:val="decimal"/>
      <w:start w:val="15"/>
    </w:lvl>
  </w:abstractNum>
  <w:abstractNum w:abstractNumId="44">
    <w:nsid w:val="6DE91B18"/>
    <w:multiLevelType w:val="hybridMultilevel"/>
    <w:lvl w:ilvl="0">
      <w:lvlJc w:val="left"/>
      <w:lvlText w:val="%1."/>
      <w:numFmt w:val="decimal"/>
      <w:start w:val="22"/>
    </w:lvl>
  </w:abstractNum>
  <w:abstractNum w:abstractNumId="45">
    <w:nsid w:val="38437FDB"/>
    <w:multiLevelType w:val="hybridMultilevel"/>
    <w:lvl w:ilvl="0">
      <w:lvlJc w:val="left"/>
      <w:lvlText w:val="%1."/>
      <w:numFmt w:val="decimal"/>
      <w:start w:val="1"/>
    </w:lvl>
    <w:lvl w:ilvl="1">
      <w:lvlJc w:val="left"/>
      <w:lvlText w:val="%2)"/>
      <w:numFmt w:val="lowerLetter"/>
      <w:start w:val="1"/>
    </w:lvl>
  </w:abstractNum>
  <w:abstractNum w:abstractNumId="46">
    <w:nsid w:val="7644A45C"/>
    <w:multiLevelType w:val="hybridMultilevel"/>
    <w:lvl w:ilvl="0">
      <w:lvlJc w:val="left"/>
      <w:lvlText w:val="%1."/>
      <w:numFmt w:val="decimal"/>
      <w:start w:val="1"/>
    </w:lvl>
    <w:lvl w:ilvl="1">
      <w:lvlJc w:val="left"/>
      <w:lvlText w:val="%2)"/>
      <w:numFmt w:val="lowerLetter"/>
      <w:start w:val="1"/>
    </w:lvl>
  </w:abstractNum>
  <w:abstractNum w:abstractNumId="47">
    <w:nsid w:val="32FFF902"/>
    <w:multiLevelType w:val="hybridMultilevel"/>
    <w:lvl w:ilvl="0">
      <w:lvlJc w:val="left"/>
      <w:lvlText w:val="(%1)"/>
      <w:numFmt w:val="lowerRoman"/>
      <w:start w:val="1"/>
    </w:lvl>
  </w:abstractNum>
  <w:abstractNum w:abstractNumId="48">
    <w:nsid w:val="684A481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2019-12-10T16:48:16Z</dcterms:created>
  <dcterms:modified xsi:type="dcterms:W3CDTF">2019-12-10T16:48:16Z</dcterms:modified>
</cp:coreProperties>
</file>