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October 30, 2010</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sectPr>
      </w:pPr>
    </w:p>
    <w:p>
      <w:pPr>
        <w:spacing w:after="0" w:line="286"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60"/>
          </w:cols>
          <w:pgMar w:left="240" w:top="230" w:right="23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60"/>
          </w:cols>
          <w:pgMar w:left="240" w:top="230" w:right="239" w:bottom="1440" w:gutter="0" w:footer="0" w:header="0"/>
          <w:type w:val="continuous"/>
        </w:sectPr>
      </w:pPr>
    </w:p>
    <w:p>
      <w:pPr>
        <w:jc w:val="center"/>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93980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230" w:right="239" w:bottom="1440" w:gutter="0" w:footer="0" w:header="0"/>
          <w:type w:val="continuous"/>
        </w:sectPr>
      </w:pPr>
    </w:p>
    <w:p>
      <w:pPr>
        <w:spacing w:after="0" w:line="235"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0"/>
              </w:rPr>
              <w:t>The number of common shares of the registrant outstanding as of November 12, 2010 was 650.5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2"/>
            <w:vMerge w:val="restart"/>
          </w:tcPr>
          <w:p>
            <w:pPr>
              <w:jc w:val="center"/>
              <w:ind w:right="244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2"/>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1.</w:t>
            </w:r>
          </w:p>
        </w:tc>
        <w:tc>
          <w:tcPr>
            <w:tcW w:w="3180" w:type="dxa"/>
            <w:vAlign w:val="bottom"/>
            <w:gridSpan w:val="6"/>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24"/>
                <w:szCs w:val="24"/>
                <w:color w:val="auto"/>
              </w:rPr>
            </w:pPr>
          </w:p>
        </w:tc>
        <w:tc>
          <w:tcPr>
            <w:tcW w:w="3880" w:type="dxa"/>
            <w:vAlign w:val="bottom"/>
            <w:gridSpan w:val="5"/>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80" w:type="dxa"/>
            <w:vAlign w:val="bottom"/>
            <w:gridSpan w:val="2"/>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840" w:type="dxa"/>
            <w:vAlign w:val="bottom"/>
            <w:tcBorders>
              <w:bottom w:val="single" w:sz="8" w:color="0000EE"/>
            </w:tcBorders>
            <w:gridSpan w:val="14"/>
          </w:tcPr>
          <w:p>
            <w:pPr>
              <w:spacing w:after="0"/>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October 30, 2010 and January 30, 2010</w:t>
              </w:r>
            </w:hyperlink>
          </w:p>
        </w:tc>
        <w:tc>
          <w:tcPr>
            <w:tcW w:w="3200" w:type="dxa"/>
            <w:vAlign w:val="bottom"/>
            <w:gridSpan w:val="3"/>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760" w:type="dxa"/>
            <w:vAlign w:val="bottom"/>
            <w:tcBorders>
              <w:bottom w:val="single" w:sz="8" w:color="0000EE"/>
            </w:tcBorders>
            <w:gridSpan w:val="16"/>
          </w:tcPr>
          <w:p>
            <w:pPr>
              <w:spacing w:after="0"/>
              <w:rPr>
                <w:rFonts w:ascii="Arial" w:cs="Arial" w:eastAsia="Arial" w:hAnsi="Arial"/>
                <w:sz w:val="18"/>
                <w:szCs w:val="18"/>
                <w:color w:val="0000EE"/>
                <w:w w:val="87"/>
              </w:rPr>
            </w:pPr>
            <w:hyperlink w:anchor="page4">
              <w:r>
                <w:rPr>
                  <w:rFonts w:ascii="Arial" w:cs="Arial" w:eastAsia="Arial" w:hAnsi="Arial"/>
                  <w:sz w:val="18"/>
                  <w:szCs w:val="18"/>
                  <w:color w:val="0000EE"/>
                  <w:w w:val="87"/>
                </w:rPr>
                <w:t>Unaudited Condensed Consolidated Statements of Operations for the three and nine months ended October 30, 2010 and October 31, 2009</w:t>
              </w:r>
            </w:hyperlink>
          </w:p>
        </w:tc>
        <w:tc>
          <w:tcPr>
            <w:tcW w:w="28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9120" w:type="dxa"/>
            <w:vAlign w:val="bottom"/>
            <w:tcBorders>
              <w:bottom w:val="single" w:sz="8" w:color="0000EE"/>
            </w:tcBorders>
            <w:gridSpan w:val="15"/>
          </w:tcPr>
          <w:p>
            <w:pPr>
              <w:spacing w:after="0"/>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Cash Flows for the nine months ended October 30, 2010 and October 31, 2009</w:t>
              </w:r>
            </w:hyperlink>
          </w:p>
        </w:tc>
        <w:tc>
          <w:tcPr>
            <w:tcW w:w="920" w:type="dxa"/>
            <w:vAlign w:val="bottom"/>
            <w:gridSpan w:val="2"/>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680" w:type="dxa"/>
            <w:vAlign w:val="bottom"/>
            <w:tcBorders>
              <w:bottom w:val="single" w:sz="8" w:color="0000EE"/>
            </w:tcBorders>
            <w:gridSpan w:val="10"/>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5360" w:type="dxa"/>
            <w:vAlign w:val="bottom"/>
            <w:gridSpan w:val="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2.</w:t>
            </w:r>
          </w:p>
        </w:tc>
        <w:tc>
          <w:tcPr>
            <w:tcW w:w="10040" w:type="dxa"/>
            <w:vAlign w:val="bottom"/>
            <w:gridSpan w:val="17"/>
          </w:tcPr>
          <w:p>
            <w:pPr>
              <w:spacing w:after="0"/>
              <w:rPr>
                <w:rFonts w:ascii="Arial" w:cs="Arial" w:eastAsia="Arial" w:hAnsi="Arial"/>
                <w:sz w:val="18"/>
                <w:szCs w:val="18"/>
                <w:color w:val="0000EE"/>
              </w:rPr>
            </w:pPr>
            <w:hyperlink w:anchor="page23">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9"/>
              </w:rPr>
            </w:pPr>
            <w:hyperlink w:anchor="page30">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24"/>
                <w:szCs w:val="24"/>
                <w:color w:val="auto"/>
              </w:rPr>
            </w:pPr>
          </w:p>
        </w:tc>
        <w:tc>
          <w:tcPr>
            <w:tcW w:w="3740" w:type="dxa"/>
            <w:vAlign w:val="bottom"/>
            <w:gridSpan w:val="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4.</w:t>
            </w:r>
          </w:p>
        </w:tc>
        <w:tc>
          <w:tcPr>
            <w:tcW w:w="10040" w:type="dxa"/>
            <w:vAlign w:val="bottom"/>
            <w:gridSpan w:val="17"/>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0" w:type="dxa"/>
            <w:vAlign w:val="bottom"/>
            <w:tcBorders>
              <w:top w:val="single" w:sz="8" w:color="0000EE"/>
            </w:tcBorders>
          </w:tcPr>
          <w:p>
            <w:pPr>
              <w:spacing w:after="0"/>
              <w:rPr>
                <w:sz w:val="24"/>
                <w:szCs w:val="24"/>
                <w:color w:val="auto"/>
              </w:rPr>
            </w:pPr>
          </w:p>
        </w:tc>
        <w:tc>
          <w:tcPr>
            <w:tcW w:w="30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440" w:type="dxa"/>
            <w:vAlign w:val="bottom"/>
          </w:tcPr>
          <w:p>
            <w:pPr>
              <w:spacing w:after="0"/>
              <w:rPr>
                <w:sz w:val="24"/>
                <w:szCs w:val="24"/>
                <w:color w:val="auto"/>
              </w:rPr>
            </w:pPr>
          </w:p>
        </w:tc>
        <w:tc>
          <w:tcPr>
            <w:tcW w:w="6860" w:type="dxa"/>
            <w:vAlign w:val="bottom"/>
            <w:gridSpan w:val="11"/>
          </w:tcPr>
          <w:p>
            <w:pPr>
              <w:jc w:val="center"/>
              <w:ind w:right="3880"/>
              <w:spacing w:after="0"/>
              <w:rPr>
                <w:rFonts w:ascii="Arial" w:cs="Arial" w:eastAsia="Arial" w:hAnsi="Arial"/>
                <w:sz w:val="18"/>
                <w:szCs w:val="18"/>
                <w:b w:val="1"/>
                <w:bCs w:val="1"/>
                <w:color w:val="0000EE"/>
              </w:rPr>
            </w:pPr>
            <w:hyperlink w:anchor="page31">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1.</w:t>
            </w:r>
          </w:p>
        </w:tc>
        <w:tc>
          <w:tcPr>
            <w:tcW w:w="3320" w:type="dxa"/>
            <w:vAlign w:val="bottom"/>
            <w:gridSpan w:val="7"/>
          </w:tcPr>
          <w:p>
            <w:pPr>
              <w:spacing w:after="0"/>
              <w:rPr>
                <w:rFonts w:ascii="Arial" w:cs="Arial" w:eastAsia="Arial" w:hAnsi="Arial"/>
                <w:sz w:val="18"/>
                <w:szCs w:val="18"/>
                <w:color w:val="0000EE"/>
              </w:rPr>
            </w:pPr>
            <w:hyperlink w:anchor="page31">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24"/>
                <w:szCs w:val="24"/>
                <w:color w:val="auto"/>
              </w:rPr>
            </w:pPr>
          </w:p>
        </w:tc>
        <w:tc>
          <w:tcPr>
            <w:tcW w:w="402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1A.</w:t>
            </w:r>
          </w:p>
        </w:tc>
        <w:tc>
          <w:tcPr>
            <w:tcW w:w="900" w:type="dxa"/>
            <w:vAlign w:val="bottom"/>
            <w:tcBorders>
              <w:top w:val="single" w:sz="8" w:color="0000EE"/>
              <w:bottom w:val="single" w:sz="8" w:color="0000EE"/>
            </w:tcBorders>
            <w:gridSpan w:val="2"/>
          </w:tcPr>
          <w:p>
            <w:pPr>
              <w:spacing w:after="0"/>
              <w:rPr>
                <w:rFonts w:ascii="Arial" w:cs="Arial" w:eastAsia="Arial" w:hAnsi="Arial"/>
                <w:sz w:val="18"/>
                <w:szCs w:val="18"/>
                <w:color w:val="0000EE"/>
                <w:w w:val="87"/>
              </w:rPr>
            </w:pPr>
            <w:hyperlink w:anchor="page31">
              <w:r>
                <w:rPr>
                  <w:rFonts w:ascii="Arial" w:cs="Arial" w:eastAsia="Arial" w:hAnsi="Arial"/>
                  <w:sz w:val="18"/>
                  <w:szCs w:val="18"/>
                  <w:color w:val="0000EE"/>
                  <w:w w:val="87"/>
                </w:rPr>
                <w:t>Risk Factors</w:t>
              </w:r>
            </w:hyperlink>
          </w:p>
        </w:tc>
        <w:tc>
          <w:tcPr>
            <w:tcW w:w="400" w:type="dxa"/>
            <w:vAlign w:val="bottom"/>
            <w:tcBorders>
              <w:top w:val="single" w:sz="8" w:color="0000EE"/>
            </w:tcBorders>
          </w:tcPr>
          <w:p>
            <w:pPr>
              <w:spacing w:after="0"/>
              <w:rPr>
                <w:sz w:val="24"/>
                <w:szCs w:val="24"/>
                <w:color w:val="auto"/>
              </w:rPr>
            </w:pPr>
          </w:p>
        </w:tc>
        <w:tc>
          <w:tcPr>
            <w:tcW w:w="8740" w:type="dxa"/>
            <w:vAlign w:val="bottom"/>
            <w:gridSpan w:val="14"/>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2.</w:t>
            </w:r>
          </w:p>
        </w:tc>
        <w:tc>
          <w:tcPr>
            <w:tcW w:w="10040" w:type="dxa"/>
            <w:vAlign w:val="bottom"/>
            <w:gridSpan w:val="17"/>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8"/>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Exhibits</w:t>
              </w:r>
            </w:hyperlink>
          </w:p>
        </w:tc>
        <w:tc>
          <w:tcPr>
            <w:tcW w:w="580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304"/>
        </w:trPr>
        <w:tc>
          <w:tcPr>
            <w:tcW w:w="1000" w:type="dxa"/>
            <w:vAlign w:val="bottom"/>
            <w:gridSpan w:val="3"/>
          </w:tcPr>
          <w:p>
            <w:pPr>
              <w:spacing w:after="0"/>
              <w:rPr>
                <w:rFonts w:ascii="Arial" w:cs="Arial" w:eastAsia="Arial" w:hAnsi="Arial"/>
                <w:sz w:val="18"/>
                <w:szCs w:val="18"/>
                <w:color w:val="0000EE"/>
              </w:rPr>
            </w:pPr>
            <w:hyperlink w:anchor="page45">
              <w:r>
                <w:rPr>
                  <w:rFonts w:ascii="Arial" w:cs="Arial" w:eastAsia="Arial" w:hAnsi="Arial"/>
                  <w:sz w:val="18"/>
                  <w:szCs w:val="18"/>
                  <w:color w:val="0000EE"/>
                </w:rPr>
                <w:t>Signatures</w:t>
              </w:r>
            </w:hyperlink>
          </w:p>
        </w:tc>
        <w:tc>
          <w:tcPr>
            <w:tcW w:w="600" w:type="dxa"/>
            <w:vAlign w:val="bottom"/>
            <w:tcBorders>
              <w:top w:val="single" w:sz="8" w:color="0000EE"/>
            </w:tcBorders>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00" w:type="dxa"/>
            <w:vAlign w:val="bottom"/>
            <w:gridSpan w:val="3"/>
          </w:tcPr>
          <w:p>
            <w:pPr>
              <w:spacing w:after="0"/>
              <w:rPr>
                <w:rFonts w:ascii="Arial" w:cs="Arial" w:eastAsia="Arial" w:hAnsi="Arial"/>
                <w:sz w:val="18"/>
                <w:szCs w:val="18"/>
                <w:color w:val="0000EE"/>
                <w:w w:val="95"/>
              </w:rPr>
            </w:pPr>
            <w:hyperlink w:anchor="page46">
              <w:r>
                <w:rPr>
                  <w:rFonts w:ascii="Arial" w:cs="Arial" w:eastAsia="Arial" w:hAnsi="Arial"/>
                  <w:sz w:val="18"/>
                  <w:szCs w:val="18"/>
                  <w:color w:val="0000EE"/>
                  <w:w w:val="95"/>
                </w:rPr>
                <w:t>Exhibit Index</w:t>
              </w:r>
            </w:hyperlink>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40" w:type="dxa"/>
            <w:vAlign w:val="bottom"/>
          </w:tcPr>
          <w:p>
            <w:pPr>
              <w:spacing w:after="0"/>
              <w:rPr>
                <w:sz w:val="24"/>
                <w:szCs w:val="24"/>
                <w:color w:val="auto"/>
              </w:rPr>
            </w:pPr>
          </w:p>
        </w:tc>
        <w:tc>
          <w:tcPr>
            <w:tcW w:w="6020" w:type="dxa"/>
            <w:vAlign w:val="bottom"/>
            <w:gridSpan w:val="11"/>
          </w:tcPr>
          <w:p>
            <w:pPr>
              <w:ind w:left="4680"/>
              <w:spacing w:after="0"/>
              <w:rPr>
                <w:sz w:val="20"/>
                <w:szCs w:val="20"/>
                <w:color w:val="auto"/>
              </w:rPr>
            </w:pPr>
            <w:r>
              <w:rPr>
                <w:rFonts w:ascii="Arial" w:cs="Arial" w:eastAsia="Arial" w:hAnsi="Arial"/>
                <w:sz w:val="18"/>
                <w:szCs w:val="18"/>
                <w:color w:val="auto"/>
              </w:rPr>
              <w:t>2</w:t>
            </w: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240" w:type="dxa"/>
            <w:vAlign w:val="bottom"/>
          </w:tcPr>
          <w:p>
            <w:pPr>
              <w:jc w:val="center"/>
              <w:ind w:left="1552"/>
              <w:spacing w:after="0"/>
              <w:rPr>
                <w:sz w:val="20"/>
                <w:szCs w:val="20"/>
                <w:color w:val="auto"/>
              </w:rPr>
            </w:pPr>
            <w:r>
              <w:rPr>
                <w:rFonts w:ascii="Arial" w:cs="Arial" w:eastAsia="Arial" w:hAnsi="Arial"/>
                <w:sz w:val="18"/>
                <w:szCs w:val="18"/>
                <w:b w:val="1"/>
                <w:bCs w:val="1"/>
                <w:color w:val="auto"/>
              </w:rPr>
              <w:t>PART I: FINANCIAL INFORMATION</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780" w:type="dxa"/>
            <w:vAlign w:val="bottom"/>
            <w:gridSpan w:val="2"/>
          </w:tcPr>
          <w:p>
            <w:pPr>
              <w:spacing w:after="0"/>
              <w:rPr>
                <w:sz w:val="20"/>
                <w:szCs w:val="20"/>
                <w:color w:val="auto"/>
              </w:rPr>
            </w:pPr>
            <w:r>
              <w:rPr>
                <w:rFonts w:ascii="Arial" w:cs="Arial" w:eastAsia="Arial" w:hAnsi="Arial"/>
                <w:sz w:val="18"/>
                <w:szCs w:val="18"/>
                <w:b w:val="1"/>
                <w:bCs w:val="1"/>
                <w:color w:val="auto"/>
              </w:rPr>
              <w:t>Item 1.</w:t>
            </w:r>
          </w:p>
        </w:tc>
        <w:tc>
          <w:tcPr>
            <w:tcW w:w="8240" w:type="dxa"/>
            <w:vAlign w:val="bottom"/>
          </w:tcPr>
          <w:p>
            <w:pPr>
              <w:ind w:left="140"/>
              <w:spacing w:after="0"/>
              <w:rPr>
                <w:sz w:val="20"/>
                <w:szCs w:val="20"/>
                <w:color w:val="auto"/>
              </w:rPr>
            </w:pPr>
            <w:r>
              <w:rPr>
                <w:rFonts w:ascii="Arial" w:cs="Arial" w:eastAsia="Arial" w:hAnsi="Arial"/>
                <w:sz w:val="18"/>
                <w:szCs w:val="18"/>
                <w:b w:val="1"/>
                <w:bCs w:val="1"/>
                <w:color w:val="auto"/>
              </w:rPr>
              <w:t>Financial Statements</w:t>
            </w: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8"/>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jc w:val="center"/>
              <w:ind w:left="1552"/>
              <w:spacing w:after="0"/>
              <w:rPr>
                <w:sz w:val="20"/>
                <w:szCs w:val="20"/>
                <w:color w:val="auto"/>
              </w:rPr>
            </w:pPr>
            <w:r>
              <w:rPr>
                <w:rFonts w:ascii="Arial" w:cs="Arial" w:eastAsia="Arial" w:hAnsi="Arial"/>
                <w:sz w:val="18"/>
                <w:szCs w:val="18"/>
                <w:b w:val="1"/>
                <w:bCs w:val="1"/>
                <w:color w:val="auto"/>
                <w:w w:val="99"/>
              </w:rPr>
              <w:t>MARVELL TECHNOLOGY GROUP LTD.</w:t>
            </w: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jc w:val="center"/>
              <w:ind w:left="153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240" w:type="dxa"/>
            <w:vAlign w:val="bottom"/>
          </w:tcPr>
          <w:p>
            <w:pPr>
              <w:jc w:val="center"/>
              <w:ind w:left="1532"/>
              <w:spacing w:after="0"/>
              <w:rPr>
                <w:sz w:val="20"/>
                <w:szCs w:val="20"/>
                <w:color w:val="auto"/>
              </w:rPr>
            </w:pPr>
            <w:r>
              <w:rPr>
                <w:rFonts w:ascii="Arial" w:cs="Arial" w:eastAsia="Arial" w:hAnsi="Arial"/>
                <w:sz w:val="18"/>
                <w:szCs w:val="18"/>
                <w:b w:val="1"/>
                <w:bCs w:val="1"/>
                <w:color w:val="auto"/>
                <w:w w:val="85"/>
              </w:rPr>
              <w:t>(in thousands)</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1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3"/>
              </w:rPr>
              <w:t>October 30,</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240" w:type="dxa"/>
            <w:vAlign w:val="bottom"/>
            <w:shd w:val="clear" w:color="auto" w:fill="CCEEFF"/>
          </w:tcPr>
          <w:p>
            <w:pPr>
              <w:ind w:left="4000"/>
              <w:spacing w:after="0"/>
              <w:rPr>
                <w:sz w:val="20"/>
                <w:szCs w:val="20"/>
                <w:color w:val="auto"/>
              </w:rPr>
            </w:pPr>
            <w:r>
              <w:rPr>
                <w:rFonts w:ascii="Arial" w:cs="Arial" w:eastAsia="Arial" w:hAnsi="Arial"/>
                <w:sz w:val="18"/>
                <w:szCs w:val="18"/>
                <w:b w:val="1"/>
                <w:bCs w:val="1"/>
                <w:color w:val="auto"/>
              </w:rPr>
              <w:t>ASSETS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000" w:type="dxa"/>
            <w:vAlign w:val="bottom"/>
            <w:gridSpan w:val="2"/>
          </w:tcPr>
          <w:p>
            <w:pPr>
              <w:spacing w:after="0"/>
              <w:rPr>
                <w:sz w:val="20"/>
                <w:szCs w:val="20"/>
                <w:color w:val="auto"/>
              </w:rPr>
            </w:pPr>
            <w:r>
              <w:rPr>
                <w:rFonts w:ascii="Arial" w:cs="Arial" w:eastAsia="Arial" w:hAnsi="Arial"/>
                <w:sz w:val="18"/>
                <w:szCs w:val="18"/>
                <w:color w:val="auto"/>
              </w:rPr>
              <w:t>Current assets:</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9000" w:type="dxa"/>
            <w:vAlign w:val="bottom"/>
            <w:gridSpan w:val="2"/>
          </w:tcPr>
          <w:p>
            <w:pPr>
              <w:spacing w:after="0"/>
              <w:rPr>
                <w:sz w:val="8"/>
                <w:szCs w:val="8"/>
                <w:color w:val="auto"/>
              </w:rPr>
            </w:pPr>
          </w:p>
        </w:tc>
        <w:tc>
          <w:tcPr>
            <w:tcW w:w="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Cash and cash equivalents</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1,642,894</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1,105,428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Short-term investments</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1,032,379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691,289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Accounts receivable, net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467,975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Inventories</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227,936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70,395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62,527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Deferred income taxes</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8,181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7,964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3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2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assets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3,449,760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spacing w:after="0"/>
              <w:rPr>
                <w:sz w:val="20"/>
                <w:szCs w:val="20"/>
                <w:color w:val="auto"/>
              </w:rPr>
            </w:pPr>
            <w:r>
              <w:rPr>
                <w:rFonts w:ascii="Arial" w:cs="Arial" w:eastAsia="Arial" w:hAnsi="Arial"/>
                <w:sz w:val="18"/>
                <w:szCs w:val="18"/>
                <w:color w:val="auto"/>
              </w:rPr>
              <w:t>Property and equipment, net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347,588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30,865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tcPr>
          <w:p>
            <w:pPr>
              <w:spacing w:after="0"/>
              <w:rPr>
                <w:sz w:val="20"/>
                <w:szCs w:val="20"/>
                <w:color w:val="auto"/>
              </w:rPr>
            </w:pPr>
            <w:r>
              <w:rPr>
                <w:rFonts w:ascii="Arial" w:cs="Arial" w:eastAsia="Arial" w:hAnsi="Arial"/>
                <w:sz w:val="18"/>
                <w:szCs w:val="18"/>
                <w:color w:val="auto"/>
              </w:rPr>
              <w:t>Goodwill</w:t>
            </w:r>
          </w:p>
        </w:tc>
        <w:tc>
          <w:tcPr>
            <w:tcW w:w="82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2,000,544</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1,997,662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131,122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179,101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spacing w:after="0"/>
              <w:rPr>
                <w:sz w:val="20"/>
                <w:szCs w:val="20"/>
                <w:color w:val="auto"/>
              </w:rPr>
            </w:pPr>
            <w:r>
              <w:rPr>
                <w:rFonts w:ascii="Arial" w:cs="Arial" w:eastAsia="Arial" w:hAnsi="Arial"/>
                <w:sz w:val="18"/>
                <w:szCs w:val="18"/>
                <w:color w:val="auto"/>
              </w:rPr>
              <w:t>Other non-current assets</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161,793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151,854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3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2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assets</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6,121,672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240" w:type="dxa"/>
            <w:vAlign w:val="bottom"/>
            <w:vMerge w:val="restart"/>
          </w:tcPr>
          <w:p>
            <w:pPr>
              <w:ind w:left="1920"/>
              <w:spacing w:after="0"/>
              <w:rPr>
                <w:sz w:val="20"/>
                <w:szCs w:val="20"/>
                <w:color w:val="auto"/>
              </w:rPr>
            </w:pPr>
            <w:r>
              <w:rPr>
                <w:rFonts w:ascii="Arial" w:cs="Arial" w:eastAsia="Arial" w:hAnsi="Arial"/>
                <w:sz w:val="18"/>
                <w:szCs w:val="18"/>
                <w:b w:val="1"/>
                <w:bCs w:val="1"/>
                <w:color w:val="auto"/>
              </w:rPr>
              <w:t>LIABILITIES AND SHAREHOLDERS’ EQUITY</w:t>
            </w: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6"/>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3"/>
        </w:trPr>
        <w:tc>
          <w:tcPr>
            <w:tcW w:w="20" w:type="dxa"/>
            <w:vAlign w:val="bottom"/>
          </w:tcPr>
          <w:p>
            <w:pPr>
              <w:spacing w:after="0"/>
              <w:rPr>
                <w:sz w:val="24"/>
                <w:szCs w:val="24"/>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Accounts payable</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352,216</w:t>
            </w:r>
          </w:p>
        </w:tc>
        <w:tc>
          <w:tcPr>
            <w:tcW w:w="320" w:type="dxa"/>
            <w:vAlign w:val="bottom"/>
          </w:tcPr>
          <w:p>
            <w:pPr>
              <w:spacing w:after="0"/>
              <w:rPr>
                <w:sz w:val="24"/>
                <w:szCs w:val="24"/>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283,362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Accrued liabilities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82,431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76,110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Accrued employee compensation</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152,279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125,810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Deferred income</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88,216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1,940</w:t>
            </w: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ind w:left="100"/>
              <w:spacing w:after="0"/>
              <w:rPr>
                <w:sz w:val="20"/>
                <w:szCs w:val="20"/>
                <w:color w:val="auto"/>
              </w:rPr>
            </w:pPr>
            <w:r>
              <w:rPr>
                <w:rFonts w:ascii="Arial" w:cs="Arial" w:eastAsia="Arial" w:hAnsi="Arial"/>
                <w:sz w:val="18"/>
                <w:szCs w:val="18"/>
                <w:color w:val="auto"/>
              </w:rPr>
              <w:t>Total current liabilities</w:t>
            </w:r>
          </w:p>
        </w:tc>
        <w:tc>
          <w:tcPr>
            <w:tcW w:w="38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698,693</w:t>
            </w:r>
          </w:p>
        </w:tc>
        <w:tc>
          <w:tcPr>
            <w:tcW w:w="3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566,610</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spacing w:after="0"/>
              <w:rPr>
                <w:sz w:val="20"/>
                <w:szCs w:val="20"/>
                <w:color w:val="auto"/>
              </w:rPr>
            </w:pPr>
            <w:r>
              <w:rPr>
                <w:rFonts w:ascii="Arial" w:cs="Arial" w:eastAsia="Arial" w:hAnsi="Arial"/>
                <w:sz w:val="18"/>
                <w:szCs w:val="18"/>
                <w:color w:val="auto"/>
              </w:rPr>
              <w:t>Non-current income taxes payable</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121,855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117,240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73,118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68,600</w:t>
            </w:r>
          </w:p>
        </w:tc>
        <w:tc>
          <w:tcPr>
            <w:tcW w:w="0" w:type="dxa"/>
            <w:vAlign w:val="bottom"/>
          </w:tcPr>
          <w:p>
            <w:pPr>
              <w:spacing w:after="0"/>
              <w:rPr>
                <w:sz w:val="1"/>
                <w:szCs w:val="1"/>
                <w:color w:val="auto"/>
              </w:rPr>
            </w:pPr>
          </w:p>
        </w:tc>
      </w:tr>
      <w:tr>
        <w:trPr>
          <w:trHeight w:val="330"/>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ind w:left="100"/>
              <w:spacing w:after="0"/>
              <w:rPr>
                <w:sz w:val="20"/>
                <w:szCs w:val="20"/>
                <w:color w:val="auto"/>
              </w:rPr>
            </w:pPr>
            <w:r>
              <w:rPr>
                <w:rFonts w:ascii="Arial" w:cs="Arial" w:eastAsia="Arial" w:hAnsi="Arial"/>
                <w:sz w:val="18"/>
                <w:szCs w:val="18"/>
                <w:color w:val="auto"/>
              </w:rPr>
              <w:t>Total liabilities</w:t>
            </w:r>
          </w:p>
        </w:tc>
        <w:tc>
          <w:tcPr>
            <w:tcW w:w="380" w:type="dxa"/>
            <w:vAlign w:val="bottom"/>
          </w:tcPr>
          <w:p>
            <w:pPr>
              <w:spacing w:after="0"/>
              <w:rPr>
                <w:sz w:val="24"/>
                <w:szCs w:val="24"/>
                <w:color w:val="auto"/>
              </w:rPr>
            </w:pPr>
          </w:p>
        </w:tc>
        <w:tc>
          <w:tcPr>
            <w:tcW w:w="100" w:type="dxa"/>
            <w:vAlign w:val="bottom"/>
            <w:tcBorders>
              <w:top w:val="single" w:sz="8" w:color="auto"/>
              <w:bottom w:val="single" w:sz="8" w:color="auto"/>
            </w:tcBorders>
          </w:tcPr>
          <w:p>
            <w:pPr>
              <w:spacing w:after="0"/>
              <w:rPr>
                <w:sz w:val="24"/>
                <w:szCs w:val="24"/>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893,666</w:t>
            </w:r>
          </w:p>
        </w:tc>
        <w:tc>
          <w:tcPr>
            <w:tcW w:w="320" w:type="dxa"/>
            <w:vAlign w:val="bottom"/>
          </w:tcPr>
          <w:p>
            <w:pPr>
              <w:spacing w:after="0"/>
              <w:rPr>
                <w:sz w:val="24"/>
                <w:szCs w:val="24"/>
                <w:color w:val="auto"/>
              </w:rPr>
            </w:pPr>
          </w:p>
        </w:tc>
        <w:tc>
          <w:tcPr>
            <w:tcW w:w="80" w:type="dxa"/>
            <w:vAlign w:val="bottom"/>
            <w:tcBorders>
              <w:top w:val="single" w:sz="8" w:color="auto"/>
              <w:bottom w:val="single" w:sz="8" w:color="auto"/>
            </w:tcBorders>
          </w:tcPr>
          <w:p>
            <w:pPr>
              <w:spacing w:after="0"/>
              <w:rPr>
                <w:sz w:val="24"/>
                <w:szCs w:val="24"/>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752,961</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6"/>
        </w:trPr>
        <w:tc>
          <w:tcPr>
            <w:tcW w:w="20" w:type="dxa"/>
            <w:vAlign w:val="bottom"/>
            <w:vMerge w:val="restart"/>
          </w:tcPr>
          <w:p>
            <w:pPr>
              <w:spacing w:after="0"/>
              <w:rPr>
                <w:sz w:val="10"/>
                <w:szCs w:val="10"/>
                <w:color w:val="auto"/>
              </w:rPr>
            </w:pPr>
          </w:p>
        </w:tc>
        <w:tc>
          <w:tcPr>
            <w:tcW w:w="760" w:type="dxa"/>
            <w:vAlign w:val="bottom"/>
          </w:tcPr>
          <w:p>
            <w:pPr>
              <w:spacing w:after="0"/>
              <w:rPr>
                <w:sz w:val="10"/>
                <w:szCs w:val="10"/>
                <w:color w:val="auto"/>
              </w:rPr>
            </w:pPr>
          </w:p>
        </w:tc>
        <w:tc>
          <w:tcPr>
            <w:tcW w:w="8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Commitments and contingencies (Note 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00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9000" w:type="dxa"/>
            <w:vAlign w:val="bottom"/>
            <w:gridSpan w:val="2"/>
          </w:tcPr>
          <w:p>
            <w:pPr>
              <w:spacing w:after="0"/>
              <w:rPr>
                <w:sz w:val="8"/>
                <w:szCs w:val="8"/>
                <w:color w:val="auto"/>
              </w:rPr>
            </w:pPr>
          </w:p>
        </w:tc>
        <w:tc>
          <w:tcPr>
            <w:tcW w:w="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Common stock</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Additional paid-in capital</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4,732,088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0" w:type="dxa"/>
            <w:vAlign w:val="bottom"/>
            <w:gridSpan w:val="2"/>
          </w:tcPr>
          <w:p>
            <w:pPr>
              <w:ind w:left="420"/>
              <w:spacing w:after="0"/>
              <w:rPr>
                <w:sz w:val="20"/>
                <w:szCs w:val="20"/>
                <w:color w:val="auto"/>
              </w:rPr>
            </w:pPr>
            <w:r>
              <w:rPr>
                <w:rFonts w:ascii="Arial" w:cs="Arial" w:eastAsia="Arial" w:hAnsi="Arial"/>
                <w:sz w:val="18"/>
                <w:szCs w:val="18"/>
                <w:color w:val="auto"/>
              </w:rPr>
              <w:t>Retained earnings (accumulated deficit)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491,019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82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spacing w:after="0"/>
              <w:rPr>
                <w:sz w:val="10"/>
                <w:szCs w:val="10"/>
                <w:color w:val="auto"/>
              </w:rPr>
            </w:pPr>
          </w:p>
        </w:tc>
        <w:tc>
          <w:tcPr>
            <w:tcW w:w="3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72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82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shareholders’ equity</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5,228,006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4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6,121,672</w:t>
            </w:r>
          </w:p>
        </w:tc>
        <w:tc>
          <w:tcPr>
            <w:tcW w:w="320" w:type="dxa"/>
            <w:vAlign w:val="bottom"/>
          </w:tcPr>
          <w:p>
            <w:pPr>
              <w:spacing w:after="0"/>
              <w:rPr>
                <w:sz w:val="24"/>
                <w:szCs w:val="24"/>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240" w:type="dxa"/>
            <w:vAlign w:val="bottom"/>
            <w:vMerge w:val="restart"/>
          </w:tcPr>
          <w:p>
            <w:pPr>
              <w:jc w:val="center"/>
              <w:ind w:left="1532"/>
              <w:spacing w:after="0"/>
              <w:rPr>
                <w:sz w:val="20"/>
                <w:szCs w:val="20"/>
                <w:color w:val="auto"/>
              </w:rPr>
            </w:pPr>
            <w:r>
              <w:rPr>
                <w:rFonts w:ascii="Arial" w:cs="Arial" w:eastAsia="Arial" w:hAnsi="Arial"/>
                <w:sz w:val="18"/>
                <w:szCs w:val="18"/>
                <w:color w:val="auto"/>
                <w:w w:val="86"/>
              </w:rPr>
              <w:t>See accompanying notes to unaudited condensed consolidated financial statements.</w:t>
            </w: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vMerge w:val="continue"/>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240" w:type="dxa"/>
            <w:vAlign w:val="bottom"/>
          </w:tcPr>
          <w:p>
            <w:pPr>
              <w:jc w:val="center"/>
              <w:ind w:left="1552"/>
              <w:spacing w:after="0"/>
              <w:rPr>
                <w:sz w:val="20"/>
                <w:szCs w:val="20"/>
                <w:color w:val="auto"/>
              </w:rPr>
            </w:pPr>
            <w:r>
              <w:rPr>
                <w:rFonts w:ascii="Arial" w:cs="Arial" w:eastAsia="Arial" w:hAnsi="Arial"/>
                <w:sz w:val="18"/>
                <w:szCs w:val="18"/>
                <w:color w:val="auto"/>
                <w:w w:val="79"/>
              </w:rPr>
              <w:t>3</w:t>
            </w: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40"/>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w w:val="95"/>
              </w:rPr>
              <w:t>Three Months Ended</w:t>
            </w: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8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959,327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803,098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2,711,380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1,965,152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390,808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341,617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1,101,475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887,306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218,420</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212,873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665,742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615,152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39,751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35,442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115,037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102,260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29,576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16,660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78,124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148,856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21,770</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26,450</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65,533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80" w:type="dxa"/>
            <w:vAlign w:val="bottom"/>
          </w:tcPr>
          <w:p>
            <w:pPr>
              <w:ind w:left="1280"/>
              <w:spacing w:after="0"/>
              <w:rPr>
                <w:sz w:val="20"/>
                <w:szCs w:val="20"/>
                <w:color w:val="auto"/>
              </w:rPr>
            </w:pPr>
            <w:r>
              <w:rPr>
                <w:rFonts w:ascii="Arial" w:cs="Arial" w:eastAsia="Arial" w:hAnsi="Arial"/>
                <w:sz w:val="18"/>
                <w:szCs w:val="18"/>
                <w:color w:val="auto"/>
              </w:rPr>
              <w:t>Total operating costs and expenses</w:t>
            </w: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700,325</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633,042</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2,025,911</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1,836,826</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259,002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170,056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685,469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128,326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(1,634)</w:t>
            </w:r>
          </w:p>
        </w:tc>
        <w:tc>
          <w:tcPr>
            <w:tcW w:w="10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(1,303)</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(1,082)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(1,672)</w:t>
            </w:r>
          </w:p>
        </w:tc>
        <w:tc>
          <w:tcPr>
            <w:tcW w:w="0" w:type="dxa"/>
            <w:vAlign w:val="bottom"/>
          </w:tcPr>
          <w:p>
            <w:pPr>
              <w:spacing w:after="0"/>
              <w:rPr>
                <w:sz w:val="1"/>
                <w:szCs w:val="1"/>
                <w:color w:val="auto"/>
              </w:rPr>
            </w:pPr>
          </w:p>
        </w:tc>
      </w:tr>
      <w:tr>
        <w:trPr>
          <w:trHeight w:val="221"/>
        </w:trPr>
        <w:tc>
          <w:tcPr>
            <w:tcW w:w="740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257,337</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168,683</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684,264</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127,072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(32,916)</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2,988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(21,563)</w:t>
            </w:r>
          </w:p>
        </w:tc>
        <w:tc>
          <w:tcPr>
            <w:tcW w:w="0" w:type="dxa"/>
            <w:vAlign w:val="bottom"/>
          </w:tcPr>
          <w:p>
            <w:pPr>
              <w:spacing w:after="0"/>
              <w:rPr>
                <w:sz w:val="1"/>
                <w:szCs w:val="1"/>
                <w:color w:val="auto"/>
              </w:rPr>
            </w:pPr>
          </w:p>
        </w:tc>
      </w:tr>
      <w:tr>
        <w:trPr>
          <w:trHeight w:val="222"/>
        </w:trPr>
        <w:tc>
          <w:tcPr>
            <w:tcW w:w="740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255,732</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201,599</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681,276</w:t>
            </w:r>
          </w:p>
        </w:tc>
        <w:tc>
          <w:tcPr>
            <w:tcW w:w="3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148,635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73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80" w:type="dxa"/>
            <w:vAlign w:val="bottom"/>
            <w:shd w:val="clear" w:color="auto" w:fill="CCEEFF"/>
          </w:tcPr>
          <w:p>
            <w:pPr>
              <w:spacing w:after="0"/>
              <w:rPr>
                <w:sz w:val="20"/>
                <w:szCs w:val="20"/>
                <w:color w:val="auto"/>
              </w:rPr>
            </w:pPr>
            <w:r>
              <w:rPr>
                <w:rFonts w:ascii="Arial" w:cs="Arial" w:eastAsia="Arial" w:hAnsi="Arial"/>
                <w:sz w:val="18"/>
                <w:szCs w:val="18"/>
                <w:color w:val="auto"/>
              </w:rPr>
              <w:t>Net income per share: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80" w:type="dxa"/>
            <w:vAlign w:val="bottom"/>
          </w:tcPr>
          <w:p>
            <w:pPr>
              <w:ind w:left="86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0.39</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0.32</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1.05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7400" w:type="dxa"/>
            <w:vAlign w:val="bottom"/>
            <w:gridSpan w:val="2"/>
            <w:vMerge w:val="restart"/>
          </w:tcPr>
          <w:p>
            <w:pPr>
              <w:spacing w:after="0"/>
              <w:rPr>
                <w:sz w:val="20"/>
                <w:szCs w:val="20"/>
                <w:color w:val="auto"/>
              </w:rPr>
            </w:pPr>
            <w:r>
              <w:rPr>
                <w:rFonts w:ascii="Arial" w:cs="Arial" w:eastAsia="Arial" w:hAnsi="Arial"/>
                <w:sz w:val="18"/>
                <w:szCs w:val="18"/>
                <w:color w:val="auto"/>
              </w:rPr>
              <w:t>Weighted average shares: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0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Basic</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649,782</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623,613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646,246</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621,057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vMerge w:val="restart"/>
          </w:tcPr>
          <w:p>
            <w:pPr>
              <w:ind w:left="860"/>
              <w:spacing w:after="0"/>
              <w:rPr>
                <w:sz w:val="20"/>
                <w:szCs w:val="20"/>
                <w:color w:val="auto"/>
              </w:rPr>
            </w:pPr>
            <w:r>
              <w:rPr>
                <w:rFonts w:ascii="Arial" w:cs="Arial" w:eastAsia="Arial" w:hAnsi="Arial"/>
                <w:sz w:val="18"/>
                <w:szCs w:val="18"/>
                <w:color w:val="auto"/>
              </w:rPr>
              <w:t>Diluted</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8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674,789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659,739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676,023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647,863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ind w:left="2520"/>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20" w:type="dxa"/>
            <w:vAlign w:val="bottom"/>
          </w:tcPr>
          <w:p>
            <w:pPr>
              <w:spacing w:after="0"/>
              <w:rPr>
                <w:sz w:val="11"/>
                <w:szCs w:val="11"/>
                <w:color w:val="auto"/>
              </w:rPr>
            </w:pPr>
          </w:p>
        </w:tc>
        <w:tc>
          <w:tcPr>
            <w:tcW w:w="9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5"/>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31,</w:t>
            </w:r>
          </w:p>
        </w:tc>
        <w:tc>
          <w:tcPr>
            <w:tcW w:w="100" w:type="dxa"/>
            <w:vAlign w:val="bottom"/>
          </w:tcPr>
          <w:p>
            <w:pPr>
              <w:spacing w:after="0"/>
              <w:rPr>
                <w:sz w:val="11"/>
                <w:szCs w:val="11"/>
                <w:color w:val="auto"/>
              </w:rPr>
            </w:pPr>
          </w:p>
        </w:tc>
      </w:tr>
      <w:tr>
        <w:trPr>
          <w:trHeight w:val="161"/>
        </w:trPr>
        <w:tc>
          <w:tcPr>
            <w:tcW w:w="20" w:type="dxa"/>
            <w:vAlign w:val="bottom"/>
          </w:tcPr>
          <w:p>
            <w:pPr>
              <w:spacing w:after="0"/>
              <w:rPr>
                <w:sz w:val="14"/>
                <w:szCs w:val="14"/>
                <w:color w:val="auto"/>
              </w:rPr>
            </w:pPr>
          </w:p>
        </w:tc>
        <w:tc>
          <w:tcPr>
            <w:tcW w:w="9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9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681,276</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148,635</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00" w:type="dxa"/>
            <w:vAlign w:val="bottom"/>
          </w:tcPr>
          <w:p>
            <w:pPr>
              <w:ind w:left="86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68,991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74,976</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87,126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96,040</w:t>
            </w:r>
          </w:p>
        </w:tc>
      </w:tr>
      <w:tr>
        <w:trPr>
          <w:trHeight w:val="216"/>
        </w:trPr>
        <w:tc>
          <w:tcPr>
            <w:tcW w:w="20" w:type="dxa"/>
            <w:vAlign w:val="bottom"/>
          </w:tcPr>
          <w:p>
            <w:pPr>
              <w:spacing w:after="0"/>
              <w:rPr>
                <w:sz w:val="18"/>
                <w:szCs w:val="18"/>
                <w:color w:val="auto"/>
              </w:rPr>
            </w:pPr>
          </w:p>
        </w:tc>
        <w:tc>
          <w:tcPr>
            <w:tcW w:w="9300" w:type="dxa"/>
            <w:vAlign w:val="bottom"/>
          </w:tcPr>
          <w:p>
            <w:pPr>
              <w:ind w:left="86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65,533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83,252</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Facilities impairment</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300" w:type="dxa"/>
            <w:vAlign w:val="bottom"/>
          </w:tcPr>
          <w:p>
            <w:pPr>
              <w:ind w:left="860"/>
              <w:spacing w:after="0"/>
              <w:rPr>
                <w:sz w:val="20"/>
                <w:szCs w:val="20"/>
                <w:color w:val="auto"/>
              </w:rPr>
            </w:pPr>
            <w:r>
              <w:rPr>
                <w:rFonts w:ascii="Arial" w:cs="Arial" w:eastAsia="Arial" w:hAnsi="Arial"/>
                <w:sz w:val="18"/>
                <w:szCs w:val="18"/>
                <w:color w:val="auto"/>
              </w:rPr>
              <w:t>(Gain) loss on investments</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9,568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Fair market value adjustment to acquired inventory sold</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(2,391)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(13,883)</w:t>
            </w:r>
          </w:p>
        </w:tc>
      </w:tr>
      <w:tr>
        <w:trPr>
          <w:trHeight w:val="216"/>
        </w:trPr>
        <w:tc>
          <w:tcPr>
            <w:tcW w:w="20" w:type="dxa"/>
            <w:vAlign w:val="bottom"/>
          </w:tcPr>
          <w:p>
            <w:pPr>
              <w:spacing w:after="0"/>
              <w:rPr>
                <w:sz w:val="18"/>
                <w:szCs w:val="18"/>
                <w:color w:val="auto"/>
              </w:rPr>
            </w:pPr>
          </w:p>
        </w:tc>
        <w:tc>
          <w:tcPr>
            <w:tcW w:w="9300" w:type="dxa"/>
            <w:vAlign w:val="bottom"/>
          </w:tcPr>
          <w:p>
            <w:pPr>
              <w:ind w:left="86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(669)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(205)</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 taxes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(6,486)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6,131</w:t>
            </w:r>
          </w:p>
        </w:tc>
      </w:tr>
      <w:tr>
        <w:trPr>
          <w:trHeight w:val="216"/>
        </w:trPr>
        <w:tc>
          <w:tcPr>
            <w:tcW w:w="20" w:type="dxa"/>
            <w:vAlign w:val="bottom"/>
          </w:tcPr>
          <w:p>
            <w:pPr>
              <w:spacing w:after="0"/>
              <w:rPr>
                <w:sz w:val="18"/>
                <w:szCs w:val="18"/>
                <w:color w:val="auto"/>
              </w:rPr>
            </w:pPr>
          </w:p>
        </w:tc>
        <w:tc>
          <w:tcPr>
            <w:tcW w:w="9300" w:type="dxa"/>
            <w:vAlign w:val="bottom"/>
          </w:tcPr>
          <w:p>
            <w:pPr>
              <w:ind w:left="86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Restricted cash</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24,500</w:t>
            </w:r>
          </w:p>
        </w:tc>
      </w:tr>
      <w:tr>
        <w:trPr>
          <w:trHeight w:val="216"/>
        </w:trPr>
        <w:tc>
          <w:tcPr>
            <w:tcW w:w="20" w:type="dxa"/>
            <w:vAlign w:val="bottom"/>
          </w:tcPr>
          <w:p>
            <w:pPr>
              <w:spacing w:after="0"/>
              <w:rPr>
                <w:sz w:val="18"/>
                <w:szCs w:val="18"/>
                <w:color w:val="auto"/>
              </w:rPr>
            </w:pPr>
          </w:p>
        </w:tc>
        <w:tc>
          <w:tcPr>
            <w:tcW w:w="9300" w:type="dxa"/>
            <w:vAlign w:val="bottom"/>
          </w:tcPr>
          <w:p>
            <w:pPr>
              <w:ind w:left="128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(111,179)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(172,218)</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15,856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83,548</w:t>
            </w:r>
          </w:p>
        </w:tc>
      </w:tr>
      <w:tr>
        <w:trPr>
          <w:trHeight w:val="216"/>
        </w:trPr>
        <w:tc>
          <w:tcPr>
            <w:tcW w:w="20" w:type="dxa"/>
            <w:vAlign w:val="bottom"/>
          </w:tcPr>
          <w:p>
            <w:pPr>
              <w:spacing w:after="0"/>
              <w:rPr>
                <w:sz w:val="18"/>
                <w:szCs w:val="18"/>
                <w:color w:val="auto"/>
              </w:rPr>
            </w:pPr>
          </w:p>
        </w:tc>
        <w:tc>
          <w:tcPr>
            <w:tcW w:w="9300" w:type="dxa"/>
            <w:vAlign w:val="bottom"/>
          </w:tcPr>
          <w:p>
            <w:pPr>
              <w:ind w:left="128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(3,718)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7,559</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63,935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172,062</w:t>
            </w:r>
          </w:p>
        </w:tc>
      </w:tr>
      <w:tr>
        <w:trPr>
          <w:trHeight w:val="216"/>
        </w:trPr>
        <w:tc>
          <w:tcPr>
            <w:tcW w:w="20" w:type="dxa"/>
            <w:vAlign w:val="bottom"/>
          </w:tcPr>
          <w:p>
            <w:pPr>
              <w:spacing w:after="0"/>
              <w:rPr>
                <w:sz w:val="18"/>
                <w:szCs w:val="18"/>
                <w:color w:val="auto"/>
              </w:rPr>
            </w:pPr>
          </w:p>
        </w:tc>
        <w:tc>
          <w:tcPr>
            <w:tcW w:w="9300" w:type="dxa"/>
            <w:vAlign w:val="bottom"/>
          </w:tcPr>
          <w:p>
            <w:pPr>
              <w:ind w:left="1280"/>
              <w:spacing w:after="0"/>
              <w:rPr>
                <w:sz w:val="20"/>
                <w:szCs w:val="20"/>
                <w:color w:val="auto"/>
              </w:rPr>
            </w:pPr>
            <w:r>
              <w:rPr>
                <w:rFonts w:ascii="Arial" w:cs="Arial" w:eastAsia="Arial" w:hAnsi="Arial"/>
                <w:sz w:val="18"/>
                <w:szCs w:val="18"/>
                <w:color w:val="auto"/>
              </w:rPr>
              <w:t>Accrued liabilities and other</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10,785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(13,628)</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26,965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35,149</w:t>
            </w:r>
          </w:p>
        </w:tc>
      </w:tr>
      <w:tr>
        <w:trPr>
          <w:trHeight w:val="216"/>
        </w:trPr>
        <w:tc>
          <w:tcPr>
            <w:tcW w:w="20" w:type="dxa"/>
            <w:vAlign w:val="bottom"/>
          </w:tcPr>
          <w:p>
            <w:pPr>
              <w:spacing w:after="0"/>
              <w:rPr>
                <w:sz w:val="18"/>
                <w:szCs w:val="18"/>
                <w:color w:val="auto"/>
              </w:rPr>
            </w:pPr>
          </w:p>
        </w:tc>
        <w:tc>
          <w:tcPr>
            <w:tcW w:w="9300" w:type="dxa"/>
            <w:vAlign w:val="bottom"/>
          </w:tcPr>
          <w:p>
            <w:pPr>
              <w:ind w:left="1280"/>
              <w:spacing w:after="0"/>
              <w:rPr>
                <w:sz w:val="20"/>
                <w:szCs w:val="20"/>
                <w:color w:val="auto"/>
              </w:rPr>
            </w:pPr>
            <w:r>
              <w:rPr>
                <w:rFonts w:ascii="Arial" w:cs="Arial" w:eastAsia="Arial" w:hAnsi="Arial"/>
                <w:sz w:val="18"/>
                <w:szCs w:val="18"/>
                <w:color w:val="auto"/>
              </w:rPr>
              <w:t>Income taxes payable</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7,163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(29,060)</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28,820</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27,538</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300" w:type="dxa"/>
            <w:vAlign w:val="bottom"/>
          </w:tcPr>
          <w:p>
            <w:pPr>
              <w:ind w:left="172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Pr>
          <w:p>
            <w:pPr>
              <w:spacing w:after="0"/>
              <w:rPr>
                <w:sz w:val="20"/>
                <w:szCs w:val="20"/>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942,715</w:t>
            </w:r>
          </w:p>
        </w:tc>
        <w:tc>
          <w:tcPr>
            <w:tcW w:w="3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530,396</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(1,023,700)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(426,998)</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678,738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10,318</w:t>
            </w:r>
          </w:p>
        </w:tc>
      </w:tr>
      <w:tr>
        <w:trPr>
          <w:trHeight w:val="216"/>
        </w:trPr>
        <w:tc>
          <w:tcPr>
            <w:tcW w:w="20" w:type="dxa"/>
            <w:vAlign w:val="bottom"/>
          </w:tcPr>
          <w:p>
            <w:pPr>
              <w:spacing w:after="0"/>
              <w:rPr>
                <w:sz w:val="18"/>
                <w:szCs w:val="18"/>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(20,679)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(63,267)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(14,808)</w:t>
            </w:r>
          </w:p>
        </w:tc>
      </w:tr>
      <w:tr>
        <w:trPr>
          <w:trHeight w:val="216"/>
        </w:trPr>
        <w:tc>
          <w:tcPr>
            <w:tcW w:w="20" w:type="dxa"/>
            <w:vAlign w:val="bottom"/>
          </w:tcPr>
          <w:p>
            <w:pPr>
              <w:spacing w:after="0"/>
              <w:rPr>
                <w:sz w:val="18"/>
                <w:szCs w:val="18"/>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(12,649)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(12,550)</w:t>
            </w:r>
          </w:p>
        </w:tc>
      </w:tr>
      <w:tr>
        <w:trPr>
          <w:trHeight w:val="27"/>
        </w:trPr>
        <w:tc>
          <w:tcPr>
            <w:tcW w:w="20" w:type="dxa"/>
            <w:vAlign w:val="bottom"/>
          </w:tcPr>
          <w:p>
            <w:pPr>
              <w:spacing w:after="0"/>
              <w:rPr>
                <w:sz w:val="2"/>
                <w:szCs w:val="2"/>
                <w:color w:val="auto"/>
              </w:rPr>
            </w:pPr>
          </w:p>
        </w:tc>
        <w:tc>
          <w:tcPr>
            <w:tcW w:w="9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used in investing activities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(441,557)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(444,038)</w:t>
            </w:r>
          </w:p>
        </w:tc>
      </w:tr>
      <w:tr>
        <w:trPr>
          <w:trHeight w:val="222"/>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78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9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(60,594)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97,673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34,749</w:t>
            </w: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(1,326)</w:t>
            </w:r>
          </w:p>
        </w:tc>
      </w:tr>
      <w:tr>
        <w:trPr>
          <w:trHeight w:val="223"/>
        </w:trPr>
        <w:tc>
          <w:tcPr>
            <w:tcW w:w="20" w:type="dxa"/>
            <w:vAlign w:val="bottom"/>
          </w:tcPr>
          <w:p>
            <w:pPr>
              <w:spacing w:after="0"/>
              <w:rPr>
                <w:sz w:val="19"/>
                <w:szCs w:val="19"/>
                <w:color w:val="auto"/>
              </w:rPr>
            </w:pPr>
          </w:p>
        </w:tc>
        <w:tc>
          <w:tcPr>
            <w:tcW w:w="93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669</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300" w:type="dxa"/>
            <w:vAlign w:val="bottom"/>
            <w:shd w:val="clear" w:color="auto" w:fill="CCEEFF"/>
          </w:tcPr>
          <w:p>
            <w:pPr>
              <w:ind w:left="1720"/>
              <w:spacing w:after="0"/>
              <w:rPr>
                <w:sz w:val="20"/>
                <w:szCs w:val="20"/>
                <w:color w:val="auto"/>
              </w:rPr>
            </w:pPr>
            <w:r>
              <w:rPr>
                <w:rFonts w:ascii="Arial" w:cs="Arial" w:eastAsia="Arial" w:hAnsi="Arial"/>
                <w:sz w:val="18"/>
                <w:szCs w:val="18"/>
                <w:color w:val="auto"/>
              </w:rPr>
              <w:t>Net cash provided by financing activities</w:t>
            </w: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36,308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33,628</w:t>
            </w:r>
          </w:p>
        </w:tc>
        <w:tc>
          <w:tcPr>
            <w:tcW w:w="100" w:type="dxa"/>
            <w:vAlign w:val="bottom"/>
            <w:shd w:val="clear" w:color="auto" w:fill="CCEEFF"/>
          </w:tcPr>
          <w:p>
            <w:pPr>
              <w:spacing w:after="0"/>
              <w:rPr>
                <w:sz w:val="18"/>
                <w:szCs w:val="18"/>
                <w:color w:val="auto"/>
              </w:rPr>
            </w:pPr>
          </w:p>
        </w:tc>
      </w:tr>
      <w:tr>
        <w:trPr>
          <w:trHeight w:val="221"/>
        </w:trPr>
        <w:tc>
          <w:tcPr>
            <w:tcW w:w="932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10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537,466</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119,986</w:t>
            </w:r>
          </w:p>
        </w:tc>
      </w:tr>
      <w:tr>
        <w:trPr>
          <w:trHeight w:val="218"/>
        </w:trPr>
        <w:tc>
          <w:tcPr>
            <w:tcW w:w="20" w:type="dxa"/>
            <w:vAlign w:val="bottom"/>
          </w:tcPr>
          <w:p>
            <w:pPr>
              <w:spacing w:after="0"/>
              <w:rPr>
                <w:sz w:val="18"/>
                <w:szCs w:val="18"/>
                <w:color w:val="auto"/>
              </w:rPr>
            </w:pPr>
          </w:p>
        </w:tc>
        <w:tc>
          <w:tcPr>
            <w:tcW w:w="93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1,105,428</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100" w:type="dxa"/>
            <w:vAlign w:val="bottom"/>
            <w:shd w:val="clear" w:color="auto" w:fill="CCEEFF"/>
          </w:tcPr>
          <w:p>
            <w:pPr>
              <w:spacing w:after="0"/>
              <w:rPr>
                <w:sz w:val="18"/>
                <w:szCs w:val="18"/>
                <w:color w:val="auto"/>
              </w:rPr>
            </w:pPr>
          </w:p>
        </w:tc>
      </w:tr>
      <w:tr>
        <w:trPr>
          <w:trHeight w:val="222"/>
        </w:trPr>
        <w:tc>
          <w:tcPr>
            <w:tcW w:w="93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1,642,894</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1,047,395</w:t>
            </w:r>
          </w:p>
        </w:tc>
      </w:tr>
      <w:tr>
        <w:trPr>
          <w:trHeight w:val="20"/>
        </w:trPr>
        <w:tc>
          <w:tcPr>
            <w:tcW w:w="20" w:type="dxa"/>
            <w:vAlign w:val="bottom"/>
          </w:tcPr>
          <w:p>
            <w:pPr>
              <w:spacing w:after="0" w:line="20" w:lineRule="exact"/>
              <w:rPr>
                <w:sz w:val="1"/>
                <w:szCs w:val="1"/>
                <w:color w:val="auto"/>
              </w:rPr>
            </w:pPr>
          </w:p>
        </w:tc>
        <w:tc>
          <w:tcPr>
            <w:tcW w:w="9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Company’s broad product portfolio includes devices for data storage, enterprise-class Ethernet data switching, Ethernet physical-layer transceiver handheld cellular, Ethernet-based wireless networking, personal area networking, Ethernet-based PC connectivity, control plane communications, powerline communications, video-image processing and power management solutions.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52-week periods.</w:t>
      </w:r>
    </w:p>
    <w:p>
      <w:pPr>
        <w:spacing w:after="0" w:line="14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October 30, 2010, the results of its operations for the three and nine months ended October 30, 2010 and October 31, 2009, and its cash flows for the nine months ended October 30, 2010 and October 31, 2009. The January 30, 2010 condensed consolidated balance sheet data was derived from audited consolidated financial statements included in the Company’s Annual Report on Form 10-K for the year ended January 30, 2010 but does not include all disclosures required for annual periods. Certain reclassifications have been made to conform to the current period’s presentation.</w:t>
      </w:r>
    </w:p>
    <w:p>
      <w:pPr>
        <w:spacing w:after="0" w:line="1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for the year ended January 30, 2010 included in the Company’s Annual Report on Form 10-K for the year ended January 30, 2010 as filed on March 31, 2010 with the Securities and Exchange Commission. The results of operations for the three and nine months ended October 30, 2010 are not necessarily indicative of the results that may be expected for any other interim period or for the full fiscal year.</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investment fair values, goodwill and other intangible assets, income taxes, revenue recognition and contingencies. In addition, the Company uses assumptions when employing the Black-Scholes option valuation model to calculate the fair value of stock-based awards granted. Actual results could differ from these estimates, and such differences could affect the results of operations reported in future periods.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 and Accounting Changes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September 2009, the Financial Accounting Standards Board (the “FASB”) issued new accounting guidance related to the revenue recognition of multiple element arrangements. The new guidance states that if vendor specific objective evidence or third party evidence for deliverables in an arrangement cannot be determined, companies will be required to develop an estimate of the selling price to separate deliverables and allocate arrangement consideration using the relative selling price method. The accounting guidance was adopted by the Company during the three months ended May 1, 2010, however, as the Company does not generally enter into multiple element arrangements, its adoption did not impact the Company’s financial position or results of operations.</w:t>
      </w:r>
    </w:p>
    <w:p>
      <w:pPr>
        <w:spacing w:after="0" w:line="116"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In December 2009, the FASB issued revised guidance that amends the consolidation rules related to variable interest entities by replacing the previous quantitative-based analysis with a framework that is based more on qualitative judgments. The determination of whether a company is required to consolidate an entity is based on, among other things, an entity’s purpose and design, a company’s ability to direct the activities of the entity that most significantly impact the entity’s economic performance and a company’s obligation to absorb losses or a right to receive benefits that could potentially be significant to the variable interest entity. This guidance requires ongoing reassessments of whether an enterprise is the primary beneficiary of the variable interest entity. This guidance became effective during the three months ended May 1, 2010 and its adoption by the Company did not have a material impact on the Company’s financial position or results of operations.</w:t>
      </w:r>
    </w:p>
    <w:p>
      <w:pPr>
        <w:spacing w:after="0" w:line="11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January 2010, the FASB issued guidance that expands the interim and annual disclosure requirements of fair value measurements, including the information about movement of assets between Level 1 and 2 of the three-tier fair value hierarchy established under its fair value measurement guidance. This guidance also requires separate disclosure for purchases, sales, issuances and settlements in the reconciliation for fair value measurements using significant unobservable inputs using Level 3 methodologies. Except for the detailed disclosure in the Level 3 reconciliation, which is effective for the fiscal years beginning after December 15, 2010, all the other disclosures under this guidance became effective during the three months ended May 1, 2010. The adoption of this guidance did not have a material impact on the Company’s financial position or results of operations.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Arial" w:cs="Arial" w:eastAsia="Arial" w:hAnsi="Arial"/>
                <w:sz w:val="14"/>
                <w:szCs w:val="14"/>
                <w:b w:val="1"/>
                <w:bCs w:val="1"/>
                <w:color w:val="auto"/>
                <w:w w:val="92"/>
              </w:rPr>
              <w:t>As of October 30, 2010</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88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3"/>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9"/>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21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spacing w:after="0"/>
              <w:rPr>
                <w:sz w:val="20"/>
                <w:szCs w:val="20"/>
                <w:color w:val="auto"/>
              </w:rPr>
            </w:pPr>
            <w:r>
              <w:rPr>
                <w:rFonts w:ascii="Arial" w:cs="Arial" w:eastAsia="Arial" w:hAnsi="Arial"/>
                <w:sz w:val="18"/>
                <w:szCs w:val="18"/>
                <w:color w:val="auto"/>
              </w:rPr>
              <w:t>Available-for-sale:</w:t>
            </w:r>
          </w:p>
        </w:tc>
        <w:tc>
          <w:tcPr>
            <w:tcW w:w="2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615,870</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4,151</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619,901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2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411,627</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856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412,478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880" w:type="dxa"/>
            <w:vAlign w:val="bottom"/>
          </w:tcPr>
          <w:p>
            <w:pPr>
              <w:spacing w:after="0"/>
              <w:rPr>
                <w:sz w:val="2"/>
                <w:szCs w:val="2"/>
                <w:color w:val="auto"/>
              </w:rPr>
            </w:pPr>
          </w:p>
        </w:tc>
        <w:tc>
          <w:tcPr>
            <w:tcW w:w="2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1,027,497</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5,007</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1,032,379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390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2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2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8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2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32,950</w:t>
            </w:r>
          </w:p>
        </w:tc>
        <w:tc>
          <w:tcPr>
            <w:tcW w:w="260" w:type="dxa"/>
            <w:vAlign w:val="bottom"/>
          </w:tcPr>
          <w:p>
            <w:pPr>
              <w:spacing w:after="0"/>
              <w:rPr>
                <w:sz w:val="18"/>
                <w:szCs w:val="18"/>
                <w:color w:val="auto"/>
              </w:rPr>
            </w:pPr>
          </w:p>
        </w:tc>
        <w:tc>
          <w:tcPr>
            <w:tcW w:w="360" w:type="dxa"/>
            <w:vAlign w:val="bottom"/>
            <w:gridSpan w:val="2"/>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(2,085)</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30,865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880" w:type="dxa"/>
            <w:vAlign w:val="bottom"/>
          </w:tcPr>
          <w:p>
            <w:pPr>
              <w:spacing w:after="0"/>
              <w:rPr>
                <w:sz w:val="2"/>
                <w:szCs w:val="2"/>
                <w:color w:val="auto"/>
              </w:rPr>
            </w:pPr>
          </w:p>
        </w:tc>
        <w:tc>
          <w:tcPr>
            <w:tcW w:w="2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8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32,950</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(2,085)</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0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2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3900" w:type="dxa"/>
            <w:vAlign w:val="bottom"/>
            <w:gridSpan w:val="2"/>
            <w:vMerge w:val="continue"/>
          </w:tcPr>
          <w:p>
            <w:pPr>
              <w:spacing w:after="0"/>
              <w:rPr>
                <w:sz w:val="18"/>
                <w:szCs w:val="18"/>
                <w:color w:val="auto"/>
              </w:rPr>
            </w:pPr>
          </w:p>
        </w:tc>
        <w:tc>
          <w:tcPr>
            <w:tcW w:w="2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1,060,447</w:t>
            </w:r>
          </w:p>
        </w:tc>
        <w:tc>
          <w:tcPr>
            <w:tcW w:w="260" w:type="dxa"/>
            <w:vAlign w:val="bottom"/>
          </w:tcPr>
          <w:p>
            <w:pPr>
              <w:spacing w:after="0"/>
              <w:rPr>
                <w:sz w:val="18"/>
                <w:szCs w:val="18"/>
                <w:color w:val="auto"/>
              </w:rPr>
            </w:pPr>
          </w:p>
        </w:tc>
        <w:tc>
          <w:tcPr>
            <w:tcW w:w="360" w:type="dxa"/>
            <w:vAlign w:val="bottom"/>
            <w:gridSpan w:val="2"/>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5,007</w:t>
            </w:r>
          </w:p>
        </w:tc>
        <w:tc>
          <w:tcPr>
            <w:tcW w:w="600" w:type="dxa"/>
            <w:vAlign w:val="bottom"/>
            <w:gridSpan w:val="2"/>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(2,210)</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1,063,244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218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18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36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ind w:left="100"/>
              <w:spacing w:after="0"/>
              <w:rPr>
                <w:sz w:val="20"/>
                <w:szCs w:val="20"/>
                <w:color w:val="auto"/>
              </w:rPr>
            </w:pPr>
            <w:r>
              <w:rPr>
                <w:rFonts w:ascii="Arial" w:cs="Arial" w:eastAsia="Arial" w:hAnsi="Arial"/>
                <w:sz w:val="14"/>
                <w:szCs w:val="14"/>
                <w:b w:val="1"/>
                <w:bCs w:val="1"/>
                <w:color w:val="auto"/>
              </w:rPr>
              <w:t>As of January 30, 2010</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3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340" w:type="dxa"/>
            <w:vAlign w:val="bottom"/>
          </w:tcPr>
          <w:p>
            <w:pPr>
              <w:spacing w:after="0"/>
              <w:rPr>
                <w:sz w:val="12"/>
                <w:szCs w:val="12"/>
                <w:color w:val="auto"/>
              </w:rPr>
            </w:pPr>
          </w:p>
        </w:tc>
        <w:tc>
          <w:tcPr>
            <w:tcW w:w="680" w:type="dxa"/>
            <w:vAlign w:val="bottom"/>
            <w:gridSpan w:val="3"/>
          </w:tcPr>
          <w:p>
            <w:pPr>
              <w:jc w:val="right"/>
              <w:ind w:right="40"/>
              <w:spacing w:after="0" w:line="149" w:lineRule="exact"/>
              <w:rPr>
                <w:sz w:val="20"/>
                <w:szCs w:val="20"/>
                <w:color w:val="auto"/>
              </w:rPr>
            </w:pPr>
            <w:r>
              <w:rPr>
                <w:rFonts w:ascii="Arial" w:cs="Arial" w:eastAsia="Arial" w:hAnsi="Arial"/>
                <w:sz w:val="14"/>
                <w:szCs w:val="14"/>
                <w:b w:val="1"/>
                <w:bCs w:val="1"/>
                <w:color w:val="auto"/>
                <w:w w:val="90"/>
              </w:rPr>
              <w:t>Amortized</w:t>
            </w:r>
          </w:p>
        </w:tc>
        <w:tc>
          <w:tcPr>
            <w:tcW w:w="46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6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Cost</w:t>
            </w: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ind w:left="40"/>
              <w:spacing w:after="0"/>
              <w:rPr>
                <w:sz w:val="20"/>
                <w:szCs w:val="20"/>
                <w:color w:val="auto"/>
              </w:rPr>
            </w:pPr>
            <w:r>
              <w:rPr>
                <w:rFonts w:ascii="Arial" w:cs="Arial" w:eastAsia="Arial" w:hAnsi="Arial"/>
                <w:sz w:val="14"/>
                <w:szCs w:val="14"/>
                <w:b w:val="1"/>
                <w:bCs w:val="1"/>
                <w:color w:val="auto"/>
              </w:rPr>
              <w:t>Gains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78"/>
              </w:rPr>
              <w:t>Losses</w:t>
            </w:r>
          </w:p>
        </w:tc>
        <w:tc>
          <w:tcPr>
            <w:tcW w:w="760" w:type="dxa"/>
            <w:vAlign w:val="bottom"/>
            <w:gridSpan w:val="3"/>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100" w:type="dxa"/>
            <w:vAlign w:val="bottom"/>
            <w:tcBorders>
              <w:top w:val="single" w:sz="8" w:color="auto"/>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Available-for-sale:</w:t>
            </w: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227,610</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934</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457,592</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258</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(30)</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457,820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Trading securities:</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ind w:left="420"/>
              <w:spacing w:after="0"/>
              <w:rPr>
                <w:sz w:val="20"/>
                <w:szCs w:val="20"/>
                <w:color w:val="auto"/>
              </w:rPr>
            </w:pPr>
            <w:r>
              <w:rPr>
                <w:rFonts w:ascii="Arial" w:cs="Arial" w:eastAsia="Arial" w:hAnsi="Arial"/>
                <w:sz w:val="18"/>
                <w:szCs w:val="18"/>
                <w:color w:val="auto"/>
              </w:rPr>
              <w:t>Auction rate security and settlement option</w:t>
            </w: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5,000</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690,202</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1,192</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691,289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6360" w:type="dxa"/>
            <w:vAlign w:val="bottom"/>
            <w:gridSpan w:val="2"/>
          </w:tcPr>
          <w:p>
            <w:pPr>
              <w:spacing w:after="0"/>
              <w:rPr>
                <w:sz w:val="20"/>
                <w:szCs w:val="20"/>
                <w:color w:val="auto"/>
              </w:rPr>
            </w:pPr>
            <w:r>
              <w:rPr>
                <w:rFonts w:ascii="Arial" w:cs="Arial" w:eastAsia="Arial" w:hAnsi="Arial"/>
                <w:sz w:val="18"/>
                <w:szCs w:val="18"/>
                <w:b w:val="1"/>
                <w:bCs w:val="1"/>
                <w:color w:val="auto"/>
              </w:rPr>
              <w:t>Long-term investments:</w:t>
            </w: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Available-for-sale:</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36,600</w:t>
            </w:r>
          </w:p>
        </w:tc>
        <w:tc>
          <w:tcPr>
            <w:tcW w:w="580" w:type="dxa"/>
            <w:vAlign w:val="bottom"/>
            <w:gridSpan w:val="2"/>
          </w:tcPr>
          <w:p>
            <w:pPr>
              <w:ind w:left="46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(2,319)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3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CCEEFF"/>
          </w:tcPr>
          <w:p>
            <w:pPr>
              <w:spacing w:after="0"/>
              <w:rPr>
                <w:sz w:val="20"/>
                <w:szCs w:val="20"/>
                <w:color w:val="auto"/>
              </w:rPr>
            </w:pPr>
            <w:r>
              <w:rPr>
                <w:rFonts w:ascii="Arial" w:cs="Arial" w:eastAsia="Arial" w:hAnsi="Arial"/>
                <w:sz w:val="18"/>
                <w:szCs w:val="18"/>
                <w:color w:val="auto"/>
              </w:rPr>
              <w:t>Total long-term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36,600</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8"/>
              </w:rPr>
              <w:t>(2,319)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gridSpan w:val="2"/>
            <w:vMerge w:val="restart"/>
          </w:tcPr>
          <w:p>
            <w:pPr>
              <w:spacing w:after="0"/>
              <w:rPr>
                <w:sz w:val="20"/>
                <w:szCs w:val="20"/>
                <w:color w:val="auto"/>
              </w:rPr>
            </w:pPr>
            <w:r>
              <w:rPr>
                <w:rFonts w:ascii="Arial" w:cs="Arial" w:eastAsia="Arial" w:hAnsi="Arial"/>
                <w:sz w:val="18"/>
                <w:szCs w:val="18"/>
                <w:color w:val="auto"/>
              </w:rPr>
              <w:t>Total investments</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36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726,802</w:t>
            </w:r>
          </w:p>
        </w:tc>
        <w:tc>
          <w:tcPr>
            <w:tcW w:w="580" w:type="dxa"/>
            <w:vAlign w:val="bottom"/>
            <w:gridSpan w:val="2"/>
          </w:tcPr>
          <w:p>
            <w:pPr>
              <w:ind w:left="460"/>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ind w:left="120"/>
              <w:spacing w:after="0"/>
              <w:rPr>
                <w:sz w:val="20"/>
                <w:szCs w:val="20"/>
                <w:color w:val="auto"/>
              </w:rPr>
            </w:pPr>
            <w:r>
              <w:rPr>
                <w:rFonts w:ascii="Arial" w:cs="Arial" w:eastAsia="Arial" w:hAnsi="Arial"/>
                <w:sz w:val="18"/>
                <w:szCs w:val="18"/>
                <w:color w:val="auto"/>
              </w:rPr>
              <w:t>1,192</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w w:val="98"/>
              </w:rPr>
              <w:t>(2,424)</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725,570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October 30, 2010, the Company’s investment portfolio included $33.0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the Company used a discounted cash flow model based on estimated timing and amount of future interest and principal payments, credit quality of the underlying securities and illiquidity considerations, the collateralization of underlying security investments, the credit worthiness of the issuer of the securities, the probability of full repayment and other considerations. As of October 30, 2010, the fair value of auction rate securities was $2.1 million less than par value and was recorded in long-term investments.</w:t>
      </w:r>
    </w:p>
    <w:p>
      <w:pPr>
        <w:spacing w:after="0" w:line="120"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Based on the Company’s assessment of its cash flow projections, a balance of approximately $2.7 billion in cash, cash equivalents and short-term investments other than auction rate securities and the fact that the Company continues to generate positive cash flow on a quarterly basis, the Company does not anticipate having to sell these securities below par value in order to operate its business. The Company does not have the intent to sell these auction rate securities until recovery and it is more likely than not that it will not be required to sell the auction rate securities prior to recovery. Thus, the Company considers the impairment to be temporary and recorded the unrealized loss to accumulated other comprehensive income (loss) (“AOCI”), a component of shareholders’ equity.</w:t>
      </w:r>
    </w:p>
    <w:p>
      <w:pPr>
        <w:spacing w:after="0" w:line="100"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contractual maturities of available-for-sale and trading debt securities excluding cash and cash equivalents at October 30, 2010 and January 30, 2010 are presented in the following table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439"/>
              <w:spacing w:after="0"/>
              <w:rPr>
                <w:sz w:val="20"/>
                <w:szCs w:val="20"/>
                <w:color w:val="auto"/>
              </w:rPr>
            </w:pPr>
            <w:r>
              <w:rPr>
                <w:rFonts w:ascii="Arial" w:cs="Arial" w:eastAsia="Arial" w:hAnsi="Arial"/>
                <w:sz w:val="14"/>
                <w:szCs w:val="14"/>
                <w:b w:val="1"/>
                <w:bCs w:val="1"/>
                <w:color w:val="auto"/>
              </w:rPr>
              <w:t>October 30, 2010</w:t>
            </w:r>
          </w:p>
        </w:tc>
        <w:tc>
          <w:tcPr>
            <w:tcW w:w="380" w:type="dxa"/>
            <w:vAlign w:val="bottom"/>
          </w:tcPr>
          <w:p>
            <w:pPr>
              <w:spacing w:after="0"/>
              <w:rPr>
                <w:sz w:val="14"/>
                <w:szCs w:val="14"/>
                <w:color w:val="auto"/>
              </w:rPr>
            </w:pPr>
          </w:p>
        </w:tc>
        <w:tc>
          <w:tcPr>
            <w:tcW w:w="1840" w:type="dxa"/>
            <w:vAlign w:val="bottom"/>
            <w:gridSpan w:val="4"/>
          </w:tcPr>
          <w:p>
            <w:pPr>
              <w:ind w:left="380"/>
              <w:spacing w:after="0"/>
              <w:rPr>
                <w:sz w:val="20"/>
                <w:szCs w:val="20"/>
                <w:color w:val="auto"/>
              </w:rPr>
            </w:pPr>
            <w:r>
              <w:rPr>
                <w:rFonts w:ascii="Arial" w:cs="Arial" w:eastAsia="Arial" w:hAnsi="Arial"/>
                <w:sz w:val="14"/>
                <w:szCs w:val="14"/>
                <w:b w:val="1"/>
                <w:bCs w:val="1"/>
                <w:color w:val="auto"/>
              </w:rPr>
              <w:t>January 30, 2010</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90"/>
              </w:rPr>
              <w:t>Amortized</w:t>
            </w:r>
          </w:p>
        </w:tc>
        <w:tc>
          <w:tcPr>
            <w:tcW w:w="2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39"/>
              <w:spacing w:after="0" w:line="129" w:lineRule="exact"/>
              <w:rPr>
                <w:sz w:val="20"/>
                <w:szCs w:val="20"/>
                <w:color w:val="auto"/>
              </w:rPr>
            </w:pPr>
            <w:r>
              <w:rPr>
                <w:rFonts w:ascii="Arial" w:cs="Arial" w:eastAsia="Arial" w:hAnsi="Arial"/>
                <w:sz w:val="14"/>
                <w:szCs w:val="14"/>
                <w:b w:val="1"/>
                <w:bCs w:val="1"/>
                <w:color w:val="auto"/>
                <w:w w:val="86"/>
              </w:rPr>
              <w:t>Estimated</w:t>
            </w:r>
          </w:p>
        </w:tc>
        <w:tc>
          <w:tcPr>
            <w:tcW w:w="380" w:type="dxa"/>
            <w:vAlign w:val="bottom"/>
          </w:tcPr>
          <w:p>
            <w:pPr>
              <w:spacing w:after="0"/>
              <w:rPr>
                <w:sz w:val="11"/>
                <w:szCs w:val="11"/>
                <w:color w:val="auto"/>
              </w:rPr>
            </w:pPr>
          </w:p>
        </w:tc>
        <w:tc>
          <w:tcPr>
            <w:tcW w:w="10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rPr>
              <w:t>Amortized</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9"/>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83"/>
              </w:rPr>
              <w:t>Cost</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w w:val="89"/>
              </w:rPr>
              <w:t>Fair Value</w:t>
            </w:r>
          </w:p>
        </w:tc>
        <w:tc>
          <w:tcPr>
            <w:tcW w:w="380" w:type="dxa"/>
            <w:vAlign w:val="bottom"/>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9"/>
              </w:rPr>
              <w:t>Fair Value</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480,209</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480,923</w:t>
            </w:r>
          </w:p>
        </w:tc>
        <w:tc>
          <w:tcPr>
            <w:tcW w:w="14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$357,179</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$357,348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547,288</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551,456</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color w:val="auto"/>
              </w:rPr>
              <w:t>333,023</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333,941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in over five years</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32,950</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30,865</w:t>
            </w:r>
          </w:p>
        </w:tc>
        <w:tc>
          <w:tcPr>
            <w:tcW w:w="14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36,600</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1,060,447</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1,063,244</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726,802</w:t>
            </w:r>
          </w:p>
        </w:tc>
        <w:tc>
          <w:tcPr>
            <w:tcW w:w="660" w:type="dxa"/>
            <w:vAlign w:val="bottom"/>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725,570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540" w:type="dxa"/>
            <w:vAlign w:val="bottom"/>
            <w:vMerge w:val="restart"/>
          </w:tcPr>
          <w:p>
            <w:pPr>
              <w:jc w:val="right"/>
              <w:ind w:right="89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7"/>
              </w:rPr>
              <w:t>October 30, 2010</w:t>
            </w: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5"/>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01"/>
              <w:spacing w:after="0"/>
              <w:rPr>
                <w:sz w:val="20"/>
                <w:szCs w:val="20"/>
                <w:color w:val="auto"/>
              </w:rPr>
            </w:pPr>
            <w:r>
              <w:rPr>
                <w:rFonts w:ascii="Arial" w:cs="Arial" w:eastAsia="Arial" w:hAnsi="Arial"/>
                <w:sz w:val="14"/>
                <w:szCs w:val="14"/>
                <w:b w:val="1"/>
                <w:bCs w:val="1"/>
                <w:color w:val="auto"/>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9"/>
              </w:rPr>
              <w:t>Losses</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78"/>
              </w:rPr>
              <w:t>Losses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44,747</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44,747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88,005</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(120)</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88,005</w:t>
            </w:r>
          </w:p>
        </w:tc>
        <w:tc>
          <w:tcPr>
            <w:tcW w:w="10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30,865</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(2,085)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30,865</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(2,085)</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132,752</w:t>
            </w:r>
          </w:p>
        </w:tc>
        <w:tc>
          <w:tcPr>
            <w:tcW w:w="30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(125)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30,865</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(2,085)</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163,617</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(2,210)</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5920" w:type="dxa"/>
            <w:vAlign w:val="bottom"/>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9"/>
              </w:rPr>
              <w:t>January 30, 2010</w:t>
            </w:r>
          </w:p>
        </w:tc>
        <w:tc>
          <w:tcPr>
            <w:tcW w:w="14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59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5"/>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59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3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01"/>
              <w:spacing w:after="0"/>
              <w:rPr>
                <w:sz w:val="20"/>
                <w:szCs w:val="20"/>
                <w:color w:val="auto"/>
              </w:rPr>
            </w:pPr>
            <w:r>
              <w:rPr>
                <w:rFonts w:ascii="Arial" w:cs="Arial" w:eastAsia="Arial" w:hAnsi="Arial"/>
                <w:sz w:val="14"/>
                <w:szCs w:val="14"/>
                <w:b w:val="1"/>
                <w:bCs w:val="1"/>
                <w:color w:val="auto"/>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9"/>
              </w:rPr>
              <w:t>Losses</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center"/>
              <w:ind w:right="22"/>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78"/>
              </w:rPr>
              <w:t>Losses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
              <w:spacing w:after="0"/>
              <w:rPr>
                <w:sz w:val="20"/>
                <w:szCs w:val="20"/>
                <w:color w:val="auto"/>
              </w:rPr>
            </w:pPr>
            <w:r>
              <w:rPr>
                <w:rFonts w:ascii="Arial" w:cs="Arial" w:eastAsia="Arial" w:hAnsi="Arial"/>
                <w:sz w:val="14"/>
                <w:szCs w:val="14"/>
                <w:b w:val="1"/>
                <w:bCs w:val="1"/>
                <w:color w:val="auto"/>
                <w:w w:val="90"/>
              </w:rPr>
              <w:t>Value</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Losses</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U.S. Federal and State debt securities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94,220</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94,220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5920" w:type="dxa"/>
            <w:vAlign w:val="bottom"/>
          </w:tcPr>
          <w:p>
            <w:pPr>
              <w:spacing w:after="0"/>
              <w:rPr>
                <w:sz w:val="20"/>
                <w:szCs w:val="20"/>
                <w:color w:val="auto"/>
              </w:rPr>
            </w:pPr>
            <w:r>
              <w:rPr>
                <w:rFonts w:ascii="Arial" w:cs="Arial" w:eastAsia="Arial" w:hAnsi="Arial"/>
                <w:sz w:val="18"/>
                <w:szCs w:val="18"/>
                <w:color w:val="auto"/>
              </w:rPr>
              <w:t>Corporate debt securities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28,428</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(75)</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7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28,428</w:t>
            </w:r>
          </w:p>
        </w:tc>
        <w:tc>
          <w:tcPr>
            <w:tcW w:w="10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34,281</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(2,319)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34,281</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(2,319)</w:t>
            </w:r>
          </w:p>
        </w:tc>
        <w:tc>
          <w:tcPr>
            <w:tcW w:w="0" w:type="dxa"/>
            <w:vAlign w:val="bottom"/>
          </w:tcPr>
          <w:p>
            <w:pPr>
              <w:spacing w:after="0"/>
              <w:rPr>
                <w:sz w:val="1"/>
                <w:szCs w:val="1"/>
                <w:color w:val="auto"/>
              </w:rPr>
            </w:pPr>
          </w:p>
        </w:tc>
      </w:tr>
      <w:tr>
        <w:trPr>
          <w:trHeight w:val="20"/>
        </w:trPr>
        <w:tc>
          <w:tcPr>
            <w:tcW w:w="592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122,648</w:t>
            </w:r>
          </w:p>
        </w:tc>
        <w:tc>
          <w:tcPr>
            <w:tcW w:w="30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(105)</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34,281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(2,319)</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156,929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(2,424)</w:t>
            </w: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Inventories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80" w:type="dxa"/>
            <w:vAlign w:val="bottom"/>
            <w:gridSpan w:val="3"/>
          </w:tcPr>
          <w:p>
            <w:pPr>
              <w:jc w:val="right"/>
              <w:spacing w:after="0"/>
              <w:rPr>
                <w:sz w:val="20"/>
                <w:szCs w:val="20"/>
                <w:color w:val="auto"/>
              </w:rPr>
            </w:pPr>
            <w:r>
              <w:rPr>
                <w:rFonts w:ascii="Arial" w:cs="Arial" w:eastAsia="Arial" w:hAnsi="Arial"/>
                <w:sz w:val="14"/>
                <w:szCs w:val="14"/>
                <w:b w:val="1"/>
                <w:bCs w:val="1"/>
                <w:color w:val="auto"/>
                <w:w w:val="98"/>
              </w:rPr>
              <w:t>October 30,</w:t>
            </w:r>
          </w:p>
        </w:tc>
        <w:tc>
          <w:tcPr>
            <w:tcW w:w="520" w:type="dxa"/>
            <w:vAlign w:val="bottom"/>
          </w:tcPr>
          <w:p>
            <w:pPr>
              <w:spacing w:after="0"/>
              <w:rPr>
                <w:sz w:val="14"/>
                <w:szCs w:val="14"/>
                <w:color w:val="auto"/>
              </w:rPr>
            </w:pPr>
          </w:p>
        </w:tc>
        <w:tc>
          <w:tcPr>
            <w:tcW w:w="7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5"/>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800" w:type="dxa"/>
            <w:vAlign w:val="bottom"/>
            <w:gridSpan w:val="2"/>
          </w:tcPr>
          <w:p>
            <w:pPr>
              <w:spacing w:after="0"/>
              <w:rPr>
                <w:sz w:val="14"/>
                <w:szCs w:val="14"/>
                <w:color w:val="auto"/>
              </w:rPr>
            </w:pPr>
          </w:p>
        </w:tc>
        <w:tc>
          <w:tcPr>
            <w:tcW w:w="62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2010</w:t>
            </w:r>
          </w:p>
        </w:tc>
        <w:tc>
          <w:tcPr>
            <w:tcW w:w="60" w:type="dxa"/>
            <w:vAlign w:val="bottom"/>
            <w:tcBorders>
              <w:bottom w:val="single" w:sz="8" w:color="auto"/>
            </w:tcBorders>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Borders>
              <w:bottom w:val="single" w:sz="8" w:color="auto"/>
            </w:tcBorders>
          </w:tcPr>
          <w:p>
            <w:pPr>
              <w:jc w:val="right"/>
              <w:ind w:right="126"/>
              <w:spacing w:after="0"/>
              <w:rPr>
                <w:sz w:val="20"/>
                <w:szCs w:val="20"/>
                <w:color w:val="auto"/>
              </w:rPr>
            </w:pPr>
            <w:r>
              <w:rPr>
                <w:rFonts w:ascii="Arial" w:cs="Arial" w:eastAsia="Arial" w:hAnsi="Arial"/>
                <w:sz w:val="14"/>
                <w:szCs w:val="14"/>
                <w:b w:val="1"/>
                <w:bCs w:val="1"/>
                <w:color w:val="auto"/>
              </w:rPr>
              <w:t>2010</w:t>
            </w:r>
          </w:p>
        </w:tc>
        <w:tc>
          <w:tcPr>
            <w:tcW w:w="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$128,876</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$ 128,371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Finished goods</w:t>
            </w:r>
          </w:p>
        </w:tc>
        <w:tc>
          <w:tcPr>
            <w:tcW w:w="2800" w:type="dxa"/>
            <w:vAlign w:val="bottom"/>
            <w:gridSpan w:val="2"/>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99,060</w:t>
            </w:r>
          </w:p>
        </w:tc>
        <w:tc>
          <w:tcPr>
            <w:tcW w:w="52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113,170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227,936</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$ 241,541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Property and equipment, net</w:t>
            </w: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40" w:type="dxa"/>
            <w:vAlign w:val="bottom"/>
            <w:gridSpan w:val="2"/>
            <w:vMerge w:val="continue"/>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780" w:type="dxa"/>
            <w:vAlign w:val="bottom"/>
            <w:gridSpan w:val="3"/>
          </w:tcPr>
          <w:p>
            <w:pPr>
              <w:jc w:val="right"/>
              <w:ind w:right="80"/>
              <w:spacing w:after="0"/>
              <w:rPr>
                <w:sz w:val="20"/>
                <w:szCs w:val="20"/>
                <w:color w:val="auto"/>
              </w:rPr>
            </w:pPr>
            <w:r>
              <w:rPr>
                <w:rFonts w:ascii="Arial" w:cs="Arial" w:eastAsia="Arial" w:hAnsi="Arial"/>
                <w:sz w:val="14"/>
                <w:szCs w:val="14"/>
                <w:b w:val="1"/>
                <w:bCs w:val="1"/>
                <w:color w:val="auto"/>
                <w:w w:val="88"/>
              </w:rPr>
              <w:t>October 30,</w:t>
            </w:r>
          </w:p>
        </w:tc>
        <w:tc>
          <w:tcPr>
            <w:tcW w:w="520" w:type="dxa"/>
            <w:vAlign w:val="bottom"/>
          </w:tcPr>
          <w:p>
            <w:pPr>
              <w:spacing w:after="0"/>
              <w:rPr>
                <w:sz w:val="24"/>
                <w:szCs w:val="24"/>
                <w:color w:val="auto"/>
              </w:rPr>
            </w:pPr>
          </w:p>
        </w:tc>
        <w:tc>
          <w:tcPr>
            <w:tcW w:w="78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w w:val="80"/>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720" w:type="dxa"/>
            <w:vAlign w:val="bottom"/>
            <w:tcBorders>
              <w:bottom w:val="single" w:sz="8" w:color="auto"/>
            </w:tcBorders>
            <w:gridSpan w:val="2"/>
          </w:tcPr>
          <w:p>
            <w:pPr>
              <w:jc w:val="right"/>
              <w:ind w:right="162"/>
              <w:spacing w:after="0"/>
              <w:rPr>
                <w:sz w:val="20"/>
                <w:szCs w:val="20"/>
                <w:color w:val="auto"/>
              </w:rPr>
            </w:pPr>
            <w:r>
              <w:rPr>
                <w:rFonts w:ascii="Arial" w:cs="Arial" w:eastAsia="Arial" w:hAnsi="Arial"/>
                <w:sz w:val="14"/>
                <w:szCs w:val="14"/>
                <w:b w:val="1"/>
                <w:bCs w:val="1"/>
                <w:color w:val="auto"/>
              </w:rPr>
              <w:t>2010</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60" w:type="dxa"/>
            <w:vAlign w:val="bottom"/>
            <w:tcBorders>
              <w:bottom w:val="single" w:sz="8" w:color="auto"/>
            </w:tcBorders>
          </w:tcPr>
          <w:p>
            <w:pPr>
              <w:jc w:val="right"/>
              <w:ind w:right="146"/>
              <w:spacing w:after="0"/>
              <w:rPr>
                <w:sz w:val="20"/>
                <w:szCs w:val="20"/>
                <w:color w:val="auto"/>
              </w:rPr>
            </w:pPr>
            <w:r>
              <w:rPr>
                <w:rFonts w:ascii="Arial" w:cs="Arial" w:eastAsia="Arial" w:hAnsi="Arial"/>
                <w:sz w:val="14"/>
                <w:szCs w:val="14"/>
                <w:b w:val="1"/>
                <w:bCs w:val="1"/>
                <w:color w:val="auto"/>
              </w:rPr>
              <w:t>2010</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$ 422,612</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$ 371,281</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74,176</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66,643</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23,439</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23,335</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33,269</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33,224</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144,596</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40,940</w:t>
            </w:r>
          </w:p>
        </w:tc>
        <w:tc>
          <w:tcPr>
            <w:tcW w:w="60" w:type="dxa"/>
            <w:vAlign w:val="bottom"/>
          </w:tcPr>
          <w:p>
            <w:pPr>
              <w:spacing w:after="0"/>
              <w:rPr>
                <w:sz w:val="18"/>
                <w:szCs w:val="18"/>
                <w:color w:val="auto"/>
              </w:rPr>
            </w:pP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45,631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69,246</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90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tcPr>
          <w:p>
            <w:pPr>
              <w:spacing w:after="0"/>
              <w:rPr>
                <w:sz w:val="19"/>
                <w:szCs w:val="19"/>
                <w:color w:val="auto"/>
              </w:rPr>
            </w:pPr>
          </w:p>
        </w:tc>
        <w:tc>
          <w:tcPr>
            <w:tcW w:w="7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4,925</w:t>
            </w:r>
          </w:p>
        </w:tc>
        <w:tc>
          <w:tcPr>
            <w:tcW w:w="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5,174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shd w:val="clear" w:color="auto" w:fill="CCEEFF"/>
          </w:tcPr>
          <w:p>
            <w:pPr>
              <w:spacing w:after="0"/>
              <w:rPr>
                <w:sz w:val="18"/>
                <w:szCs w:val="18"/>
                <w:color w:val="auto"/>
              </w:rPr>
            </w:pP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813,203</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762,780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900" w:type="dxa"/>
            <w:vAlign w:val="bottom"/>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tcPr>
          <w:p>
            <w:pPr>
              <w:spacing w:after="0"/>
              <w:rPr>
                <w:sz w:val="18"/>
                <w:szCs w:val="18"/>
                <w:color w:val="auto"/>
              </w:rPr>
            </w:pPr>
          </w:p>
        </w:tc>
        <w:tc>
          <w:tcPr>
            <w:tcW w:w="780" w:type="dxa"/>
            <w:vAlign w:val="bottom"/>
            <w:gridSpan w:val="3"/>
          </w:tcPr>
          <w:p>
            <w:pPr>
              <w:jc w:val="right"/>
              <w:spacing w:after="0"/>
              <w:rPr>
                <w:sz w:val="20"/>
                <w:szCs w:val="20"/>
                <w:color w:val="auto"/>
              </w:rPr>
            </w:pPr>
            <w:r>
              <w:rPr>
                <w:rFonts w:ascii="Arial" w:cs="Arial" w:eastAsia="Arial" w:hAnsi="Arial"/>
                <w:sz w:val="18"/>
                <w:szCs w:val="18"/>
                <w:color w:val="auto"/>
                <w:w w:val="98"/>
              </w:rPr>
              <w:t>(465,615)</w:t>
            </w:r>
          </w:p>
        </w:tc>
        <w:tc>
          <w:tcPr>
            <w:tcW w:w="1300" w:type="dxa"/>
            <w:vAlign w:val="bottom"/>
            <w:gridSpan w:val="4"/>
          </w:tcPr>
          <w:p>
            <w:pPr>
              <w:jc w:val="right"/>
              <w:ind w:right="60"/>
              <w:spacing w:after="0"/>
              <w:rPr>
                <w:sz w:val="20"/>
                <w:szCs w:val="20"/>
                <w:color w:val="auto"/>
              </w:rPr>
            </w:pPr>
            <w:r>
              <w:rPr>
                <w:rFonts w:ascii="Arial" w:cs="Arial" w:eastAsia="Arial" w:hAnsi="Arial"/>
                <w:sz w:val="18"/>
                <w:szCs w:val="18"/>
                <w:color w:val="auto"/>
              </w:rPr>
              <w:t>(420,283)</w:t>
            </w:r>
          </w:p>
        </w:tc>
        <w:tc>
          <w:tcPr>
            <w:tcW w:w="0" w:type="dxa"/>
            <w:vAlign w:val="bottom"/>
          </w:tcPr>
          <w:p>
            <w:pPr>
              <w:spacing w:after="0"/>
              <w:rPr>
                <w:sz w:val="1"/>
                <w:szCs w:val="1"/>
                <w:color w:val="auto"/>
              </w:rPr>
            </w:pPr>
          </w:p>
        </w:tc>
      </w:tr>
      <w:tr>
        <w:trPr>
          <w:trHeight w:val="27"/>
        </w:trPr>
        <w:tc>
          <w:tcPr>
            <w:tcW w:w="1140" w:type="dxa"/>
            <w:vAlign w:val="bottom"/>
            <w:vMerge w:val="restart"/>
          </w:tcPr>
          <w:p>
            <w:pPr>
              <w:spacing w:after="0"/>
              <w:rPr>
                <w:sz w:val="2"/>
                <w:szCs w:val="2"/>
                <w:color w:val="auto"/>
              </w:rPr>
            </w:pPr>
          </w:p>
        </w:tc>
        <w:tc>
          <w:tcPr>
            <w:tcW w:w="3900" w:type="dxa"/>
            <w:vAlign w:val="bottom"/>
          </w:tcPr>
          <w:p>
            <w:pPr>
              <w:spacing w:after="0"/>
              <w:rPr>
                <w:sz w:val="2"/>
                <w:szCs w:val="2"/>
                <w:color w:val="auto"/>
              </w:rPr>
            </w:pPr>
          </w:p>
        </w:tc>
        <w:tc>
          <w:tcPr>
            <w:tcW w:w="27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520" w:type="dxa"/>
            <w:vAlign w:val="bottom"/>
            <w:tcBorders>
              <w:right w:val="single" w:sz="8" w:color="auto"/>
            </w:tcBorders>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$ 347,588</w:t>
            </w:r>
          </w:p>
        </w:tc>
        <w:tc>
          <w:tcPr>
            <w:tcW w:w="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$ 342,497</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2700" w:type="dxa"/>
            <w:vAlign w:val="bottom"/>
            <w:vMerge w:val="restart"/>
          </w:tcPr>
          <w:p>
            <w:pPr>
              <w:jc w:val="right"/>
              <w:ind w:right="213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Other non-current assets</w:t>
      </w:r>
    </w:p>
    <w:p>
      <w:pPr>
        <w:spacing w:after="0" w:line="195" w:lineRule="exact"/>
        <w:rPr>
          <w:sz w:val="20"/>
          <w:szCs w:val="20"/>
          <w:color w:val="auto"/>
        </w:rPr>
      </w:pPr>
    </w:p>
    <w:tbl>
      <w:tblPr>
        <w:tblLayout w:type="fixed"/>
        <w:tblInd w:w="240" w:type="dxa"/>
        <w:tblCellMar>
          <w:top w:w="0" w:type="dxa"/>
          <w:left w:w="0" w:type="dxa"/>
          <w:bottom w:w="0" w:type="dxa"/>
          <w:right w:w="0" w:type="dxa"/>
        </w:tblCellMar>
      </w:tblP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740" w:type="dxa"/>
            <w:vAlign w:val="bottom"/>
            <w:gridSpan w:val="4"/>
          </w:tcPr>
          <w:p>
            <w:pPr>
              <w:ind w:left="60"/>
              <w:spacing w:after="0"/>
              <w:rPr>
                <w:sz w:val="20"/>
                <w:szCs w:val="20"/>
                <w:color w:val="auto"/>
              </w:rPr>
            </w:pPr>
            <w:r>
              <w:rPr>
                <w:rFonts w:ascii="Arial" w:cs="Arial" w:eastAsia="Arial" w:hAnsi="Arial"/>
                <w:sz w:val="14"/>
                <w:szCs w:val="14"/>
                <w:b w:val="1"/>
                <w:bCs w:val="1"/>
                <w:color w:val="auto"/>
                <w:w w:val="85"/>
              </w:rPr>
              <w:t>October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55"/>
              <w:spacing w:after="0"/>
              <w:rPr>
                <w:sz w:val="20"/>
                <w:szCs w:val="20"/>
                <w:color w:val="auto"/>
              </w:rPr>
            </w:pPr>
            <w:r>
              <w:rPr>
                <w:rFonts w:ascii="Arial" w:cs="Arial" w:eastAsia="Arial" w:hAnsi="Arial"/>
                <w:sz w:val="14"/>
                <w:szCs w:val="14"/>
                <w:b w:val="1"/>
                <w:bCs w:val="1"/>
                <w:color w:val="auto"/>
              </w:rPr>
              <w:t>2010</w:t>
            </w:r>
          </w:p>
        </w:tc>
        <w:tc>
          <w:tcPr>
            <w:tcW w:w="60" w:type="dxa"/>
            <w:vAlign w:val="bottom"/>
            <w:tcBorders>
              <w:bottom w:val="single" w:sz="8" w:color="auto"/>
            </w:tcBorders>
          </w:tcPr>
          <w:p>
            <w:pPr>
              <w:spacing w:after="0"/>
              <w:rPr>
                <w:sz w:val="14"/>
                <w:szCs w:val="14"/>
                <w:color w:val="auto"/>
              </w:rPr>
            </w:pP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000" w:type="dxa"/>
            <w:vAlign w:val="bottom"/>
            <w:gridSpan w:val="3"/>
            <w:shd w:val="clear" w:color="auto" w:fill="CCEEFF"/>
          </w:tcPr>
          <w:p>
            <w:pPr>
              <w:ind w:left="2900"/>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60,411</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57,261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Deferred tax assets, non-current</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40,907</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34,638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licenses</w:t>
            </w:r>
          </w:p>
        </w:tc>
        <w:tc>
          <w:tcPr>
            <w:tcW w:w="2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33,163</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33,486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Long-term prepayments for foundry capacity</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8,940</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8,504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Equity investments in privately held companies</w:t>
            </w:r>
          </w:p>
        </w:tc>
        <w:tc>
          <w:tcPr>
            <w:tcW w:w="2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8,064</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28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10,308</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5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161,793</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$ 151,854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Accrued liabilities</w:t>
            </w:r>
          </w:p>
        </w:tc>
        <w:tc>
          <w:tcPr>
            <w:tcW w:w="28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4940" w:type="dxa"/>
            <w:vAlign w:val="bottom"/>
            <w:gridSpan w:val="2"/>
            <w:vMerge w:val="continue"/>
          </w:tcPr>
          <w:p>
            <w:pPr>
              <w:spacing w:after="0"/>
              <w:rPr>
                <w:sz w:val="24"/>
                <w:szCs w:val="24"/>
                <w:color w:val="auto"/>
              </w:rPr>
            </w:pPr>
          </w:p>
        </w:tc>
        <w:tc>
          <w:tcPr>
            <w:tcW w:w="28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580" w:type="dxa"/>
            <w:vAlign w:val="bottom"/>
            <w:gridSpan w:val="5"/>
          </w:tcPr>
          <w:p>
            <w:pPr>
              <w:ind w:left="2840"/>
              <w:spacing w:after="0"/>
              <w:rPr>
                <w:sz w:val="20"/>
                <w:szCs w:val="20"/>
                <w:color w:val="auto"/>
              </w:rPr>
            </w:pPr>
            <w:r>
              <w:rPr>
                <w:rFonts w:ascii="Arial" w:cs="Arial" w:eastAsia="Arial" w:hAnsi="Arial"/>
                <w:sz w:val="14"/>
                <w:szCs w:val="14"/>
                <w:b w:val="1"/>
                <w:bCs w:val="1"/>
                <w:color w:val="auto"/>
                <w:w w:val="93"/>
              </w:rPr>
              <w:t>October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9"/>
              </w:rPr>
              <w:t>2010</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3000" w:type="dxa"/>
            <w:vAlign w:val="bottom"/>
            <w:gridSpan w:val="3"/>
            <w:shd w:val="clear" w:color="auto" w:fill="CCEEFF"/>
          </w:tcPr>
          <w:p>
            <w:pPr>
              <w:ind w:left="282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24,862</w:t>
            </w:r>
          </w:p>
        </w:tc>
        <w:tc>
          <w:tcPr>
            <w:tcW w:w="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13,404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royalties</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87"/>
              </w:rPr>
              <w:t>14,839</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12,651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2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9,494</w:t>
            </w:r>
          </w:p>
        </w:tc>
        <w:tc>
          <w:tcPr>
            <w:tcW w:w="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13,585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Customer advances</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5,098</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8,167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w:t>
            </w:r>
          </w:p>
        </w:tc>
        <w:tc>
          <w:tcPr>
            <w:tcW w:w="2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5,850</w:t>
            </w:r>
          </w:p>
        </w:tc>
        <w:tc>
          <w:tcPr>
            <w:tcW w:w="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Accrued sales/goods and services tax</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3,942</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6,082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84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18,346</w:t>
            </w:r>
          </w:p>
        </w:tc>
        <w:tc>
          <w:tcPr>
            <w:tcW w:w="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18,221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940" w:type="dxa"/>
            <w:vAlign w:val="bottom"/>
            <w:gridSpan w:val="2"/>
          </w:tcPr>
          <w:p>
            <w:pPr>
              <w:ind w:left="1140"/>
              <w:spacing w:after="0"/>
              <w:rPr>
                <w:sz w:val="20"/>
                <w:szCs w:val="20"/>
                <w:color w:val="auto"/>
              </w:rPr>
            </w:pPr>
            <w:r>
              <w:rPr>
                <w:rFonts w:ascii="Arial" w:cs="Arial" w:eastAsia="Arial" w:hAnsi="Arial"/>
                <w:sz w:val="18"/>
                <w:szCs w:val="18"/>
                <w:color w:val="auto"/>
              </w:rPr>
              <w:t>Accrued liabilities</w:t>
            </w:r>
          </w:p>
        </w:tc>
        <w:tc>
          <w:tcPr>
            <w:tcW w:w="3000" w:type="dxa"/>
            <w:vAlign w:val="bottom"/>
            <w:gridSpan w:val="3"/>
          </w:tcPr>
          <w:p>
            <w:pPr>
              <w:ind w:left="2820"/>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87"/>
              </w:rPr>
              <w:t>82,431</w:t>
            </w:r>
          </w:p>
        </w:tc>
        <w:tc>
          <w:tcPr>
            <w:tcW w:w="60" w:type="dxa"/>
            <w:vAlign w:val="bottom"/>
          </w:tcPr>
          <w:p>
            <w:pPr>
              <w:spacing w:after="0"/>
              <w:rPr>
                <w:sz w:val="19"/>
                <w:szCs w:val="19"/>
                <w:color w:val="auto"/>
              </w:rPr>
            </w:pP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76,110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40" w:type="dxa"/>
            <w:vAlign w:val="bottom"/>
            <w:gridSpan w:val="2"/>
            <w:vMerge w:val="restart"/>
          </w:tcPr>
          <w:p>
            <w:pPr>
              <w:spacing w:after="0"/>
              <w:rPr>
                <w:sz w:val="20"/>
                <w:szCs w:val="20"/>
                <w:color w:val="auto"/>
              </w:rPr>
            </w:pPr>
            <w:r>
              <w:rPr>
                <w:rFonts w:ascii="Arial" w:cs="Arial" w:eastAsia="Arial" w:hAnsi="Arial"/>
                <w:sz w:val="18"/>
                <w:szCs w:val="18"/>
                <w:b w:val="1"/>
                <w:bCs w:val="1"/>
                <w:i w:val="1"/>
                <w:iCs w:val="1"/>
                <w:color w:val="auto"/>
              </w:rPr>
              <w:t>Other long-term liabilities</w:t>
            </w:r>
          </w:p>
        </w:tc>
        <w:tc>
          <w:tcPr>
            <w:tcW w:w="284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40" w:type="dxa"/>
            <w:vAlign w:val="bottom"/>
            <w:gridSpan w:val="2"/>
            <w:vMerge w:val="continue"/>
          </w:tcPr>
          <w:p>
            <w:pPr>
              <w:spacing w:after="0"/>
              <w:rPr>
                <w:sz w:val="24"/>
                <w:szCs w:val="24"/>
                <w:color w:val="auto"/>
              </w:rPr>
            </w:pPr>
          </w:p>
        </w:tc>
        <w:tc>
          <w:tcPr>
            <w:tcW w:w="28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3580" w:type="dxa"/>
            <w:vAlign w:val="bottom"/>
            <w:gridSpan w:val="5"/>
          </w:tcPr>
          <w:p>
            <w:pPr>
              <w:ind w:left="2840"/>
              <w:spacing w:after="0"/>
              <w:rPr>
                <w:sz w:val="20"/>
                <w:szCs w:val="20"/>
                <w:color w:val="auto"/>
              </w:rPr>
            </w:pPr>
            <w:r>
              <w:rPr>
                <w:rFonts w:ascii="Arial" w:cs="Arial" w:eastAsia="Arial" w:hAnsi="Arial"/>
                <w:sz w:val="14"/>
                <w:szCs w:val="14"/>
                <w:b w:val="1"/>
                <w:bCs w:val="1"/>
                <w:color w:val="auto"/>
                <w:w w:val="93"/>
              </w:rPr>
              <w:t>October 30,</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114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89"/>
              </w:rPr>
              <w:t>2010</w:t>
            </w:r>
          </w:p>
        </w:tc>
        <w:tc>
          <w:tcPr>
            <w:tcW w:w="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000" w:type="dxa"/>
            <w:vAlign w:val="bottom"/>
            <w:gridSpan w:val="3"/>
            <w:shd w:val="clear" w:color="auto" w:fill="CCEEFF"/>
          </w:tcPr>
          <w:p>
            <w:pPr>
              <w:ind w:left="282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58,461</w:t>
            </w:r>
          </w:p>
        </w:tc>
        <w:tc>
          <w:tcPr>
            <w:tcW w:w="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53,549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Technology license obligation</w:t>
            </w:r>
          </w:p>
        </w:tc>
        <w:tc>
          <w:tcPr>
            <w:tcW w:w="28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4,500</w:t>
            </w:r>
          </w:p>
        </w:tc>
        <w:tc>
          <w:tcPr>
            <w:tcW w:w="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Long-term facilities consolidation</w:t>
            </w:r>
          </w:p>
        </w:tc>
        <w:tc>
          <w:tcPr>
            <w:tcW w:w="28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3,103</w:t>
            </w:r>
          </w:p>
        </w:tc>
        <w:tc>
          <w:tcPr>
            <w:tcW w:w="6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140" w:type="dxa"/>
            <w:vAlign w:val="bottom"/>
          </w:tcPr>
          <w:p>
            <w:pPr>
              <w:spacing w:after="0"/>
              <w:rPr>
                <w:sz w:val="19"/>
                <w:szCs w:val="19"/>
                <w:color w:val="auto"/>
              </w:rPr>
            </w:pPr>
          </w:p>
        </w:tc>
        <w:tc>
          <w:tcPr>
            <w:tcW w:w="3800" w:type="dxa"/>
            <w:vAlign w:val="bottom"/>
          </w:tcPr>
          <w:p>
            <w:pPr>
              <w:spacing w:after="0"/>
              <w:rPr>
                <w:sz w:val="20"/>
                <w:szCs w:val="20"/>
                <w:color w:val="auto"/>
              </w:rPr>
            </w:pPr>
            <w:r>
              <w:rPr>
                <w:rFonts w:ascii="Arial" w:cs="Arial" w:eastAsia="Arial" w:hAnsi="Arial"/>
                <w:sz w:val="18"/>
                <w:szCs w:val="18"/>
                <w:color w:val="auto"/>
              </w:rPr>
              <w:t>Other</w:t>
            </w:r>
          </w:p>
        </w:tc>
        <w:tc>
          <w:tcPr>
            <w:tcW w:w="2840" w:type="dxa"/>
            <w:vAlign w:val="bottom"/>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7,054</w:t>
            </w:r>
          </w:p>
        </w:tc>
        <w:tc>
          <w:tcPr>
            <w:tcW w:w="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3000" w:type="dxa"/>
            <w:vAlign w:val="bottom"/>
            <w:gridSpan w:val="3"/>
            <w:shd w:val="clear" w:color="auto" w:fill="CCEEFF"/>
          </w:tcPr>
          <w:p>
            <w:pPr>
              <w:ind w:left="282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73,118</w:t>
            </w:r>
          </w:p>
        </w:tc>
        <w:tc>
          <w:tcPr>
            <w:tcW w:w="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68,600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3800" w:type="dxa"/>
            <w:vAlign w:val="bottom"/>
          </w:tcPr>
          <w:p>
            <w:pPr>
              <w:spacing w:after="0" w:line="20" w:lineRule="exact"/>
              <w:rPr>
                <w:sz w:val="1"/>
                <w:szCs w:val="1"/>
                <w:color w:val="auto"/>
              </w:rPr>
            </w:pPr>
          </w:p>
        </w:tc>
        <w:tc>
          <w:tcPr>
            <w:tcW w:w="2840" w:type="dxa"/>
            <w:vAlign w:val="bottom"/>
            <w:vMerge w:val="restart"/>
          </w:tcPr>
          <w:p>
            <w:pPr>
              <w:ind w:left="440"/>
              <w:spacing w:after="0"/>
              <w:rPr>
                <w:sz w:val="20"/>
                <w:szCs w:val="20"/>
                <w:color w:val="auto"/>
              </w:rPr>
            </w:pPr>
            <w:r>
              <w:rPr>
                <w:rFonts w:ascii="Arial" w:cs="Arial" w:eastAsia="Arial" w:hAnsi="Arial"/>
                <w:sz w:val="18"/>
                <w:szCs w:val="18"/>
                <w:color w:val="auto"/>
              </w:rPr>
              <w:t>10</w:t>
            </w: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1140" w:type="dxa"/>
            <w:vAlign w:val="bottom"/>
          </w:tcPr>
          <w:p>
            <w:pPr>
              <w:spacing w:after="0"/>
              <w:rPr>
                <w:sz w:val="24"/>
                <w:szCs w:val="24"/>
                <w:color w:val="auto"/>
              </w:rPr>
            </w:pPr>
          </w:p>
        </w:tc>
        <w:tc>
          <w:tcPr>
            <w:tcW w:w="3800" w:type="dxa"/>
            <w:vAlign w:val="bottom"/>
          </w:tcPr>
          <w:p>
            <w:pPr>
              <w:spacing w:after="0"/>
              <w:rPr>
                <w:sz w:val="24"/>
                <w:szCs w:val="24"/>
                <w:color w:val="auto"/>
              </w:rPr>
            </w:pPr>
          </w:p>
        </w:tc>
        <w:tc>
          <w:tcPr>
            <w:tcW w:w="2840" w:type="dxa"/>
            <w:vAlign w:val="bottom"/>
            <w:vMerge w:val="continue"/>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upon the weighted average number of common shares outstanding and diluted net income per share, which is based on the weighted average number of common shares outstanding and dilutive potential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2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184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76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480" w:type="dxa"/>
            <w:vAlign w:val="bottom"/>
          </w:tcPr>
          <w:p>
            <w:pPr>
              <w:spacing w:after="0"/>
              <w:rPr>
                <w:sz w:val="11"/>
                <w:szCs w:val="11"/>
                <w:color w:val="auto"/>
              </w:rPr>
            </w:pPr>
          </w:p>
        </w:tc>
        <w:tc>
          <w:tcPr>
            <w:tcW w:w="118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30,</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2010</w:t>
            </w:r>
          </w:p>
        </w:tc>
        <w:tc>
          <w:tcPr>
            <w:tcW w:w="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580" w:type="dxa"/>
            <w:vAlign w:val="bottom"/>
            <w:gridSpan w:val="2"/>
          </w:tcPr>
          <w:p>
            <w:pPr>
              <w:ind w:left="1480"/>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255,732</w:t>
            </w:r>
          </w:p>
        </w:tc>
        <w:tc>
          <w:tcPr>
            <w:tcW w:w="580" w:type="dxa"/>
            <w:vAlign w:val="bottom"/>
            <w:gridSpan w:val="2"/>
          </w:tcPr>
          <w:p>
            <w:pPr>
              <w:ind w:left="480"/>
              <w:spacing w:after="0"/>
              <w:rPr>
                <w:sz w:val="20"/>
                <w:szCs w:val="20"/>
                <w:color w:val="auto"/>
              </w:rPr>
            </w:pPr>
            <w:r>
              <w:rPr>
                <w:rFonts w:ascii="Arial" w:cs="Arial" w:eastAsia="Arial" w:hAnsi="Arial"/>
                <w:sz w:val="18"/>
                <w:szCs w:val="18"/>
                <w:u w:val="single" w:color="auto"/>
                <w:color w:val="auto"/>
                <w:w w:val="79"/>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201,599</w:t>
            </w: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w w:val="86"/>
              </w:rPr>
              <w:t>681,276</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148,635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6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spacing w:after="0"/>
              <w:rPr>
                <w:sz w:val="20"/>
                <w:szCs w:val="20"/>
                <w:color w:val="auto"/>
              </w:rPr>
            </w:pPr>
            <w:r>
              <w:rPr>
                <w:rFonts w:ascii="Arial" w:cs="Arial" w:eastAsia="Arial" w:hAnsi="Arial"/>
                <w:sz w:val="18"/>
                <w:szCs w:val="18"/>
                <w:color w:val="auto"/>
              </w:rPr>
              <w:t>Weighted average common shares outstanding</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649,782</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623,613</w:t>
            </w:r>
          </w:p>
        </w:tc>
        <w:tc>
          <w:tcPr>
            <w:tcW w:w="100" w:type="dxa"/>
            <w:vAlign w:val="bottom"/>
          </w:tcPr>
          <w:p>
            <w:pPr>
              <w:spacing w:after="0"/>
              <w:rPr>
                <w:sz w:val="18"/>
                <w:szCs w:val="18"/>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w w:val="86"/>
              </w:rPr>
              <w:t>646,246</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621,057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25,007</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36,126</w:t>
            </w:r>
          </w:p>
        </w:tc>
        <w:tc>
          <w:tcPr>
            <w:tcW w:w="100" w:type="dxa"/>
            <w:vAlign w:val="bottom"/>
          </w:tcPr>
          <w:p>
            <w:pPr>
              <w:spacing w:after="0"/>
              <w:rPr>
                <w:sz w:val="18"/>
                <w:szCs w:val="18"/>
                <w:color w:val="auto"/>
              </w:rPr>
            </w:pP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29,777</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26,806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674,789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659,739</w:t>
            </w: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w w:val="86"/>
              </w:rPr>
              <w:t>676,023</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647,863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760" w:type="dxa"/>
            <w:vAlign w:val="bottom"/>
            <w:vMerge w:val="continue"/>
          </w:tcPr>
          <w:p>
            <w:pPr>
              <w:spacing w:after="0"/>
              <w:rPr>
                <w:sz w:val="18"/>
                <w:szCs w:val="18"/>
                <w:color w:val="auto"/>
              </w:rPr>
            </w:pPr>
          </w:p>
        </w:tc>
        <w:tc>
          <w:tcPr>
            <w:tcW w:w="1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7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1580" w:type="dxa"/>
            <w:vAlign w:val="bottom"/>
            <w:gridSpan w:val="2"/>
            <w:shd w:val="clear" w:color="auto" w:fill="CCEEFF"/>
          </w:tcPr>
          <w:p>
            <w:pPr>
              <w:ind w:left="148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0.39</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0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1.05</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760" w:type="dxa"/>
            <w:vAlign w:val="bottom"/>
          </w:tcPr>
          <w:p>
            <w:pPr>
              <w:ind w:left="440"/>
              <w:spacing w:after="0"/>
              <w:rPr>
                <w:sz w:val="20"/>
                <w:szCs w:val="20"/>
                <w:color w:val="auto"/>
              </w:rPr>
            </w:pPr>
            <w:r>
              <w:rPr>
                <w:rFonts w:ascii="Arial" w:cs="Arial" w:eastAsia="Arial" w:hAnsi="Arial"/>
                <w:sz w:val="18"/>
                <w:szCs w:val="18"/>
                <w:color w:val="auto"/>
              </w:rPr>
              <w:t>Diluted</w:t>
            </w:r>
          </w:p>
        </w:tc>
        <w:tc>
          <w:tcPr>
            <w:tcW w:w="1580" w:type="dxa"/>
            <w:vAlign w:val="bottom"/>
            <w:gridSpan w:val="2"/>
          </w:tcPr>
          <w:p>
            <w:pPr>
              <w:ind w:left="148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0.38</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0.31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080" w:type="dxa"/>
            <w:vAlign w:val="bottom"/>
            <w:gridSpan w:val="2"/>
          </w:tcPr>
          <w:p>
            <w:pPr>
              <w:jc w:val="right"/>
              <w:ind w:right="500"/>
              <w:spacing w:after="0"/>
              <w:rPr>
                <w:sz w:val="20"/>
                <w:szCs w:val="20"/>
                <w:color w:val="auto"/>
              </w:rPr>
            </w:pPr>
            <w:r>
              <w:rPr>
                <w:rFonts w:ascii="Arial" w:cs="Arial" w:eastAsia="Arial" w:hAnsi="Arial"/>
                <w:sz w:val="18"/>
                <w:szCs w:val="18"/>
                <w:color w:val="auto"/>
              </w:rPr>
              <w:t>1.01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335" w:lineRule="auto"/>
        <w:rPr>
          <w:sz w:val="20"/>
          <w:szCs w:val="20"/>
          <w:color w:val="auto"/>
        </w:rPr>
      </w:pPr>
      <w:r>
        <w:rPr>
          <w:rFonts w:ascii="Arial" w:cs="Arial" w:eastAsia="Arial" w:hAnsi="Arial"/>
          <w:sz w:val="15"/>
          <w:szCs w:val="15"/>
          <w:color w:val="auto"/>
        </w:rPr>
        <w:t>Options to purchase 17.1 million weighted-average shares have been excluded from the computation of diluted net income per share for the three months ended October 30, 2010 because including them would have been anti-dilutive. Options to purchase 1.0 million weighted-average shares have been excluded from the computation of diluted net income per share for the three months ended October 31, 2009 because including them would have been anti-dilutive.</w:t>
      </w:r>
    </w:p>
    <w:p>
      <w:pPr>
        <w:spacing w:after="0" w:line="88" w:lineRule="exact"/>
        <w:rPr>
          <w:sz w:val="20"/>
          <w:szCs w:val="20"/>
          <w:color w:val="auto"/>
        </w:rPr>
      </w:pPr>
    </w:p>
    <w:p>
      <w:pPr>
        <w:jc w:val="both"/>
        <w:ind w:right="240" w:firstLine="456"/>
        <w:spacing w:after="0" w:line="335" w:lineRule="auto"/>
        <w:rPr>
          <w:sz w:val="20"/>
          <w:szCs w:val="20"/>
          <w:color w:val="auto"/>
        </w:rPr>
      </w:pPr>
      <w:r>
        <w:rPr>
          <w:rFonts w:ascii="Arial" w:cs="Arial" w:eastAsia="Arial" w:hAnsi="Arial"/>
          <w:sz w:val="15"/>
          <w:szCs w:val="15"/>
          <w:color w:val="auto"/>
        </w:rPr>
        <w:t>Options to purchase 12.5 million weighted-average shares have been excluded from the computation of diluted net income per share for the nine months ended October 30, 2010 because including them would have been anti-dilutive. Options to purchase 27.4 million weighted-average shares have been excluded from the computation of diluted net income per share for the nine months ended October 31, 2009 because including them would have been anti-dilutive.</w:t>
      </w:r>
    </w:p>
    <w:p>
      <w:pPr>
        <w:spacing w:after="0" w:line="16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Comprehensive income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(“OCI”) were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gridSpan w:val="7"/>
          </w:tcPr>
          <w:p>
            <w:pPr>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1780" w:type="dxa"/>
            <w:vAlign w:val="bottom"/>
            <w:gridSpan w:val="7"/>
          </w:tcPr>
          <w:p>
            <w:pPr>
              <w:jc w:val="right"/>
              <w:ind w:right="3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6280" w:type="dxa"/>
            <w:vAlign w:val="bottom"/>
          </w:tcPr>
          <w:p>
            <w:pPr>
              <w:spacing w:after="0"/>
              <w:rPr>
                <w:sz w:val="11"/>
                <w:szCs w:val="11"/>
                <w:color w:val="auto"/>
              </w:rPr>
            </w:pPr>
          </w:p>
        </w:tc>
        <w:tc>
          <w:tcPr>
            <w:tcW w:w="960" w:type="dxa"/>
            <w:vAlign w:val="bottom"/>
            <w:tcBorders>
              <w:top w:val="single" w:sz="8" w:color="auto"/>
            </w:tcBorders>
            <w:gridSpan w:val="5"/>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60" w:type="dxa"/>
            <w:vAlign w:val="bottom"/>
            <w:tcBorders>
              <w:top w:val="single" w:sz="8" w:color="auto"/>
            </w:tcBorders>
            <w:gridSpan w:val="4"/>
          </w:tcPr>
          <w:p>
            <w:pPr>
              <w:jc w:val="right"/>
              <w:ind w:right="18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660" w:type="dxa"/>
            <w:vAlign w:val="bottom"/>
            <w:tcBorders>
              <w:bottom w:val="single" w:sz="8" w:color="auto"/>
            </w:tcBorders>
            <w:gridSpan w:val="3"/>
          </w:tcPr>
          <w:p>
            <w:pPr>
              <w:ind w:left="200"/>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Borders>
              <w:bottom w:val="single" w:sz="8" w:color="auto"/>
            </w:tcBorders>
          </w:tcPr>
          <w:p>
            <w:pPr>
              <w:jc w:val="right"/>
              <w:ind w:right="127"/>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Borders>
              <w:bottom w:val="single" w:sz="8" w:color="auto"/>
            </w:tcBorders>
            <w:gridSpan w:val="3"/>
          </w:tcPr>
          <w:p>
            <w:pPr>
              <w:jc w:val="right"/>
              <w:ind w:right="200"/>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income</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5"/>
              </w:rPr>
              <w:t>$255,732</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0"/>
              </w:rPr>
              <w:t>$201,599</w:t>
            </w:r>
          </w:p>
        </w:tc>
        <w:tc>
          <w:tcPr>
            <w:tcW w:w="1080" w:type="dxa"/>
            <w:vAlign w:val="bottom"/>
            <w:gridSpan w:val="5"/>
            <w:shd w:val="clear" w:color="auto" w:fill="CCEEFF"/>
          </w:tcPr>
          <w:p>
            <w:pPr>
              <w:jc w:val="right"/>
              <w:ind w:right="180"/>
              <w:spacing w:after="0"/>
              <w:rPr>
                <w:sz w:val="20"/>
                <w:szCs w:val="20"/>
                <w:color w:val="auto"/>
              </w:rPr>
            </w:pPr>
            <w:r>
              <w:rPr>
                <w:rFonts w:ascii="Arial" w:cs="Arial" w:eastAsia="Arial" w:hAnsi="Arial"/>
                <w:sz w:val="18"/>
                <w:szCs w:val="18"/>
                <w:color w:val="auto"/>
              </w:rPr>
              <w:t>$681,276</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$148,635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gridSpan w:val="2"/>
          </w:tcPr>
          <w:p>
            <w:pPr>
              <w:spacing w:after="0"/>
              <w:rPr>
                <w:sz w:val="20"/>
                <w:szCs w:val="20"/>
                <w:color w:val="auto"/>
              </w:rPr>
            </w:pPr>
            <w:r>
              <w:rPr>
                <w:rFonts w:ascii="Arial" w:cs="Arial" w:eastAsia="Arial" w:hAnsi="Arial"/>
                <w:sz w:val="18"/>
                <w:szCs w:val="18"/>
                <w:color w:val="auto"/>
              </w:rPr>
              <w:t>Other comprehensive income</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Change in unrealized gain (loss) on marketable securities</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1,939</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(40)</w:t>
            </w:r>
          </w:p>
        </w:tc>
        <w:tc>
          <w:tcPr>
            <w:tcW w:w="1080" w:type="dxa"/>
            <w:vAlign w:val="bottom"/>
            <w:gridSpan w:val="5"/>
            <w:shd w:val="clear" w:color="auto" w:fill="CCEEFF"/>
          </w:tcPr>
          <w:p>
            <w:pPr>
              <w:jc w:val="right"/>
              <w:ind w:right="180"/>
              <w:spacing w:after="0"/>
              <w:rPr>
                <w:sz w:val="20"/>
                <w:szCs w:val="20"/>
                <w:color w:val="auto"/>
              </w:rPr>
            </w:pPr>
            <w:r>
              <w:rPr>
                <w:rFonts w:ascii="Arial" w:cs="Arial" w:eastAsia="Arial" w:hAnsi="Arial"/>
                <w:sz w:val="18"/>
                <w:szCs w:val="18"/>
                <w:color w:val="auto"/>
              </w:rPr>
              <w:t>3,795</w:t>
            </w:r>
          </w:p>
        </w:tc>
        <w:tc>
          <w:tcPr>
            <w:tcW w:w="9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gridSpan w:val="2"/>
          </w:tcPr>
          <w:p>
            <w:pPr>
              <w:ind w:left="420"/>
              <w:spacing w:after="0"/>
              <w:rPr>
                <w:sz w:val="20"/>
                <w:szCs w:val="20"/>
                <w:color w:val="auto"/>
              </w:rPr>
            </w:pPr>
            <w:r>
              <w:rPr>
                <w:rFonts w:ascii="Arial" w:cs="Arial" w:eastAsia="Arial" w:hAnsi="Arial"/>
                <w:sz w:val="18"/>
                <w:szCs w:val="18"/>
                <w:color w:val="auto"/>
              </w:rPr>
              <w:t>Change in unrealized gain (loss) on auction rate securities</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w w:val="99"/>
              </w:rPr>
              <w:t>181</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3"/>
          </w:tcPr>
          <w:p>
            <w:pPr>
              <w:jc w:val="right"/>
              <w:ind w:right="100"/>
              <w:spacing w:after="0"/>
              <w:rPr>
                <w:sz w:val="20"/>
                <w:szCs w:val="20"/>
                <w:color w:val="auto"/>
              </w:rPr>
            </w:pPr>
            <w:r>
              <w:rPr>
                <w:rFonts w:ascii="Arial" w:cs="Arial" w:eastAsia="Arial" w:hAnsi="Arial"/>
                <w:sz w:val="18"/>
                <w:szCs w:val="18"/>
                <w:color w:val="auto"/>
              </w:rPr>
              <w:t>43</w:t>
            </w:r>
          </w:p>
        </w:tc>
        <w:tc>
          <w:tcPr>
            <w:tcW w:w="1080" w:type="dxa"/>
            <w:vAlign w:val="bottom"/>
            <w:gridSpan w:val="5"/>
          </w:tcPr>
          <w:p>
            <w:pPr>
              <w:jc w:val="right"/>
              <w:ind w:right="180"/>
              <w:spacing w:after="0"/>
              <w:rPr>
                <w:sz w:val="20"/>
                <w:szCs w:val="20"/>
                <w:color w:val="auto"/>
              </w:rPr>
            </w:pPr>
            <w:r>
              <w:rPr>
                <w:rFonts w:ascii="Arial" w:cs="Arial" w:eastAsia="Arial" w:hAnsi="Arial"/>
                <w:sz w:val="18"/>
                <w:szCs w:val="18"/>
                <w:color w:val="auto"/>
              </w:rPr>
              <w:t>234</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(1,117)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Change in unrealized gain (loss) on cash flow hedges</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951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(459)</w:t>
            </w:r>
          </w:p>
        </w:tc>
        <w:tc>
          <w:tcPr>
            <w:tcW w:w="1080" w:type="dxa"/>
            <w:vAlign w:val="bottom"/>
            <w:gridSpan w:val="5"/>
            <w:shd w:val="clear" w:color="auto" w:fill="CCEEFF"/>
          </w:tcPr>
          <w:p>
            <w:pPr>
              <w:jc w:val="right"/>
              <w:ind w:right="180"/>
              <w:spacing w:after="0"/>
              <w:rPr>
                <w:sz w:val="20"/>
                <w:szCs w:val="20"/>
                <w:color w:val="auto"/>
              </w:rPr>
            </w:pPr>
            <w:r>
              <w:rPr>
                <w:rFonts w:ascii="Arial" w:cs="Arial" w:eastAsia="Arial" w:hAnsi="Arial"/>
                <w:sz w:val="18"/>
                <w:szCs w:val="18"/>
                <w:color w:val="auto"/>
              </w:rPr>
              <w:t>460</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gridSpan w:val="2"/>
          </w:tcPr>
          <w:p>
            <w:pPr>
              <w:ind w:left="420"/>
              <w:spacing w:after="0"/>
              <w:rPr>
                <w:sz w:val="20"/>
                <w:szCs w:val="20"/>
                <w:color w:val="auto"/>
              </w:rPr>
            </w:pPr>
            <w:r>
              <w:rPr>
                <w:rFonts w:ascii="Arial" w:cs="Arial" w:eastAsia="Arial" w:hAnsi="Arial"/>
                <w:sz w:val="18"/>
                <w:szCs w:val="18"/>
                <w:color w:val="auto"/>
              </w:rPr>
              <w:t>Change in other</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ind w:left="60"/>
              <w:spacing w:after="0"/>
              <w:rPr>
                <w:sz w:val="20"/>
                <w:szCs w:val="20"/>
                <w:color w:val="auto"/>
              </w:rPr>
            </w:pPr>
            <w:r>
              <w:rPr>
                <w:rFonts w:ascii="Arial" w:cs="Arial" w:eastAsia="Arial" w:hAnsi="Arial"/>
                <w:sz w:val="18"/>
                <w:szCs w:val="18"/>
                <w:color w:val="auto"/>
              </w:rPr>
              <w:t>—</w:t>
            </w:r>
          </w:p>
        </w:tc>
        <w:tc>
          <w:tcPr>
            <w:tcW w:w="300" w:type="dxa"/>
            <w:vAlign w:val="bottom"/>
            <w:gridSpan w:val="2"/>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tcPr>
          <w:p>
            <w:pPr>
              <w:jc w:val="right"/>
              <w:ind w:right="27"/>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4"/>
          </w:tcPr>
          <w:p>
            <w:pPr>
              <w:jc w:val="right"/>
              <w:ind w:right="120"/>
              <w:spacing w:after="0"/>
              <w:rPr>
                <w:sz w:val="20"/>
                <w:szCs w:val="20"/>
                <w:color w:val="auto"/>
              </w:rPr>
            </w:pPr>
            <w:r>
              <w:rPr>
                <w:rFonts w:ascii="Arial" w:cs="Arial" w:eastAsia="Arial" w:hAnsi="Arial"/>
                <w:sz w:val="18"/>
                <w:szCs w:val="18"/>
                <w:color w:val="auto"/>
              </w:rPr>
              <w:t>(2)</w:t>
            </w:r>
          </w:p>
        </w:tc>
        <w:tc>
          <w:tcPr>
            <w:tcW w:w="920" w:type="dxa"/>
            <w:vAlign w:val="bottom"/>
            <w:gridSpan w:val="3"/>
          </w:tcPr>
          <w:p>
            <w:pPr>
              <w:jc w:val="right"/>
              <w:ind w:right="40"/>
              <w:spacing w:after="0"/>
              <w:rPr>
                <w:sz w:val="20"/>
                <w:szCs w:val="20"/>
                <w:color w:val="auto"/>
              </w:rPr>
            </w:pPr>
            <w:r>
              <w:rPr>
                <w:rFonts w:ascii="Arial" w:cs="Arial" w:eastAsia="Arial" w:hAnsi="Arial"/>
                <w:sz w:val="18"/>
                <w:szCs w:val="18"/>
                <w:color w:val="auto"/>
              </w:rPr>
              <w:t>(584)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62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680" w:type="dxa"/>
            <w:vAlign w:val="bottom"/>
            <w:tcBorders>
              <w:right w:val="single" w:sz="8" w:color="auto"/>
            </w:tcBorders>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comprehensive income</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258,803</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201,143</w:t>
            </w:r>
          </w:p>
        </w:tc>
        <w:tc>
          <w:tcPr>
            <w:tcW w:w="1080" w:type="dxa"/>
            <w:vAlign w:val="bottom"/>
            <w:gridSpan w:val="5"/>
            <w:shd w:val="clear" w:color="auto" w:fill="CCEEFF"/>
          </w:tcPr>
          <w:p>
            <w:pPr>
              <w:jc w:val="right"/>
              <w:ind w:right="1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685,763</w:t>
            </w: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148,224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640" w:type="dxa"/>
            <w:vAlign w:val="bottom"/>
            <w:gridSpan w:val="2"/>
            <w:vMerge w:val="restart"/>
          </w:tcPr>
          <w:p>
            <w:pPr>
              <w:ind w:left="440"/>
              <w:spacing w:after="0"/>
              <w:rPr>
                <w:sz w:val="20"/>
                <w:szCs w:val="20"/>
                <w:color w:val="auto"/>
              </w:rPr>
            </w:pPr>
            <w:r>
              <w:rPr>
                <w:rFonts w:ascii="Arial" w:cs="Arial" w:eastAsia="Arial" w:hAnsi="Arial"/>
                <w:sz w:val="18"/>
                <w:szCs w:val="18"/>
                <w:color w:val="auto"/>
                <w:w w:val="89"/>
              </w:rPr>
              <w:t>The components of accumulated other comprehensive income (loss) were as follows (in thousands):</w:t>
            </w: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20" w:type="dxa"/>
            <w:vAlign w:val="bottom"/>
          </w:tcPr>
          <w:p>
            <w:pPr>
              <w:spacing w:after="0"/>
              <w:rPr>
                <w:sz w:val="24"/>
                <w:szCs w:val="24"/>
                <w:color w:val="auto"/>
              </w:rPr>
            </w:pPr>
          </w:p>
        </w:tc>
        <w:tc>
          <w:tcPr>
            <w:tcW w:w="7640" w:type="dxa"/>
            <w:vAlign w:val="bottom"/>
            <w:gridSpan w:val="2"/>
            <w:vMerge w:val="continue"/>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6280" w:type="dxa"/>
            <w:vAlign w:val="bottom"/>
          </w:tcPr>
          <w:p>
            <w:pPr>
              <w:spacing w:after="0"/>
              <w:rPr>
                <w:sz w:val="24"/>
                <w:szCs w:val="24"/>
                <w:color w:val="auto"/>
              </w:rPr>
            </w:pPr>
          </w:p>
        </w:tc>
        <w:tc>
          <w:tcPr>
            <w:tcW w:w="960" w:type="dxa"/>
            <w:vAlign w:val="bottom"/>
            <w:gridSpan w:val="5"/>
          </w:tcPr>
          <w:p>
            <w:pPr>
              <w:ind w:left="200"/>
              <w:spacing w:after="0"/>
              <w:rPr>
                <w:sz w:val="20"/>
                <w:szCs w:val="20"/>
                <w:color w:val="auto"/>
              </w:rPr>
            </w:pPr>
            <w:r>
              <w:rPr>
                <w:rFonts w:ascii="Arial" w:cs="Arial" w:eastAsia="Arial" w:hAnsi="Arial"/>
                <w:sz w:val="14"/>
                <w:szCs w:val="14"/>
                <w:b w:val="1"/>
                <w:bCs w:val="1"/>
                <w:color w:val="auto"/>
                <w:w w:val="96"/>
              </w:rPr>
              <w:t>October 30,</w:t>
            </w:r>
          </w:p>
        </w:tc>
        <w:tc>
          <w:tcPr>
            <w:tcW w:w="20" w:type="dxa"/>
            <w:vAlign w:val="bottom"/>
          </w:tcPr>
          <w:p>
            <w:pPr>
              <w:spacing w:after="0"/>
              <w:rPr>
                <w:sz w:val="24"/>
                <w:szCs w:val="24"/>
                <w:color w:val="auto"/>
              </w:rPr>
            </w:pPr>
          </w:p>
        </w:tc>
        <w:tc>
          <w:tcPr>
            <w:tcW w:w="1860" w:type="dxa"/>
            <w:vAlign w:val="bottom"/>
            <w:gridSpan w:val="7"/>
          </w:tcPr>
          <w:p>
            <w:pPr>
              <w:ind w:left="620"/>
              <w:spacing w:after="0"/>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6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ind w:left="60"/>
              <w:spacing w:after="0"/>
              <w:rPr>
                <w:sz w:val="20"/>
                <w:szCs w:val="20"/>
                <w:color w:val="auto"/>
              </w:rPr>
            </w:pPr>
            <w:r>
              <w:rPr>
                <w:rFonts w:ascii="Arial" w:cs="Arial" w:eastAsia="Arial" w:hAnsi="Arial"/>
                <w:sz w:val="14"/>
                <w:szCs w:val="14"/>
                <w:b w:val="1"/>
                <w:bCs w:val="1"/>
                <w:color w:val="auto"/>
              </w:rPr>
              <w:t>2010</w:t>
            </w: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right"/>
              <w:ind w:right="127"/>
              <w:spacing w:after="0"/>
              <w:rPr>
                <w:sz w:val="20"/>
                <w:szCs w:val="20"/>
                <w:color w:val="auto"/>
              </w:rPr>
            </w:pPr>
            <w:r>
              <w:rPr>
                <w:rFonts w:ascii="Arial" w:cs="Arial" w:eastAsia="Arial" w:hAnsi="Arial"/>
                <w:sz w:val="14"/>
                <w:szCs w:val="14"/>
                <w:b w:val="1"/>
                <w:bCs w:val="1"/>
                <w:color w:val="auto"/>
                <w:w w:val="96"/>
              </w:rPr>
              <w:t>2010</w:t>
            </w:r>
          </w:p>
        </w:tc>
        <w:tc>
          <w:tcPr>
            <w:tcW w:w="1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marketable securities</w:t>
            </w: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4,882</w:t>
            </w: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1,087</w:t>
            </w:r>
          </w:p>
        </w:tc>
        <w:tc>
          <w:tcPr>
            <w:tcW w:w="12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Unrealized loss on auction rate securities</w:t>
            </w: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gridSpan w:val="3"/>
          </w:tcPr>
          <w:p>
            <w:pPr>
              <w:jc w:val="right"/>
              <w:ind w:right="20"/>
              <w:spacing w:after="0"/>
              <w:rPr>
                <w:sz w:val="20"/>
                <w:szCs w:val="20"/>
                <w:color w:val="auto"/>
              </w:rPr>
            </w:pPr>
            <w:r>
              <w:rPr>
                <w:rFonts w:ascii="Arial" w:cs="Arial" w:eastAsia="Arial" w:hAnsi="Arial"/>
                <w:sz w:val="18"/>
                <w:szCs w:val="18"/>
                <w:color w:val="auto"/>
              </w:rPr>
              <w:t>(2,085)</w:t>
            </w:r>
          </w:p>
        </w:tc>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3"/>
          </w:tcPr>
          <w:p>
            <w:pPr>
              <w:jc w:val="right"/>
              <w:ind w:right="60"/>
              <w:spacing w:after="0"/>
              <w:rPr>
                <w:sz w:val="20"/>
                <w:szCs w:val="20"/>
                <w:color w:val="auto"/>
              </w:rPr>
            </w:pPr>
            <w:r>
              <w:rPr>
                <w:rFonts w:ascii="Arial" w:cs="Arial" w:eastAsia="Arial" w:hAnsi="Arial"/>
                <w:sz w:val="18"/>
                <w:szCs w:val="18"/>
                <w:color w:val="auto"/>
                <w:w w:val="98"/>
              </w:rPr>
              <w:t>(2,319)</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on cash flow hedges</w:t>
            </w:r>
          </w:p>
        </w:tc>
        <w:tc>
          <w:tcPr>
            <w:tcW w:w="2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801</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6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341</w:t>
            </w:r>
          </w:p>
        </w:tc>
        <w:tc>
          <w:tcPr>
            <w:tcW w:w="12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Other</w:t>
            </w:r>
          </w:p>
        </w:tc>
        <w:tc>
          <w:tcPr>
            <w:tcW w:w="2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w:t>
            </w: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Accumulated other comprehensive income (loss)</w:t>
            </w:r>
          </w:p>
        </w:tc>
        <w:tc>
          <w:tcPr>
            <w:tcW w:w="3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3,602</w:t>
            </w: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6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(885)</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60" w:type="dxa"/>
            <w:vAlign w:val="bottom"/>
            <w:gridSpan w:val="3"/>
            <w:vMerge w:val="restart"/>
          </w:tcPr>
          <w:p>
            <w:pPr>
              <w:jc w:val="right"/>
              <w:ind w:right="1772"/>
              <w:spacing w:after="0"/>
              <w:rPr>
                <w:sz w:val="20"/>
                <w:szCs w:val="20"/>
                <w:color w:val="auto"/>
              </w:rPr>
            </w:pPr>
            <w:r>
              <w:rPr>
                <w:rFonts w:ascii="Arial" w:cs="Arial" w:eastAsia="Arial" w:hAnsi="Arial"/>
                <w:sz w:val="18"/>
                <w:szCs w:val="18"/>
                <w:color w:val="auto"/>
              </w:rPr>
              <w:t>11</w:t>
            </w:r>
          </w:p>
        </w:tc>
        <w:tc>
          <w:tcPr>
            <w:tcW w:w="2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7660" w:type="dxa"/>
            <w:vAlign w:val="bottom"/>
            <w:gridSpan w:val="3"/>
            <w:vMerge w:val="continue"/>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impact of currency fluctuations. The Company’s policy is to enter into foreign currency forward contracts with maturities generally less than 12 months that mitigate the impact of rate fluctuations on certain local currency denominated operating expenses. All derivatives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hedge contracts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000" w:type="dxa"/>
            <w:vAlign w:val="bottom"/>
          </w:tcPr>
          <w:p>
            <w:pPr>
              <w:spacing w:after="0"/>
              <w:rPr>
                <w:sz w:val="14"/>
                <w:szCs w:val="14"/>
                <w:color w:val="auto"/>
              </w:rPr>
            </w:pPr>
          </w:p>
        </w:tc>
        <w:tc>
          <w:tcPr>
            <w:tcW w:w="20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40" w:type="dxa"/>
            <w:vAlign w:val="bottom"/>
            <w:tcBorders>
              <w:bottom w:val="single" w:sz="8" w:color="auto"/>
            </w:tcBorders>
            <w:gridSpan w:val="4"/>
          </w:tcPr>
          <w:p>
            <w:pPr>
              <w:ind w:left="460"/>
              <w:spacing w:after="0"/>
              <w:rPr>
                <w:sz w:val="20"/>
                <w:szCs w:val="20"/>
                <w:color w:val="auto"/>
              </w:rPr>
            </w:pPr>
            <w:r>
              <w:rPr>
                <w:rFonts w:ascii="Arial" w:cs="Arial" w:eastAsia="Arial" w:hAnsi="Arial"/>
                <w:sz w:val="14"/>
                <w:szCs w:val="14"/>
                <w:b w:val="1"/>
                <w:bCs w:val="1"/>
                <w:color w:val="auto"/>
              </w:rPr>
              <w:t>October 30, 2010</w:t>
            </w:r>
          </w:p>
        </w:tc>
        <w:tc>
          <w:tcPr>
            <w:tcW w:w="480" w:type="dxa"/>
            <w:vAlign w:val="bottom"/>
            <w:tcBorders>
              <w:bottom w:val="single" w:sz="8" w:color="auto"/>
            </w:tcBorders>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ind w:left="460"/>
              <w:spacing w:after="0"/>
              <w:rPr>
                <w:sz w:val="20"/>
                <w:szCs w:val="20"/>
                <w:color w:val="auto"/>
              </w:rPr>
            </w:pPr>
            <w:r>
              <w:rPr>
                <w:rFonts w:ascii="Arial" w:cs="Arial" w:eastAsia="Arial" w:hAnsi="Arial"/>
                <w:sz w:val="14"/>
                <w:szCs w:val="14"/>
                <w:b w:val="1"/>
                <w:bCs w:val="1"/>
                <w:color w:val="auto"/>
                <w:w w:val="94"/>
              </w:rPr>
              <w:t>January 30, 2010</w:t>
            </w: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42"/>
        </w:trPr>
        <w:tc>
          <w:tcPr>
            <w:tcW w:w="3000" w:type="dxa"/>
            <w:vAlign w:val="bottom"/>
          </w:tcPr>
          <w:p>
            <w:pPr>
              <w:spacing w:after="0"/>
              <w:rPr>
                <w:sz w:val="12"/>
                <w:szCs w:val="12"/>
                <w:color w:val="auto"/>
              </w:rPr>
            </w:pPr>
          </w:p>
        </w:tc>
        <w:tc>
          <w:tcPr>
            <w:tcW w:w="2040" w:type="dxa"/>
            <w:vAlign w:val="bottom"/>
          </w:tcPr>
          <w:p>
            <w:pPr>
              <w:spacing w:after="0"/>
              <w:rPr>
                <w:sz w:val="12"/>
                <w:szCs w:val="12"/>
                <w:color w:val="auto"/>
              </w:rPr>
            </w:pPr>
          </w:p>
        </w:tc>
        <w:tc>
          <w:tcPr>
            <w:tcW w:w="118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Buy Contracts</w:t>
            </w:r>
          </w:p>
        </w:tc>
        <w:tc>
          <w:tcPr>
            <w:tcW w:w="340" w:type="dxa"/>
            <w:vAlign w:val="bottom"/>
          </w:tcPr>
          <w:p>
            <w:pPr>
              <w:spacing w:after="0"/>
              <w:rPr>
                <w:sz w:val="12"/>
                <w:szCs w:val="12"/>
                <w:color w:val="auto"/>
              </w:rPr>
            </w:pPr>
          </w:p>
        </w:tc>
        <w:tc>
          <w:tcPr>
            <w:tcW w:w="82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680" w:type="dxa"/>
            <w:vAlign w:val="bottom"/>
          </w:tcPr>
          <w:p>
            <w:pPr>
              <w:spacing w:after="0"/>
              <w:rPr>
                <w:sz w:val="12"/>
                <w:szCs w:val="12"/>
                <w:color w:val="auto"/>
              </w:rPr>
            </w:pPr>
          </w:p>
        </w:tc>
        <w:tc>
          <w:tcPr>
            <w:tcW w:w="84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85"/>
              </w:rPr>
              <w:t>Buy Contracts</w:t>
            </w:r>
          </w:p>
        </w:tc>
        <w:tc>
          <w:tcPr>
            <w:tcW w:w="660" w:type="dxa"/>
            <w:vAlign w:val="bottom"/>
          </w:tcPr>
          <w:p>
            <w:pPr>
              <w:spacing w:after="0"/>
              <w:rPr>
                <w:sz w:val="12"/>
                <w:szCs w:val="12"/>
                <w:color w:val="auto"/>
              </w:rPr>
            </w:pPr>
          </w:p>
        </w:tc>
        <w:tc>
          <w:tcPr>
            <w:tcW w:w="84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Sell Contracts</w:t>
            </w:r>
          </w:p>
        </w:tc>
        <w:tc>
          <w:tcPr>
            <w:tcW w:w="100" w:type="dxa"/>
            <w:vAlign w:val="bottom"/>
          </w:tcPr>
          <w:p>
            <w:pPr>
              <w:spacing w:after="0"/>
              <w:rPr>
                <w:sz w:val="12"/>
                <w:szCs w:val="12"/>
                <w:color w:val="auto"/>
              </w:rPr>
            </w:pPr>
          </w:p>
        </w:tc>
      </w:tr>
      <w:tr>
        <w:trPr>
          <w:trHeight w:val="20"/>
        </w:trPr>
        <w:tc>
          <w:tcPr>
            <w:tcW w:w="30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20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32,959</w:t>
            </w:r>
          </w:p>
        </w:tc>
        <w:tc>
          <w:tcPr>
            <w:tcW w:w="6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29,512</w:t>
            </w:r>
          </w:p>
        </w:tc>
        <w:tc>
          <w:tcPr>
            <w:tcW w:w="92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(1,163)</w:t>
            </w:r>
          </w:p>
        </w:tc>
      </w:tr>
    </w:tbl>
    <w:p>
      <w:pPr>
        <w:spacing w:after="0" w:line="154"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OCI and is subsequently reclassified to operating expense when the hedged expense is recognized. Ineffectiveness is recorded in interest and other income (expense), net.</w:t>
      </w:r>
    </w:p>
    <w:p>
      <w:pPr>
        <w:spacing w:after="0" w:line="14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payments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Israeli shekels that it does not designate as hedges for accounting purposes. The maturities of these contracts are generally less than 12 months. Gains or losses arising from the remeasurement of these contracts to fair value each period are recorded in interest and other income (expense),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 (in thousands):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3"/>
                <w:szCs w:val="13"/>
                <w:color w:val="auto"/>
              </w:rPr>
            </w:pPr>
          </w:p>
        </w:tc>
        <w:tc>
          <w:tcPr>
            <w:tcW w:w="5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gridSpan w:val="3"/>
          </w:tcPr>
          <w:p>
            <w:pPr>
              <w:jc w:val="right"/>
              <w:ind w:right="52"/>
              <w:spacing w:after="0"/>
              <w:rPr>
                <w:sz w:val="20"/>
                <w:szCs w:val="20"/>
                <w:color w:val="auto"/>
              </w:rPr>
            </w:pPr>
            <w:r>
              <w:rPr>
                <w:rFonts w:ascii="Arial" w:cs="Arial" w:eastAsia="Arial" w:hAnsi="Arial"/>
                <w:sz w:val="14"/>
                <w:szCs w:val="14"/>
                <w:b w:val="1"/>
                <w:bCs w:val="1"/>
                <w:color w:val="auto"/>
                <w:w w:val="75"/>
              </w:rPr>
              <w:t>October 30,</w:t>
            </w:r>
          </w:p>
        </w:tc>
        <w:tc>
          <w:tcPr>
            <w:tcW w:w="5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30,</w:t>
            </w:r>
          </w:p>
        </w:tc>
        <w:tc>
          <w:tcPr>
            <w:tcW w:w="10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7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9"/>
              </w:rPr>
              <w:t>2010</w:t>
            </w: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jc w:val="right"/>
              <w:ind w:right="152"/>
              <w:spacing w:after="0"/>
              <w:rPr>
                <w:sz w:val="20"/>
                <w:szCs w:val="20"/>
                <w:color w:val="auto"/>
              </w:rPr>
            </w:pPr>
            <w:r>
              <w:rPr>
                <w:rFonts w:ascii="Arial" w:cs="Arial" w:eastAsia="Arial" w:hAnsi="Arial"/>
                <w:sz w:val="14"/>
                <w:szCs w:val="14"/>
                <w:b w:val="1"/>
                <w:bCs w:val="1"/>
                <w:color w:val="auto"/>
                <w:w w:val="96"/>
              </w:rPr>
              <w:t>2010</w:t>
            </w:r>
          </w:p>
        </w:tc>
        <w:tc>
          <w:tcPr>
            <w:tcW w:w="1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tcBorders>
              <w:right w:val="single" w:sz="8" w:color="CCEEFF"/>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Arial" w:cs="Arial" w:eastAsia="Arial" w:hAnsi="Arial"/>
                <w:sz w:val="18"/>
                <w:szCs w:val="18"/>
                <w:color w:val="auto"/>
              </w:rPr>
              <w:t>Derivative assets designated as hedging instruments:</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7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flow hedges</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1,125</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760" w:type="dxa"/>
            <w:vAlign w:val="bottom"/>
          </w:tcPr>
          <w:p>
            <w:pPr>
              <w:ind w:left="440"/>
              <w:spacing w:after="0"/>
              <w:rPr>
                <w:sz w:val="20"/>
                <w:szCs w:val="20"/>
                <w:color w:val="auto"/>
              </w:rPr>
            </w:pPr>
            <w:r>
              <w:rPr>
                <w:rFonts w:ascii="Arial" w:cs="Arial" w:eastAsia="Arial" w:hAnsi="Arial"/>
                <w:sz w:val="18"/>
                <w:szCs w:val="18"/>
                <w:color w:val="auto"/>
              </w:rPr>
              <w:t>Other forward contracts</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(6)</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760" w:type="dxa"/>
            <w:vAlign w:val="bottom"/>
          </w:tcPr>
          <w:p>
            <w:pPr>
              <w:spacing w:after="0"/>
              <w:rPr>
                <w:sz w:val="2"/>
                <w:szCs w:val="2"/>
                <w:color w:val="auto"/>
              </w:rPr>
            </w:pPr>
          </w:p>
        </w:tc>
        <w:tc>
          <w:tcPr>
            <w:tcW w:w="660" w:type="dxa"/>
            <w:vAlign w:val="bottom"/>
          </w:tcPr>
          <w:p>
            <w:pPr>
              <w:spacing w:after="0"/>
              <w:rPr>
                <w:sz w:val="2"/>
                <w:szCs w:val="2"/>
                <w:color w:val="auto"/>
              </w:rPr>
            </w:pPr>
          </w:p>
        </w:tc>
        <w:tc>
          <w:tcPr>
            <w:tcW w:w="140" w:type="dxa"/>
            <w:vAlign w:val="bottom"/>
          </w:tcPr>
          <w:p>
            <w:pPr>
              <w:spacing w:after="0"/>
              <w:rPr>
                <w:sz w:val="2"/>
                <w:szCs w:val="2"/>
                <w:color w:val="auto"/>
              </w:rPr>
            </w:pPr>
          </w:p>
        </w:tc>
        <w:tc>
          <w:tcPr>
            <w:tcW w:w="540" w:type="dxa"/>
            <w:vAlign w:val="bottom"/>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tcPr>
          <w:p>
            <w:pPr>
              <w:spacing w:after="0"/>
              <w:rPr>
                <w:sz w:val="2"/>
                <w:szCs w:val="2"/>
                <w:color w:val="auto"/>
              </w:rPr>
            </w:pPr>
          </w:p>
        </w:tc>
        <w:tc>
          <w:tcPr>
            <w:tcW w:w="54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tcBorders>
              <w:right w:val="single" w:sz="8" w:color="auto"/>
            </w:tcBorders>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760" w:type="dxa"/>
            <w:vAlign w:val="bottom"/>
            <w:shd w:val="clear" w:color="auto" w:fill="CCEEFF"/>
          </w:tcPr>
          <w:p>
            <w:pPr>
              <w:spacing w:after="0"/>
              <w:rPr>
                <w:sz w:val="20"/>
                <w:szCs w:val="20"/>
                <w:color w:val="auto"/>
              </w:rPr>
            </w:pPr>
            <w:r>
              <w:rPr>
                <w:rFonts w:ascii="Arial" w:cs="Arial" w:eastAsia="Arial" w:hAnsi="Arial"/>
                <w:sz w:val="18"/>
                <w:szCs w:val="18"/>
                <w:color w:val="auto"/>
              </w:rPr>
              <w:t>Total derivative assets</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5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1,125</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ind w:left="6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830</w:t>
            </w:r>
          </w:p>
        </w:tc>
        <w:tc>
          <w:tcPr>
            <w:tcW w:w="100" w:type="dxa"/>
            <w:vAlign w:val="bottom"/>
            <w:shd w:val="clear" w:color="auto" w:fill="CCEEFF"/>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880" w:type="dxa"/>
            <w:vAlign w:val="bottom"/>
            <w:gridSpan w:val="3"/>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68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8900" w:type="dxa"/>
            <w:vAlign w:val="bottom"/>
            <w:gridSpan w:val="9"/>
          </w:tcPr>
          <w:p>
            <w:pPr>
              <w:ind w:left="460"/>
              <w:spacing w:after="0"/>
              <w:rPr>
                <w:sz w:val="20"/>
                <w:szCs w:val="20"/>
                <w:color w:val="auto"/>
              </w:rPr>
            </w:pPr>
            <w:r>
              <w:rPr>
                <w:rFonts w:ascii="Arial" w:cs="Arial" w:eastAsia="Arial" w:hAnsi="Arial"/>
                <w:sz w:val="18"/>
                <w:szCs w:val="18"/>
                <w:color w:val="auto"/>
                <w:w w:val="94"/>
              </w:rPr>
              <w:t>The following tables summarize the pre-tax effect of foreign exchange contract derivatives by cash flow hedges.</w:t>
            </w: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8"/>
        </w:trPr>
        <w:tc>
          <w:tcPr>
            <w:tcW w:w="6220" w:type="dxa"/>
            <w:vAlign w:val="bottom"/>
            <w:gridSpan w:val="2"/>
          </w:tcPr>
          <w:p>
            <w:pPr>
              <w:ind w:left="460"/>
              <w:spacing w:after="0"/>
              <w:rPr>
                <w:sz w:val="20"/>
                <w:szCs w:val="20"/>
                <w:color w:val="auto"/>
              </w:rPr>
            </w:pPr>
            <w:r>
              <w:rPr>
                <w:rFonts w:ascii="Arial" w:cs="Arial" w:eastAsia="Arial" w:hAnsi="Arial"/>
                <w:sz w:val="18"/>
                <w:szCs w:val="18"/>
                <w:color w:val="auto"/>
              </w:rPr>
              <w:t>Cash Flow Hedges (in thousands):</w:t>
            </w: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7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80" w:type="dxa"/>
            <w:vAlign w:val="bottom"/>
            <w:gridSpan w:val="5"/>
          </w:tcPr>
          <w:p>
            <w:pPr>
              <w:jc w:val="right"/>
              <w:ind w:right="372"/>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900" w:type="dxa"/>
            <w:vAlign w:val="bottom"/>
            <w:gridSpan w:val="8"/>
          </w:tcPr>
          <w:p>
            <w:pPr>
              <w:jc w:val="right"/>
              <w:ind w:right="5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7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5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2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7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5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80" w:type="dxa"/>
            <w:vAlign w:val="bottom"/>
            <w:tcBorders>
              <w:bottom w:val="single" w:sz="8" w:color="auto"/>
            </w:tcBorders>
            <w:gridSpan w:val="3"/>
          </w:tcPr>
          <w:p>
            <w:pPr>
              <w:jc w:val="right"/>
              <w:ind w:right="220"/>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Gain recorded in OCI (effective portion)</w:t>
            </w:r>
          </w:p>
        </w:tc>
        <w:tc>
          <w:tcPr>
            <w:tcW w:w="8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570</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938</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553</w:t>
            </w:r>
          </w:p>
        </w:tc>
        <w:tc>
          <w:tcPr>
            <w:tcW w:w="16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97"/>
              </w:rPr>
              <w:t>3,518</w:t>
            </w:r>
          </w:p>
        </w:tc>
        <w:tc>
          <w:tcPr>
            <w:tcW w:w="0" w:type="dxa"/>
            <w:vAlign w:val="bottom"/>
          </w:tcPr>
          <w:p>
            <w:pPr>
              <w:spacing w:after="0"/>
              <w:rPr>
                <w:sz w:val="1"/>
                <w:szCs w:val="1"/>
                <w:color w:val="auto"/>
              </w:rPr>
            </w:pPr>
          </w:p>
        </w:tc>
      </w:tr>
      <w:tr>
        <w:trPr>
          <w:trHeight w:val="222"/>
        </w:trPr>
        <w:tc>
          <w:tcPr>
            <w:tcW w:w="6220" w:type="dxa"/>
            <w:vAlign w:val="bottom"/>
            <w:gridSpan w:val="2"/>
          </w:tcPr>
          <w:p>
            <w:pPr>
              <w:spacing w:after="0"/>
              <w:rPr>
                <w:sz w:val="20"/>
                <w:szCs w:val="20"/>
                <w:color w:val="auto"/>
              </w:rPr>
            </w:pPr>
            <w:r>
              <w:rPr>
                <w:rFonts w:ascii="Arial" w:cs="Arial" w:eastAsia="Arial" w:hAnsi="Arial"/>
                <w:sz w:val="18"/>
                <w:szCs w:val="18"/>
                <w:color w:val="auto"/>
                <w:w w:val="99"/>
              </w:rPr>
              <w:t>Gains (Losses) reclassified from AOCI to operating expense (effective portion)</w:t>
            </w:r>
          </w:p>
        </w:tc>
        <w:tc>
          <w:tcPr>
            <w:tcW w:w="80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381</w:t>
            </w:r>
          </w:p>
        </w:tc>
        <w:tc>
          <w:tcPr>
            <w:tcW w:w="70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(1,398)</w:t>
            </w:r>
          </w:p>
        </w:tc>
        <w:tc>
          <w:tcPr>
            <w:tcW w:w="62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(93)</w:t>
            </w:r>
          </w:p>
        </w:tc>
        <w:tc>
          <w:tcPr>
            <w:tcW w:w="160" w:type="dxa"/>
            <w:vAlign w:val="bottom"/>
          </w:tcPr>
          <w:p>
            <w:pPr>
              <w:spacing w:after="0"/>
              <w:rPr>
                <w:sz w:val="19"/>
                <w:szCs w:val="19"/>
                <w:color w:val="auto"/>
              </w:rPr>
            </w:pPr>
          </w:p>
        </w:tc>
        <w:tc>
          <w:tcPr>
            <w:tcW w:w="54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60" w:type="dxa"/>
            <w:vAlign w:val="bottom"/>
            <w:gridSpan w:val="3"/>
          </w:tcPr>
          <w:p>
            <w:pPr>
              <w:jc w:val="right"/>
              <w:ind w:right="40"/>
              <w:spacing w:after="0"/>
              <w:rPr>
                <w:sz w:val="20"/>
                <w:szCs w:val="20"/>
                <w:color w:val="auto"/>
              </w:rPr>
            </w:pPr>
            <w:r>
              <w:rPr>
                <w:rFonts w:ascii="Arial" w:cs="Arial" w:eastAsia="Arial" w:hAnsi="Arial"/>
                <w:sz w:val="18"/>
                <w:szCs w:val="18"/>
                <w:color w:val="auto"/>
                <w:w w:val="87"/>
              </w:rPr>
              <w:t>(2,188)</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Company anticipates reclassifying the accumulated loss recorded as of October 30, 2010 from accumulated other comprehensive income to operating expense within 12 months.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guidance establishes a three-tier value hierarchy, which prioritizes the inputs used in the valuation methodologies in measuring fair value:</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 measures its cash equivalents and marketable securities at fair value. The Company’s cash equivalents and marketable securities are primarily classified within Level 1 and Level 2 with the exception of its investments in auction rate securities, which are classified within Level 3.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The total amount of assets measured using Level 3 valuation methodologies represented 0.5% of total assets as of October 30, 2010. Cash equivalents and marketable securities are valued primarily using quoted market prices utilizing market observable inputs. The Company’s investments in corporate debt securities and commercial paper issued by U.S. government and agencies are classified within Level 2 as the market inputs to value these instruments consist of market yields, reported trades and broker/dealer quotes. In addition, foreign currency contracts are classified within Level 2 as the valuation inputs are based on quoted prices and market observable data of similar instruments.</w:t>
      </w:r>
    </w:p>
    <w:p>
      <w:pPr>
        <w:spacing w:after="0" w:line="120"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October 30, 2010 and January 30, 2010. The tables do not include assets and liabilities that are measured at historical cost or any basis other than fair value (in thousands):</w:t>
      </w:r>
    </w:p>
    <w:p>
      <w:pPr>
        <w:spacing w:after="0" w:line="10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3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4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4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43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ind w:left="20"/>
              <w:spacing w:after="0"/>
              <w:rPr>
                <w:sz w:val="20"/>
                <w:szCs w:val="20"/>
                <w:color w:val="auto"/>
              </w:rPr>
            </w:pPr>
            <w:r>
              <w:rPr>
                <w:rFonts w:ascii="Arial" w:cs="Arial" w:eastAsia="Arial" w:hAnsi="Arial"/>
                <w:sz w:val="14"/>
                <w:szCs w:val="14"/>
                <w:b w:val="1"/>
                <w:bCs w:val="1"/>
                <w:color w:val="auto"/>
                <w:w w:val="93"/>
              </w:rPr>
              <w:t>at October 30, 2010</w:t>
            </w:r>
          </w:p>
        </w:tc>
        <w:tc>
          <w:tcPr>
            <w:tcW w:w="0" w:type="dxa"/>
            <w:vAlign w:val="bottom"/>
          </w:tcPr>
          <w:p>
            <w:pPr>
              <w:spacing w:after="0"/>
              <w:rPr>
                <w:sz w:val="1"/>
                <w:szCs w:val="1"/>
                <w:color w:val="auto"/>
              </w:rPr>
            </w:pPr>
          </w:p>
        </w:tc>
      </w:tr>
      <w:tr>
        <w:trPr>
          <w:trHeight w:val="210"/>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4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Assets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946,092</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946,092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agencies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112,391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33,799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146,190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18,795</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18,795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ind w:left="440"/>
              <w:spacing w:after="0"/>
              <w:rPr>
                <w:sz w:val="20"/>
                <w:szCs w:val="20"/>
                <w:color w:val="auto"/>
              </w:rPr>
            </w:pPr>
            <w:r>
              <w:rPr>
                <w:rFonts w:ascii="Arial" w:cs="Arial" w:eastAsia="Arial" w:hAnsi="Arial"/>
                <w:sz w:val="18"/>
                <w:szCs w:val="18"/>
                <w:color w:val="auto"/>
              </w:rPr>
              <w:t>US government and agencies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412,477</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412,477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619,902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619,902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Long-term investments: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30,865</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Forward contracts</w:t>
            </w:r>
          </w:p>
        </w:tc>
        <w:tc>
          <w:tcPr>
            <w:tcW w:w="1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9,753</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50,658</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60,411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320" w:type="dxa"/>
            <w:vAlign w:val="bottom"/>
          </w:tcPr>
          <w:p>
            <w:pPr>
              <w:spacing w:after="0"/>
              <w:rPr>
                <w:sz w:val="20"/>
                <w:szCs w:val="20"/>
                <w:color w:val="auto"/>
              </w:rPr>
            </w:pPr>
            <w:r>
              <w:rPr>
                <w:rFonts w:ascii="Arial" w:cs="Arial" w:eastAsia="Arial" w:hAnsi="Arial"/>
                <w:sz w:val="18"/>
                <w:szCs w:val="18"/>
                <w:color w:val="auto"/>
              </w:rPr>
              <w:t>Total assets</w:t>
            </w:r>
          </w:p>
        </w:tc>
        <w:tc>
          <w:tcPr>
            <w:tcW w:w="15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1,480,713</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724,279</w:t>
            </w:r>
          </w:p>
        </w:tc>
        <w:tc>
          <w:tcPr>
            <w:tcW w:w="5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30,865</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2,235,857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320" w:type="dxa"/>
            <w:vAlign w:val="bottom"/>
          </w:tcPr>
          <w:p>
            <w:pPr>
              <w:spacing w:after="0" w:line="20" w:lineRule="exact"/>
              <w:rPr>
                <w:sz w:val="1"/>
                <w:szCs w:val="1"/>
                <w:color w:val="auto"/>
              </w:rPr>
            </w:pPr>
          </w:p>
        </w:tc>
        <w:tc>
          <w:tcPr>
            <w:tcW w:w="1460" w:type="dxa"/>
            <w:vAlign w:val="bottom"/>
            <w:vMerge w:val="restart"/>
          </w:tcPr>
          <w:p>
            <w:pPr>
              <w:jc w:val="right"/>
              <w:ind w:right="352"/>
              <w:spacing w:after="0"/>
              <w:rPr>
                <w:sz w:val="20"/>
                <w:szCs w:val="20"/>
                <w:color w:val="auto"/>
              </w:rPr>
            </w:pPr>
            <w:r>
              <w:rPr>
                <w:rFonts w:ascii="Arial" w:cs="Arial" w:eastAsia="Arial" w:hAnsi="Arial"/>
                <w:sz w:val="18"/>
                <w:szCs w:val="18"/>
                <w:color w:val="auto"/>
              </w:rPr>
              <w:t>13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320" w:type="dxa"/>
            <w:vAlign w:val="bottom"/>
          </w:tcPr>
          <w:p>
            <w:pPr>
              <w:spacing w:after="0"/>
              <w:rPr>
                <w:sz w:val="24"/>
                <w:szCs w:val="24"/>
                <w:color w:val="auto"/>
              </w:rPr>
            </w:pPr>
          </w:p>
        </w:tc>
        <w:tc>
          <w:tcPr>
            <w:tcW w:w="14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34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Fair Value</w:t>
            </w: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94"/>
              <w:spacing w:after="0"/>
              <w:rPr>
                <w:sz w:val="20"/>
                <w:szCs w:val="20"/>
                <w:color w:val="auto"/>
              </w:rPr>
            </w:pPr>
            <w:r>
              <w:rPr>
                <w:rFonts w:ascii="Arial" w:cs="Arial" w:eastAsia="Arial" w:hAnsi="Arial"/>
                <w:sz w:val="14"/>
                <w:szCs w:val="14"/>
                <w:b w:val="1"/>
                <w:bCs w:val="1"/>
                <w:color w:val="auto"/>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ind w:left="20"/>
              <w:spacing w:after="0"/>
              <w:rPr>
                <w:sz w:val="20"/>
                <w:szCs w:val="20"/>
                <w:color w:val="auto"/>
              </w:rPr>
            </w:pPr>
            <w:r>
              <w:rPr>
                <w:rFonts w:ascii="Arial" w:cs="Arial" w:eastAsia="Arial" w:hAnsi="Arial"/>
                <w:sz w:val="14"/>
                <w:szCs w:val="14"/>
                <w:b w:val="1"/>
                <w:bCs w:val="1"/>
                <w:color w:val="auto"/>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4"/>
              </w:rPr>
              <w:t>at January 30, 2010</w:t>
            </w: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Items measured at fair value on a recurring basis:</w:t>
            </w:r>
          </w:p>
        </w:tc>
        <w:tc>
          <w:tcPr>
            <w:tcW w:w="1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480" w:type="dxa"/>
            <w:vAlign w:val="bottom"/>
            <w:tcBorders>
              <w:top w:val="single" w:sz="8" w:color="auto"/>
            </w:tcBorders>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Assets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Money market funds</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542,574</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542,574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US government and agencies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105,304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105,304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Corporate debt securities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US government and agencies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457,820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457,820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228,469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228,469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Auction rate securities and settlement option</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5,000</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34,281</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34,281</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color w:val="auto"/>
                <w:w w:val="86"/>
              </w:rPr>
              <w:t>830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830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9,156</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48,105</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57,261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1,114,854</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281,404</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39,281</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1,435,539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80" w:firstLine="456"/>
        <w:spacing w:after="0" w:line="268" w:lineRule="auto"/>
        <w:rPr>
          <w:sz w:val="20"/>
          <w:szCs w:val="20"/>
          <w:color w:val="auto"/>
        </w:rPr>
      </w:pPr>
      <w:r>
        <w:rPr>
          <w:rFonts w:ascii="Arial" w:cs="Arial" w:eastAsia="Arial" w:hAnsi="Arial"/>
          <w:sz w:val="18"/>
          <w:szCs w:val="18"/>
          <w:color w:val="auto"/>
        </w:rPr>
        <w:t>The following tables summarize the change in fair value for Level 3 items during the nine months ended October 30, 2010 and October 31, 2009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86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nine months ended October 30, 2010 (pre-tax):</w:t>
            </w:r>
          </w:p>
        </w:tc>
        <w:tc>
          <w:tcPr>
            <w:tcW w:w="194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tcPr>
          <w:p>
            <w:pPr>
              <w:spacing w:after="0"/>
              <w:rPr>
                <w:sz w:val="20"/>
                <w:szCs w:val="20"/>
                <w:color w:val="auto"/>
              </w:rPr>
            </w:pPr>
            <w:r>
              <w:rPr>
                <w:rFonts w:ascii="Arial" w:cs="Arial" w:eastAsia="Arial" w:hAnsi="Arial"/>
                <w:sz w:val="18"/>
                <w:szCs w:val="18"/>
                <w:color w:val="auto"/>
              </w:rPr>
              <w:t>Beginning balance at January 31, 2010</w:t>
            </w:r>
          </w:p>
        </w:tc>
        <w:tc>
          <w:tcPr>
            <w:tcW w:w="2620" w:type="dxa"/>
            <w:vAlign w:val="bottom"/>
            <w:gridSpan w:val="3"/>
          </w:tcPr>
          <w:p>
            <w:pPr>
              <w:jc w:val="right"/>
              <w:ind w:right="100"/>
              <w:spacing w:after="0"/>
              <w:rPr>
                <w:sz w:val="20"/>
                <w:szCs w:val="20"/>
                <w:color w:val="auto"/>
              </w:rPr>
            </w:pPr>
            <w:r>
              <w:rPr>
                <w:rFonts w:ascii="Arial" w:cs="Arial" w:eastAsia="Arial" w:hAnsi="Arial"/>
                <w:sz w:val="18"/>
                <w:szCs w:val="18"/>
                <w:color w:val="auto"/>
              </w:rPr>
              <w:t>$39,281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9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tcPr>
          <w:p>
            <w:pPr>
              <w:spacing w:after="0"/>
              <w:rPr>
                <w:sz w:val="20"/>
                <w:szCs w:val="20"/>
                <w:color w:val="auto"/>
              </w:rPr>
            </w:pPr>
            <w:r>
              <w:rPr>
                <w:rFonts w:ascii="Arial" w:cs="Arial" w:eastAsia="Arial" w:hAnsi="Arial"/>
                <w:sz w:val="18"/>
                <w:szCs w:val="18"/>
                <w:color w:val="auto"/>
              </w:rPr>
              <w:t>Sales and redemption</w:t>
            </w:r>
          </w:p>
        </w:tc>
        <w:tc>
          <w:tcPr>
            <w:tcW w:w="2620" w:type="dxa"/>
            <w:vAlign w:val="bottom"/>
            <w:gridSpan w:val="3"/>
          </w:tcPr>
          <w:p>
            <w:pPr>
              <w:jc w:val="right"/>
              <w:ind w:right="40"/>
              <w:spacing w:after="0"/>
              <w:rPr>
                <w:sz w:val="20"/>
                <w:szCs w:val="20"/>
                <w:color w:val="auto"/>
              </w:rPr>
            </w:pPr>
            <w:r>
              <w:rPr>
                <w:rFonts w:ascii="Arial" w:cs="Arial" w:eastAsia="Arial" w:hAnsi="Arial"/>
                <w:sz w:val="18"/>
                <w:szCs w:val="18"/>
                <w:color w:val="auto"/>
              </w:rPr>
              <w:t>(8,516)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Realized loss on sale</w:t>
            </w:r>
          </w:p>
        </w:tc>
        <w:tc>
          <w:tcPr>
            <w:tcW w:w="26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860" w:type="dxa"/>
            <w:vAlign w:val="bottom"/>
          </w:tcPr>
          <w:p>
            <w:pPr>
              <w:spacing w:after="0"/>
              <w:rPr>
                <w:sz w:val="20"/>
                <w:szCs w:val="20"/>
                <w:color w:val="auto"/>
              </w:rPr>
            </w:pPr>
            <w:r>
              <w:rPr>
                <w:rFonts w:ascii="Arial" w:cs="Arial" w:eastAsia="Arial" w:hAnsi="Arial"/>
                <w:sz w:val="18"/>
                <w:szCs w:val="18"/>
                <w:color w:val="auto"/>
              </w:rPr>
              <w:t>Unrealized gain included in other comprehensive income</w:t>
            </w:r>
          </w:p>
        </w:tc>
        <w:tc>
          <w:tcPr>
            <w:tcW w:w="194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Ending balance at October 30, 2010</w:t>
            </w:r>
          </w:p>
        </w:tc>
        <w:tc>
          <w:tcPr>
            <w:tcW w:w="26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30,865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86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78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nine months ended October 31, 2009 (pre-tax):</w:t>
            </w:r>
          </w:p>
        </w:tc>
        <w:tc>
          <w:tcPr>
            <w:tcW w:w="194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2620" w:type="dxa"/>
            <w:vAlign w:val="bottom"/>
            <w:gridSpan w:val="3"/>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9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tcPr>
          <w:p>
            <w:pPr>
              <w:spacing w:after="0"/>
              <w:rPr>
                <w:sz w:val="20"/>
                <w:szCs w:val="20"/>
                <w:color w:val="auto"/>
              </w:rPr>
            </w:pPr>
            <w:r>
              <w:rPr>
                <w:rFonts w:ascii="Arial" w:cs="Arial" w:eastAsia="Arial" w:hAnsi="Arial"/>
                <w:sz w:val="18"/>
                <w:szCs w:val="18"/>
                <w:color w:val="auto"/>
              </w:rPr>
              <w:t>Sales and redemption</w:t>
            </w:r>
          </w:p>
        </w:tc>
        <w:tc>
          <w:tcPr>
            <w:tcW w:w="2620" w:type="dxa"/>
            <w:vAlign w:val="bottom"/>
            <w:gridSpan w:val="3"/>
          </w:tcPr>
          <w:p>
            <w:pPr>
              <w:jc w:val="right"/>
              <w:ind w:right="40"/>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loss</w:t>
            </w:r>
          </w:p>
        </w:tc>
        <w:tc>
          <w:tcPr>
            <w:tcW w:w="19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(1,117)</w:t>
            </w:r>
          </w:p>
        </w:tc>
        <w:tc>
          <w:tcPr>
            <w:tcW w:w="0" w:type="dxa"/>
            <w:vAlign w:val="bottom"/>
          </w:tcPr>
          <w:p>
            <w:pPr>
              <w:spacing w:after="0"/>
              <w:rPr>
                <w:sz w:val="1"/>
                <w:szCs w:val="1"/>
                <w:color w:val="auto"/>
              </w:rPr>
            </w:pPr>
          </w:p>
        </w:tc>
      </w:tr>
      <w:tr>
        <w:trPr>
          <w:trHeight w:val="20"/>
        </w:trPr>
        <w:tc>
          <w:tcPr>
            <w:tcW w:w="7880" w:type="dxa"/>
            <w:vAlign w:val="bottom"/>
            <w:gridSpan w:val="2"/>
            <w:vMerge w:val="restart"/>
          </w:tcPr>
          <w:p>
            <w:pPr>
              <w:spacing w:after="0"/>
              <w:rPr>
                <w:sz w:val="20"/>
                <w:szCs w:val="20"/>
                <w:color w:val="auto"/>
              </w:rPr>
            </w:pPr>
            <w:r>
              <w:rPr>
                <w:rFonts w:ascii="Arial" w:cs="Arial" w:eastAsia="Arial" w:hAnsi="Arial"/>
                <w:sz w:val="18"/>
                <w:szCs w:val="18"/>
                <w:color w:val="auto"/>
              </w:rPr>
              <w:t>Ending balance at October 31, 2009</w:t>
            </w:r>
          </w:p>
        </w:tc>
        <w:tc>
          <w:tcPr>
            <w:tcW w:w="19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880" w:type="dxa"/>
            <w:vAlign w:val="bottom"/>
            <w:gridSpan w:val="2"/>
            <w:vMerge w:val="continue"/>
          </w:tcPr>
          <w:p>
            <w:pPr>
              <w:spacing w:after="0"/>
              <w:rPr>
                <w:sz w:val="19"/>
                <w:szCs w:val="19"/>
                <w:color w:val="auto"/>
              </w:rPr>
            </w:pPr>
          </w:p>
        </w:tc>
        <w:tc>
          <w:tcPr>
            <w:tcW w:w="26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39,274</w:t>
            </w:r>
          </w:p>
        </w:tc>
        <w:tc>
          <w:tcPr>
            <w:tcW w:w="0" w:type="dxa"/>
            <w:vAlign w:val="bottom"/>
          </w:tcPr>
          <w:p>
            <w:pPr>
              <w:spacing w:after="0"/>
              <w:rPr>
                <w:sz w:val="1"/>
                <w:szCs w:val="1"/>
                <w:color w:val="auto"/>
              </w:rPr>
            </w:pPr>
          </w:p>
        </w:tc>
      </w:tr>
      <w:tr>
        <w:trPr>
          <w:trHeight w:val="20"/>
        </w:trPr>
        <w:tc>
          <w:tcPr>
            <w:tcW w:w="7880" w:type="dxa"/>
            <w:vAlign w:val="bottom"/>
            <w:gridSpan w:val="2"/>
            <w:vMerge w:val="restart"/>
          </w:tcPr>
          <w:p>
            <w:pPr>
              <w:jc w:val="right"/>
              <w:ind w:right="2452"/>
              <w:spacing w:after="0"/>
              <w:rPr>
                <w:sz w:val="20"/>
                <w:szCs w:val="20"/>
                <w:color w:val="auto"/>
              </w:rPr>
            </w:pPr>
            <w:r>
              <w:rPr>
                <w:rFonts w:ascii="Arial" w:cs="Arial" w:eastAsia="Arial" w:hAnsi="Arial"/>
                <w:sz w:val="18"/>
                <w:szCs w:val="18"/>
                <w:color w:val="auto"/>
              </w:rPr>
              <w:t>14</w:t>
            </w:r>
          </w:p>
        </w:tc>
        <w:tc>
          <w:tcPr>
            <w:tcW w:w="19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880" w:type="dxa"/>
            <w:vAlign w:val="bottom"/>
            <w:gridSpan w:val="2"/>
            <w:vMerge w:val="continue"/>
          </w:tcPr>
          <w:p>
            <w:pPr>
              <w:spacing w:after="0"/>
              <w:rPr>
                <w:sz w:val="24"/>
                <w:szCs w:val="24"/>
                <w:color w:val="auto"/>
              </w:rPr>
            </w:pPr>
          </w:p>
        </w:tc>
        <w:tc>
          <w:tcPr>
            <w:tcW w:w="19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 (in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6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3"/>
          </w:tcPr>
          <w:p>
            <w:pPr>
              <w:jc w:val="right"/>
              <w:ind w:right="140"/>
              <w:spacing w:after="0"/>
              <w:rPr>
                <w:sz w:val="20"/>
                <w:szCs w:val="20"/>
                <w:color w:val="auto"/>
              </w:rPr>
            </w:pPr>
            <w:r>
              <w:rPr>
                <w:rFonts w:ascii="Arial" w:cs="Arial" w:eastAsia="Arial" w:hAnsi="Arial"/>
                <w:sz w:val="14"/>
                <w:szCs w:val="14"/>
                <w:b w:val="1"/>
                <w:bCs w:val="1"/>
                <w:color w:val="auto"/>
                <w:w w:val="90"/>
              </w:rPr>
              <w:t>October 30, 2010</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jc w:val="right"/>
              <w:ind w:right="260"/>
              <w:spacing w:after="0"/>
              <w:rPr>
                <w:sz w:val="20"/>
                <w:szCs w:val="20"/>
                <w:color w:val="auto"/>
              </w:rPr>
            </w:pPr>
            <w:r>
              <w:rPr>
                <w:rFonts w:ascii="Arial" w:cs="Arial" w:eastAsia="Arial" w:hAnsi="Arial"/>
                <w:sz w:val="14"/>
                <w:szCs w:val="14"/>
                <w:b w:val="1"/>
                <w:bCs w:val="1"/>
                <w:color w:val="auto"/>
                <w:w w:val="98"/>
              </w:rPr>
              <w:t>January 30, 2010</w:t>
            </w: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116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60" w:type="dxa"/>
            <w:vAlign w:val="bottom"/>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r>
      <w:tr>
        <w:trPr>
          <w:trHeight w:val="149"/>
        </w:trPr>
        <w:tc>
          <w:tcPr>
            <w:tcW w:w="116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2"/>
                <w:szCs w:val="12"/>
                <w:color w:val="auto"/>
              </w:rPr>
            </w:pPr>
          </w:p>
        </w:tc>
        <w:tc>
          <w:tcPr>
            <w:tcW w:w="9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Net</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158"/>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1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Net</w:t>
            </w:r>
          </w:p>
        </w:tc>
      </w:tr>
      <w:tr>
        <w:trPr>
          <w:trHeight w:val="149"/>
        </w:trPr>
        <w:tc>
          <w:tcPr>
            <w:tcW w:w="1160" w:type="dxa"/>
            <w:vAlign w:val="bottom"/>
          </w:tcPr>
          <w:p>
            <w:pPr>
              <w:spacing w:after="0"/>
              <w:rPr>
                <w:sz w:val="12"/>
                <w:szCs w:val="12"/>
                <w:color w:val="auto"/>
              </w:rPr>
            </w:pPr>
          </w:p>
        </w:tc>
        <w:tc>
          <w:tcPr>
            <w:tcW w:w="3120" w:type="dxa"/>
            <w:vAlign w:val="bottom"/>
          </w:tcPr>
          <w:p>
            <w:pPr>
              <w:spacing w:after="0"/>
              <w:rPr>
                <w:sz w:val="12"/>
                <w:szCs w:val="12"/>
                <w:color w:val="auto"/>
              </w:rPr>
            </w:pPr>
          </w:p>
        </w:tc>
        <w:tc>
          <w:tcPr>
            <w:tcW w:w="10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Range of</w:t>
            </w:r>
          </w:p>
        </w:tc>
        <w:tc>
          <w:tcPr>
            <w:tcW w:w="100" w:type="dxa"/>
            <w:vAlign w:val="bottom"/>
          </w:tcPr>
          <w:p>
            <w:pPr>
              <w:spacing w:after="0"/>
              <w:rPr>
                <w:sz w:val="12"/>
                <w:szCs w:val="12"/>
                <w:color w:val="auto"/>
              </w:rPr>
            </w:pPr>
          </w:p>
        </w:tc>
        <w:tc>
          <w:tcPr>
            <w:tcW w:w="780" w:type="dxa"/>
            <w:vAlign w:val="bottom"/>
            <w:gridSpan w:val="2"/>
          </w:tcPr>
          <w:p>
            <w:pPr>
              <w:jc w:val="right"/>
              <w:ind w:right="200"/>
              <w:spacing w:after="0" w:line="149" w:lineRule="exact"/>
              <w:rPr>
                <w:sz w:val="20"/>
                <w:szCs w:val="20"/>
                <w:color w:val="auto"/>
              </w:rPr>
            </w:pPr>
            <w:r>
              <w:rPr>
                <w:rFonts w:ascii="Arial" w:cs="Arial" w:eastAsia="Arial" w:hAnsi="Arial"/>
                <w:sz w:val="14"/>
                <w:szCs w:val="14"/>
                <w:b w:val="1"/>
                <w:bCs w:val="1"/>
                <w:color w:val="auto"/>
                <w:w w:val="97"/>
              </w:rPr>
              <w:t>Carrying</w:t>
            </w:r>
          </w:p>
        </w:tc>
        <w:tc>
          <w:tcPr>
            <w:tcW w:w="220" w:type="dxa"/>
            <w:vAlign w:val="bottom"/>
          </w:tcPr>
          <w:p>
            <w:pPr>
              <w:spacing w:after="0"/>
              <w:rPr>
                <w:sz w:val="12"/>
                <w:szCs w:val="12"/>
                <w:color w:val="auto"/>
              </w:rPr>
            </w:pPr>
          </w:p>
        </w:tc>
        <w:tc>
          <w:tcPr>
            <w:tcW w:w="9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8"/>
              </w:rPr>
              <w:t>and</w:t>
            </w:r>
          </w:p>
        </w:tc>
        <w:tc>
          <w:tcPr>
            <w:tcW w:w="120" w:type="dxa"/>
            <w:vAlign w:val="bottom"/>
          </w:tcPr>
          <w:p>
            <w:pPr>
              <w:spacing w:after="0"/>
              <w:rPr>
                <w:sz w:val="12"/>
                <w:szCs w:val="12"/>
                <w:color w:val="auto"/>
              </w:rPr>
            </w:pPr>
          </w:p>
        </w:tc>
        <w:tc>
          <w:tcPr>
            <w:tcW w:w="82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right"/>
              <w:ind w:right="58"/>
              <w:spacing w:after="0" w:line="149" w:lineRule="exact"/>
              <w:rPr>
                <w:sz w:val="20"/>
                <w:szCs w:val="20"/>
                <w:color w:val="auto"/>
              </w:rPr>
            </w:pPr>
            <w:r>
              <w:rPr>
                <w:rFonts w:ascii="Arial" w:cs="Arial" w:eastAsia="Arial" w:hAnsi="Arial"/>
                <w:sz w:val="14"/>
                <w:szCs w:val="14"/>
                <w:b w:val="1"/>
                <w:bCs w:val="1"/>
                <w:color w:val="auto"/>
                <w:w w:val="93"/>
              </w:rPr>
              <w:t>Carrying</w:t>
            </w:r>
          </w:p>
        </w:tc>
        <w:tc>
          <w:tcPr>
            <w:tcW w:w="280" w:type="dxa"/>
            <w:vAlign w:val="bottom"/>
          </w:tcPr>
          <w:p>
            <w:pPr>
              <w:spacing w:after="0"/>
              <w:rPr>
                <w:sz w:val="12"/>
                <w:szCs w:val="12"/>
                <w:color w:val="auto"/>
              </w:rPr>
            </w:pPr>
          </w:p>
        </w:tc>
        <w:tc>
          <w:tcPr>
            <w:tcW w:w="11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and</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61"/>
        </w:trPr>
        <w:tc>
          <w:tcPr>
            <w:tcW w:w="116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4"/>
              </w:rPr>
              <w:t>Useful Lives</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38"/>
              <w:spacing w:after="0"/>
              <w:rPr>
                <w:sz w:val="20"/>
                <w:szCs w:val="20"/>
                <w:color w:val="auto"/>
              </w:rPr>
            </w:pPr>
            <w:r>
              <w:rPr>
                <w:rFonts w:ascii="Arial" w:cs="Arial" w:eastAsia="Arial" w:hAnsi="Arial"/>
                <w:sz w:val="14"/>
                <w:szCs w:val="14"/>
                <w:b w:val="1"/>
                <w:bCs w:val="1"/>
                <w:color w:val="auto"/>
                <w:w w:val="92"/>
              </w:rPr>
              <w:t>Amounts</w:t>
            </w: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Write-Offs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58"/>
              <w:spacing w:after="0"/>
              <w:rPr>
                <w:sz w:val="20"/>
                <w:szCs w:val="20"/>
                <w:color w:val="auto"/>
              </w:rPr>
            </w:pPr>
            <w:r>
              <w:rPr>
                <w:rFonts w:ascii="Arial" w:cs="Arial" w:eastAsia="Arial" w:hAnsi="Arial"/>
                <w:sz w:val="14"/>
                <w:szCs w:val="14"/>
                <w:b w:val="1"/>
                <w:bCs w:val="1"/>
                <w:color w:val="auto"/>
                <w:w w:val="88"/>
              </w:rPr>
              <w:t>Amounts</w:t>
            </w:r>
          </w:p>
        </w:tc>
        <w:tc>
          <w:tcPr>
            <w:tcW w:w="280" w:type="dxa"/>
            <w:vAlign w:val="bottom"/>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Write-Offs</w:t>
            </w:r>
          </w:p>
        </w:tc>
        <w:tc>
          <w:tcPr>
            <w:tcW w:w="3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Amount</w:t>
            </w:r>
          </w:p>
        </w:tc>
        <w:tc>
          <w:tcPr>
            <w:tcW w:w="100" w:type="dxa"/>
            <w:vAlign w:val="bottom"/>
          </w:tcPr>
          <w:p>
            <w:pPr>
              <w:spacing w:after="0"/>
              <w:rPr>
                <w:sz w:val="14"/>
                <w:szCs w:val="14"/>
                <w:color w:val="auto"/>
              </w:rPr>
            </w:pPr>
          </w:p>
        </w:tc>
      </w:tr>
      <w:tr>
        <w:trPr>
          <w:trHeight w:val="210"/>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04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84"/>
              </w:rPr>
              <w:t>1 -7 years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718,540</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 (696,227)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22,313</w:t>
            </w:r>
          </w:p>
        </w:tc>
        <w:tc>
          <w:tcPr>
            <w:tcW w:w="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13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 (665,010)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49,630</w:t>
            </w:r>
          </w:p>
        </w:tc>
        <w:tc>
          <w:tcPr>
            <w:tcW w:w="100" w:type="dxa"/>
            <w:vAlign w:val="bottom"/>
            <w:shd w:val="clear" w:color="auto" w:fill="CCEEFF"/>
          </w:tcPr>
          <w:p>
            <w:pPr>
              <w:spacing w:after="0"/>
              <w:rPr>
                <w:sz w:val="18"/>
                <w:szCs w:val="18"/>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Core technology</w:t>
            </w:r>
          </w:p>
        </w:tc>
        <w:tc>
          <w:tcPr>
            <w:tcW w:w="1040" w:type="dxa"/>
            <w:vAlign w:val="bottom"/>
            <w:gridSpan w:val="2"/>
          </w:tcPr>
          <w:p>
            <w:pPr>
              <w:jc w:val="center"/>
              <w:ind w:right="240"/>
              <w:spacing w:after="0"/>
              <w:rPr>
                <w:sz w:val="20"/>
                <w:szCs w:val="20"/>
                <w:color w:val="auto"/>
              </w:rPr>
            </w:pPr>
            <w:r>
              <w:rPr>
                <w:rFonts w:ascii="Arial" w:cs="Arial" w:eastAsia="Arial" w:hAnsi="Arial"/>
                <w:sz w:val="18"/>
                <w:szCs w:val="18"/>
                <w:color w:val="auto"/>
                <w:w w:val="84"/>
              </w:rPr>
              <w:t>1 -8 years</w:t>
            </w:r>
          </w:p>
        </w:tc>
        <w:tc>
          <w:tcPr>
            <w:tcW w:w="100" w:type="dxa"/>
            <w:vAlign w:val="bottom"/>
          </w:tcPr>
          <w:p>
            <w:pPr>
              <w:spacing w:after="0"/>
              <w:rPr>
                <w:sz w:val="18"/>
                <w:szCs w:val="18"/>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8"/>
                <w:szCs w:val="18"/>
                <w:color w:val="auto"/>
              </w:rPr>
              <w:t>212,650</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(149,053)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63,597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212,650</w:t>
            </w:r>
          </w:p>
        </w:tc>
        <w:tc>
          <w:tcPr>
            <w:tcW w:w="1380" w:type="dxa"/>
            <w:vAlign w:val="bottom"/>
            <w:gridSpan w:val="3"/>
          </w:tcPr>
          <w:p>
            <w:pPr>
              <w:jc w:val="right"/>
              <w:ind w:right="240"/>
              <w:spacing w:after="0"/>
              <w:rPr>
                <w:sz w:val="20"/>
                <w:szCs w:val="20"/>
                <w:color w:val="auto"/>
              </w:rPr>
            </w:pPr>
            <w:r>
              <w:rPr>
                <w:rFonts w:ascii="Arial" w:cs="Arial" w:eastAsia="Arial" w:hAnsi="Arial"/>
                <w:sz w:val="18"/>
                <w:szCs w:val="18"/>
                <w:color w:val="auto"/>
              </w:rPr>
              <w:t>(129,478)</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83,172</w:t>
            </w:r>
          </w:p>
        </w:tc>
        <w:tc>
          <w:tcPr>
            <w:tcW w:w="100" w:type="dxa"/>
            <w:vAlign w:val="bottom"/>
          </w:tcPr>
          <w:p>
            <w:pPr>
              <w:spacing w:after="0"/>
              <w:rPr>
                <w:sz w:val="18"/>
                <w:szCs w:val="18"/>
                <w:color w:val="auto"/>
              </w:rPr>
            </w:pPr>
          </w:p>
        </w:tc>
      </w:tr>
      <w:tr>
        <w:trPr>
          <w:trHeight w:val="216"/>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Trade name</w:t>
            </w:r>
          </w:p>
        </w:tc>
        <w:tc>
          <w:tcPr>
            <w:tcW w:w="104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84"/>
              </w:rPr>
              <w:t>1 -5 years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350</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(289)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61</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13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(259)</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100" w:type="dxa"/>
            <w:vAlign w:val="bottom"/>
            <w:shd w:val="clear" w:color="auto" w:fill="CCEEFF"/>
          </w:tcPr>
          <w:p>
            <w:pPr>
              <w:spacing w:after="0"/>
              <w:rPr>
                <w:sz w:val="18"/>
                <w:szCs w:val="18"/>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Customer contracts</w:t>
            </w:r>
          </w:p>
        </w:tc>
        <w:tc>
          <w:tcPr>
            <w:tcW w:w="1040" w:type="dxa"/>
            <w:vAlign w:val="bottom"/>
            <w:gridSpan w:val="2"/>
          </w:tcPr>
          <w:p>
            <w:pPr>
              <w:jc w:val="center"/>
              <w:ind w:right="240"/>
              <w:spacing w:after="0"/>
              <w:rPr>
                <w:sz w:val="20"/>
                <w:szCs w:val="20"/>
                <w:color w:val="auto"/>
              </w:rPr>
            </w:pPr>
            <w:r>
              <w:rPr>
                <w:rFonts w:ascii="Arial" w:cs="Arial" w:eastAsia="Arial" w:hAnsi="Arial"/>
                <w:sz w:val="18"/>
                <w:szCs w:val="18"/>
                <w:color w:val="auto"/>
                <w:w w:val="84"/>
              </w:rPr>
              <w:t>4 -7 years</w:t>
            </w:r>
          </w:p>
        </w:tc>
        <w:tc>
          <w:tcPr>
            <w:tcW w:w="100" w:type="dxa"/>
            <w:vAlign w:val="bottom"/>
          </w:tcPr>
          <w:p>
            <w:pPr>
              <w:spacing w:after="0"/>
              <w:rPr>
                <w:sz w:val="18"/>
                <w:szCs w:val="18"/>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8"/>
                <w:szCs w:val="18"/>
                <w:color w:val="auto"/>
              </w:rPr>
              <w:t>187,200</w:t>
            </w:r>
          </w:p>
        </w:tc>
        <w:tc>
          <w:tcPr>
            <w:tcW w:w="1180" w:type="dxa"/>
            <w:vAlign w:val="bottom"/>
            <w:gridSpan w:val="3"/>
          </w:tcPr>
          <w:p>
            <w:pPr>
              <w:jc w:val="right"/>
              <w:ind w:right="120"/>
              <w:spacing w:after="0"/>
              <w:rPr>
                <w:sz w:val="20"/>
                <w:szCs w:val="20"/>
                <w:color w:val="auto"/>
              </w:rPr>
            </w:pPr>
            <w:r>
              <w:rPr>
                <w:rFonts w:ascii="Arial" w:cs="Arial" w:eastAsia="Arial" w:hAnsi="Arial"/>
                <w:sz w:val="18"/>
                <w:szCs w:val="18"/>
                <w:color w:val="auto"/>
              </w:rPr>
              <w:t>(151,749)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35,451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183,300</w:t>
            </w:r>
          </w:p>
        </w:tc>
        <w:tc>
          <w:tcPr>
            <w:tcW w:w="1380" w:type="dxa"/>
            <w:vAlign w:val="bottom"/>
            <w:gridSpan w:val="3"/>
          </w:tcPr>
          <w:p>
            <w:pPr>
              <w:jc w:val="right"/>
              <w:ind w:right="240"/>
              <w:spacing w:after="0"/>
              <w:rPr>
                <w:sz w:val="20"/>
                <w:szCs w:val="20"/>
                <w:color w:val="auto"/>
              </w:rPr>
            </w:pPr>
            <w:r>
              <w:rPr>
                <w:rFonts w:ascii="Arial" w:cs="Arial" w:eastAsia="Arial" w:hAnsi="Arial"/>
                <w:sz w:val="18"/>
                <w:szCs w:val="18"/>
                <w:color w:val="auto"/>
              </w:rPr>
              <w:t>(137,163)</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46,137</w:t>
            </w:r>
          </w:p>
        </w:tc>
        <w:tc>
          <w:tcPr>
            <w:tcW w:w="100" w:type="dxa"/>
            <w:vAlign w:val="bottom"/>
          </w:tcPr>
          <w:p>
            <w:pPr>
              <w:spacing w:after="0"/>
              <w:rPr>
                <w:sz w:val="18"/>
                <w:szCs w:val="18"/>
                <w:color w:val="auto"/>
              </w:rPr>
            </w:pPr>
          </w:p>
        </w:tc>
      </w:tr>
      <w:tr>
        <w:trPr>
          <w:trHeight w:val="216"/>
        </w:trPr>
        <w:tc>
          <w:tcPr>
            <w:tcW w:w="4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Non-compete agreements</w:t>
            </w:r>
          </w:p>
        </w:tc>
        <w:tc>
          <w:tcPr>
            <w:tcW w:w="1040" w:type="dxa"/>
            <w:vAlign w:val="bottom"/>
            <w:gridSpan w:val="2"/>
            <w:shd w:val="clear" w:color="auto" w:fill="CCEEFF"/>
          </w:tcPr>
          <w:p>
            <w:pPr>
              <w:jc w:val="center"/>
              <w:ind w:right="240"/>
              <w:spacing w:after="0"/>
              <w:rPr>
                <w:sz w:val="20"/>
                <w:szCs w:val="20"/>
                <w:color w:val="auto"/>
              </w:rPr>
            </w:pPr>
            <w:r>
              <w:rPr>
                <w:rFonts w:ascii="Arial" w:cs="Arial" w:eastAsia="Arial" w:hAnsi="Arial"/>
                <w:sz w:val="18"/>
                <w:szCs w:val="18"/>
                <w:color w:val="auto"/>
                <w:w w:val="88"/>
              </w:rPr>
              <w:t>3 years</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700</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(700)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3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(629)</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w:t>
            </w:r>
          </w:p>
        </w:tc>
        <w:tc>
          <w:tcPr>
            <w:tcW w:w="100" w:type="dxa"/>
            <w:vAlign w:val="bottom"/>
            <w:shd w:val="clear" w:color="auto" w:fill="CCEEFF"/>
          </w:tcPr>
          <w:p>
            <w:pPr>
              <w:spacing w:after="0"/>
              <w:rPr>
                <w:sz w:val="18"/>
                <w:szCs w:val="18"/>
                <w:color w:val="auto"/>
              </w:rPr>
            </w:pPr>
          </w:p>
        </w:tc>
      </w:tr>
      <w:tr>
        <w:trPr>
          <w:trHeight w:val="216"/>
        </w:trPr>
        <w:tc>
          <w:tcPr>
            <w:tcW w:w="4280" w:type="dxa"/>
            <w:vAlign w:val="bottom"/>
            <w:gridSpan w:val="2"/>
          </w:tcPr>
          <w:p>
            <w:pPr>
              <w:spacing w:after="0"/>
              <w:rPr>
                <w:sz w:val="20"/>
                <w:szCs w:val="20"/>
                <w:color w:val="auto"/>
              </w:rPr>
            </w:pPr>
            <w:r>
              <w:rPr>
                <w:rFonts w:ascii="Arial" w:cs="Arial" w:eastAsia="Arial" w:hAnsi="Arial"/>
                <w:sz w:val="18"/>
                <w:szCs w:val="18"/>
                <w:color w:val="auto"/>
              </w:rPr>
              <w:t>In-process research and development</w:t>
            </w:r>
          </w:p>
        </w:tc>
        <w:tc>
          <w:tcPr>
            <w:tcW w:w="760" w:type="dxa"/>
            <w:vAlign w:val="bottom"/>
          </w:tcPr>
          <w:p>
            <w:pPr>
              <w:jc w:val="center"/>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8"/>
                <w:szCs w:val="18"/>
                <w:color w:val="auto"/>
              </w:rPr>
              <w:t>9,700</w:t>
            </w:r>
          </w:p>
        </w:tc>
        <w:tc>
          <w:tcPr>
            <w:tcW w:w="22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9,700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ind w:right="18"/>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r>
      <w:tr>
        <w:trPr>
          <w:trHeight w:val="27"/>
        </w:trPr>
        <w:tc>
          <w:tcPr>
            <w:tcW w:w="1160" w:type="dxa"/>
            <w:vAlign w:val="bottom"/>
          </w:tcPr>
          <w:p>
            <w:pPr>
              <w:spacing w:after="0"/>
              <w:rPr>
                <w:sz w:val="2"/>
                <w:szCs w:val="2"/>
                <w:color w:val="auto"/>
              </w:rPr>
            </w:pPr>
          </w:p>
        </w:tc>
        <w:tc>
          <w:tcPr>
            <w:tcW w:w="31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2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2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4"/>
              </w:rPr>
              <w:t>1,129,140</w:t>
            </w:r>
          </w:p>
        </w:tc>
        <w:tc>
          <w:tcPr>
            <w:tcW w:w="11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 (998,018)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131,122</w:t>
            </w:r>
          </w:p>
        </w:tc>
        <w:tc>
          <w:tcPr>
            <w:tcW w:w="2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1,111,640</w:t>
            </w:r>
          </w:p>
        </w:tc>
        <w:tc>
          <w:tcPr>
            <w:tcW w:w="13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 (932,539)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179,101</w:t>
            </w:r>
          </w:p>
        </w:tc>
        <w:tc>
          <w:tcPr>
            <w:tcW w:w="100" w:type="dxa"/>
            <w:vAlign w:val="bottom"/>
            <w:shd w:val="clear" w:color="auto" w:fill="CCEEFF"/>
          </w:tcPr>
          <w:p>
            <w:pPr>
              <w:spacing w:after="0"/>
              <w:rPr>
                <w:sz w:val="18"/>
                <w:szCs w:val="18"/>
                <w:color w:val="auto"/>
              </w:rPr>
            </w:pPr>
          </w:p>
        </w:tc>
      </w:tr>
      <w:tr>
        <w:trPr>
          <w:trHeight w:val="20"/>
        </w:trPr>
        <w:tc>
          <w:tcPr>
            <w:tcW w:w="116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102"/>
        </w:trPr>
        <w:tc>
          <w:tcPr>
            <w:tcW w:w="1160" w:type="dxa"/>
            <w:vAlign w:val="bottom"/>
            <w:tcBorders>
              <w:bottom w:val="single" w:sz="8" w:color="auto"/>
            </w:tcBorders>
          </w:tcPr>
          <w:p>
            <w:pPr>
              <w:spacing w:after="0"/>
              <w:rPr>
                <w:sz w:val="8"/>
                <w:szCs w:val="8"/>
                <w:color w:val="auto"/>
              </w:rPr>
            </w:pPr>
          </w:p>
        </w:tc>
        <w:tc>
          <w:tcPr>
            <w:tcW w:w="3120" w:type="dxa"/>
            <w:vAlign w:val="bottom"/>
          </w:tcPr>
          <w:p>
            <w:pPr>
              <w:spacing w:after="0"/>
              <w:rPr>
                <w:sz w:val="8"/>
                <w:szCs w:val="8"/>
                <w:color w:val="auto"/>
              </w:rPr>
            </w:pPr>
          </w:p>
        </w:tc>
        <w:tc>
          <w:tcPr>
            <w:tcW w:w="7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 w:type="dxa"/>
            <w:vAlign w:val="bottom"/>
          </w:tcPr>
          <w:p>
            <w:pPr>
              <w:spacing w:after="0"/>
              <w:rPr>
                <w:sz w:val="8"/>
                <w:szCs w:val="8"/>
                <w:color w:val="auto"/>
              </w:rPr>
            </w:pPr>
          </w:p>
        </w:tc>
        <w:tc>
          <w:tcPr>
            <w:tcW w:w="220" w:type="dxa"/>
            <w:vAlign w:val="bottom"/>
          </w:tcPr>
          <w:p>
            <w:pPr>
              <w:spacing w:after="0"/>
              <w:rPr>
                <w:sz w:val="8"/>
                <w:szCs w:val="8"/>
                <w:color w:val="auto"/>
              </w:rPr>
            </w:pPr>
          </w:p>
        </w:tc>
        <w:tc>
          <w:tcPr>
            <w:tcW w:w="7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800" w:type="dxa"/>
            <w:vAlign w:val="bottom"/>
          </w:tcPr>
          <w:p>
            <w:pPr>
              <w:spacing w:after="0"/>
              <w:rPr>
                <w:sz w:val="8"/>
                <w:szCs w:val="8"/>
                <w:color w:val="auto"/>
              </w:rPr>
            </w:pPr>
          </w:p>
        </w:tc>
        <w:tc>
          <w:tcPr>
            <w:tcW w:w="30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00" w:type="dxa"/>
            <w:vAlign w:val="bottom"/>
          </w:tcPr>
          <w:p>
            <w:pPr>
              <w:spacing w:after="0"/>
              <w:rPr>
                <w:sz w:val="8"/>
                <w:szCs w:val="8"/>
                <w:color w:val="auto"/>
              </w:rPr>
            </w:pPr>
          </w:p>
        </w:tc>
      </w:tr>
    </w:tbl>
    <w:p>
      <w:pPr>
        <w:spacing w:after="0" w:line="19" w:lineRule="exact"/>
        <w:rPr>
          <w:sz w:val="20"/>
          <w:szCs w:val="20"/>
          <w:color w:val="auto"/>
        </w:rPr>
      </w:pPr>
    </w:p>
    <w:p>
      <w:pPr>
        <w:ind w:left="220" w:right="220" w:hanging="212"/>
        <w:spacing w:after="0" w:line="268"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the project, the related in-process research and development (“IPR&amp;D”) assets will be amortized over its estimated useful life. If any of the projects are abandoned, the Company will be required to impair the related IPR&amp;D asset.</w:t>
      </w:r>
    </w:p>
    <w:p>
      <w:pPr>
        <w:spacing w:after="0" w:line="132"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During the three months ended July 31, 2010, the Company purchased the assets of a company engaged in the development of communication products for home networking and broadband over powerline applications. Under the purchase method of accounting, the total purchase price was allocated to tangible and intangible assets based on their fair values as of the date of the completion of the purchase. The purchase price was not significant.</w:t>
      </w:r>
    </w:p>
    <w:p>
      <w:pPr>
        <w:spacing w:after="0" w:line="107"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Based on the identified intangible assets recorded at October 30, 2010,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74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4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Reminder of fiscal 2011</w:t>
            </w:r>
          </w:p>
        </w:tc>
        <w:tc>
          <w:tcPr>
            <w:tcW w:w="4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2012</w:t>
            </w:r>
          </w:p>
        </w:tc>
        <w:tc>
          <w:tcPr>
            <w:tcW w:w="208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44,357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20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2014</w:t>
            </w:r>
          </w:p>
        </w:tc>
        <w:tc>
          <w:tcPr>
            <w:tcW w:w="208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22,940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2015</w:t>
            </w:r>
          </w:p>
        </w:tc>
        <w:tc>
          <w:tcPr>
            <w:tcW w:w="208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72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4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973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80" w:type="dxa"/>
            <w:vAlign w:val="bottom"/>
            <w:shd w:val="clear" w:color="auto" w:fill="CCEEFF"/>
          </w:tcPr>
          <w:p>
            <w:pPr>
              <w:spacing w:after="0"/>
              <w:rPr>
                <w:sz w:val="18"/>
                <w:szCs w:val="18"/>
                <w:color w:val="auto"/>
              </w:rPr>
            </w:pPr>
          </w:p>
        </w:tc>
        <w:tc>
          <w:tcPr>
            <w:tcW w:w="4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121,422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080" w:type="dxa"/>
            <w:vAlign w:val="bottom"/>
          </w:tcPr>
          <w:p>
            <w:pPr>
              <w:spacing w:after="0" w:line="20" w:lineRule="exact"/>
              <w:rPr>
                <w:sz w:val="1"/>
                <w:szCs w:val="1"/>
                <w:color w:val="auto"/>
              </w:rPr>
            </w:pPr>
          </w:p>
        </w:tc>
        <w:tc>
          <w:tcPr>
            <w:tcW w:w="4240" w:type="dxa"/>
            <w:vAlign w:val="bottom"/>
            <w:vMerge w:val="restart"/>
          </w:tcPr>
          <w:p>
            <w:pPr>
              <w:jc w:val="right"/>
              <w:ind w:right="2932"/>
              <w:spacing w:after="0"/>
              <w:rPr>
                <w:sz w:val="20"/>
                <w:szCs w:val="20"/>
                <w:color w:val="auto"/>
              </w:rPr>
            </w:pPr>
            <w:r>
              <w:rPr>
                <w:rFonts w:ascii="Arial" w:cs="Arial" w:eastAsia="Arial" w:hAnsi="Arial"/>
                <w:sz w:val="18"/>
                <w:szCs w:val="18"/>
                <w:color w:val="auto"/>
              </w:rPr>
              <w:t>15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42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During the three months ended October 30, 2010, the Company subleased one of its facilities and recorded an adjustment to the restructuring liabilities. In the nine months ended October 31, 2010, as a result of the anticipated sale of one of its facilities, the Company classified the carrying value of the building as held for sale within prepaid expenses and other current assets. This resulted in a charge of $1.1 million to write-down the carrying value to fair value in research and development. In addition, the Company continued to make payments and incur on-going operating expenses from its reserved facilities.</w:t>
      </w:r>
    </w:p>
    <w:p>
      <w:pPr>
        <w:spacing w:after="0" w:line="113"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During the three months ended October 31, 2009, the Company continued to implement certain cost reduction measures that included reductions in workforce that had been announced in the first quarter ended May 2, 2009. In addition, the Company also restructured some facilities due to vacating certain locations. As a result, during the three months ended October 31, 2009, the Company recorded a restructuring charge of $1.9 million consisting of $0.1 million of severance and related employee benefits to the terminated employees and $1.2 million for facilities and related charges which included $1.0 million for leasehold improvements, furniture and equipment related to the closure of a lease in a foreign subsidiary. For the nine months ended October 31, 2009, the Company recorded a restructuring charge $15.2 million consisting of $8.6 million for of severance and related employee benefits to terminated employees, facilities and related charges of $5.8 million and equipment and other related charges of $0.8 million.</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an analysis of the components of the restructuring charges and the payments made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40" w:type="dxa"/>
            <w:vAlign w:val="bottom"/>
            <w:gridSpan w:val="6"/>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40" w:type="dxa"/>
            <w:vAlign w:val="bottom"/>
            <w:gridSpan w:val="6"/>
          </w:tcPr>
          <w:p>
            <w:pPr>
              <w:ind w:left="2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5820" w:type="dxa"/>
            <w:vAlign w:val="bottom"/>
          </w:tcPr>
          <w:p>
            <w:pPr>
              <w:spacing w:after="0"/>
              <w:rPr>
                <w:sz w:val="11"/>
                <w:szCs w:val="11"/>
                <w:color w:val="auto"/>
              </w:rPr>
            </w:pPr>
          </w:p>
        </w:tc>
        <w:tc>
          <w:tcPr>
            <w:tcW w:w="10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2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620" w:type="dxa"/>
            <w:vAlign w:val="bottom"/>
          </w:tcPr>
          <w:p>
            <w:pPr>
              <w:spacing w:after="0"/>
              <w:rPr>
                <w:sz w:val="11"/>
                <w:szCs w:val="11"/>
                <w:color w:val="auto"/>
              </w:rPr>
            </w:pPr>
          </w:p>
        </w:tc>
        <w:tc>
          <w:tcPr>
            <w:tcW w:w="10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2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8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2010</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2010</w:t>
            </w: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4,842</w:t>
            </w:r>
          </w:p>
        </w:tc>
        <w:tc>
          <w:tcPr>
            <w:tcW w:w="34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5,234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5,397</w:t>
            </w:r>
          </w:p>
        </w:tc>
        <w:tc>
          <w:tcPr>
            <w:tcW w:w="34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79"/>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7,685</w:t>
            </w:r>
          </w:p>
        </w:tc>
        <w:tc>
          <w:tcPr>
            <w:tcW w:w="0" w:type="dxa"/>
            <w:vAlign w:val="bottom"/>
          </w:tcPr>
          <w:p>
            <w:pPr>
              <w:spacing w:after="0"/>
              <w:rPr>
                <w:sz w:val="1"/>
                <w:szCs w:val="1"/>
                <w:color w:val="auto"/>
              </w:rPr>
            </w:pPr>
          </w:p>
        </w:tc>
      </w:tr>
      <w:tr>
        <w:trPr>
          <w:trHeight w:val="216"/>
        </w:trPr>
        <w:tc>
          <w:tcPr>
            <w:tcW w:w="5820" w:type="dxa"/>
            <w:vAlign w:val="bottom"/>
          </w:tcPr>
          <w:p>
            <w:pPr>
              <w:ind w:left="440"/>
              <w:spacing w:after="0"/>
              <w:rPr>
                <w:sz w:val="20"/>
                <w:szCs w:val="20"/>
                <w:color w:val="auto"/>
              </w:rPr>
            </w:pPr>
            <w:r>
              <w:rPr>
                <w:rFonts w:ascii="Arial" w:cs="Arial" w:eastAsia="Arial" w:hAnsi="Arial"/>
                <w:sz w:val="18"/>
                <w:szCs w:val="18"/>
                <w:color w:val="auto"/>
              </w:rPr>
              <w:t>Severance and related charges</w:t>
            </w:r>
          </w:p>
        </w:tc>
        <w:tc>
          <w:tcPr>
            <w:tcW w:w="160" w:type="dxa"/>
            <w:vAlign w:val="bottom"/>
          </w:tcPr>
          <w:p>
            <w:pPr>
              <w:spacing w:after="0"/>
              <w:rPr>
                <w:sz w:val="18"/>
                <w:szCs w:val="18"/>
                <w:color w:val="auto"/>
              </w:rPr>
            </w:pPr>
          </w:p>
        </w:tc>
        <w:tc>
          <w:tcPr>
            <w:tcW w:w="8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620"/>
              <w:spacing w:after="0"/>
              <w:rPr>
                <w:sz w:val="20"/>
                <w:szCs w:val="20"/>
                <w:color w:val="auto"/>
              </w:rPr>
            </w:pPr>
            <w:r>
              <w:rPr>
                <w:rFonts w:ascii="Arial" w:cs="Arial" w:eastAsia="Arial" w:hAnsi="Arial"/>
                <w:sz w:val="18"/>
                <w:szCs w:val="18"/>
                <w:color w:val="auto"/>
              </w:rPr>
              <w:t>117</w:t>
            </w:r>
          </w:p>
        </w:tc>
        <w:tc>
          <w:tcPr>
            <w:tcW w:w="140" w:type="dxa"/>
            <w:vAlign w:val="bottom"/>
          </w:tcPr>
          <w:p>
            <w:pPr>
              <w:spacing w:after="0"/>
              <w:rPr>
                <w:sz w:val="18"/>
                <w:szCs w:val="18"/>
                <w:color w:val="auto"/>
              </w:rPr>
            </w:pPr>
          </w:p>
        </w:tc>
        <w:tc>
          <w:tcPr>
            <w:tcW w:w="88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8,640</w:t>
            </w:r>
          </w:p>
        </w:tc>
        <w:tc>
          <w:tcPr>
            <w:tcW w:w="0" w:type="dxa"/>
            <w:vAlign w:val="bottom"/>
          </w:tcPr>
          <w:p>
            <w:pPr>
              <w:spacing w:after="0"/>
              <w:rPr>
                <w:sz w:val="1"/>
                <w:szCs w:val="1"/>
                <w:color w:val="auto"/>
              </w:rPr>
            </w:pPr>
          </w:p>
        </w:tc>
      </w:tr>
      <w:tr>
        <w:trPr>
          <w:trHeight w:val="216"/>
        </w:trPr>
        <w:tc>
          <w:tcPr>
            <w:tcW w:w="5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Facilities and related charges</w:t>
            </w: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1,249</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2,640</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5,768</w:t>
            </w:r>
          </w:p>
        </w:tc>
        <w:tc>
          <w:tcPr>
            <w:tcW w:w="0" w:type="dxa"/>
            <w:vAlign w:val="bottom"/>
          </w:tcPr>
          <w:p>
            <w:pPr>
              <w:spacing w:after="0"/>
              <w:rPr>
                <w:sz w:val="1"/>
                <w:szCs w:val="1"/>
                <w:color w:val="auto"/>
              </w:rPr>
            </w:pPr>
          </w:p>
        </w:tc>
      </w:tr>
      <w:tr>
        <w:trPr>
          <w:trHeight w:val="216"/>
        </w:trPr>
        <w:tc>
          <w:tcPr>
            <w:tcW w:w="5820" w:type="dxa"/>
            <w:vAlign w:val="bottom"/>
          </w:tcPr>
          <w:p>
            <w:pPr>
              <w:ind w:left="440"/>
              <w:spacing w:after="0"/>
              <w:rPr>
                <w:sz w:val="20"/>
                <w:szCs w:val="20"/>
                <w:color w:val="auto"/>
              </w:rPr>
            </w:pPr>
            <w:r>
              <w:rPr>
                <w:rFonts w:ascii="Arial" w:cs="Arial" w:eastAsia="Arial" w:hAnsi="Arial"/>
                <w:sz w:val="18"/>
                <w:szCs w:val="18"/>
                <w:color w:val="auto"/>
              </w:rPr>
              <w:t>Equipment and other related charges</w:t>
            </w:r>
          </w:p>
        </w:tc>
        <w:tc>
          <w:tcPr>
            <w:tcW w:w="16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94</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620"/>
              <w:spacing w:after="0"/>
              <w:rPr>
                <w:sz w:val="20"/>
                <w:szCs w:val="20"/>
                <w:color w:val="auto"/>
              </w:rPr>
            </w:pPr>
            <w:r>
              <w:rPr>
                <w:rFonts w:ascii="Arial" w:cs="Arial" w:eastAsia="Arial" w:hAnsi="Arial"/>
                <w:sz w:val="18"/>
                <w:szCs w:val="18"/>
                <w:color w:val="auto"/>
              </w:rPr>
              <w:t>553</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94</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803</w:t>
            </w:r>
          </w:p>
        </w:tc>
        <w:tc>
          <w:tcPr>
            <w:tcW w:w="0" w:type="dxa"/>
            <w:vAlign w:val="bottom"/>
          </w:tcPr>
          <w:p>
            <w:pPr>
              <w:spacing w:after="0"/>
              <w:rPr>
                <w:sz w:val="1"/>
                <w:szCs w:val="1"/>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Non-cash adjustment</w:t>
            </w:r>
          </w:p>
        </w:tc>
        <w:tc>
          <w:tcPr>
            <w:tcW w:w="16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(1,015)</w:t>
            </w: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(1,272)</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(1,254)</w:t>
            </w:r>
          </w:p>
        </w:tc>
        <w:tc>
          <w:tcPr>
            <w:tcW w:w="0" w:type="dxa"/>
            <w:vAlign w:val="bottom"/>
          </w:tcPr>
          <w:p>
            <w:pPr>
              <w:spacing w:after="0"/>
              <w:rPr>
                <w:sz w:val="1"/>
                <w:szCs w:val="1"/>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Net cash payments</w:t>
            </w: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98"/>
              </w:rPr>
              <w:t>(1,650)</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8"/>
                <w:szCs w:val="18"/>
                <w:color w:val="auto"/>
              </w:rPr>
              <w:t>(1,501)</w:t>
            </w:r>
          </w:p>
        </w:tc>
        <w:tc>
          <w:tcPr>
            <w:tcW w:w="14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(2,993)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(17,005)</w:t>
            </w:r>
          </w:p>
        </w:tc>
        <w:tc>
          <w:tcPr>
            <w:tcW w:w="0" w:type="dxa"/>
            <w:vAlign w:val="bottom"/>
          </w:tcPr>
          <w:p>
            <w:pPr>
              <w:spacing w:after="0"/>
              <w:rPr>
                <w:sz w:val="1"/>
                <w:szCs w:val="1"/>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previous assumptions</w:t>
            </w: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(230)</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(230)</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5820" w:type="dxa"/>
            <w:vAlign w:val="bottom"/>
            <w:vMerge w:val="restart"/>
          </w:tcPr>
          <w:p>
            <w:pPr>
              <w:spacing w:after="0"/>
              <w:rPr>
                <w:sz w:val="20"/>
                <w:szCs w:val="20"/>
                <w:color w:val="auto"/>
              </w:rPr>
            </w:pPr>
            <w:r>
              <w:rPr>
                <w:rFonts w:ascii="Arial" w:cs="Arial" w:eastAsia="Arial" w:hAnsi="Arial"/>
                <w:sz w:val="18"/>
                <w:szCs w:val="18"/>
                <w:color w:val="auto"/>
              </w:rPr>
              <w:t>Restructuring liabilities, end of period</w:t>
            </w:r>
          </w:p>
        </w:tc>
        <w:tc>
          <w:tcPr>
            <w:tcW w:w="16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20" w:type="dxa"/>
            <w:vAlign w:val="bottom"/>
            <w:vMerge w:val="continue"/>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3,636</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4,637</w:t>
            </w:r>
          </w:p>
        </w:tc>
        <w:tc>
          <w:tcPr>
            <w:tcW w:w="6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3,636</w:t>
            </w:r>
          </w:p>
        </w:tc>
        <w:tc>
          <w:tcPr>
            <w:tcW w:w="340" w:type="dxa"/>
            <w:vAlign w:val="bottom"/>
          </w:tcPr>
          <w:p>
            <w:pPr>
              <w:spacing w:after="0"/>
              <w:rPr>
                <w:sz w:val="19"/>
                <w:szCs w:val="19"/>
                <w:color w:val="auto"/>
              </w:rPr>
            </w:pPr>
          </w:p>
        </w:tc>
        <w:tc>
          <w:tcPr>
            <w:tcW w:w="380" w:type="dxa"/>
            <w:vAlign w:val="bottom"/>
            <w:gridSpan w:val="2"/>
          </w:tcPr>
          <w:p>
            <w:pPr>
              <w:ind w:left="280"/>
              <w:spacing w:after="0"/>
              <w:rPr>
                <w:sz w:val="20"/>
                <w:szCs w:val="20"/>
                <w:color w:val="auto"/>
              </w:rPr>
            </w:pPr>
            <w:r>
              <w:rPr>
                <w:rFonts w:ascii="Arial" w:cs="Arial" w:eastAsia="Arial" w:hAnsi="Arial"/>
                <w:sz w:val="18"/>
                <w:szCs w:val="18"/>
                <w:color w:val="auto"/>
                <w:w w:val="79"/>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4,637</w:t>
            </w:r>
          </w:p>
        </w:tc>
        <w:tc>
          <w:tcPr>
            <w:tcW w:w="0" w:type="dxa"/>
            <w:vAlign w:val="bottom"/>
          </w:tcPr>
          <w:p>
            <w:pPr>
              <w:spacing w:after="0"/>
              <w:rPr>
                <w:sz w:val="1"/>
                <w:szCs w:val="1"/>
                <w:color w:val="auto"/>
              </w:rPr>
            </w:pPr>
          </w:p>
        </w:tc>
      </w:tr>
      <w:tr>
        <w:trPr>
          <w:trHeight w:val="20"/>
        </w:trPr>
        <w:tc>
          <w:tcPr>
            <w:tcW w:w="58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40" w:type="dxa"/>
            <w:vAlign w:val="bottom"/>
            <w:gridSpan w:val="4"/>
          </w:tcPr>
          <w:p>
            <w:pPr>
              <w:jc w:val="right"/>
              <w:ind w:right="296"/>
              <w:spacing w:after="0"/>
              <w:rPr>
                <w:sz w:val="20"/>
                <w:szCs w:val="20"/>
                <w:color w:val="auto"/>
              </w:rPr>
            </w:pPr>
            <w:r>
              <w:rPr>
                <w:rFonts w:ascii="Arial" w:cs="Arial" w:eastAsia="Arial" w:hAnsi="Arial"/>
                <w:sz w:val="14"/>
                <w:szCs w:val="14"/>
                <w:b w:val="1"/>
                <w:bCs w:val="1"/>
                <w:color w:val="auto"/>
              </w:rPr>
              <w:t>Three Months Ended</w:t>
            </w: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20" w:type="dxa"/>
            <w:vAlign w:val="bottom"/>
            <w:gridSpan w:val="5"/>
          </w:tcPr>
          <w:p>
            <w:pPr>
              <w:ind w:left="2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840" w:type="dxa"/>
            <w:vAlign w:val="bottom"/>
          </w:tcPr>
          <w:p>
            <w:pPr>
              <w:spacing w:after="0"/>
              <w:rPr>
                <w:sz w:val="11"/>
                <w:szCs w:val="11"/>
                <w:color w:val="auto"/>
              </w:rPr>
            </w:pPr>
          </w:p>
        </w:tc>
        <w:tc>
          <w:tcPr>
            <w:tcW w:w="13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620" w:type="dxa"/>
            <w:vAlign w:val="bottom"/>
          </w:tcPr>
          <w:p>
            <w:pPr>
              <w:spacing w:after="0"/>
              <w:rPr>
                <w:sz w:val="11"/>
                <w:szCs w:val="11"/>
                <w:color w:val="auto"/>
              </w:rPr>
            </w:pPr>
          </w:p>
        </w:tc>
        <w:tc>
          <w:tcPr>
            <w:tcW w:w="13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r>
      <w:tr>
        <w:trPr>
          <w:trHeight w:val="161"/>
        </w:trPr>
        <w:tc>
          <w:tcPr>
            <w:tcW w:w="58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2010</w:t>
            </w:r>
          </w:p>
        </w:tc>
        <w:tc>
          <w:tcPr>
            <w:tcW w:w="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2009</w:t>
            </w:r>
          </w:p>
        </w:tc>
        <w:tc>
          <w:tcPr>
            <w:tcW w:w="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2010</w:t>
            </w:r>
          </w:p>
        </w:tc>
        <w:tc>
          <w:tcPr>
            <w:tcW w:w="6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r>
      <w:tr>
        <w:trPr>
          <w:trHeight w:val="210"/>
        </w:trPr>
        <w:tc>
          <w:tcPr>
            <w:tcW w:w="58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1,338</w:t>
            </w:r>
          </w:p>
        </w:tc>
        <w:tc>
          <w:tcPr>
            <w:tcW w:w="760" w:type="dxa"/>
            <w:vAlign w:val="bottom"/>
            <w:gridSpan w:val="2"/>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1,686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10,704</w:t>
            </w:r>
          </w:p>
        </w:tc>
        <w:tc>
          <w:tcPr>
            <w:tcW w:w="100" w:type="dxa"/>
            <w:vAlign w:val="bottom"/>
            <w:shd w:val="clear" w:color="auto" w:fill="CCEEFF"/>
          </w:tcPr>
          <w:p>
            <w:pPr>
              <w:spacing w:after="0"/>
              <w:rPr>
                <w:sz w:val="18"/>
                <w:szCs w:val="18"/>
                <w:color w:val="auto"/>
              </w:rPr>
            </w:pPr>
          </w:p>
        </w:tc>
      </w:tr>
      <w:tr>
        <w:trPr>
          <w:trHeight w:val="216"/>
        </w:trPr>
        <w:tc>
          <w:tcPr>
            <w:tcW w:w="5840" w:type="dxa"/>
            <w:vAlign w:val="bottom"/>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tcPr>
          <w:p>
            <w:pPr>
              <w:spacing w:after="0"/>
              <w:rPr>
                <w:sz w:val="18"/>
                <w:szCs w:val="18"/>
                <w:color w:val="auto"/>
              </w:rPr>
            </w:pPr>
          </w:p>
        </w:tc>
        <w:tc>
          <w:tcPr>
            <w:tcW w:w="116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51</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1,839</w:t>
            </w:r>
          </w:p>
        </w:tc>
        <w:tc>
          <w:tcPr>
            <w:tcW w:w="100" w:type="dxa"/>
            <w:vAlign w:val="bottom"/>
          </w:tcPr>
          <w:p>
            <w:pPr>
              <w:spacing w:after="0"/>
              <w:rPr>
                <w:sz w:val="18"/>
                <w:szCs w:val="18"/>
                <w:color w:val="auto"/>
              </w:rPr>
            </w:pPr>
          </w:p>
        </w:tc>
      </w:tr>
      <w:tr>
        <w:trPr>
          <w:trHeight w:val="216"/>
        </w:trPr>
        <w:tc>
          <w:tcPr>
            <w:tcW w:w="5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530</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818</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2,668</w:t>
            </w:r>
          </w:p>
        </w:tc>
        <w:tc>
          <w:tcPr>
            <w:tcW w:w="100" w:type="dxa"/>
            <w:vAlign w:val="bottom"/>
            <w:shd w:val="clear" w:color="auto" w:fill="CCEEFF"/>
          </w:tcPr>
          <w:p>
            <w:pPr>
              <w:spacing w:after="0"/>
              <w:rPr>
                <w:sz w:val="18"/>
                <w:szCs w:val="18"/>
                <w:color w:val="auto"/>
              </w:rPr>
            </w:pPr>
          </w:p>
        </w:tc>
      </w:tr>
      <w:tr>
        <w:trPr>
          <w:trHeight w:val="20"/>
        </w:trPr>
        <w:tc>
          <w:tcPr>
            <w:tcW w:w="58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584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259</w:t>
            </w:r>
          </w:p>
        </w:tc>
        <w:tc>
          <w:tcPr>
            <w:tcW w:w="6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1,919</w:t>
            </w:r>
          </w:p>
        </w:tc>
        <w:tc>
          <w:tcPr>
            <w:tcW w:w="760" w:type="dxa"/>
            <w:vAlign w:val="bottom"/>
            <w:gridSpan w:val="2"/>
          </w:tcPr>
          <w:p>
            <w:pPr>
              <w:ind w:left="6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40"/>
              <w:spacing w:after="0"/>
              <w:rPr>
                <w:sz w:val="20"/>
                <w:szCs w:val="20"/>
                <w:color w:val="auto"/>
              </w:rPr>
            </w:pPr>
            <w:r>
              <w:rPr>
                <w:rFonts w:ascii="Arial" w:cs="Arial" w:eastAsia="Arial" w:hAnsi="Arial"/>
                <w:sz w:val="18"/>
                <w:szCs w:val="18"/>
                <w:color w:val="auto"/>
              </w:rPr>
              <w:t>2,504</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15,211</w:t>
            </w:r>
          </w:p>
        </w:tc>
        <w:tc>
          <w:tcPr>
            <w:tcW w:w="100" w:type="dxa"/>
            <w:vAlign w:val="bottom"/>
          </w:tcPr>
          <w:p>
            <w:pPr>
              <w:spacing w:after="0"/>
              <w:rPr>
                <w:sz w:val="19"/>
                <w:szCs w:val="19"/>
                <w:color w:val="auto"/>
              </w:rPr>
            </w:pPr>
          </w:p>
        </w:tc>
      </w:tr>
      <w:tr>
        <w:trPr>
          <w:trHeight w:val="20"/>
        </w:trPr>
        <w:tc>
          <w:tcPr>
            <w:tcW w:w="58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remaining facility lease charges included in the restructuring liabilities will be paid out through fiscal 2018.</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60"/>
          </w:cols>
          <w:pgMar w:left="240" w:top="459" w:right="2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jc w:val="both"/>
        <w:ind w:right="54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repayment of all expenses incurred through the date of cancellation. As of October 30, 2010, these foundries had incurred approximately $217.7 million of manufacturing expenses on the Company’s outstanding purchase orders.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i w:val="1"/>
          <w:iCs w:val="1"/>
          <w:color w:val="auto"/>
        </w:rPr>
        <w:t>IPO Securities Litigation</w:t>
      </w:r>
      <w:r>
        <w:rPr>
          <w:rFonts w:ascii="Arial" w:cs="Arial" w:eastAsia="Arial" w:hAnsi="Arial"/>
          <w:sz w:val="16"/>
          <w:szCs w:val="16"/>
          <w:color w:val="auto"/>
        </w:rPr>
        <w:t>. In 2001, two putative class action lawsuits were filed in the United States District Court for the Southern District of New York</w:t>
      </w:r>
      <w:r>
        <w:rPr>
          <w:rFonts w:ascii="Arial" w:cs="Arial" w:eastAsia="Arial" w:hAnsi="Arial"/>
          <w:sz w:val="16"/>
          <w:szCs w:val="16"/>
          <w:i w:val="1"/>
          <w:iCs w:val="1"/>
          <w:color w:val="auto"/>
        </w:rPr>
        <w:t xml:space="preserve"> </w:t>
      </w:r>
      <w:r>
        <w:rPr>
          <w:rFonts w:ascii="Arial" w:cs="Arial" w:eastAsia="Arial" w:hAnsi="Arial"/>
          <w:sz w:val="16"/>
          <w:szCs w:val="16"/>
          <w:color w:val="auto"/>
        </w:rPr>
        <w:t>concerning certain alleged underwriting practices related to the Company’s initial public offering (the “IPO”) on June 29, 2000. The actions were consolidated and a consolidated complaint was filed, naming as defendants certain investment banks that participated in the IPO, the Company, and two of its officers, one of whom is also a director. Plaintiffs claim that defendants violated certain provisions of the Securities Act of 1933, as amended, and the Securities Exchange Act of 1934, as amended (the “Exchange Act”), by allegedly failing to disclose that the underwriters received “excessive” and undisclosed commissions and entered into unlawful “tie-in” agreements with certain of their clients. The consolidated complaint seeks unspecified damages, interest and fees. In addition, this case has been coordinated with hundreds of other lawsuits filed by plaintiffs against underwriters and issuers for approximately 300 other IPOs. Defendants in the coordinated proceedings moved to dismiss the actions. In February 2003, the trial court granted the motions in part and denied them in part, allowing certain claims to proceed.</w:t>
      </w:r>
    </w:p>
    <w:p>
      <w:pPr>
        <w:spacing w:after="0" w:line="120" w:lineRule="exact"/>
        <w:rPr>
          <w:sz w:val="20"/>
          <w:szCs w:val="20"/>
          <w:color w:val="auto"/>
        </w:rPr>
      </w:pPr>
    </w:p>
    <w:p>
      <w:pPr>
        <w:jc w:val="both"/>
        <w:ind w:right="220" w:firstLine="456"/>
        <w:spacing w:after="0" w:line="298" w:lineRule="auto"/>
        <w:rPr>
          <w:sz w:val="20"/>
          <w:szCs w:val="20"/>
          <w:color w:val="auto"/>
        </w:rPr>
      </w:pPr>
      <w:r>
        <w:rPr>
          <w:rFonts w:ascii="Arial" w:cs="Arial" w:eastAsia="Arial" w:hAnsi="Arial"/>
          <w:sz w:val="16"/>
          <w:szCs w:val="16"/>
          <w:color w:val="auto"/>
        </w:rPr>
        <w:t>The parties have reached a global settlement of the coordinated litigation. Under the settlement, the insurers will pay the full amount of settlement share allocated to the Company, and the Company will bear no financial liability. The Company and other defendants will receive complete dismissals from the case. On October 5, 2009, the Court issued an order of final approval of the settlement. Certain objectors have filed appeals. If for any reason the settlement does not become effective, the Company believes it has meritorious defenses to the claims against it and intends to defend the action vigorously.</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Section 16(b) Litigation</w:t>
      </w:r>
      <w:r>
        <w:rPr>
          <w:rFonts w:ascii="Arial" w:cs="Arial" w:eastAsia="Arial" w:hAnsi="Arial"/>
          <w:sz w:val="16"/>
          <w:szCs w:val="16"/>
          <w:color w:val="auto"/>
        </w:rPr>
        <w:t>. 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spacing w:after="0" w:line="308" w:lineRule="auto"/>
        <w:rPr>
          <w:sz w:val="20"/>
          <w:szCs w:val="20"/>
          <w:color w:val="auto"/>
        </w:rPr>
      </w:pPr>
      <w:r>
        <w:rPr>
          <w:rFonts w:ascii="Arial" w:cs="Arial" w:eastAsia="Arial" w:hAnsi="Arial"/>
          <w:sz w:val="15"/>
          <w:szCs w:val="15"/>
          <w:color w:val="auto"/>
        </w:rPr>
        <w:t>No. C07-1632 filed in District Court for the Western District of Washington, seeks the recovery of short swing profits. The Company is named as a nominal defendant. No recovery is sought from the Company. Numerous similar suits were filed by the same plaintiff against other underwriters relating to other issuers. The underwriter defendants and some of the issuer defendants (excluding the Company) filed a motion to dismiss, and on March 12,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In accordance with the briefing schedule set by the Ninth Circuit Court of Appeals on August 18, 2009, plaintiff filed her opening brief on August 26, 2009. On October 2, 2009, the underwriter defendants/appellees/cross-appellants filed their answering brief, and the moving issuers/appellees filed their principal brief as well. Plaintiff/appellant/cross-appellee filed her response and reply briefs on November 2, 2009. The underwriter defendants/appellees/cross-appellants filed their reply brief on November 17, 2009. Oral argument in this matter took place on October 5, 2010. The Ninth Circuit Court of Appeals has not yet issued a decision. No discovery has taken place.</w:t>
      </w:r>
    </w:p>
    <w:p>
      <w:pPr>
        <w:spacing w:after="0" w:line="10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21"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 privileged.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(2007) 42 Cal.4</w:t>
      </w:r>
      <w:r>
        <w:rPr>
          <w:rFonts w:ascii="Arial" w:cs="Arial" w:eastAsia="Arial" w:hAnsi="Arial"/>
          <w:sz w:val="10"/>
          <w:szCs w:val="10"/>
          <w:color w:val="auto"/>
        </w:rPr>
        <w:t>th</w:t>
      </w:r>
      <w:r>
        <w:rPr>
          <w:rFonts w:ascii="Arial" w:cs="Arial" w:eastAsia="Arial" w:hAnsi="Arial"/>
          <w:sz w:val="16"/>
          <w:szCs w:val="16"/>
          <w:color w:val="auto"/>
        </w:rPr>
        <w:t xml:space="preserve"> 807. Following its decision in </w:t>
      </w:r>
      <w:r>
        <w:rPr>
          <w:rFonts w:ascii="Arial" w:cs="Arial" w:eastAsia="Arial" w:hAnsi="Arial"/>
          <w:sz w:val="16"/>
          <w:szCs w:val="16"/>
          <w:i w:val="1"/>
          <w:iCs w:val="1"/>
          <w:color w:val="auto"/>
        </w:rPr>
        <w:t>Rico v. Mitsubishi</w:t>
      </w:r>
      <w:r>
        <w:rPr>
          <w:rFonts w:ascii="Arial" w:cs="Arial" w:eastAsia="Arial" w:hAnsi="Arial"/>
          <w:sz w:val="16"/>
          <w:szCs w:val="16"/>
          <w:color w:val="auto"/>
        </w:rPr>
        <w:t>, on April 23, 2008, the California Supreme Court issued an order dismissing the Company’s petition for review. As a result the decision of the Court of Appeal, which remains unpublished, became final.</w:t>
      </w:r>
    </w:p>
    <w:p>
      <w:pPr>
        <w:spacing w:after="0" w:line="12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in its entirety with prejudice, for lack of standing. On December 29, 2009, the Court of Appeal, Sixth Appellate District reversed that dismissal with directions to proceed in the trial court. On February 10, 2010, the California Supreme Court declined to review that decision. In April 2010, the trial court set a new trial date for September 20, 2010 and the case has proceeded in the trial court. However, at the time of the filing of this Form 10-Q, the Company does not believe, based on currently available facts and circumstances, that it is reasonably possible to predict the final outcome of this case. Such matters involve many uncertainties and, as such, the Company has not accrued for any amount as of October 30, 2010.</w:t>
      </w:r>
    </w:p>
    <w:p>
      <w:pPr>
        <w:spacing w:after="0" w:line="120"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i w:val="1"/>
          <w:iCs w:val="1"/>
          <w:color w:val="auto"/>
        </w:rPr>
        <w:t>CSIRO Litigation</w:t>
      </w:r>
      <w:r>
        <w:rPr>
          <w:rFonts w:ascii="Arial" w:cs="Arial" w:eastAsia="Arial" w:hAnsi="Arial"/>
          <w:sz w:val="18"/>
          <w:szCs w:val="18"/>
          <w:color w:val="auto"/>
        </w:rPr>
        <w:t>. Australia’s Commonwealth Scientific and Industrial Research Organisation (“CSIRO”) has been and continues to be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or may in the future seek, indemnification from the Company. In response to these demands for indemnification, the Company has acknowledged certain of the demands and incurred costs in response to them.</w:t>
      </w:r>
    </w:p>
    <w:p>
      <w:pPr>
        <w:spacing w:after="0" w:line="14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and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treble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The trial for the Marvell CSIRO Litigation was scheduled to commence on May 10, 2010. The pretrial conference was held on April 22, 2010. On April 27, 2010, the Court issued a supplemental claim construction ruling. On April 30, 2010, the parties reached a tentative settlement which has been accounted for in the results for the three months ended May 1, 2010. The final dismissal was entered by the court on August 26, 2010.</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October 31, 2007, Wi-LAN, Inc. (“Wi-LAN”) sued two groups of system and chip manufacturers in the United States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in both cases naming MSI as a defendant and alleging patent infringement. The complaints seek unspecified damages and an injunction. In the first case, Wi-LAN alleges that defendants infringe U.S. Patent Nos. 5,282,222 and RE 37,802 (the “’222 and ’802 patents”) that allegedly relate to the 802.11 wireless standards. In the second case, Wi-LAN alleges that defendants infringe the same ’222 and ’802 patents,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2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On September 10, 2008, the Court granted the defendant’s motion to consolidate both actions but denied as premature having the defendant suppliers’ case proceed first. On February 3, 2009, the Court granted Wi-LAN’s motion to add an additional patent, U.S. Patent No. 6,549,759 (the “’759 Patent”). The claim construction hearing for the ’222 and ’802 patents was held on March 11, 2010, and a ruling was issued on May 11, 2010. The claim construction hearing for the ’759 patent was held on September 1, 2010, and a ruling was issued on September 20, 2010.</w:t>
      </w:r>
    </w:p>
    <w:p>
      <w:pPr>
        <w:spacing w:after="0" w:line="11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On June 4, 2010, Wi-LAN filed another patent litigation against MSI and other system and chip manufacturers in the United States District Court for the Eastern District of Texas. Wi-LAN asserted two patents that allegedly relate to Bluetooth standards – the ’759 patent and U.S. Patent No. 5,515,369 (the “’369 patent”). MSI is accused of infringing the ’369 patent only. MSI filed its answer and counterclaims on August 6, 2010. No schedule has been set in this case. On October 27, 2010, the Court issued an order setting the trial schedule for the litigation. Trial for the ’222 and ’802 patents was set for January 4, 2011. Trial for the ’759 patent was tentatively set for February 7, 2011.</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MSI believes it does not infringe any valid and enforceable claims of the asserted Wi-LAN patents and will vigorously defend itself in these matters.</w:t>
      </w:r>
    </w:p>
    <w:p>
      <w:pPr>
        <w:spacing w:after="0" w:line="19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 xml:space="preserve">Carnegie Mellon Litigation. </w:t>
      </w:r>
      <w:r>
        <w:rPr>
          <w:rFonts w:ascii="Arial" w:cs="Arial" w:eastAsia="Arial" w:hAnsi="Arial"/>
          <w:sz w:val="16"/>
          <w:szCs w:val="16"/>
          <w:color w:val="auto"/>
        </w:rPr>
        <w:t>On March 6, 2009, Carnegie Mellon University (“CMU”) filed a complaint in the United States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Pennsylvania naming MSI and the Company as defendants and alleging patent infringement. CMU has asserted two patents (U.S. Patent Nos. 6,201,839 and 6,438,180) purportedly relating to read-channel integrated circuit devices and the hard disk drive products incorporating such devices. The complaint seeks unspecified damages and an injunction. On June 1, 2009, MSI and the Company filed their answers and MSI filed counterclaims to the complaint seeking declaratory judgments of non-infringement and invalidity as to both of the asserted patents. The claim construction hearing was held on April 12 and 13, 2010, and a ruling was issued on October 1, 2010. On April 29, 2010, MSI and the Company filed their amended answers and counterclaims. The Court has not yet scheduled a trial date. MSI and the Company believe that they do not infringe any valid and enforceable claims of the asserted CMU patents and intend to contest this action vigorously.</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case no. 6:09-cv-00143 LED, which named MSI, Marvell Technology, Inc. (“MTI”), Marvell Semiconductor, Ltd. (“MSL”), the Company and 15 other companies as defendants. The complaint alleged infringement of two patents purportedly relating to encryption: U.S. Patent Nos. 5,963,646 and 6,049,612. The complaint seeks unspecified damages and an injunction. On May 22, 2009, MSI filed its answer and counterclaims to the complaint. On June 1, 2009, MTI, MSL and the Company were dismissed without prejudice. The claim construction hearing was held on March 25, 2010, and a ruling was issued on July 15, 2010. The parties have resolved the dispute and a final dismissal was entered by the court on October 5, 2010. The resolution did not have a material impact on the Company’s financial statements.</w:t>
      </w:r>
    </w:p>
    <w:p>
      <w:pPr>
        <w:spacing w:after="0" w:line="147"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i w:val="1"/>
          <w:iCs w:val="1"/>
          <w:color w:val="auto"/>
        </w:rPr>
        <w:t>Xpoint Patent Litigation</w:t>
      </w:r>
      <w:r>
        <w:rPr>
          <w:rFonts w:ascii="Arial" w:cs="Arial" w:eastAsia="Arial" w:hAnsi="Arial"/>
          <w:sz w:val="18"/>
          <w:szCs w:val="18"/>
          <w:color w:val="auto"/>
        </w:rPr>
        <w:t>. On August 21, 2009, Xpoint Technologies, Inc. filed a complaint in the United States District of Delaware, which names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MSI and thirty-six other companies as defendants. The complaint alleged infringement of U.S. Patent No. 5,913,028 which purportedly relates to data traffic delivery. The complaint seeks unspecified damages and an injunction. A first amended complaint was filed on September 18, 2009 and a second amended complaint was filed on August 20, 2010. On October 28, 2009, the Company was dismissed from the lawsuit, although MSI remains a defendant. MSI filed its answers and counterclaims on December 18, 2009. The Court has scheduled a claim construction hearing for January 13, 2012, and trial for May 7, 2012. MSI intends to contest this action vigorously.</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Intravisual Patent Litigation. </w:t>
      </w:r>
      <w:r>
        <w:rPr>
          <w:rFonts w:ascii="Arial" w:cs="Arial" w:eastAsia="Arial" w:hAnsi="Arial"/>
          <w:sz w:val="16"/>
          <w:szCs w:val="16"/>
          <w:color w:val="auto"/>
        </w:rPr>
        <w:t>On March 15, 2010, Intravisual, Inc. filed a Complaint in the United States District Court in the Eastern District of Texas.</w:t>
      </w:r>
      <w:r>
        <w:rPr>
          <w:rFonts w:ascii="Arial" w:cs="Arial" w:eastAsia="Arial" w:hAnsi="Arial"/>
          <w:sz w:val="16"/>
          <w:szCs w:val="16"/>
          <w:i w:val="1"/>
          <w:iCs w:val="1"/>
          <w:color w:val="auto"/>
        </w:rPr>
        <w:t xml:space="preserve"> </w:t>
      </w:r>
      <w:r>
        <w:rPr>
          <w:rFonts w:ascii="Arial" w:cs="Arial" w:eastAsia="Arial" w:hAnsi="Arial"/>
          <w:sz w:val="16"/>
          <w:szCs w:val="16"/>
          <w:color w:val="auto"/>
        </w:rPr>
        <w:t>The Complaint names MSI and eight other Defendants, and alleges infringement of United States Patent No. 6,614,845 (the “’845 patent”). The ’845 patent is purportedly directed to a method and apparatus for differential macroblock encoding in video coders and decoders. The Complaint seeks unspecified damages and a permanent injunction. MSI filed its answer and counterclaims on May 10, 2010. On June 1, 2010, Intravisual filed an Amended Complaint in the case, naming several additional defendants including the Company. On June 18, 2010, MSI filed its answer to the amended complaint.</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November 2010, the parties reached a tentative settlement, which did not have a material impact on the Company’s financial statements.</w:t>
      </w:r>
    </w:p>
    <w:p>
      <w:pPr>
        <w:spacing w:after="0" w:line="16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USEI Litigation</w:t>
      </w:r>
      <w:r>
        <w:rPr>
          <w:rFonts w:ascii="Arial" w:cs="Arial" w:eastAsia="Arial" w:hAnsi="Arial"/>
          <w:sz w:val="18"/>
          <w:szCs w:val="18"/>
          <w:color w:val="auto"/>
        </w:rPr>
        <w:t>. On October 9, 2009, U.S. Ethernet Innovations, LLC (“USEI”) filed a complaint in the Eastern District of Texas, in which USEI has</w:t>
      </w:r>
      <w:r>
        <w:rPr>
          <w:rFonts w:ascii="Arial" w:cs="Arial" w:eastAsia="Arial" w:hAnsi="Arial"/>
          <w:sz w:val="18"/>
          <w:szCs w:val="18"/>
          <w:i w:val="1"/>
          <w:iCs w:val="1"/>
          <w:color w:val="auto"/>
        </w:rPr>
        <w:t xml:space="preserve"> </w:t>
      </w:r>
      <w:r>
        <w:rPr>
          <w:rFonts w:ascii="Arial" w:cs="Arial" w:eastAsia="Arial" w:hAnsi="Arial"/>
          <w:sz w:val="18"/>
          <w:szCs w:val="18"/>
          <w:color w:val="auto"/>
        </w:rPr>
        <w:t>accused a number of system manufacturers, including the Company’s customers, of patent infringement (the “USEI litigation”). Specifically, USEI has asserted that these customers infringe U.S. Patent Nos. 5,307,459, 5,434,872, 5,732,094, and 5,299,313 (collectively, the “USEI patents in suit”), which purportedly relate to Ethernet technologies. The complaint seeks unspecified damages and an injunction.</w:t>
      </w:r>
    </w:p>
    <w:p>
      <w:pPr>
        <w:spacing w:after="0" w:line="116"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Court issued an order granting the Defendants’ motion to transfer the action to the Northern District of California; the case was formally transferred on August 23, 2010. MSI believes that it does not infringe any valid and enforceable claim of the USEI patents in suit, and intends to litigate this action vigorously.</w:t>
      </w:r>
    </w:p>
    <w:p>
      <w:pPr>
        <w:spacing w:after="0" w:line="8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i w:val="1"/>
          <w:iCs w:val="1"/>
          <w:color w:val="auto"/>
        </w:rPr>
        <w:t xml:space="preserve">Lake Cherokee Patent Litigation. </w:t>
      </w:r>
      <w:r>
        <w:rPr>
          <w:rFonts w:ascii="Arial" w:cs="Arial" w:eastAsia="Arial" w:hAnsi="Arial"/>
          <w:sz w:val="18"/>
          <w:szCs w:val="18"/>
          <w:color w:val="auto"/>
        </w:rPr>
        <w:t>On June 30, 2010, Lake Cherokee Hard Drive Technologies, L.L.C. filed a Complaint in the United States District Court</w:t>
      </w:r>
      <w:r>
        <w:rPr>
          <w:rFonts w:ascii="Arial" w:cs="Arial" w:eastAsia="Arial" w:hAnsi="Arial"/>
          <w:sz w:val="18"/>
          <w:szCs w:val="18"/>
          <w:i w:val="1"/>
          <w:iCs w:val="1"/>
          <w:color w:val="auto"/>
        </w:rPr>
        <w:t xml:space="preserve"> </w:t>
      </w:r>
      <w:r>
        <w:rPr>
          <w:rFonts w:ascii="Arial" w:cs="Arial" w:eastAsia="Arial" w:hAnsi="Arial"/>
          <w:sz w:val="18"/>
          <w:szCs w:val="18"/>
          <w:color w:val="auto"/>
        </w:rPr>
        <w:t>in the Eastern District of Texas. The Complaint names MSI and seven other Defendants, and alleges infringement of United States Patent Nos. 5,844,738 and 5,978,162 (collectively, the “Lake Cherokee patents in suit”). The Lake Cherokee patents in suit are purportedly relating to read-channel integrated circuit devices, and allegedly, to certain unspecified hard disk drive products incorporating such devices. The Complaint seeks unspecified damages and a permanent injunction. MSI intends to vigorously defend this action. Because this action is in the early stages, the Company is unable to predict the outcome of this litigation at this time.</w:t>
      </w:r>
    </w:p>
    <w:p>
      <w:pPr>
        <w:spacing w:after="0" w:line="117"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7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Indemnities, Commitments and Guarantees</w:t>
      </w:r>
    </w:p>
    <w:p>
      <w:pPr>
        <w:spacing w:after="0" w:line="9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unaudited condensed consolidated balance sheets. The Company does, however, accrue for losses for any known contingent liability, including those that may arise from indemnification provisions, when future payment is probable.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12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60" w:type="dxa"/>
            <w:vAlign w:val="bottom"/>
            <w:gridSpan w:val="5"/>
          </w:tcPr>
          <w:p>
            <w:pPr>
              <w:jc w:val="right"/>
              <w:ind w:right="236"/>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6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2500" w:type="dxa"/>
            <w:vAlign w:val="bottom"/>
          </w:tcPr>
          <w:p>
            <w:pPr>
              <w:spacing w:after="0"/>
              <w:rPr>
                <w:sz w:val="11"/>
                <w:szCs w:val="11"/>
                <w:color w:val="auto"/>
              </w:rPr>
            </w:pPr>
          </w:p>
        </w:tc>
        <w:tc>
          <w:tcPr>
            <w:tcW w:w="9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2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56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30,</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Pr>
          <w:p>
            <w:pPr>
              <w:spacing w:after="0"/>
              <w:rPr>
                <w:sz w:val="14"/>
                <w:szCs w:val="14"/>
                <w:color w:val="auto"/>
              </w:rPr>
            </w:pPr>
          </w:p>
        </w:tc>
        <w:tc>
          <w:tcPr>
            <w:tcW w:w="250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2009</w:t>
            </w:r>
          </w:p>
        </w:tc>
        <w:tc>
          <w:tcPr>
            <w:tcW w:w="5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2010</w:t>
            </w:r>
          </w:p>
        </w:tc>
        <w:tc>
          <w:tcPr>
            <w:tcW w:w="5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4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1,818</w:t>
            </w: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2,389</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5,746</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19,795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24,134</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60,735</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68,064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3,208</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4,087</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8,778</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11,457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5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4,720</w:t>
            </w: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3,767</w:t>
            </w: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11,867</w:t>
            </w:r>
          </w:p>
        </w:tc>
        <w:tc>
          <w:tcPr>
            <w:tcW w:w="5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ind w:left="25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29,541</w:t>
            </w: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34,377</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87,126</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96,040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2500" w:type="dxa"/>
            <w:vAlign w:val="bottom"/>
            <w:vMerge w:val="restart"/>
          </w:tcPr>
          <w:p>
            <w:pPr>
              <w:jc w:val="right"/>
              <w:ind w:right="612"/>
              <w:spacing w:after="0"/>
              <w:rPr>
                <w:sz w:val="20"/>
                <w:szCs w:val="20"/>
                <w:color w:val="auto"/>
              </w:rPr>
            </w:pPr>
            <w:r>
              <w:rPr>
                <w:rFonts w:ascii="Arial" w:cs="Arial" w:eastAsia="Arial" w:hAnsi="Arial"/>
                <w:sz w:val="18"/>
                <w:szCs w:val="18"/>
                <w:color w:val="auto"/>
              </w:rPr>
              <w:t>20</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540" w:type="dxa"/>
            <w:vAlign w:val="bottom"/>
          </w:tcPr>
          <w:p>
            <w:pPr>
              <w:spacing w:after="0"/>
              <w:rPr>
                <w:sz w:val="24"/>
                <w:szCs w:val="24"/>
                <w:color w:val="auto"/>
              </w:rPr>
            </w:pPr>
          </w:p>
        </w:tc>
        <w:tc>
          <w:tcPr>
            <w:tcW w:w="250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Stock-based compensation of $1.1 million and $1.6 million was capitalized in inventory as of October 30, 2010 and January 30, 2010, respectively.</w:t>
      </w:r>
    </w:p>
    <w:p>
      <w:pPr>
        <w:spacing w:after="0" w:line="194"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option award on the date of grant using the Black-Scholes option pricing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4"/>
          </w:tcPr>
          <w:p>
            <w:pPr>
              <w:jc w:val="center"/>
              <w:ind w:left="260"/>
              <w:spacing w:after="0"/>
              <w:rPr>
                <w:sz w:val="20"/>
                <w:szCs w:val="20"/>
                <w:color w:val="auto"/>
              </w:rPr>
            </w:pPr>
            <w:r>
              <w:rPr>
                <w:rFonts w:ascii="Arial" w:cs="Arial" w:eastAsia="Arial" w:hAnsi="Arial"/>
                <w:sz w:val="14"/>
                <w:szCs w:val="14"/>
                <w:b w:val="1"/>
                <w:bCs w:val="1"/>
                <w:color w:val="auto"/>
                <w:w w:val="87"/>
              </w:rPr>
              <w:t>Stock Option Plans</w:t>
            </w:r>
          </w:p>
        </w:tc>
        <w:tc>
          <w:tcPr>
            <w:tcW w:w="500" w:type="dxa"/>
            <w:vAlign w:val="bottom"/>
            <w:tcBorders>
              <w:bottom w:val="single" w:sz="8" w:color="auto"/>
            </w:tcBorders>
          </w:tcPr>
          <w:p>
            <w:pPr>
              <w:spacing w:after="0"/>
              <w:rPr>
                <w:sz w:val="14"/>
                <w:szCs w:val="14"/>
                <w:color w:val="auto"/>
              </w:rPr>
            </w:pPr>
          </w:p>
        </w:tc>
        <w:tc>
          <w:tcPr>
            <w:tcW w:w="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gridSpan w:val="2"/>
          </w:tcPr>
          <w:p>
            <w:pPr>
              <w:jc w:val="center"/>
              <w:ind w:right="332"/>
              <w:spacing w:after="0"/>
              <w:rPr>
                <w:sz w:val="20"/>
                <w:szCs w:val="20"/>
                <w:color w:val="auto"/>
              </w:rPr>
            </w:pPr>
            <w:r>
              <w:rPr>
                <w:rFonts w:ascii="Arial" w:cs="Arial" w:eastAsia="Arial" w:hAnsi="Arial"/>
                <w:sz w:val="14"/>
                <w:szCs w:val="14"/>
                <w:b w:val="1"/>
                <w:bCs w:val="1"/>
                <w:color w:val="auto"/>
                <w:w w:val="85"/>
              </w:rPr>
              <w:t>ESPP</w:t>
            </w:r>
          </w:p>
        </w:tc>
        <w:tc>
          <w:tcPr>
            <w:tcW w:w="4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5200" w:type="dxa"/>
            <w:vAlign w:val="bottom"/>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2000" w:type="dxa"/>
            <w:vAlign w:val="bottom"/>
            <w:tcBorders>
              <w:bottom w:val="single" w:sz="8" w:color="auto"/>
            </w:tcBorders>
            <w:gridSpan w:val="5"/>
          </w:tcPr>
          <w:p>
            <w:pPr>
              <w:jc w:val="center"/>
              <w:ind w:right="76"/>
              <w:spacing w:after="0" w:line="142" w:lineRule="exact"/>
              <w:rPr>
                <w:sz w:val="20"/>
                <w:szCs w:val="20"/>
                <w:color w:val="auto"/>
              </w:rPr>
            </w:pPr>
            <w:r>
              <w:rPr>
                <w:rFonts w:ascii="Arial" w:cs="Arial" w:eastAsia="Arial" w:hAnsi="Arial"/>
                <w:sz w:val="14"/>
                <w:szCs w:val="14"/>
                <w:b w:val="1"/>
                <w:bCs w:val="1"/>
                <w:color w:val="auto"/>
                <w:w w:val="89"/>
              </w:rPr>
              <w:t>Three Months Ended</w:t>
            </w:r>
          </w:p>
        </w:tc>
        <w:tc>
          <w:tcPr>
            <w:tcW w:w="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2000" w:type="dxa"/>
            <w:vAlign w:val="bottom"/>
            <w:tcBorders>
              <w:bottom w:val="single" w:sz="8" w:color="auto"/>
            </w:tcBorders>
            <w:gridSpan w:val="5"/>
          </w:tcPr>
          <w:p>
            <w:pPr>
              <w:jc w:val="center"/>
              <w:ind w:right="56"/>
              <w:spacing w:after="0" w:line="142" w:lineRule="exact"/>
              <w:rPr>
                <w:sz w:val="20"/>
                <w:szCs w:val="20"/>
                <w:color w:val="auto"/>
              </w:rPr>
            </w:pPr>
            <w:r>
              <w:rPr>
                <w:rFonts w:ascii="Arial" w:cs="Arial" w:eastAsia="Arial" w:hAnsi="Arial"/>
                <w:sz w:val="14"/>
                <w:szCs w:val="14"/>
                <w:b w:val="1"/>
                <w:bCs w:val="1"/>
                <w:color w:val="auto"/>
                <w:w w:val="88"/>
              </w:rPr>
              <w:t>Three Months Ended</w:t>
            </w:r>
          </w:p>
        </w:tc>
        <w:tc>
          <w:tcPr>
            <w:tcW w:w="200" w:type="dxa"/>
            <w:vAlign w:val="bottom"/>
          </w:tcPr>
          <w:p>
            <w:pPr>
              <w:spacing w:after="0"/>
              <w:rPr>
                <w:sz w:val="12"/>
                <w:szCs w:val="12"/>
                <w:color w:val="auto"/>
              </w:rPr>
            </w:pPr>
          </w:p>
        </w:tc>
      </w:tr>
      <w:tr>
        <w:trPr>
          <w:trHeight w:val="129"/>
        </w:trPr>
        <w:tc>
          <w:tcPr>
            <w:tcW w:w="5200" w:type="dxa"/>
            <w:vAlign w:val="bottom"/>
          </w:tcPr>
          <w:p>
            <w:pPr>
              <w:spacing w:after="0"/>
              <w:rPr>
                <w:sz w:val="11"/>
                <w:szCs w:val="11"/>
                <w:color w:val="auto"/>
              </w:rPr>
            </w:pPr>
          </w:p>
        </w:tc>
        <w:tc>
          <w:tcPr>
            <w:tcW w:w="11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3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4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r>
      <w:tr>
        <w:trPr>
          <w:trHeight w:val="161"/>
        </w:trPr>
        <w:tc>
          <w:tcPr>
            <w:tcW w:w="5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w w:val="96"/>
              </w:rPr>
              <w:t>2010</w:t>
            </w: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2010</w:t>
            </w:r>
          </w:p>
        </w:tc>
        <w:tc>
          <w:tcPr>
            <w:tcW w:w="2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3"/>
              </w:rPr>
              <w:t>2009</w:t>
            </w:r>
          </w:p>
        </w:tc>
        <w:tc>
          <w:tcPr>
            <w:tcW w:w="200" w:type="dxa"/>
            <w:vAlign w:val="bottom"/>
          </w:tcPr>
          <w:p>
            <w:pPr>
              <w:spacing w:after="0"/>
              <w:rPr>
                <w:sz w:val="14"/>
                <w:szCs w:val="14"/>
                <w:color w:val="auto"/>
              </w:rPr>
            </w:pPr>
          </w:p>
        </w:tc>
      </w:tr>
      <w:tr>
        <w:trPr>
          <w:trHeight w:val="210"/>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7.40</w:t>
            </w: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6.98</w:t>
            </w:r>
          </w:p>
        </w:tc>
        <w:tc>
          <w:tcPr>
            <w:tcW w:w="4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5.14</w:t>
            </w:r>
          </w:p>
        </w:tc>
        <w:tc>
          <w:tcPr>
            <w:tcW w:w="80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53%</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53%</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53%</w:t>
            </w: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4.7</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4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0.5</w:t>
            </w: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1.4%</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2.5%</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0.2%</w:t>
            </w: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0.7%</w:t>
            </w: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r>
        <w:trPr>
          <w:trHeight w:val="351"/>
        </w:trPr>
        <w:tc>
          <w:tcPr>
            <w:tcW w:w="520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gridSpan w:val="4"/>
          </w:tcPr>
          <w:p>
            <w:pPr>
              <w:jc w:val="center"/>
              <w:ind w:left="260"/>
              <w:spacing w:after="0"/>
              <w:rPr>
                <w:sz w:val="20"/>
                <w:szCs w:val="20"/>
                <w:color w:val="auto"/>
              </w:rPr>
            </w:pPr>
            <w:r>
              <w:rPr>
                <w:rFonts w:ascii="Arial" w:cs="Arial" w:eastAsia="Arial" w:hAnsi="Arial"/>
                <w:sz w:val="14"/>
                <w:szCs w:val="14"/>
                <w:b w:val="1"/>
                <w:bCs w:val="1"/>
                <w:color w:val="auto"/>
                <w:w w:val="87"/>
              </w:rPr>
              <w:t>Stock Option Plans</w:t>
            </w:r>
          </w:p>
        </w:tc>
        <w:tc>
          <w:tcPr>
            <w:tcW w:w="500" w:type="dxa"/>
            <w:vAlign w:val="bottom"/>
            <w:tcBorders>
              <w:bottom w:val="single" w:sz="8" w:color="auto"/>
            </w:tcBorders>
          </w:tcPr>
          <w:p>
            <w:pPr>
              <w:spacing w:after="0"/>
              <w:rPr>
                <w:sz w:val="24"/>
                <w:szCs w:val="24"/>
                <w:color w:val="auto"/>
              </w:rPr>
            </w:pPr>
          </w:p>
        </w:tc>
        <w:tc>
          <w:tcPr>
            <w:tcW w:w="4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800" w:type="dxa"/>
            <w:vAlign w:val="bottom"/>
            <w:tcBorders>
              <w:bottom w:val="single" w:sz="8" w:color="auto"/>
            </w:tcBorders>
            <w:gridSpan w:val="2"/>
          </w:tcPr>
          <w:p>
            <w:pPr>
              <w:jc w:val="center"/>
              <w:ind w:right="332"/>
              <w:spacing w:after="0"/>
              <w:rPr>
                <w:sz w:val="20"/>
                <w:szCs w:val="20"/>
                <w:color w:val="auto"/>
              </w:rPr>
            </w:pPr>
            <w:r>
              <w:rPr>
                <w:rFonts w:ascii="Arial" w:cs="Arial" w:eastAsia="Arial" w:hAnsi="Arial"/>
                <w:sz w:val="14"/>
                <w:szCs w:val="14"/>
                <w:b w:val="1"/>
                <w:bCs w:val="1"/>
                <w:color w:val="auto"/>
                <w:w w:val="85"/>
              </w:rPr>
              <w:t>ESPP</w:t>
            </w:r>
          </w:p>
        </w:tc>
        <w:tc>
          <w:tcPr>
            <w:tcW w:w="48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r>
      <w:tr>
        <w:trPr>
          <w:trHeight w:val="142"/>
        </w:trPr>
        <w:tc>
          <w:tcPr>
            <w:tcW w:w="5200" w:type="dxa"/>
            <w:vAlign w:val="bottom"/>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500" w:type="dxa"/>
            <w:vAlign w:val="bottom"/>
            <w:tcBorders>
              <w:bottom w:val="single" w:sz="8" w:color="auto"/>
            </w:tcBorders>
            <w:gridSpan w:val="4"/>
          </w:tcPr>
          <w:p>
            <w:pPr>
              <w:jc w:val="center"/>
              <w:ind w:left="260"/>
              <w:spacing w:after="0" w:line="142" w:lineRule="exact"/>
              <w:rPr>
                <w:sz w:val="20"/>
                <w:szCs w:val="20"/>
                <w:color w:val="auto"/>
              </w:rPr>
            </w:pPr>
            <w:r>
              <w:rPr>
                <w:rFonts w:ascii="Arial" w:cs="Arial" w:eastAsia="Arial" w:hAnsi="Arial"/>
                <w:sz w:val="14"/>
                <w:szCs w:val="14"/>
                <w:b w:val="1"/>
                <w:bCs w:val="1"/>
                <w:color w:val="auto"/>
                <w:w w:val="88"/>
              </w:rPr>
              <w:t>Nine Months Ended</w:t>
            </w:r>
          </w:p>
        </w:tc>
        <w:tc>
          <w:tcPr>
            <w:tcW w:w="500" w:type="dxa"/>
            <w:vAlign w:val="bottom"/>
            <w:tcBorders>
              <w:bottom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1520" w:type="dxa"/>
            <w:vAlign w:val="bottom"/>
            <w:tcBorders>
              <w:bottom w:val="single" w:sz="8" w:color="auto"/>
            </w:tcBorders>
            <w:gridSpan w:val="4"/>
          </w:tcPr>
          <w:p>
            <w:pPr>
              <w:jc w:val="center"/>
              <w:ind w:left="238"/>
              <w:spacing w:after="0" w:line="142" w:lineRule="exact"/>
              <w:rPr>
                <w:sz w:val="20"/>
                <w:szCs w:val="20"/>
                <w:color w:val="auto"/>
              </w:rPr>
            </w:pPr>
            <w:r>
              <w:rPr>
                <w:rFonts w:ascii="Arial" w:cs="Arial" w:eastAsia="Arial" w:hAnsi="Arial"/>
                <w:sz w:val="14"/>
                <w:szCs w:val="14"/>
                <w:b w:val="1"/>
                <w:bCs w:val="1"/>
                <w:color w:val="auto"/>
                <w:w w:val="88"/>
              </w:rPr>
              <w:t>Nine Months Ended</w:t>
            </w:r>
          </w:p>
        </w:tc>
        <w:tc>
          <w:tcPr>
            <w:tcW w:w="48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r>
      <w:tr>
        <w:trPr>
          <w:trHeight w:val="129"/>
        </w:trPr>
        <w:tc>
          <w:tcPr>
            <w:tcW w:w="5200" w:type="dxa"/>
            <w:vAlign w:val="bottom"/>
          </w:tcPr>
          <w:p>
            <w:pPr>
              <w:spacing w:after="0"/>
              <w:rPr>
                <w:sz w:val="11"/>
                <w:szCs w:val="11"/>
                <w:color w:val="auto"/>
              </w:rPr>
            </w:pPr>
          </w:p>
        </w:tc>
        <w:tc>
          <w:tcPr>
            <w:tcW w:w="11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3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4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6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0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r>
      <w:tr>
        <w:trPr>
          <w:trHeight w:val="161"/>
        </w:trPr>
        <w:tc>
          <w:tcPr>
            <w:tcW w:w="5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w w:val="96"/>
              </w:rPr>
              <w:t>2010</w:t>
            </w: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9"/>
              </w:rPr>
              <w:t>2009</w:t>
            </w:r>
          </w:p>
        </w:tc>
        <w:tc>
          <w:tcPr>
            <w:tcW w:w="4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96"/>
              </w:rPr>
              <w:t>2010</w:t>
            </w:r>
          </w:p>
        </w:tc>
        <w:tc>
          <w:tcPr>
            <w:tcW w:w="2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3"/>
              </w:rPr>
              <w:t>2009</w:t>
            </w:r>
          </w:p>
        </w:tc>
        <w:tc>
          <w:tcPr>
            <w:tcW w:w="200" w:type="dxa"/>
            <w:vAlign w:val="bottom"/>
          </w:tcPr>
          <w:p>
            <w:pPr>
              <w:spacing w:after="0"/>
              <w:rPr>
                <w:sz w:val="14"/>
                <w:szCs w:val="14"/>
                <w:color w:val="auto"/>
              </w:rPr>
            </w:pPr>
          </w:p>
        </w:tc>
      </w:tr>
      <w:tr>
        <w:trPr>
          <w:trHeight w:val="210"/>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9.34</w:t>
            </w: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5.82</w:t>
            </w:r>
          </w:p>
        </w:tc>
        <w:tc>
          <w:tcPr>
            <w:tcW w:w="4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5.14</w:t>
            </w:r>
          </w:p>
        </w:tc>
        <w:tc>
          <w:tcPr>
            <w:tcW w:w="80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4.14</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Volatility</w:t>
            </w:r>
          </w:p>
        </w:tc>
        <w:tc>
          <w:tcPr>
            <w:tcW w:w="160" w:type="dxa"/>
            <w:vAlign w:val="bottom"/>
          </w:tcPr>
          <w:p>
            <w:pPr>
              <w:spacing w:after="0"/>
              <w:rPr>
                <w:sz w:val="18"/>
                <w:szCs w:val="18"/>
                <w:color w:val="auto"/>
              </w:rPr>
            </w:pP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53%</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53%</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53%</w:t>
            </w: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51%</w:t>
            </w: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4.7</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4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0.5</w:t>
            </w: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200" w:type="dxa"/>
            <w:vAlign w:val="bottom"/>
            <w:shd w:val="clear" w:color="auto" w:fill="CCEEFF"/>
          </w:tcPr>
          <w:p>
            <w:pPr>
              <w:spacing w:after="0"/>
              <w:rPr>
                <w:sz w:val="18"/>
                <w:szCs w:val="18"/>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tcPr>
          <w:p>
            <w:pPr>
              <w:spacing w:after="0"/>
              <w:rPr>
                <w:sz w:val="18"/>
                <w:szCs w:val="18"/>
                <w:color w:val="auto"/>
              </w:rPr>
            </w:pPr>
          </w:p>
        </w:tc>
        <w:tc>
          <w:tcPr>
            <w:tcW w:w="1000" w:type="dxa"/>
            <w:vAlign w:val="bottom"/>
            <w:gridSpan w:val="2"/>
          </w:tcPr>
          <w:p>
            <w:pPr>
              <w:jc w:val="right"/>
              <w:ind w:right="340"/>
              <w:spacing w:after="0"/>
              <w:rPr>
                <w:sz w:val="20"/>
                <w:szCs w:val="20"/>
                <w:color w:val="auto"/>
              </w:rPr>
            </w:pPr>
            <w:r>
              <w:rPr>
                <w:rFonts w:ascii="Arial" w:cs="Arial" w:eastAsia="Arial" w:hAnsi="Arial"/>
                <w:sz w:val="18"/>
                <w:szCs w:val="18"/>
                <w:color w:val="auto"/>
              </w:rPr>
              <w:t>2.2%</w:t>
            </w:r>
          </w:p>
        </w:tc>
        <w:tc>
          <w:tcPr>
            <w:tcW w:w="3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2.1%</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0.2%</w:t>
            </w: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80" w:type="dxa"/>
            <w:vAlign w:val="bottom"/>
            <w:gridSpan w:val="2"/>
          </w:tcPr>
          <w:p>
            <w:pPr>
              <w:jc w:val="right"/>
              <w:ind w:right="60"/>
              <w:spacing w:after="0"/>
              <w:rPr>
                <w:sz w:val="20"/>
                <w:szCs w:val="20"/>
                <w:color w:val="auto"/>
              </w:rPr>
            </w:pPr>
            <w:r>
              <w:rPr>
                <w:rFonts w:ascii="Arial" w:cs="Arial" w:eastAsia="Arial" w:hAnsi="Arial"/>
                <w:sz w:val="18"/>
                <w:szCs w:val="18"/>
                <w:color w:val="auto"/>
              </w:rPr>
              <w:t>0.7%</w:t>
            </w: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to date, had 383.4 million common shares reserved for issuance thereunder as of October 30, 2010. Options granted under the Option Plan generally have a term of ten years and generally must be issued with exercise prices of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subsequent to March 1, 2000 may only be exercised upon or after vesting. At the annual general meeting of shareholders held in July 2010, the shareholders approved an amendment to the Option Plan that (i) allows the Company to grant awards other than stock options and stock appreciation rights intended to qualify as “performance-based compensation” within the meaning of the Internal Revenue Code of 1986, as amended, pursuant to an appendix to the Option Plan; and</w:t>
      </w:r>
    </w:p>
    <w:p>
      <w:pPr>
        <w:spacing w:after="0" w:line="5" w:lineRule="exact"/>
        <w:rPr>
          <w:sz w:val="20"/>
          <w:szCs w:val="20"/>
          <w:color w:val="auto"/>
        </w:rPr>
      </w:pPr>
    </w:p>
    <w:p>
      <w:pPr>
        <w:ind w:right="20" w:firstLine="8"/>
        <w:spacing w:after="0" w:line="254" w:lineRule="auto"/>
        <w:tabs>
          <w:tab w:leader="none" w:pos="258" w:val="left"/>
        </w:tabs>
        <w:numPr>
          <w:ilvl w:val="0"/>
          <w:numId w:val="4"/>
        </w:numPr>
        <w:rPr>
          <w:rFonts w:ascii="Arial" w:cs="Arial" w:eastAsia="Arial" w:hAnsi="Arial"/>
          <w:sz w:val="18"/>
          <w:szCs w:val="18"/>
          <w:color w:val="auto"/>
        </w:rPr>
      </w:pPr>
      <w:r>
        <w:rPr>
          <w:rFonts w:ascii="Arial" w:cs="Arial" w:eastAsia="Arial" w:hAnsi="Arial"/>
          <w:sz w:val="18"/>
          <w:szCs w:val="18"/>
          <w:color w:val="auto"/>
        </w:rPr>
        <w:t>amends the Option Plan to reduce the maximum number of shares automatically added to the Option Plan each fiscal year by 50% (the “reduced evergreen”). Under the reduced evergreen provision, on the first day of each fiscal year starting January 31, 2011 and continuing until the earlier of January 31, 2013 or the termination of the Option Plan, the share reserve of the Option Plan automatically increases by the lesser of: (a) 20,000,000 shares, (b) 2.5% of outstanding shares on such date, or (c) a lesser amount determined by the Board.</w:t>
      </w:r>
    </w:p>
    <w:p>
      <w:pPr>
        <w:spacing w:after="0" w:line="144"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The 2007 Directors’ Plan had 750,000 common shares reserved for issuance thereunder as of October 30, 2010. Under the 2007 Directors’ Plan, an outside director is granted an option to purchase 50,000 common shares upon appointment to the Company’s Board of Directors. These options vest one-third of the shares on the one year anniversary of the date of grant and one-third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 Beginning in calendar year 2011, an outside director who has served on the Company’s Board of Directors for the prior six months will be granted – upon re-election by the shareholders at the annual general meeting – an option to purchase 9,000 common shares on the date of each annual general meeting of shareholders. These options vest 100% on the earlier of the date of the next annual general meeting of shareholders or the one year anniversary of the date of grant. In addition, an outside director who has served on the Company’s Board of Directors for the prior six months will also be granted a restricted stock unit award (the “Annual RSU Award”) that will cover a number of shares with an aggregate fair market value as reported on the NASDAQ Global Select Market equal to $70,000 on the date of each annual general meeting of shareholders.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each one-year anniversary of the vesting commencement date.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STATEMENTS—(Continued)</w:t>
      </w:r>
    </w:p>
    <w:p>
      <w:pPr>
        <w:spacing w:after="0" w:line="164"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at the time of grant.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460" w:firstLine="456"/>
        <w:spacing w:after="0" w:line="259" w:lineRule="auto"/>
        <w:rPr>
          <w:sz w:val="20"/>
          <w:szCs w:val="20"/>
          <w:color w:val="auto"/>
        </w:rPr>
      </w:pPr>
      <w:r>
        <w:rPr>
          <w:rFonts w:ascii="Arial" w:cs="Arial" w:eastAsia="Arial" w:hAnsi="Arial"/>
          <w:sz w:val="18"/>
          <w:szCs w:val="18"/>
          <w:color w:val="auto"/>
        </w:rPr>
        <w:t>In June 2000, the Company adopted the 2000 Employee Stock Purchase Plan (the “Purchase Plan”), and on October 22, 2009, the Purchase Plan was amended and restated (the “Restated Purchase Plan”). The Restated Purchase Plan had 28.6 million common shares reserved for issuance thereunder as of October 30, 2010.</w:t>
      </w:r>
    </w:p>
    <w:p>
      <w:pPr>
        <w:spacing w:after="0" w:line="14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Company issued none and 5,425,037 shares under the Restated Purchase Plan in the three and nine months ended October 30, 2010, respectively. As of October 30, 2010, there was $1.0 million of unrecognized compensation cost related to the Restated Purchase Plan.</w:t>
      </w:r>
    </w:p>
    <w:p>
      <w:pPr>
        <w:spacing w:after="0" w:line="132"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Activity under the Company’s stock option plans for the nine months ended October 30, 2010 is summarized below (in thousands, except per share amounts):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18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Options</w:t>
            </w:r>
          </w:p>
        </w:tc>
        <w:tc>
          <w:tcPr>
            <w:tcW w:w="1540" w:type="dxa"/>
            <w:vAlign w:val="bottom"/>
            <w:gridSpan w:val="4"/>
          </w:tcPr>
          <w:p>
            <w:pPr>
              <w:ind w:left="380"/>
              <w:spacing w:after="0"/>
              <w:rPr>
                <w:sz w:val="20"/>
                <w:szCs w:val="20"/>
                <w:color w:val="auto"/>
              </w:rPr>
            </w:pPr>
            <w:r>
              <w:rPr>
                <w:rFonts w:ascii="Arial" w:cs="Arial" w:eastAsia="Arial" w:hAnsi="Arial"/>
                <w:sz w:val="14"/>
                <w:szCs w:val="14"/>
                <w:b w:val="1"/>
                <w:bCs w:val="1"/>
                <w:color w:val="auto"/>
                <w:w w:val="93"/>
              </w:rPr>
              <w:t>Weighted 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252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Outstanding</w:t>
            </w: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ind w:left="20"/>
              <w:spacing w:after="0"/>
              <w:rPr>
                <w:sz w:val="20"/>
                <w:szCs w:val="20"/>
                <w:color w:val="auto"/>
              </w:rPr>
            </w:pPr>
            <w:r>
              <w:rPr>
                <w:rFonts w:ascii="Arial" w:cs="Arial" w:eastAsia="Arial" w:hAnsi="Arial"/>
                <w:sz w:val="14"/>
                <w:szCs w:val="14"/>
                <w:b w:val="1"/>
                <w:bCs w:val="1"/>
                <w:color w:val="auto"/>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134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70,966</w:t>
            </w:r>
          </w:p>
        </w:tc>
        <w:tc>
          <w:tcPr>
            <w:tcW w:w="4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tcPr>
          <w:p>
            <w:pPr>
              <w:ind w:left="420"/>
              <w:spacing w:after="0"/>
              <w:rPr>
                <w:sz w:val="20"/>
                <w:szCs w:val="20"/>
                <w:color w:val="auto"/>
              </w:rPr>
            </w:pPr>
            <w:r>
              <w:rPr>
                <w:rFonts w:ascii="Arial" w:cs="Arial" w:eastAsia="Arial" w:hAnsi="Arial"/>
                <w:sz w:val="18"/>
                <w:szCs w:val="18"/>
                <w:color w:val="auto"/>
              </w:rPr>
              <w:t>Granted</w:t>
            </w:r>
          </w:p>
        </w:tc>
        <w:tc>
          <w:tcPr>
            <w:tcW w:w="2080" w:type="dxa"/>
            <w:vAlign w:val="bottom"/>
            <w:gridSpan w:val="2"/>
          </w:tcPr>
          <w:p>
            <w:pPr>
              <w:jc w:val="right"/>
              <w:spacing w:after="0"/>
              <w:rPr>
                <w:sz w:val="20"/>
                <w:szCs w:val="20"/>
                <w:color w:val="auto"/>
              </w:rPr>
            </w:pPr>
            <w:r>
              <w:rPr>
                <w:rFonts w:ascii="Arial" w:cs="Arial" w:eastAsia="Arial" w:hAnsi="Arial"/>
                <w:sz w:val="18"/>
                <w:szCs w:val="18"/>
                <w:color w:val="auto"/>
              </w:rPr>
              <w:t>1,996</w:t>
            </w:r>
          </w:p>
        </w:tc>
        <w:tc>
          <w:tcPr>
            <w:tcW w:w="440" w:type="dxa"/>
            <w:vAlign w:val="bottom"/>
          </w:tcPr>
          <w:p>
            <w:pPr>
              <w:spacing w:after="0"/>
              <w:rPr>
                <w:sz w:val="18"/>
                <w:szCs w:val="18"/>
                <w:color w:val="auto"/>
              </w:rPr>
            </w:pP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20.18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Canceled/Forfeited</w:t>
            </w:r>
          </w:p>
        </w:tc>
        <w:tc>
          <w:tcPr>
            <w:tcW w:w="252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(2,314)</w:t>
            </w: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00" w:type="dxa"/>
            <w:vAlign w:val="bottom"/>
          </w:tcPr>
          <w:p>
            <w:pPr>
              <w:ind w:left="420"/>
              <w:spacing w:after="0"/>
              <w:rPr>
                <w:sz w:val="20"/>
                <w:szCs w:val="20"/>
                <w:color w:val="auto"/>
              </w:rPr>
            </w:pPr>
            <w:r>
              <w:rPr>
                <w:rFonts w:ascii="Arial" w:cs="Arial" w:eastAsia="Arial" w:hAnsi="Arial"/>
                <w:sz w:val="18"/>
                <w:szCs w:val="18"/>
                <w:color w:val="auto"/>
              </w:rPr>
              <w:t>Exercised or issued</w:t>
            </w:r>
          </w:p>
        </w:tc>
        <w:tc>
          <w:tcPr>
            <w:tcW w:w="1340" w:type="dxa"/>
            <w:vAlign w:val="bottom"/>
          </w:tcPr>
          <w:p>
            <w:pPr>
              <w:spacing w:after="0"/>
              <w:rPr>
                <w:sz w:val="19"/>
                <w:szCs w:val="19"/>
                <w:color w:val="auto"/>
              </w:rPr>
            </w:pP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(8,419)</w:t>
            </w:r>
          </w:p>
        </w:tc>
        <w:tc>
          <w:tcPr>
            <w:tcW w:w="480" w:type="dxa"/>
            <w:vAlign w:val="bottom"/>
            <w:gridSpan w:val="2"/>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8.65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30, 2010</w:t>
            </w:r>
          </w:p>
        </w:tc>
        <w:tc>
          <w:tcPr>
            <w:tcW w:w="134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62,229</w:t>
            </w:r>
          </w:p>
        </w:tc>
        <w:tc>
          <w:tcPr>
            <w:tcW w:w="4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30, 2010</w:t>
            </w:r>
          </w:p>
        </w:tc>
        <w:tc>
          <w:tcPr>
            <w:tcW w:w="13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80" w:type="dxa"/>
            <w:vAlign w:val="bottom"/>
            <w:gridSpan w:val="2"/>
            <w:vMerge w:val="restart"/>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vMerge w:val="restart"/>
          </w:tcPr>
          <w:p>
            <w:pPr>
              <w:jc w:val="right"/>
              <w:spacing w:after="0"/>
              <w:rPr>
                <w:sz w:val="20"/>
                <w:szCs w:val="20"/>
                <w:color w:val="auto"/>
              </w:rPr>
            </w:pPr>
            <w:r>
              <w:rPr>
                <w:rFonts w:ascii="Arial" w:cs="Arial" w:eastAsia="Arial" w:hAnsi="Arial"/>
                <w:sz w:val="18"/>
                <w:szCs w:val="18"/>
                <w:color w:val="auto"/>
              </w:rPr>
              <w:t>11.65</w:t>
            </w: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20" w:type="dxa"/>
            <w:vAlign w:val="bottom"/>
            <w:gridSpan w:val="2"/>
            <w:vMerge w:val="continue"/>
          </w:tcPr>
          <w:p>
            <w:pPr>
              <w:spacing w:after="0"/>
              <w:rPr>
                <w:sz w:val="18"/>
                <w:szCs w:val="18"/>
                <w:color w:val="auto"/>
              </w:rPr>
            </w:pPr>
          </w:p>
        </w:tc>
        <w:tc>
          <w:tcPr>
            <w:tcW w:w="2080" w:type="dxa"/>
            <w:vAlign w:val="bottom"/>
            <w:gridSpan w:val="2"/>
          </w:tcPr>
          <w:p>
            <w:pPr>
              <w:jc w:val="right"/>
              <w:spacing w:after="0"/>
              <w:rPr>
                <w:sz w:val="20"/>
                <w:szCs w:val="20"/>
                <w:color w:val="auto"/>
              </w:rPr>
            </w:pPr>
            <w:r>
              <w:rPr>
                <w:rFonts w:ascii="Arial" w:cs="Arial" w:eastAsia="Arial" w:hAnsi="Arial"/>
                <w:sz w:val="18"/>
                <w:szCs w:val="18"/>
                <w:color w:val="auto"/>
              </w:rPr>
              <w:t>60,670</w:t>
            </w:r>
          </w:p>
        </w:tc>
        <w:tc>
          <w:tcPr>
            <w:tcW w:w="440" w:type="dxa"/>
            <w:vAlign w:val="bottom"/>
          </w:tcPr>
          <w:p>
            <w:pPr>
              <w:spacing w:after="0"/>
              <w:rPr>
                <w:sz w:val="18"/>
                <w:szCs w:val="18"/>
                <w:color w:val="auto"/>
              </w:rPr>
            </w:pPr>
          </w:p>
        </w:tc>
        <w:tc>
          <w:tcPr>
            <w:tcW w:w="480" w:type="dxa"/>
            <w:vAlign w:val="bottom"/>
            <w:gridSpan w:val="2"/>
            <w:vMerge w:val="continue"/>
          </w:tcPr>
          <w:p>
            <w:pPr>
              <w:spacing w:after="0"/>
              <w:rPr>
                <w:sz w:val="18"/>
                <w:szCs w:val="18"/>
                <w:color w:val="auto"/>
              </w:rPr>
            </w:pPr>
          </w:p>
        </w:tc>
        <w:tc>
          <w:tcPr>
            <w:tcW w:w="96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0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30, 2010</w:t>
            </w:r>
          </w:p>
        </w:tc>
        <w:tc>
          <w:tcPr>
            <w:tcW w:w="134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41,615</w:t>
            </w:r>
          </w:p>
        </w:tc>
        <w:tc>
          <w:tcPr>
            <w:tcW w:w="44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6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October 30, 2010 was $495 million and 5.1 years, respectively. The aggregate intrinsic value and weighted average remaining contractual term of options exercisable at October 30, 2010 was $345 million and 3.9 years, respectively. The aggregate intrinsic value is calculated based on the Company’s closing stock price for all in-the-money options as of October 29, 2010.</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 (in thousands, except per share amounts):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640" w:type="dxa"/>
            <w:vAlign w:val="bottom"/>
            <w:gridSpan w:val="4"/>
          </w:tcPr>
          <w:p>
            <w:pPr>
              <w:ind w:left="460"/>
              <w:spacing w:after="0"/>
              <w:rPr>
                <w:sz w:val="20"/>
                <w:szCs w:val="20"/>
                <w:color w:val="auto"/>
              </w:rPr>
            </w:pPr>
            <w:r>
              <w:rPr>
                <w:rFonts w:ascii="Arial" w:cs="Arial" w:eastAsia="Arial" w:hAnsi="Arial"/>
                <w:sz w:val="14"/>
                <w:szCs w:val="14"/>
                <w:b w:val="1"/>
                <w:bCs w:val="1"/>
                <w:color w:val="auto"/>
                <w:w w:val="94"/>
              </w:rPr>
              <w:t>Weighted Average</w:t>
            </w:r>
          </w:p>
        </w:tc>
      </w:tr>
      <w:tr>
        <w:trPr>
          <w:trHeight w:val="149"/>
        </w:trPr>
        <w:tc>
          <w:tcPr>
            <w:tcW w:w="2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3260" w:type="dxa"/>
            <w:vAlign w:val="bottom"/>
            <w:gridSpan w:val="3"/>
          </w:tcPr>
          <w:p>
            <w:pPr>
              <w:jc w:val="right"/>
              <w:ind w:right="520"/>
              <w:spacing w:after="0" w:line="149" w:lineRule="exact"/>
              <w:rPr>
                <w:sz w:val="20"/>
                <w:szCs w:val="20"/>
                <w:color w:val="auto"/>
              </w:rPr>
            </w:pPr>
            <w:r>
              <w:rPr>
                <w:rFonts w:ascii="Arial" w:cs="Arial" w:eastAsia="Arial" w:hAnsi="Arial"/>
                <w:sz w:val="14"/>
                <w:szCs w:val="14"/>
                <w:b w:val="1"/>
                <w:bCs w:val="1"/>
                <w:color w:val="auto"/>
              </w:rPr>
              <w:t>Restricted Stock</w:t>
            </w:r>
          </w:p>
        </w:tc>
        <w:tc>
          <w:tcPr>
            <w:tcW w:w="4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6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w w:val="99"/>
              </w:rPr>
              <w:t>Outstanding</w:t>
            </w:r>
          </w:p>
        </w:tc>
        <w:tc>
          <w:tcPr>
            <w:tcW w:w="5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Fair Value</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30, 2010</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2,746</w:t>
            </w:r>
          </w:p>
        </w:tc>
        <w:tc>
          <w:tcPr>
            <w:tcW w:w="5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60" w:type="dxa"/>
            <w:vAlign w:val="bottom"/>
          </w:tcPr>
          <w:p>
            <w:pPr>
              <w:ind w:left="420"/>
              <w:spacing w:after="0"/>
              <w:rPr>
                <w:sz w:val="20"/>
                <w:szCs w:val="20"/>
                <w:color w:val="auto"/>
              </w:rPr>
            </w:pPr>
            <w:r>
              <w:rPr>
                <w:rFonts w:ascii="Arial" w:cs="Arial" w:eastAsia="Arial" w:hAnsi="Arial"/>
                <w:sz w:val="18"/>
                <w:szCs w:val="18"/>
                <w:color w:val="auto"/>
              </w:rPr>
              <w:t>Granted</w:t>
            </w:r>
          </w:p>
        </w:tc>
        <w:tc>
          <w:tcPr>
            <w:tcW w:w="2740" w:type="dxa"/>
            <w:vAlign w:val="bottom"/>
            <w:gridSpan w:val="2"/>
          </w:tcPr>
          <w:p>
            <w:pPr>
              <w:jc w:val="right"/>
              <w:spacing w:after="0"/>
              <w:rPr>
                <w:sz w:val="20"/>
                <w:szCs w:val="20"/>
                <w:color w:val="auto"/>
              </w:rPr>
            </w:pPr>
            <w:r>
              <w:rPr>
                <w:rFonts w:ascii="Arial" w:cs="Arial" w:eastAsia="Arial" w:hAnsi="Arial"/>
                <w:sz w:val="18"/>
                <w:szCs w:val="18"/>
                <w:color w:val="auto"/>
              </w:rPr>
              <w:t>4,505</w:t>
            </w:r>
          </w:p>
        </w:tc>
        <w:tc>
          <w:tcPr>
            <w:tcW w:w="520" w:type="dxa"/>
            <w:vAlign w:val="bottom"/>
          </w:tcPr>
          <w:p>
            <w:pPr>
              <w:spacing w:after="0"/>
              <w:rPr>
                <w:sz w:val="18"/>
                <w:szCs w:val="18"/>
                <w:color w:val="auto"/>
              </w:rPr>
            </w:pP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20.83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326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(531)</w:t>
            </w: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76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780" w:type="dxa"/>
            <w:vAlign w:val="bottom"/>
          </w:tcPr>
          <w:p>
            <w:pPr>
              <w:spacing w:after="0"/>
              <w:rPr>
                <w:sz w:val="19"/>
                <w:szCs w:val="19"/>
                <w:color w:val="auto"/>
              </w:rPr>
            </w:pPr>
          </w:p>
        </w:tc>
        <w:tc>
          <w:tcPr>
            <w:tcW w:w="1480" w:type="dxa"/>
            <w:vAlign w:val="bottom"/>
            <w:gridSpan w:val="2"/>
          </w:tcPr>
          <w:p>
            <w:pPr>
              <w:jc w:val="right"/>
              <w:ind w:right="460"/>
              <w:spacing w:after="0"/>
              <w:rPr>
                <w:sz w:val="20"/>
                <w:szCs w:val="20"/>
                <w:color w:val="auto"/>
              </w:rPr>
            </w:pPr>
            <w:r>
              <w:rPr>
                <w:rFonts w:ascii="Arial" w:cs="Arial" w:eastAsia="Arial" w:hAnsi="Arial"/>
                <w:sz w:val="18"/>
                <w:szCs w:val="18"/>
                <w:color w:val="auto"/>
              </w:rPr>
              <w:t>(279)</w:t>
            </w:r>
          </w:p>
        </w:tc>
        <w:tc>
          <w:tcPr>
            <w:tcW w:w="60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13.26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30, 2010</w:t>
            </w:r>
          </w:p>
        </w:tc>
        <w:tc>
          <w:tcPr>
            <w:tcW w:w="178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6,441</w:t>
            </w:r>
          </w:p>
        </w:tc>
        <w:tc>
          <w:tcPr>
            <w:tcW w:w="52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40" w:firstLine="456"/>
        <w:spacing w:after="0" w:line="256" w:lineRule="auto"/>
        <w:rPr>
          <w:sz w:val="20"/>
          <w:szCs w:val="20"/>
          <w:color w:val="auto"/>
        </w:rPr>
      </w:pPr>
      <w:r>
        <w:rPr>
          <w:rFonts w:ascii="Arial" w:cs="Arial" w:eastAsia="Arial" w:hAnsi="Arial"/>
          <w:sz w:val="18"/>
          <w:szCs w:val="18"/>
          <w:color w:val="auto"/>
        </w:rPr>
        <w:t>The Company’s current practice is to issue new shares to satisfy share option exercises. As of October 30, 2010, compensation costs related to unvested share-based awards not yet recognized amounted to $181.1 million. The unamortized compensation expense for stock options and restricted stock units will be amortized over a weighted-average period of 1.9 years and 2.5 years, respectively. The expense is recognized on a straight-line basis, except for performance-based awards which are amortized on an accelerated basis.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Repurchase of common stock</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On August 19, 2010, the Company announced that its Board of Directors had authorized a stock repurchase program of up to $500.0 million of the Company’s common stock in open market, privately negotiated or block transactions. The Company repurchased 3.6 million shares for $60.6 million in cash during the three months ended October 30, 2010. The repurchased shares were retired immediately after the repurchases were completed. As of October 30, 2010, $439.4 million remained available under this stock repurchase program.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For the three months ended October 30, 2010 and October 31, 2009, the Company’s effective tax rate was an income tax provision of 0.6% and an income tax benefit 19.5%, respectively. For the nine months ended October 30, 2010 and October 31, 2009, the Company’s effective tax rate was an income tax provision of 0.4% and income tax benefit of 17.0%, respectively. The income tax provision for these periods was affected by non-tax-deductible expenses such as stock-based compensation expense, amortization of acquired intangibles and accrual of unrecognized tax benefits, and interest and penalties associated with unrecognized tax positions. For the three and nine months ended October 30, 2010, the provision for income taxes was impacted by a reduction of unrecognized tax benefits in the amount $1.9 million and $10.7 million, respectively, due to the expiration of the statute of limitations in multiple jurisdictions. In addition, the Company recognized a $3.4 million valuation allowance benefit due to completion of an audit, and a $1.9 million benefit related to a ruling denial related to the Company’s supply chain structure for the three months ended October 30, 2010. During the three and nine months ended October 31, 2009 the benefit for income taxes was impacted by a benefit of $27.4 million and $33.2 million, respectively, due to the expiration of the statute of limitations, along with the reversal of taxes payable of $5.3 million related to the periods 2002 through 2006 of a non-U.S. entity, and by a reduction of $2.4 million and $5.0 million, respectively, in unrecognized tax benefits due to a settlement of an audit in a non-U.S. jurisdiction. In addition, the nine months ended October 31, 2009 includes an increase in the Company’s provision due to the impact of a non-U.S. corporate tax rate change of $6.2 million.</w:t>
      </w:r>
    </w:p>
    <w:p>
      <w:pPr>
        <w:sectPr>
          <w:pgSz w:w="11900" w:h="16838" w:orient="portrait"/>
          <w:cols w:equalWidth="0" w:num="1">
            <w:col w:w="11400"/>
          </w:cols>
          <w:pgMar w:left="240" w:top="459" w:right="259" w:bottom="292" w:gutter="0" w:footer="0" w:header="0"/>
        </w:sectPr>
      </w:pP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22</w:t>
      </w:r>
    </w:p>
    <w:p>
      <w:pPr>
        <w:sectPr>
          <w:pgSz w:w="11900" w:h="16838" w:orient="portrait"/>
          <w:cols w:equalWidth="0" w:num="1">
            <w:col w:w="11400"/>
          </w:cols>
          <w:pgMar w:left="240" w:top="459" w:right="259" w:bottom="292" w:gutter="0" w:footer="0" w:header="0"/>
          <w:type w:val="continuous"/>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our expectations regarding our inventory levels; our expectations regarding competition; our expectations relating to the protection of our intellectual property; our expectations regarding the amount of customer concentration in the future; our expectations regarding the amount of our future sales in Asia; our plans and expectations regarding our auction rate securities; our expectations regarding acquisitions, investments, strategic alliances and joint ventures; our expectations regarding net revenue, cost of goods sold as a percentage of revenue and operating expenses for the fourth quarter ending January 29, 2011 compared with the third quarter ended October 30, 2010; our expectations regarding the impact of legal proceedings and claims; our expectations regarding the adequacy of our capital resources, capital expenditures, investment requirements and commitments to meet our capital needs for the next 12 months; our ability to attract and retain highly skilled personnel; our expectations regarding the growth in business and operations; our plan regarding forward exchange contracts and the effect of foreign exchange rates;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worldwide financial crisis; the impact of international conflict and continued economic volatility in either domestic or foreign markets; our dependence upon the hard disk drive and mobile and wireless markets, which are highly cyclical; our ability to scale our operations in response to changes in demand for existing or new products and services; our maintenance of an effective system of internal controls; our dependence on a small number of customers; our ability and our customers’ ability to develop new and enhanced products;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our ability to successfully compete in the mobile and wireless communications markets; the impact of lengthy and expensive product sales cycles;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Overview</w:t>
      </w:r>
    </w:p>
    <w:p>
      <w:pPr>
        <w:spacing w:after="0" w:line="90"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(“PHY”), handheld cellular, Ethernet-based wireless networking, personal area networking, Ethernet-based PC connectivity, control plane communications, powerline communications,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During the third fiscal quarter of 2011, we delivered strong business results, with revenue, operating income, and cash flows from operations at record levels. Revenue during the quarter was $959 million, a 7% sequential increase and a 19% increase from the third fiscal quarter of last year. Our mobile and wireless product revenue continued to grow, up over 20% sequentially, 100% compared to the third fiscal quarter of 2010, and now makes up more than a third of our total revenue. These increases are driven by increased sales of our cellular communication processors. However, after several quarters of significant growth, we expect sales of embedded wireless LAN products, particularly products for game consoles, to decline in the fourth quarter due to seasonal trends. This increase was offset somewhat by inventory rebalancing by some of our customers for our networking products, which led to a decline in our revenue for these products of 9%.Our storage revenue increased 3% compared to the prior quarter.</w:t>
      </w:r>
    </w:p>
    <w:p>
      <w:pPr>
        <w:spacing w:after="0" w:line="118"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Our storage revenue, which historically represented a majority of our total revenue, now makes up less than half of our total revenue, due to the growth in our other product lines. This shift towards mobile and wireless, networking, and other product lines has helped diversify our company and make our results less dependant on a single industry. However, the increased exposure to other end markets, such as mobile phones and gaming consoles, brings increased competitive challenges that could significantly impact our results going forward. In addition, our results going forward will likely fluctuate more significantly than in the past from quarter to quarter, as a result of seasonal trends, as well as timing of new product platform introductions. For example, our revenue related to components sold into gaming platforms increased significantly in the third quarter of 2011 due to new product launches and ahead of the holiday buying season. In our fiscal fourth quarter, we expect revenues that are driven by gaming console end products will decline as a result.</w:t>
      </w:r>
    </w:p>
    <w:p>
      <w:pPr>
        <w:spacing w:after="0" w:line="118"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2011 and fiscal 2010 are comprised of 52-week periods. In this Quarterly Report on Form 10-Q, we refer to the fiscal year ended January 31, 2009 as fiscal 2009, the fiscal year ended January 30, 2010 as fiscal 2010, and the fiscal year ending January 29, 2011 as fiscal 2011.</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Critical Accounting Policies and Estimates</w:t>
      </w:r>
    </w:p>
    <w:p>
      <w:pPr>
        <w:spacing w:after="0" w:line="90" w:lineRule="exact"/>
        <w:rPr>
          <w:sz w:val="20"/>
          <w:szCs w:val="20"/>
          <w:color w:val="auto"/>
        </w:rPr>
      </w:pPr>
    </w:p>
    <w:p>
      <w:pPr>
        <w:ind w:right="16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30, 2010.</w:t>
      </w:r>
    </w:p>
    <w:p>
      <w:pPr>
        <w:spacing w:after="0" w:line="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Results of Operations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00" w:type="dxa"/>
            <w:vAlign w:val="bottom"/>
            <w:gridSpan w:val="8"/>
          </w:tcPr>
          <w:p>
            <w:pPr>
              <w:ind w:left="44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8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Nine Months Ended</w:t>
            </w: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240"/>
              <w:spacing w:after="0" w:line="129" w:lineRule="exact"/>
              <w:rPr>
                <w:sz w:val="20"/>
                <w:szCs w:val="20"/>
                <w:color w:val="auto"/>
              </w:rPr>
            </w:pPr>
            <w:r>
              <w:rPr>
                <w:rFonts w:ascii="Arial" w:cs="Arial" w:eastAsia="Arial" w:hAnsi="Arial"/>
                <w:sz w:val="14"/>
                <w:szCs w:val="14"/>
                <w:b w:val="1"/>
                <w:bCs w:val="1"/>
                <w:color w:val="auto"/>
                <w:w w:val="85"/>
              </w:rPr>
              <w:t>October 30,</w:t>
            </w:r>
          </w:p>
        </w:tc>
        <w:tc>
          <w:tcPr>
            <w:tcW w:w="5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3"/>
          </w:tcPr>
          <w:p>
            <w:pPr>
              <w:jc w:val="cente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October 30,</w:t>
            </w:r>
          </w:p>
        </w:tc>
        <w:tc>
          <w:tcPr>
            <w:tcW w:w="4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center"/>
              <w:ind w:right="92"/>
              <w:spacing w:after="0"/>
              <w:rPr>
                <w:sz w:val="20"/>
                <w:szCs w:val="20"/>
                <w:color w:val="auto"/>
              </w:rPr>
            </w:pPr>
            <w:r>
              <w:rPr>
                <w:rFonts w:ascii="Arial" w:cs="Arial" w:eastAsia="Arial" w:hAnsi="Arial"/>
                <w:sz w:val="14"/>
                <w:szCs w:val="14"/>
                <w:b w:val="1"/>
                <w:bCs w:val="1"/>
                <w:color w:val="auto"/>
                <w:w w:val="83"/>
              </w:rPr>
              <w:t>2009</w:t>
            </w: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20" w:type="dxa"/>
            <w:vAlign w:val="bottom"/>
            <w:gridSpan w:val="2"/>
          </w:tcPr>
          <w:p>
            <w:pPr>
              <w:spacing w:after="0"/>
              <w:rPr>
                <w:sz w:val="14"/>
                <w:szCs w:val="14"/>
                <w:color w:val="auto"/>
              </w:rPr>
            </w:pPr>
          </w:p>
        </w:tc>
        <w:tc>
          <w:tcPr>
            <w:tcW w:w="68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8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100.0%</w:t>
            </w:r>
          </w:p>
        </w:tc>
        <w:tc>
          <w:tcPr>
            <w:tcW w:w="260" w:type="dxa"/>
            <w:vAlign w:val="bottom"/>
            <w:shd w:val="clear" w:color="auto" w:fill="CCEEFF"/>
          </w:tcPr>
          <w:p>
            <w:pPr>
              <w:spacing w:after="0"/>
              <w:rPr>
                <w:sz w:val="18"/>
                <w:szCs w:val="18"/>
                <w:color w:val="auto"/>
              </w:rPr>
            </w:pPr>
          </w:p>
        </w:tc>
        <w:tc>
          <w:tcPr>
            <w:tcW w:w="1220" w:type="dxa"/>
            <w:vAlign w:val="bottom"/>
            <w:gridSpan w:val="5"/>
            <w:shd w:val="clear" w:color="auto" w:fill="CCEEFF"/>
          </w:tcPr>
          <w:p>
            <w:pPr>
              <w:jc w:val="right"/>
              <w:ind w:right="180"/>
              <w:spacing w:after="0"/>
              <w:rPr>
                <w:sz w:val="20"/>
                <w:szCs w:val="20"/>
                <w:color w:val="auto"/>
              </w:rPr>
            </w:pPr>
            <w:r>
              <w:rPr>
                <w:rFonts w:ascii="Arial" w:cs="Arial" w:eastAsia="Arial" w:hAnsi="Arial"/>
                <w:sz w:val="18"/>
                <w:szCs w:val="18"/>
                <w:color w:val="auto"/>
              </w:rPr>
              <w:t>100.0%</w:t>
            </w:r>
          </w:p>
        </w:tc>
        <w:tc>
          <w:tcPr>
            <w:tcW w:w="128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40.7</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42.5</w:t>
            </w: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45.2</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22.8</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8"/>
                <w:szCs w:val="18"/>
                <w:color w:val="auto"/>
              </w:rPr>
              <w:t>26.5</w:t>
            </w:r>
          </w:p>
        </w:tc>
        <w:tc>
          <w:tcPr>
            <w:tcW w:w="26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24.6</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31.3</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9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4.1</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4.4</w:t>
            </w: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3.1</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8"/>
                <w:szCs w:val="18"/>
                <w:color w:val="auto"/>
              </w:rPr>
              <w:t>2.1</w:t>
            </w:r>
          </w:p>
        </w:tc>
        <w:tc>
          <w:tcPr>
            <w:tcW w:w="26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2.9</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7.6</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2.3</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3.3</w:t>
            </w: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34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6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5340" w:type="dxa"/>
            <w:vAlign w:val="bottom"/>
            <w:vMerge w:val="continue"/>
          </w:tcPr>
          <w:p>
            <w:pPr>
              <w:spacing w:after="0"/>
              <w:rPr>
                <w:sz w:val="19"/>
                <w:szCs w:val="19"/>
                <w:color w:val="auto"/>
              </w:rPr>
            </w:pPr>
          </w:p>
        </w:tc>
        <w:tc>
          <w:tcPr>
            <w:tcW w:w="60" w:type="dxa"/>
            <w:vAlign w:val="bottom"/>
          </w:tcPr>
          <w:p>
            <w:pPr>
              <w:spacing w:after="0"/>
              <w:rPr>
                <w:sz w:val="19"/>
                <w:szCs w:val="19"/>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73.0</w:t>
            </w:r>
          </w:p>
        </w:tc>
        <w:tc>
          <w:tcPr>
            <w:tcW w:w="5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8"/>
                <w:szCs w:val="18"/>
                <w:color w:val="auto"/>
              </w:rPr>
              <w:t>78.8</w:t>
            </w:r>
          </w:p>
        </w:tc>
        <w:tc>
          <w:tcPr>
            <w:tcW w:w="26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74.7</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93.5</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5340" w:type="dxa"/>
            <w:vAlign w:val="bottom"/>
          </w:tcPr>
          <w:p>
            <w:pPr>
              <w:spacing w:after="0"/>
              <w:rPr>
                <w:sz w:val="2"/>
                <w:szCs w:val="2"/>
                <w:color w:val="auto"/>
              </w:rPr>
            </w:pPr>
          </w:p>
        </w:tc>
        <w:tc>
          <w:tcPr>
            <w:tcW w:w="60" w:type="dxa"/>
            <w:vAlign w:val="bottom"/>
          </w:tcPr>
          <w:p>
            <w:pPr>
              <w:spacing w:after="0"/>
              <w:rPr>
                <w:sz w:val="2"/>
                <w:szCs w:val="2"/>
                <w:color w:val="auto"/>
              </w:rPr>
            </w:pPr>
          </w:p>
        </w:tc>
        <w:tc>
          <w:tcPr>
            <w:tcW w:w="680" w:type="dxa"/>
            <w:vAlign w:val="bottom"/>
            <w:tcBorders>
              <w:right w:val="single" w:sz="8" w:color="auto"/>
            </w:tcBorders>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5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27.0</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21.2</w:t>
            </w: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25.3</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980" w:type="dxa"/>
            <w:vAlign w:val="bottom"/>
            <w:gridSpan w:val="3"/>
          </w:tcPr>
          <w:p>
            <w:pPr>
              <w:jc w:val="right"/>
              <w:ind w:right="180"/>
              <w:spacing w:after="0"/>
              <w:rPr>
                <w:sz w:val="20"/>
                <w:szCs w:val="20"/>
                <w:color w:val="auto"/>
              </w:rPr>
            </w:pPr>
            <w:r>
              <w:rPr>
                <w:rFonts w:ascii="Arial" w:cs="Arial" w:eastAsia="Arial" w:hAnsi="Arial"/>
                <w:sz w:val="18"/>
                <w:szCs w:val="18"/>
                <w:color w:val="auto"/>
              </w:rPr>
              <w:t>(0.2)</w:t>
            </w:r>
          </w:p>
        </w:tc>
        <w:tc>
          <w:tcPr>
            <w:tcW w:w="5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3"/>
          </w:tcPr>
          <w:p>
            <w:pPr>
              <w:jc w:val="right"/>
              <w:ind w:right="200"/>
              <w:spacing w:after="0"/>
              <w:rPr>
                <w:sz w:val="20"/>
                <w:szCs w:val="20"/>
                <w:color w:val="auto"/>
              </w:rPr>
            </w:pPr>
            <w:r>
              <w:rPr>
                <w:rFonts w:ascii="Arial" w:cs="Arial" w:eastAsia="Arial" w:hAnsi="Arial"/>
                <w:sz w:val="18"/>
                <w:szCs w:val="18"/>
                <w:color w:val="auto"/>
              </w:rPr>
              <w:t>(0.2)</w:t>
            </w:r>
          </w:p>
        </w:tc>
        <w:tc>
          <w:tcPr>
            <w:tcW w:w="260" w:type="dxa"/>
            <w:vAlign w:val="bottom"/>
          </w:tcPr>
          <w:p>
            <w:pPr>
              <w:spacing w:after="0"/>
              <w:rPr>
                <w:sz w:val="18"/>
                <w:szCs w:val="18"/>
                <w:color w:val="auto"/>
              </w:rPr>
            </w:pPr>
          </w:p>
        </w:tc>
        <w:tc>
          <w:tcPr>
            <w:tcW w:w="1220" w:type="dxa"/>
            <w:vAlign w:val="bottom"/>
            <w:gridSpan w:val="5"/>
          </w:tcPr>
          <w:p>
            <w:pPr>
              <w:jc w:val="right"/>
              <w:ind w:right="260"/>
              <w:spacing w:after="0"/>
              <w:rPr>
                <w:sz w:val="20"/>
                <w:szCs w:val="20"/>
                <w:color w:val="auto"/>
              </w:rPr>
            </w:pPr>
            <w:r>
              <w:rPr>
                <w:rFonts w:ascii="Arial" w:cs="Arial" w:eastAsia="Arial" w:hAnsi="Arial"/>
                <w:sz w:val="18"/>
                <w:szCs w:val="18"/>
                <w:color w:val="auto"/>
              </w:rPr>
              <w:t>(0.0)</w:t>
            </w: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0.0</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(0.0)</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0.0</w:t>
            </w:r>
          </w:p>
        </w:tc>
        <w:tc>
          <w:tcPr>
            <w:tcW w:w="260" w:type="dxa"/>
            <w:vAlign w:val="bottom"/>
            <w:shd w:val="clear" w:color="auto" w:fill="CCEEFF"/>
          </w:tcPr>
          <w:p>
            <w:pPr>
              <w:spacing w:after="0"/>
              <w:rPr>
                <w:sz w:val="18"/>
                <w:szCs w:val="18"/>
                <w:color w:val="auto"/>
              </w:rPr>
            </w:pPr>
          </w:p>
        </w:tc>
        <w:tc>
          <w:tcPr>
            <w:tcW w:w="1220" w:type="dxa"/>
            <w:vAlign w:val="bottom"/>
            <w:gridSpan w:val="5"/>
            <w:shd w:val="clear" w:color="auto" w:fill="CCEEFF"/>
          </w:tcPr>
          <w:p>
            <w:pPr>
              <w:jc w:val="right"/>
              <w:ind w:right="260"/>
              <w:spacing w:after="0"/>
              <w:rPr>
                <w:sz w:val="20"/>
                <w:szCs w:val="20"/>
                <w:color w:val="auto"/>
              </w:rPr>
            </w:pPr>
            <w:r>
              <w:rPr>
                <w:rFonts w:ascii="Arial" w:cs="Arial" w:eastAsia="Arial" w:hAnsi="Arial"/>
                <w:sz w:val="18"/>
                <w:szCs w:val="18"/>
                <w:color w:val="auto"/>
              </w:rPr>
              <w:t>(0.0)</w:t>
            </w: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00" w:type="dxa"/>
            <w:vAlign w:val="bottom"/>
            <w:gridSpan w:val="2"/>
            <w:vMerge w:val="restart"/>
          </w:tcPr>
          <w:p>
            <w:pPr>
              <w:ind w:left="460"/>
              <w:spacing w:after="0"/>
              <w:rPr>
                <w:sz w:val="20"/>
                <w:szCs w:val="20"/>
                <w:color w:val="auto"/>
              </w:rPr>
            </w:pPr>
            <w:r>
              <w:rPr>
                <w:rFonts w:ascii="Arial" w:cs="Arial" w:eastAsia="Arial" w:hAnsi="Arial"/>
                <w:sz w:val="18"/>
                <w:szCs w:val="18"/>
                <w:color w:val="auto"/>
              </w:rPr>
              <w:t>Income before income taxes</w:t>
            </w:r>
          </w:p>
        </w:tc>
        <w:tc>
          <w:tcPr>
            <w:tcW w:w="6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800" w:type="dxa"/>
            <w:vAlign w:val="bottom"/>
            <w:gridSpan w:val="2"/>
            <w:vMerge w:val="continue"/>
          </w:tcPr>
          <w:p>
            <w:pPr>
              <w:spacing w:after="0"/>
              <w:rPr>
                <w:sz w:val="19"/>
                <w:szCs w:val="19"/>
                <w:color w:val="auto"/>
              </w:rPr>
            </w:pPr>
          </w:p>
        </w:tc>
        <w:tc>
          <w:tcPr>
            <w:tcW w:w="60" w:type="dxa"/>
            <w:vAlign w:val="bottom"/>
          </w:tcPr>
          <w:p>
            <w:pPr>
              <w:spacing w:after="0"/>
              <w:rPr>
                <w:sz w:val="19"/>
                <w:szCs w:val="19"/>
                <w:color w:val="auto"/>
              </w:rPr>
            </w:pPr>
          </w:p>
        </w:tc>
        <w:tc>
          <w:tcPr>
            <w:tcW w:w="920" w:type="dxa"/>
            <w:vAlign w:val="bottom"/>
            <w:gridSpan w:val="2"/>
          </w:tcPr>
          <w:p>
            <w:pPr>
              <w:jc w:val="right"/>
              <w:ind w:right="240"/>
              <w:spacing w:after="0"/>
              <w:rPr>
                <w:sz w:val="20"/>
                <w:szCs w:val="20"/>
                <w:color w:val="auto"/>
              </w:rPr>
            </w:pPr>
            <w:r>
              <w:rPr>
                <w:rFonts w:ascii="Arial" w:cs="Arial" w:eastAsia="Arial" w:hAnsi="Arial"/>
                <w:sz w:val="18"/>
                <w:szCs w:val="18"/>
                <w:color w:val="auto"/>
              </w:rPr>
              <w:t>26.8</w:t>
            </w:r>
          </w:p>
        </w:tc>
        <w:tc>
          <w:tcPr>
            <w:tcW w:w="5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8"/>
                <w:szCs w:val="18"/>
                <w:color w:val="auto"/>
              </w:rPr>
              <w:t>21.0</w:t>
            </w:r>
          </w:p>
        </w:tc>
        <w:tc>
          <w:tcPr>
            <w:tcW w:w="26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25.3</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80" w:type="dxa"/>
            <w:vAlign w:val="bottom"/>
            <w:gridSpan w:val="3"/>
          </w:tcPr>
          <w:p>
            <w:pPr>
              <w:jc w:val="right"/>
              <w:spacing w:after="0"/>
              <w:rPr>
                <w:sz w:val="20"/>
                <w:szCs w:val="20"/>
                <w:color w:val="auto"/>
              </w:rPr>
            </w:pPr>
            <w:r>
              <w:rPr>
                <w:rFonts w:ascii="Arial" w:cs="Arial" w:eastAsia="Arial" w:hAnsi="Arial"/>
                <w:sz w:val="18"/>
                <w:szCs w:val="18"/>
                <w:color w:val="auto"/>
              </w:rPr>
              <w:t>6.5</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60" w:type="dxa"/>
            <w:vAlign w:val="bottom"/>
          </w:tcPr>
          <w:p>
            <w:pPr>
              <w:spacing w:after="0"/>
              <w:rPr>
                <w:sz w:val="18"/>
                <w:szCs w:val="18"/>
                <w:color w:val="auto"/>
              </w:rPr>
            </w:pPr>
          </w:p>
        </w:tc>
        <w:tc>
          <w:tcPr>
            <w:tcW w:w="53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w:t>
            </w:r>
          </w:p>
        </w:tc>
        <w:tc>
          <w:tcPr>
            <w:tcW w:w="5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(4.1)</w:t>
            </w:r>
          </w:p>
        </w:tc>
        <w:tc>
          <w:tcPr>
            <w:tcW w:w="26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80" w:type="dxa"/>
            <w:vAlign w:val="bottom"/>
            <w:gridSpan w:val="5"/>
            <w:shd w:val="clear" w:color="auto" w:fill="CCEEFF"/>
          </w:tcPr>
          <w:p>
            <w:pPr>
              <w:jc w:val="right"/>
              <w:ind w:right="72"/>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800" w:type="dxa"/>
            <w:vAlign w:val="bottom"/>
            <w:gridSpan w:val="2"/>
            <w:vMerge w:val="restart"/>
          </w:tcPr>
          <w:p>
            <w:pPr>
              <w:ind w:left="460"/>
              <w:spacing w:after="0"/>
              <w:rPr>
                <w:sz w:val="20"/>
                <w:szCs w:val="20"/>
                <w:color w:val="auto"/>
              </w:rPr>
            </w:pPr>
            <w:r>
              <w:rPr>
                <w:rFonts w:ascii="Arial" w:cs="Arial" w:eastAsia="Arial" w:hAnsi="Arial"/>
                <w:sz w:val="18"/>
                <w:szCs w:val="18"/>
                <w:color w:val="auto"/>
              </w:rPr>
              <w:t>Net income</w:t>
            </w:r>
          </w:p>
        </w:tc>
        <w:tc>
          <w:tcPr>
            <w:tcW w:w="60" w:type="dxa"/>
            <w:vAlign w:val="bottom"/>
          </w:tcPr>
          <w:p>
            <w:pPr>
              <w:spacing w:after="0" w:line="20" w:lineRule="exact"/>
              <w:rPr>
                <w:sz w:val="1"/>
                <w:szCs w:val="1"/>
                <w:color w:val="auto"/>
              </w:rPr>
            </w:pPr>
          </w:p>
        </w:tc>
        <w:tc>
          <w:tcPr>
            <w:tcW w:w="680" w:type="dxa"/>
            <w:vAlign w:val="bottom"/>
            <w:tcBorders>
              <w:right w:val="single" w:sz="8" w:color="auto"/>
            </w:tcBorders>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800" w:type="dxa"/>
            <w:vAlign w:val="bottom"/>
            <w:gridSpan w:val="2"/>
            <w:vMerge w:val="continue"/>
          </w:tcPr>
          <w:p>
            <w:pPr>
              <w:spacing w:after="0"/>
              <w:rPr>
                <w:sz w:val="19"/>
                <w:szCs w:val="19"/>
                <w:color w:val="auto"/>
              </w:rPr>
            </w:pPr>
          </w:p>
        </w:tc>
        <w:tc>
          <w:tcPr>
            <w:tcW w:w="60" w:type="dxa"/>
            <w:vAlign w:val="bottom"/>
          </w:tcPr>
          <w:p>
            <w:pPr>
              <w:spacing w:after="0"/>
              <w:rPr>
                <w:sz w:val="19"/>
                <w:szCs w:val="19"/>
                <w:color w:val="auto"/>
              </w:rPr>
            </w:pPr>
          </w:p>
        </w:tc>
        <w:tc>
          <w:tcPr>
            <w:tcW w:w="920" w:type="dxa"/>
            <w:vAlign w:val="bottom"/>
            <w:gridSpan w:val="2"/>
          </w:tcPr>
          <w:p>
            <w:pPr>
              <w:jc w:val="right"/>
              <w:ind w:right="80"/>
              <w:spacing w:after="0"/>
              <w:rPr>
                <w:sz w:val="20"/>
                <w:szCs w:val="20"/>
                <w:color w:val="auto"/>
              </w:rPr>
            </w:pPr>
            <w:r>
              <w:rPr>
                <w:rFonts w:ascii="Arial" w:cs="Arial" w:eastAsia="Arial" w:hAnsi="Arial"/>
                <w:sz w:val="18"/>
                <w:szCs w:val="18"/>
                <w:color w:val="auto"/>
              </w:rPr>
              <w:t>26.6%</w:t>
            </w:r>
          </w:p>
        </w:tc>
        <w:tc>
          <w:tcPr>
            <w:tcW w:w="5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60" w:type="dxa"/>
            <w:vAlign w:val="bottom"/>
            <w:gridSpan w:val="3"/>
          </w:tcPr>
          <w:p>
            <w:pPr>
              <w:jc w:val="right"/>
              <w:ind w:right="100"/>
              <w:spacing w:after="0"/>
              <w:rPr>
                <w:sz w:val="20"/>
                <w:szCs w:val="20"/>
                <w:color w:val="auto"/>
              </w:rPr>
            </w:pPr>
            <w:r>
              <w:rPr>
                <w:rFonts w:ascii="Arial" w:cs="Arial" w:eastAsia="Arial" w:hAnsi="Arial"/>
                <w:sz w:val="18"/>
                <w:szCs w:val="18"/>
                <w:color w:val="auto"/>
              </w:rPr>
              <w:t>25.1%</w:t>
            </w:r>
          </w:p>
        </w:tc>
        <w:tc>
          <w:tcPr>
            <w:tcW w:w="260" w:type="dxa"/>
            <w:vAlign w:val="bottom"/>
          </w:tcPr>
          <w:p>
            <w:pPr>
              <w:spacing w:after="0"/>
              <w:rPr>
                <w:sz w:val="19"/>
                <w:szCs w:val="19"/>
                <w:color w:val="auto"/>
              </w:rPr>
            </w:pPr>
          </w:p>
        </w:tc>
        <w:tc>
          <w:tcPr>
            <w:tcW w:w="1220" w:type="dxa"/>
            <w:vAlign w:val="bottom"/>
            <w:gridSpan w:val="5"/>
          </w:tcPr>
          <w:p>
            <w:pPr>
              <w:jc w:val="right"/>
              <w:ind w:right="180"/>
              <w:spacing w:after="0"/>
              <w:rPr>
                <w:sz w:val="20"/>
                <w:szCs w:val="20"/>
                <w:color w:val="auto"/>
              </w:rPr>
            </w:pPr>
            <w:r>
              <w:rPr>
                <w:rFonts w:ascii="Arial" w:cs="Arial" w:eastAsia="Arial" w:hAnsi="Arial"/>
                <w:sz w:val="18"/>
                <w:szCs w:val="18"/>
                <w:color w:val="auto"/>
              </w:rPr>
              <w:t>25.2%</w:t>
            </w:r>
          </w:p>
        </w:tc>
        <w:tc>
          <w:tcPr>
            <w:tcW w:w="1280" w:type="dxa"/>
            <w:vAlign w:val="bottom"/>
            <w:gridSpan w:val="5"/>
          </w:tcPr>
          <w:p>
            <w:pPr>
              <w:jc w:val="right"/>
              <w:spacing w:after="0"/>
              <w:rPr>
                <w:sz w:val="20"/>
                <w:szCs w:val="20"/>
                <w:color w:val="auto"/>
              </w:rPr>
            </w:pPr>
            <w:r>
              <w:rPr>
                <w:rFonts w:ascii="Arial" w:cs="Arial" w:eastAsia="Arial" w:hAnsi="Arial"/>
                <w:sz w:val="18"/>
                <w:szCs w:val="18"/>
                <w:color w:val="auto"/>
              </w:rPr>
              <w:t>7.6%</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800" w:type="dxa"/>
            <w:vAlign w:val="bottom"/>
            <w:gridSpan w:val="2"/>
            <w:vMerge w:val="restart"/>
          </w:tcPr>
          <w:p>
            <w:pPr>
              <w:ind w:left="240"/>
              <w:spacing w:after="0"/>
              <w:rPr>
                <w:sz w:val="20"/>
                <w:szCs w:val="20"/>
                <w:color w:val="auto"/>
              </w:rPr>
            </w:pPr>
            <w:r>
              <w:rPr>
                <w:rFonts w:ascii="Arial" w:cs="Arial" w:eastAsia="Arial" w:hAnsi="Arial"/>
                <w:sz w:val="18"/>
                <w:szCs w:val="18"/>
                <w:b w:val="1"/>
                <w:bCs w:val="1"/>
                <w:i w:val="1"/>
                <w:iCs w:val="1"/>
                <w:color w:val="auto"/>
                <w:w w:val="93"/>
              </w:rPr>
              <w:t>Three and Nine Months Ended October 30, 2010 and October 31, 2009</w:t>
            </w:r>
          </w:p>
        </w:tc>
        <w:tc>
          <w:tcPr>
            <w:tcW w:w="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800" w:type="dxa"/>
            <w:vAlign w:val="bottom"/>
            <w:gridSpan w:val="2"/>
            <w:vMerge w:val="continue"/>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800" w:type="dxa"/>
            <w:vAlign w:val="bottom"/>
            <w:gridSpan w:val="2"/>
          </w:tcPr>
          <w:p>
            <w:pPr>
              <w:ind w:left="240"/>
              <w:spacing w:after="0"/>
              <w:rPr>
                <w:sz w:val="20"/>
                <w:szCs w:val="20"/>
                <w:color w:val="auto"/>
              </w:rPr>
            </w:pPr>
            <w:r>
              <w:rPr>
                <w:rFonts w:ascii="Arial" w:cs="Arial" w:eastAsia="Arial" w:hAnsi="Arial"/>
                <w:sz w:val="18"/>
                <w:szCs w:val="18"/>
                <w:i w:val="1"/>
                <w:iCs w:val="1"/>
                <w:color w:val="auto"/>
              </w:rPr>
              <w:t>Net Revenue</w:t>
            </w: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3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580" w:type="dxa"/>
            <w:vAlign w:val="bottom"/>
            <w:gridSpan w:val="4"/>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760" w:type="dxa"/>
            <w:vAlign w:val="bottom"/>
            <w:gridSpan w:val="3"/>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80" w:type="dxa"/>
            <w:vAlign w:val="bottom"/>
            <w:gridSpan w:val="6"/>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460" w:type="dxa"/>
            <w:vAlign w:val="bottom"/>
            <w:gridSpan w:val="3"/>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34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76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00" w:type="dxa"/>
            <w:vAlign w:val="bottom"/>
            <w:tcBorders>
              <w:top w:val="single" w:sz="8" w:color="auto"/>
            </w:tcBorders>
            <w:gridSpan w:val="4"/>
          </w:tcPr>
          <w:p>
            <w:pPr>
              <w:jc w:val="right"/>
              <w:ind w:right="360"/>
              <w:spacing w:after="0" w:line="129" w:lineRule="exact"/>
              <w:rPr>
                <w:sz w:val="20"/>
                <w:szCs w:val="20"/>
                <w:color w:val="auto"/>
              </w:rPr>
            </w:pPr>
            <w:r>
              <w:rPr>
                <w:rFonts w:ascii="Arial" w:cs="Arial" w:eastAsia="Arial" w:hAnsi="Arial"/>
                <w:sz w:val="14"/>
                <w:szCs w:val="14"/>
                <w:b w:val="1"/>
                <w:bCs w:val="1"/>
                <w:color w:val="auto"/>
                <w:w w:val="93"/>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31,</w:t>
            </w:r>
          </w:p>
        </w:tc>
        <w:tc>
          <w:tcPr>
            <w:tcW w:w="280" w:type="dxa"/>
            <w:vAlign w:val="bottom"/>
          </w:tcPr>
          <w:p>
            <w:pPr>
              <w:spacing w:after="0"/>
              <w:rPr>
                <w:sz w:val="11"/>
                <w:szCs w:val="11"/>
                <w:color w:val="auto"/>
              </w:rPr>
            </w:pPr>
          </w:p>
        </w:tc>
        <w:tc>
          <w:tcPr>
            <w:tcW w:w="460" w:type="dxa"/>
            <w:vAlign w:val="bottom"/>
            <w:gridSpan w:val="3"/>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340" w:type="dxa"/>
            <w:vAlign w:val="bottom"/>
          </w:tcPr>
          <w:p>
            <w:pPr>
              <w:spacing w:after="0"/>
              <w:rPr>
                <w:sz w:val="14"/>
                <w:szCs w:val="14"/>
                <w:color w:val="auto"/>
              </w:rPr>
            </w:pPr>
          </w:p>
        </w:tc>
        <w:tc>
          <w:tcPr>
            <w:tcW w:w="740" w:type="dxa"/>
            <w:vAlign w:val="bottom"/>
            <w:tcBorders>
              <w:bottom w:val="single" w:sz="8" w:color="auto"/>
            </w:tcBorders>
            <w:gridSpan w:val="2"/>
          </w:tcPr>
          <w:p>
            <w:pPr>
              <w:jc w:val="right"/>
              <w:ind w:right="180"/>
              <w:spacing w:after="0"/>
              <w:rPr>
                <w:sz w:val="20"/>
                <w:szCs w:val="20"/>
                <w:color w:val="auto"/>
              </w:rPr>
            </w:pPr>
            <w:r>
              <w:rPr>
                <w:rFonts w:ascii="Arial" w:cs="Arial" w:eastAsia="Arial" w:hAnsi="Arial"/>
                <w:sz w:val="14"/>
                <w:szCs w:val="14"/>
                <w:b w:val="1"/>
                <w:bCs w:val="1"/>
                <w:color w:val="auto"/>
              </w:rPr>
              <w:t>2010</w:t>
            </w:r>
          </w:p>
        </w:tc>
        <w:tc>
          <w:tcPr>
            <w:tcW w:w="240" w:type="dxa"/>
            <w:vAlign w:val="bottom"/>
          </w:tcPr>
          <w:p>
            <w:pPr>
              <w:spacing w:after="0"/>
              <w:rPr>
                <w:sz w:val="14"/>
                <w:szCs w:val="14"/>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2009</w:t>
            </w:r>
          </w:p>
        </w:tc>
        <w:tc>
          <w:tcPr>
            <w:tcW w:w="160" w:type="dxa"/>
            <w:vAlign w:val="bottom"/>
            <w:tcBorders>
              <w:bottom w:val="single" w:sz="8" w:color="auto"/>
            </w:tcBorders>
          </w:tcPr>
          <w:p>
            <w:pPr>
              <w:spacing w:after="0"/>
              <w:rPr>
                <w:sz w:val="14"/>
                <w:szCs w:val="14"/>
                <w:color w:val="auto"/>
              </w:rPr>
            </w:pPr>
          </w:p>
        </w:tc>
        <w:tc>
          <w:tcPr>
            <w:tcW w:w="3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1"/>
              </w:rPr>
              <w:t>(in</w:t>
            </w:r>
          </w:p>
        </w:tc>
        <w:tc>
          <w:tcPr>
            <w:tcW w:w="46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5"/>
              </w:rPr>
              <w:t>Change</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Borders>
              <w:bottom w:val="single" w:sz="8" w:color="auto"/>
            </w:tcBorders>
            <w:gridSpan w:val="2"/>
          </w:tcPr>
          <w:p>
            <w:pPr>
              <w:jc w:val="right"/>
              <w:ind w:right="172"/>
              <w:spacing w:after="0"/>
              <w:rPr>
                <w:sz w:val="20"/>
                <w:szCs w:val="20"/>
                <w:color w:val="auto"/>
              </w:rPr>
            </w:pPr>
            <w:r>
              <w:rPr>
                <w:rFonts w:ascii="Arial" w:cs="Arial" w:eastAsia="Arial" w:hAnsi="Arial"/>
                <w:sz w:val="14"/>
                <w:szCs w:val="14"/>
                <w:b w:val="1"/>
                <w:bCs w:val="1"/>
                <w:color w:val="auto"/>
              </w:rPr>
              <w:t>2010</w:t>
            </w:r>
          </w:p>
        </w:tc>
        <w:tc>
          <w:tcPr>
            <w:tcW w:w="2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800" w:type="dxa"/>
            <w:vAlign w:val="bottom"/>
            <w:tcBorders>
              <w:bottom w:val="single" w:sz="8" w:color="auto"/>
            </w:tcBorders>
            <w:gridSpan w:val="2"/>
          </w:tcPr>
          <w:p>
            <w:pPr>
              <w:jc w:val="right"/>
              <w:ind w:right="192"/>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1"/>
              </w:rPr>
              <w:t>Change</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53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00" w:type="dxa"/>
            <w:vAlign w:val="bottom"/>
            <w:vMerge w:val="continue"/>
          </w:tcPr>
          <w:p>
            <w:pPr>
              <w:spacing w:after="0"/>
              <w:rPr>
                <w:sz w:val="12"/>
                <w:szCs w:val="12"/>
                <w:color w:val="auto"/>
              </w:rPr>
            </w:pPr>
          </w:p>
        </w:tc>
        <w:tc>
          <w:tcPr>
            <w:tcW w:w="1940" w:type="dxa"/>
            <w:vAlign w:val="bottom"/>
            <w:gridSpan w:val="8"/>
          </w:tcPr>
          <w:p>
            <w:pPr>
              <w:spacing w:after="0" w:line="142" w:lineRule="exact"/>
              <w:rPr>
                <w:sz w:val="20"/>
                <w:szCs w:val="20"/>
                <w:color w:val="auto"/>
              </w:rPr>
            </w:pPr>
            <w:r>
              <w:rPr>
                <w:rFonts w:ascii="Arial" w:cs="Arial" w:eastAsia="Arial" w:hAnsi="Arial"/>
                <w:sz w:val="14"/>
                <w:szCs w:val="14"/>
                <w:b w:val="1"/>
                <w:bCs w:val="1"/>
                <w:color w:val="auto"/>
                <w:w w:val="93"/>
              </w:rPr>
              <w:t>thousands, except percentage)</w:t>
            </w:r>
          </w:p>
        </w:tc>
        <w:tc>
          <w:tcPr>
            <w:tcW w:w="4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740" w:type="dxa"/>
            <w:vAlign w:val="bottom"/>
            <w:tcBorders>
              <w:right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$959,327</w:t>
            </w:r>
          </w:p>
        </w:tc>
        <w:tc>
          <w:tcPr>
            <w:tcW w:w="2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5"/>
              </w:rPr>
              <w:t>$803,098</w:t>
            </w:r>
          </w:p>
        </w:tc>
        <w:tc>
          <w:tcPr>
            <w:tcW w:w="1020" w:type="dxa"/>
            <w:vAlign w:val="bottom"/>
            <w:gridSpan w:val="4"/>
            <w:shd w:val="clear" w:color="auto" w:fill="CCEEFF"/>
          </w:tcPr>
          <w:p>
            <w:pPr>
              <w:ind w:left="440"/>
              <w:spacing w:after="0"/>
              <w:rPr>
                <w:sz w:val="20"/>
                <w:szCs w:val="20"/>
                <w:color w:val="auto"/>
              </w:rPr>
            </w:pPr>
            <w:r>
              <w:rPr>
                <w:rFonts w:ascii="Arial" w:cs="Arial" w:eastAsia="Arial" w:hAnsi="Arial"/>
                <w:sz w:val="18"/>
                <w:szCs w:val="18"/>
                <w:color w:val="auto"/>
              </w:rPr>
              <w:t>19.5%</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9"/>
              </w:rPr>
              <w:t>$2,711,380</w:t>
            </w:r>
          </w:p>
        </w:tc>
        <w:tc>
          <w:tcPr>
            <w:tcW w:w="300" w:type="dxa"/>
            <w:vAlign w:val="bottom"/>
            <w:shd w:val="clear" w:color="auto" w:fill="CCEEFF"/>
          </w:tcPr>
          <w:p>
            <w:pPr>
              <w:spacing w:after="0"/>
              <w:rPr>
                <w:sz w:val="18"/>
                <w:szCs w:val="18"/>
                <w:color w:val="auto"/>
              </w:rPr>
            </w:pPr>
          </w:p>
        </w:tc>
        <w:tc>
          <w:tcPr>
            <w:tcW w:w="108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w w:val="86"/>
              </w:rPr>
              <w:t>$1,965,152</w:t>
            </w:r>
          </w:p>
        </w:tc>
        <w:tc>
          <w:tcPr>
            <w:tcW w:w="660" w:type="dxa"/>
            <w:vAlign w:val="bottom"/>
            <w:gridSpan w:val="4"/>
            <w:shd w:val="clear" w:color="auto" w:fill="CCEEFF"/>
          </w:tcPr>
          <w:p>
            <w:pPr>
              <w:ind w:left="160"/>
              <w:spacing w:after="0"/>
              <w:rPr>
                <w:sz w:val="20"/>
                <w:szCs w:val="20"/>
                <w:color w:val="auto"/>
              </w:rPr>
            </w:pPr>
            <w:r>
              <w:rPr>
                <w:rFonts w:ascii="Arial" w:cs="Arial" w:eastAsia="Arial" w:hAnsi="Arial"/>
                <w:sz w:val="18"/>
                <w:szCs w:val="18"/>
                <w:color w:val="auto"/>
                <w:w w:val="93"/>
              </w:rPr>
              <w:t>38.0%</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increase in net revenue during the three months ended October 30, 2010 compared to the three months ended October 31, 2009, reflected our continued growth in mobile and wireless. Year over year, sales of mobile and wireless products grew approximately 110% primarily due to strong sales of cellular communications products, and to a lesser extent, higher sales of embedded wireless LAN products. Our networking revenue remained relatively flat overall in the three months ended October 30, 2010 compared to the three months ended October 31, 2009 primarily due to the combination of inventory re-balancing at certain enterprise networking customers, offset by improved sales of Ethernet client products. Finally, our storage revenue declined approximately 9% in the three months ended October 30, 2010 as compared to the three months ended October 31, 2009 due to the continued impact of lower demand for hard-disk drive products in the third quarter of fiscal 2011.</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For the nine months ended October 30, 2010 compared to the nine months ended October 31, 2009, mobile and wireless revenue more than doubled as a result of the significant growth in demand for our cellular communications products, along with increased demand of our embedded wireless LAN products. Our networking revenue grew over 25% during the nine months ended October 30, 2010 compared to the nine months ended October 31, 2009 primarily due to a combination of increased demand for both our client and enterprise Ethernet products, along with an improved macroeconomic environment for capital intensive networking equipment. Despite a challenging last few quarters, overall storage revenue grew 13% in the first nine months of fiscal 2011 as compared with the first nine months of fiscal 2010 due to improved industry demand for hard drives as well company specific market share gains. The growth in our overall revenue of 38% reflects a combination of increased demand for our newer products, and an improvement in overall economic conditions following the significant declines in the prior year.</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currently expect overall revenues in our fiscal fourth quarter to decline slightly, largely driven by seasonality in our mobile and wireless businesses.</w:t>
      </w:r>
    </w:p>
    <w:p>
      <w:pPr>
        <w:spacing w:after="0" w:line="194"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No distributors accounted for more than 10% of our net revenue for the three months and nine months ended October 30, 2010 and October 31, 2009.</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revenue attributable to end customers comprising 10% or more of our net revenue for the periods indicated:</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3060" w:type="dxa"/>
            <w:vAlign w:val="bottom"/>
            <w:gridSpan w:val="4"/>
          </w:tcPr>
          <w:p>
            <w:pPr>
              <w:jc w:val="right"/>
              <w:ind w:right="1340"/>
              <w:spacing w:after="0"/>
              <w:rPr>
                <w:sz w:val="20"/>
                <w:szCs w:val="20"/>
                <w:color w:val="auto"/>
              </w:rPr>
            </w:pPr>
            <w:r>
              <w:rPr>
                <w:rFonts w:ascii="Arial" w:cs="Arial" w:eastAsia="Arial" w:hAnsi="Arial"/>
                <w:sz w:val="14"/>
                <w:szCs w:val="14"/>
                <w:b w:val="1"/>
                <w:bCs w:val="1"/>
                <w:color w:val="auto"/>
              </w:rPr>
              <w:t>Three Months Ended</w:t>
            </w:r>
          </w:p>
        </w:tc>
        <w:tc>
          <w:tcPr>
            <w:tcW w:w="2400" w:type="dxa"/>
            <w:vAlign w:val="bottom"/>
            <w:gridSpan w:val="4"/>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440" w:type="dxa"/>
            <w:vAlign w:val="bottom"/>
          </w:tcPr>
          <w:p>
            <w:pPr>
              <w:spacing w:after="0"/>
              <w:rPr>
                <w:sz w:val="11"/>
                <w:szCs w:val="11"/>
                <w:color w:val="auto"/>
              </w:rPr>
            </w:pPr>
          </w:p>
        </w:tc>
        <w:tc>
          <w:tcPr>
            <w:tcW w:w="1540" w:type="dxa"/>
            <w:vAlign w:val="bottom"/>
            <w:tcBorders>
              <w:top w:val="single" w:sz="8" w:color="auto"/>
            </w:tcBorders>
            <w:gridSpan w:val="2"/>
          </w:tcPr>
          <w:p>
            <w:pPr>
              <w:jc w:val="right"/>
              <w:ind w:right="86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860" w:type="dxa"/>
            <w:vAlign w:val="bottom"/>
          </w:tcPr>
          <w:p>
            <w:pPr>
              <w:spacing w:after="0"/>
              <w:rPr>
                <w:sz w:val="11"/>
                <w:szCs w:val="11"/>
                <w:color w:val="auto"/>
              </w:rPr>
            </w:pPr>
          </w:p>
        </w:tc>
        <w:tc>
          <w:tcPr>
            <w:tcW w:w="1520" w:type="dxa"/>
            <w:vAlign w:val="bottom"/>
            <w:tcBorders>
              <w:top w:val="single" w:sz="8" w:color="auto"/>
            </w:tcBorders>
            <w:gridSpan w:val="2"/>
          </w:tcPr>
          <w:p>
            <w:pPr>
              <w:jc w:val="right"/>
              <w:ind w:right="84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040" w:type="dxa"/>
            <w:vAlign w:val="bottom"/>
            <w:gridSpan w:val="3"/>
          </w:tcPr>
          <w:p>
            <w:pPr>
              <w:spacing w:after="0"/>
              <w:rPr>
                <w:sz w:val="20"/>
                <w:szCs w:val="20"/>
                <w:color w:val="auto"/>
              </w:rPr>
            </w:pPr>
            <w:r>
              <w:rPr>
                <w:rFonts w:ascii="Arial" w:cs="Arial" w:eastAsia="Arial" w:hAnsi="Arial"/>
                <w:sz w:val="14"/>
                <w:szCs w:val="14"/>
                <w:b w:val="1"/>
                <w:bCs w:val="1"/>
                <w:color w:val="auto"/>
              </w:rPr>
              <w:t>Customer</w:t>
            </w: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2010</w:t>
            </w:r>
          </w:p>
        </w:tc>
        <w:tc>
          <w:tcPr>
            <w:tcW w:w="860" w:type="dxa"/>
            <w:vAlign w:val="bottom"/>
          </w:tcPr>
          <w:p>
            <w:pPr>
              <w:spacing w:after="0"/>
              <w:rPr>
                <w:sz w:val="14"/>
                <w:szCs w:val="14"/>
                <w:color w:val="auto"/>
              </w:rPr>
            </w:pPr>
          </w:p>
        </w:tc>
        <w:tc>
          <w:tcPr>
            <w:tcW w:w="660" w:type="dxa"/>
            <w:vAlign w:val="bottom"/>
          </w:tcPr>
          <w:p>
            <w:pPr>
              <w:jc w:val="right"/>
              <w:ind w:right="120"/>
              <w:spacing w:after="0"/>
              <w:rPr>
                <w:sz w:val="20"/>
                <w:szCs w:val="20"/>
                <w:color w:val="auto"/>
              </w:rPr>
            </w:pPr>
            <w:r>
              <w:rPr>
                <w:rFonts w:ascii="Arial" w:cs="Arial" w:eastAsia="Arial" w:hAnsi="Arial"/>
                <w:sz w:val="14"/>
                <w:szCs w:val="14"/>
                <w:b w:val="1"/>
                <w:bCs w:val="1"/>
                <w:color w:val="auto"/>
              </w:rPr>
              <w:t>2009</w:t>
            </w:r>
          </w:p>
        </w:tc>
        <w:tc>
          <w:tcPr>
            <w:tcW w:w="860" w:type="dxa"/>
            <w:vAlign w:val="bottom"/>
          </w:tcPr>
          <w:p>
            <w:pPr>
              <w:spacing w:after="0"/>
              <w:rPr>
                <w:sz w:val="14"/>
                <w:szCs w:val="14"/>
                <w:color w:val="auto"/>
              </w:rPr>
            </w:pPr>
          </w:p>
        </w:tc>
        <w:tc>
          <w:tcPr>
            <w:tcW w:w="6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2010</w:t>
            </w:r>
          </w:p>
        </w:tc>
        <w:tc>
          <w:tcPr>
            <w:tcW w:w="840" w:type="dxa"/>
            <w:vAlign w:val="bottom"/>
          </w:tcPr>
          <w:p>
            <w:pPr>
              <w:spacing w:after="0"/>
              <w:rPr>
                <w:sz w:val="14"/>
                <w:szCs w:val="14"/>
                <w:color w:val="auto"/>
              </w:rPr>
            </w:pPr>
          </w:p>
        </w:tc>
        <w:tc>
          <w:tcPr>
            <w:tcW w:w="680" w:type="dxa"/>
            <w:vAlign w:val="bottom"/>
          </w:tcPr>
          <w:p>
            <w:pPr>
              <w:jc w:val="right"/>
              <w:ind w:right="120"/>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80" w:type="dxa"/>
            <w:vAlign w:val="bottom"/>
            <w:shd w:val="clear" w:color="auto" w:fill="CCEEFF"/>
          </w:tcPr>
          <w:p>
            <w:pPr>
              <w:spacing w:after="0"/>
              <w:rPr>
                <w:sz w:val="20"/>
                <w:szCs w:val="20"/>
                <w:color w:val="auto"/>
              </w:rPr>
            </w:pPr>
            <w:r>
              <w:rPr>
                <w:rFonts w:ascii="Arial" w:cs="Arial" w:eastAsia="Arial" w:hAnsi="Arial"/>
                <w:sz w:val="18"/>
                <w:szCs w:val="18"/>
                <w:color w:val="auto"/>
              </w:rPr>
              <w:t>A</w:t>
            </w:r>
          </w:p>
        </w:tc>
        <w:tc>
          <w:tcPr>
            <w:tcW w:w="4440" w:type="dxa"/>
            <w:vAlign w:val="bottom"/>
            <w:shd w:val="clear" w:color="auto" w:fill="CCEEFF"/>
          </w:tcPr>
          <w:p>
            <w:pPr>
              <w:spacing w:after="0"/>
              <w:rPr>
                <w:sz w:val="18"/>
                <w:szCs w:val="18"/>
                <w:color w:val="auto"/>
              </w:rPr>
            </w:pPr>
          </w:p>
        </w:tc>
        <w:tc>
          <w:tcPr>
            <w:tcW w:w="15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20%</w:t>
            </w:r>
          </w:p>
        </w:tc>
        <w:tc>
          <w:tcPr>
            <w:tcW w:w="15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24%</w:t>
            </w:r>
          </w:p>
        </w:tc>
        <w:tc>
          <w:tcPr>
            <w:tcW w:w="15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22%</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gridSpan w:val="2"/>
          </w:tcPr>
          <w:p>
            <w:pPr>
              <w:spacing w:after="0"/>
              <w:rPr>
                <w:sz w:val="20"/>
                <w:szCs w:val="20"/>
                <w:color w:val="auto"/>
              </w:rPr>
            </w:pPr>
            <w:r>
              <w:rPr>
                <w:rFonts w:ascii="Arial" w:cs="Arial" w:eastAsia="Arial" w:hAnsi="Arial"/>
                <w:sz w:val="18"/>
                <w:szCs w:val="18"/>
                <w:color w:val="auto"/>
              </w:rPr>
              <w:t>B</w:t>
            </w:r>
          </w:p>
        </w:tc>
        <w:tc>
          <w:tcPr>
            <w:tcW w:w="1540" w:type="dxa"/>
            <w:vAlign w:val="bottom"/>
            <w:gridSpan w:val="2"/>
          </w:tcPr>
          <w:p>
            <w:pPr>
              <w:jc w:val="right"/>
              <w:ind w:right="720"/>
              <w:spacing w:after="0"/>
              <w:rPr>
                <w:sz w:val="20"/>
                <w:szCs w:val="20"/>
                <w:color w:val="auto"/>
              </w:rPr>
            </w:pPr>
            <w:r>
              <w:rPr>
                <w:rFonts w:ascii="Arial" w:cs="Arial" w:eastAsia="Arial" w:hAnsi="Arial"/>
                <w:sz w:val="18"/>
                <w:szCs w:val="18"/>
                <w:color w:val="auto"/>
              </w:rPr>
              <w:t>18%</w:t>
            </w:r>
          </w:p>
        </w:tc>
        <w:tc>
          <w:tcPr>
            <w:tcW w:w="66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spacing w:after="0"/>
              <w:rPr>
                <w:sz w:val="18"/>
                <w:szCs w:val="18"/>
                <w:color w:val="auto"/>
              </w:rPr>
            </w:pPr>
          </w:p>
        </w:tc>
        <w:tc>
          <w:tcPr>
            <w:tcW w:w="1520" w:type="dxa"/>
            <w:vAlign w:val="bottom"/>
            <w:gridSpan w:val="2"/>
          </w:tcPr>
          <w:p>
            <w:pPr>
              <w:jc w:val="right"/>
              <w:ind w:right="700"/>
              <w:spacing w:after="0"/>
              <w:rPr>
                <w:sz w:val="20"/>
                <w:szCs w:val="20"/>
                <w:color w:val="auto"/>
              </w:rPr>
            </w:pPr>
            <w:r>
              <w:rPr>
                <w:rFonts w:ascii="Arial" w:cs="Arial" w:eastAsia="Arial" w:hAnsi="Arial"/>
                <w:sz w:val="18"/>
                <w:szCs w:val="18"/>
                <w:color w:val="auto"/>
              </w:rPr>
              <w:t>14%</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w:t>
            </w:r>
          </w:p>
        </w:tc>
        <w:tc>
          <w:tcPr>
            <w:tcW w:w="154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15%</w:t>
            </w:r>
          </w:p>
        </w:tc>
        <w:tc>
          <w:tcPr>
            <w:tcW w:w="15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171" w:lineRule="exact"/>
        <w:rPr>
          <w:sz w:val="20"/>
          <w:szCs w:val="20"/>
          <w:color w:val="auto"/>
        </w:rPr>
      </w:pPr>
    </w:p>
    <w:p>
      <w:pPr>
        <w:ind w:right="240" w:firstLine="456"/>
        <w:spacing w:after="0" w:line="323" w:lineRule="auto"/>
        <w:rPr>
          <w:sz w:val="20"/>
          <w:szCs w:val="20"/>
          <w:color w:val="auto"/>
        </w:rPr>
      </w:pPr>
      <w:r>
        <w:rPr>
          <w:rFonts w:ascii="Arial" w:cs="Arial" w:eastAsia="Arial" w:hAnsi="Arial"/>
          <w:sz w:val="15"/>
          <w:szCs w:val="15"/>
          <w:color w:val="auto"/>
        </w:rPr>
        <w:t>Because we sell our products to many OEM manufacturers who have manufacturing operations located in Asia, a significant percentage of our sales are made to customers located outside of the United States. Sales to customers located in Asia represented 78% and 89% of our net revenue for the three months ended October 30, 2010 and October 31, 2009, respectively, and represented 82% and 90% of our net revenue for the nine months ended October 30, 2010 and October 31, 2009, respectively. We expect that a significant portion of our revenue will continue to be represented by sales to our customers in Asia.</w:t>
      </w:r>
    </w:p>
    <w:p>
      <w:pPr>
        <w:spacing w:after="0" w:line="17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40" w:type="dxa"/>
            <w:vAlign w:val="bottom"/>
          </w:tcPr>
          <w:p>
            <w:pPr>
              <w:spacing w:after="0"/>
              <w:rPr>
                <w:sz w:val="14"/>
                <w:szCs w:val="14"/>
                <w:color w:val="auto"/>
              </w:rPr>
            </w:pPr>
          </w:p>
        </w:tc>
        <w:tc>
          <w:tcPr>
            <w:tcW w:w="2140" w:type="dxa"/>
            <w:vAlign w:val="bottom"/>
            <w:gridSpan w:val="5"/>
          </w:tcPr>
          <w:p>
            <w:pPr>
              <w:jc w:val="right"/>
              <w:ind w:right="57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w:t>
            </w:r>
          </w:p>
        </w:tc>
        <w:tc>
          <w:tcPr>
            <w:tcW w:w="400" w:type="dxa"/>
            <w:vAlign w:val="bottom"/>
          </w:tcPr>
          <w:p>
            <w:pPr>
              <w:spacing w:after="0"/>
              <w:rPr>
                <w:sz w:val="14"/>
                <w:szCs w:val="14"/>
                <w:color w:val="auto"/>
              </w:rPr>
            </w:pPr>
          </w:p>
        </w:tc>
        <w:tc>
          <w:tcPr>
            <w:tcW w:w="2260" w:type="dxa"/>
            <w:vAlign w:val="bottom"/>
            <w:gridSpan w:val="4"/>
          </w:tcPr>
          <w:p>
            <w:pPr>
              <w:jc w:val="right"/>
              <w:ind w:right="76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40" w:type="dxa"/>
            <w:vAlign w:val="bottom"/>
          </w:tcPr>
          <w:p>
            <w:pPr>
              <w:spacing w:after="0"/>
              <w:rPr>
                <w:sz w:val="11"/>
                <w:szCs w:val="11"/>
                <w:color w:val="auto"/>
              </w:rPr>
            </w:pPr>
          </w:p>
        </w:tc>
        <w:tc>
          <w:tcPr>
            <w:tcW w:w="940" w:type="dxa"/>
            <w:vAlign w:val="bottom"/>
            <w:tcBorders>
              <w:top w:val="single" w:sz="8" w:color="auto"/>
            </w:tcBorders>
            <w:gridSpan w:val="2"/>
          </w:tcPr>
          <w:p>
            <w:pPr>
              <w:jc w:val="right"/>
              <w:ind w:right="26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400" w:type="dxa"/>
            <w:vAlign w:val="bottom"/>
          </w:tcPr>
          <w:p>
            <w:pPr>
              <w:spacing w:after="0"/>
              <w:rPr>
                <w:sz w:val="11"/>
                <w:szCs w:val="11"/>
                <w:color w:val="auto"/>
              </w:rPr>
            </w:pPr>
          </w:p>
        </w:tc>
        <w:tc>
          <w:tcPr>
            <w:tcW w:w="1180" w:type="dxa"/>
            <w:vAlign w:val="bottom"/>
            <w:tcBorders>
              <w:top w:val="single" w:sz="8" w:color="auto"/>
            </w:tcBorders>
            <w:gridSpan w:val="2"/>
          </w:tcPr>
          <w:p>
            <w:pPr>
              <w:jc w:val="right"/>
              <w:ind w:right="440"/>
              <w:spacing w:after="0" w:line="129" w:lineRule="exact"/>
              <w:rPr>
                <w:sz w:val="20"/>
                <w:szCs w:val="20"/>
                <w:color w:val="auto"/>
              </w:rPr>
            </w:pPr>
            <w:r>
              <w:rPr>
                <w:rFonts w:ascii="Arial" w:cs="Arial" w:eastAsia="Arial" w:hAnsi="Arial"/>
                <w:sz w:val="14"/>
                <w:szCs w:val="14"/>
                <w:b w:val="1"/>
                <w:bCs w:val="1"/>
                <w:color w:val="auto"/>
                <w:w w:val="93"/>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4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840" w:type="dxa"/>
            <w:vAlign w:val="bottom"/>
            <w:gridSpan w:val="2"/>
          </w:tcPr>
          <w:p>
            <w:pPr>
              <w:jc w:val="center"/>
              <w:ind w:right="332"/>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tcPr>
          <w:p>
            <w:pPr>
              <w:jc w:val="right"/>
              <w:ind w:right="204"/>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20"/>
        </w:trPr>
        <w:tc>
          <w:tcPr>
            <w:tcW w:w="55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400" w:type="dxa"/>
            <w:vAlign w:val="bottom"/>
            <w:vMerge w:val="restart"/>
          </w:tcPr>
          <w:p>
            <w:pPr>
              <w:jc w:val="right"/>
              <w:ind w:right="32"/>
              <w:spacing w:after="0"/>
              <w:rPr>
                <w:sz w:val="20"/>
                <w:szCs w:val="20"/>
                <w:color w:val="auto"/>
              </w:rPr>
            </w:pPr>
            <w:r>
              <w:rPr>
                <w:rFonts w:ascii="Arial" w:cs="Arial" w:eastAsia="Arial" w:hAnsi="Arial"/>
                <w:sz w:val="14"/>
                <w:szCs w:val="14"/>
                <w:b w:val="1"/>
                <w:bCs w:val="1"/>
                <w:color w:val="auto"/>
              </w:rPr>
              <w:t>(in</w:t>
            </w:r>
          </w:p>
        </w:tc>
        <w:tc>
          <w:tcPr>
            <w:tcW w:w="4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5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400" w:type="dxa"/>
            <w:vAlign w:val="bottom"/>
            <w:vMerge w:val="continue"/>
          </w:tcPr>
          <w:p>
            <w:pPr>
              <w:spacing w:after="0"/>
              <w:rPr>
                <w:sz w:val="12"/>
                <w:szCs w:val="12"/>
                <w:color w:val="auto"/>
              </w:rPr>
            </w:pPr>
          </w:p>
        </w:tc>
        <w:tc>
          <w:tcPr>
            <w:tcW w:w="440" w:type="dxa"/>
            <w:vAlign w:val="bottom"/>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12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92"/>
              </w:rPr>
              <w:t>except percentage)</w:t>
            </w:r>
          </w:p>
        </w:tc>
        <w:tc>
          <w:tcPr>
            <w:tcW w:w="3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$390,808</w:t>
            </w:r>
          </w:p>
        </w:tc>
        <w:tc>
          <w:tcPr>
            <w:tcW w:w="26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$341,617</w:t>
            </w:r>
          </w:p>
        </w:tc>
        <w:tc>
          <w:tcPr>
            <w:tcW w:w="840" w:type="dxa"/>
            <w:vAlign w:val="bottom"/>
            <w:gridSpan w:val="2"/>
            <w:shd w:val="clear" w:color="auto" w:fill="CCEEFF"/>
          </w:tcPr>
          <w:p>
            <w:pPr>
              <w:jc w:val="right"/>
              <w:ind w:right="172"/>
              <w:spacing w:after="0"/>
              <w:rPr>
                <w:sz w:val="20"/>
                <w:szCs w:val="20"/>
                <w:color w:val="auto"/>
              </w:rPr>
            </w:pPr>
            <w:r>
              <w:rPr>
                <w:rFonts w:ascii="Arial" w:cs="Arial" w:eastAsia="Arial" w:hAnsi="Arial"/>
                <w:sz w:val="18"/>
                <w:szCs w:val="18"/>
                <w:color w:val="auto"/>
              </w:rPr>
              <w:t>14.4%</w:t>
            </w:r>
          </w:p>
        </w:tc>
        <w:tc>
          <w:tcPr>
            <w:tcW w:w="11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$1,101,475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$887,306</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24.1%</w:t>
            </w:r>
          </w:p>
        </w:tc>
        <w:tc>
          <w:tcPr>
            <w:tcW w:w="0" w:type="dxa"/>
            <w:vAlign w:val="bottom"/>
          </w:tcPr>
          <w:p>
            <w:pPr>
              <w:spacing w:after="0"/>
              <w:rPr>
                <w:sz w:val="1"/>
                <w:szCs w:val="1"/>
                <w:color w:val="auto"/>
              </w:rPr>
            </w:pPr>
          </w:p>
        </w:tc>
      </w:tr>
      <w:tr>
        <w:trPr>
          <w:trHeight w:val="222"/>
        </w:trPr>
        <w:tc>
          <w:tcPr>
            <w:tcW w:w="554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gridSpan w:val="2"/>
          </w:tcPr>
          <w:p>
            <w:pPr>
              <w:jc w:val="right"/>
              <w:ind w:right="120"/>
              <w:spacing w:after="0"/>
              <w:rPr>
                <w:sz w:val="20"/>
                <w:szCs w:val="20"/>
                <w:color w:val="auto"/>
              </w:rPr>
            </w:pPr>
            <w:r>
              <w:rPr>
                <w:rFonts w:ascii="Arial" w:cs="Arial" w:eastAsia="Arial" w:hAnsi="Arial"/>
                <w:sz w:val="18"/>
                <w:szCs w:val="18"/>
                <w:color w:val="auto"/>
              </w:rPr>
              <w:t>40.7%</w:t>
            </w:r>
          </w:p>
        </w:tc>
        <w:tc>
          <w:tcPr>
            <w:tcW w:w="1200" w:type="dxa"/>
            <w:vAlign w:val="bottom"/>
            <w:gridSpan w:val="3"/>
          </w:tcPr>
          <w:p>
            <w:pPr>
              <w:jc w:val="right"/>
              <w:ind w:right="172"/>
              <w:spacing w:after="0"/>
              <w:rPr>
                <w:sz w:val="20"/>
                <w:szCs w:val="20"/>
                <w:color w:val="auto"/>
              </w:rPr>
            </w:pPr>
            <w:r>
              <w:rPr>
                <w:rFonts w:ascii="Arial" w:cs="Arial" w:eastAsia="Arial" w:hAnsi="Arial"/>
                <w:sz w:val="18"/>
                <w:szCs w:val="18"/>
                <w:color w:val="auto"/>
              </w:rPr>
              <w:t>42.5%</w:t>
            </w:r>
          </w:p>
        </w:tc>
        <w:tc>
          <w:tcPr>
            <w:tcW w:w="4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180" w:type="dxa"/>
            <w:vAlign w:val="bottom"/>
            <w:gridSpan w:val="2"/>
          </w:tcPr>
          <w:p>
            <w:pPr>
              <w:jc w:val="right"/>
              <w:ind w:right="240"/>
              <w:spacing w:after="0"/>
              <w:rPr>
                <w:sz w:val="20"/>
                <w:szCs w:val="20"/>
                <w:color w:val="auto"/>
              </w:rPr>
            </w:pPr>
            <w:r>
              <w:rPr>
                <w:rFonts w:ascii="Arial" w:cs="Arial" w:eastAsia="Arial" w:hAnsi="Arial"/>
                <w:sz w:val="18"/>
                <w:szCs w:val="18"/>
                <w:color w:val="auto"/>
              </w:rPr>
              <w:t>40.6%</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45.2%</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312" w:lineRule="auto"/>
        <w:rPr>
          <w:sz w:val="20"/>
          <w:szCs w:val="20"/>
          <w:color w:val="auto"/>
        </w:rPr>
      </w:pPr>
      <w:r>
        <w:rPr>
          <w:rFonts w:ascii="Arial" w:cs="Arial" w:eastAsia="Arial" w:hAnsi="Arial"/>
          <w:sz w:val="15"/>
          <w:szCs w:val="15"/>
          <w:color w:val="auto"/>
        </w:rPr>
        <w:t>The decrease in cost of goods sold as a percentage of revenue for the three and nine months ended October 30, 2010 compared to the three and nine months ended October 31, 2009 was primarily driven by the improved cost structure of our newer products as we have continued to benefit from the cost focus during the engineering design phase of our products, continued focus on efficiency and yield improvements.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and the introduction of new products with lower margins and product warranty costs. We currently expect cost of goods sold as a percentage of revenue to be approximately flat for the three months ending January 29, 2011.</w:t>
      </w:r>
    </w:p>
    <w:p>
      <w:pPr>
        <w:spacing w:after="0" w:line="18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2120" w:type="dxa"/>
            <w:vAlign w:val="bottom"/>
            <w:gridSpan w:val="5"/>
          </w:tcPr>
          <w:p>
            <w:pPr>
              <w:jc w:val="right"/>
              <w:ind w:right="57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8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94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8"/>
              </w:rPr>
              <w:t>October 30,</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3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800" w:type="dxa"/>
            <w:vAlign w:val="bottom"/>
          </w:tcPr>
          <w:p>
            <w:pPr>
              <w:spacing w:after="0"/>
              <w:rPr>
                <w:sz w:val="14"/>
                <w:szCs w:val="14"/>
                <w:color w:val="auto"/>
              </w:rPr>
            </w:pPr>
          </w:p>
        </w:tc>
        <w:tc>
          <w:tcPr>
            <w:tcW w:w="25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260" w:type="dxa"/>
            <w:vAlign w:val="bottom"/>
          </w:tcPr>
          <w:p>
            <w:pPr>
              <w:spacing w:after="0"/>
              <w:rPr>
                <w:sz w:val="14"/>
                <w:szCs w:val="14"/>
                <w:color w:val="auto"/>
              </w:rPr>
            </w:pP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700" w:type="dxa"/>
            <w:vAlign w:val="bottom"/>
            <w:gridSpan w:val="2"/>
          </w:tcPr>
          <w:p>
            <w:pPr>
              <w:jc w:val="center"/>
              <w:ind w:right="198"/>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9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8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380" w:type="dxa"/>
            <w:vAlign w:val="bottom"/>
            <w:gridSpan w:val="2"/>
          </w:tcPr>
          <w:p>
            <w:pPr>
              <w:ind w:left="80"/>
              <w:spacing w:after="0"/>
              <w:rPr>
                <w:sz w:val="20"/>
                <w:szCs w:val="20"/>
                <w:color w:val="auto"/>
              </w:rPr>
            </w:pPr>
            <w:r>
              <w:rPr>
                <w:rFonts w:ascii="Arial" w:cs="Arial" w:eastAsia="Arial" w:hAnsi="Arial"/>
                <w:sz w:val="12"/>
                <w:szCs w:val="12"/>
                <w:b w:val="1"/>
                <w:bCs w:val="1"/>
                <w:color w:val="auto"/>
                <w:w w:val="73"/>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$218,420</w:t>
            </w:r>
          </w:p>
        </w:tc>
        <w:tc>
          <w:tcPr>
            <w:tcW w:w="1180" w:type="dxa"/>
            <w:vAlign w:val="bottom"/>
            <w:gridSpan w:val="3"/>
            <w:shd w:val="clear" w:color="auto" w:fill="CCEEFF"/>
          </w:tcPr>
          <w:p>
            <w:pPr>
              <w:jc w:val="right"/>
              <w:ind w:right="312"/>
              <w:spacing w:after="0"/>
              <w:rPr>
                <w:sz w:val="20"/>
                <w:szCs w:val="20"/>
                <w:color w:val="auto"/>
              </w:rPr>
            </w:pPr>
            <w:r>
              <w:rPr>
                <w:rFonts w:ascii="Arial" w:cs="Arial" w:eastAsia="Arial" w:hAnsi="Arial"/>
                <w:sz w:val="18"/>
                <w:szCs w:val="18"/>
                <w:color w:val="auto"/>
              </w:rPr>
              <w:t>$212,873</w:t>
            </w:r>
          </w:p>
        </w:tc>
        <w:tc>
          <w:tcPr>
            <w:tcW w:w="70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rPr>
              <w:t>2.6%</w:t>
            </w:r>
          </w:p>
        </w:tc>
        <w:tc>
          <w:tcPr>
            <w:tcW w:w="11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$665,742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$615,152</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22"/>
        </w:trPr>
        <w:tc>
          <w:tcPr>
            <w:tcW w:w="3800" w:type="dxa"/>
            <w:vAlign w:val="bottom"/>
          </w:tcPr>
          <w:p>
            <w:pPr>
              <w:spacing w:after="0"/>
              <w:rPr>
                <w:sz w:val="20"/>
                <w:szCs w:val="20"/>
                <w:color w:val="auto"/>
              </w:rPr>
            </w:pPr>
            <w:r>
              <w:rPr>
                <w:rFonts w:ascii="Arial" w:cs="Arial" w:eastAsia="Arial" w:hAnsi="Arial"/>
                <w:sz w:val="18"/>
                <w:szCs w:val="18"/>
                <w:color w:val="auto"/>
              </w:rPr>
              <w:t>% of net revenue</w:t>
            </w:r>
          </w:p>
        </w:tc>
        <w:tc>
          <w:tcPr>
            <w:tcW w:w="2840" w:type="dxa"/>
            <w:vAlign w:val="bottom"/>
            <w:gridSpan w:val="3"/>
          </w:tcPr>
          <w:p>
            <w:pPr>
              <w:jc w:val="right"/>
              <w:ind w:right="120"/>
              <w:spacing w:after="0"/>
              <w:rPr>
                <w:sz w:val="20"/>
                <w:szCs w:val="20"/>
                <w:color w:val="auto"/>
              </w:rPr>
            </w:pPr>
            <w:r>
              <w:rPr>
                <w:rFonts w:ascii="Arial" w:cs="Arial" w:eastAsia="Arial" w:hAnsi="Arial"/>
                <w:sz w:val="18"/>
                <w:szCs w:val="18"/>
                <w:color w:val="auto"/>
              </w:rPr>
              <w:t>22.8%</w:t>
            </w:r>
          </w:p>
        </w:tc>
        <w:tc>
          <w:tcPr>
            <w:tcW w:w="1180" w:type="dxa"/>
            <w:vAlign w:val="bottom"/>
            <w:gridSpan w:val="3"/>
          </w:tcPr>
          <w:p>
            <w:pPr>
              <w:jc w:val="right"/>
              <w:ind w:right="172"/>
              <w:spacing w:after="0"/>
              <w:rPr>
                <w:sz w:val="20"/>
                <w:szCs w:val="20"/>
                <w:color w:val="auto"/>
              </w:rPr>
            </w:pPr>
            <w:r>
              <w:rPr>
                <w:rFonts w:ascii="Arial" w:cs="Arial" w:eastAsia="Arial" w:hAnsi="Arial"/>
                <w:sz w:val="18"/>
                <w:szCs w:val="18"/>
                <w:color w:val="auto"/>
              </w:rPr>
              <w:t>26.5%</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gridSpan w:val="3"/>
          </w:tcPr>
          <w:p>
            <w:pPr>
              <w:jc w:val="right"/>
              <w:ind w:right="240"/>
              <w:spacing w:after="0"/>
              <w:rPr>
                <w:sz w:val="20"/>
                <w:szCs w:val="20"/>
                <w:color w:val="auto"/>
              </w:rPr>
            </w:pPr>
            <w:r>
              <w:rPr>
                <w:rFonts w:ascii="Arial" w:cs="Arial" w:eastAsia="Arial" w:hAnsi="Arial"/>
                <w:sz w:val="18"/>
                <w:szCs w:val="18"/>
                <w:color w:val="auto"/>
              </w:rPr>
              <w:t>24.6%</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31.3%</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increase in research and development expense for the three months ended October 30, 2010 compared to the three months ended October 31, 2009 of $5.5 million was primarily due to a $14.6 million increase in personnel related costs as a result of increased headcount to support the growth of our business. Partially offsetting the increase, our development costs were lower as we received higher amounts of funding from customers for development work in the current year as compared to the prior year. In addition, stock compensation expenses declined $4.3 million and restructuring costs were lower by $1.2 million.</w:t>
      </w:r>
    </w:p>
    <w:p>
      <w:pPr>
        <w:spacing w:after="0" w:line="113" w:lineRule="exact"/>
        <w:rPr>
          <w:sz w:val="20"/>
          <w:szCs w:val="20"/>
          <w:color w:val="auto"/>
        </w:rPr>
      </w:pPr>
    </w:p>
    <w:p>
      <w:pPr>
        <w:ind w:right="200" w:firstLine="456"/>
        <w:spacing w:after="0" w:line="291" w:lineRule="auto"/>
        <w:rPr>
          <w:sz w:val="20"/>
          <w:szCs w:val="20"/>
          <w:color w:val="auto"/>
        </w:rPr>
      </w:pPr>
      <w:r>
        <w:rPr>
          <w:rFonts w:ascii="Arial" w:cs="Arial" w:eastAsia="Arial" w:hAnsi="Arial"/>
          <w:sz w:val="16"/>
          <w:szCs w:val="16"/>
          <w:color w:val="auto"/>
        </w:rPr>
        <w:t>The increase in research and development expense for the nine months ended October 30, 2010 compared to the nine months ended October 31, 2009 of $50.6 million was primarily related to increases in personnel related costs of $58.9 million due to increased headcount to support the growth of our business, as well as higher expenses for the incentive compensation program due to the higher revenue and operating profit compared to the prior year. Wafer, test and other preproduction engineering materials increased by $8.2 million due to increased activity to bring new products to market. Partially offsetting the increases was a decrease in restructuring costs of $9.0 million due primarily to severance and facilities related costs in the nine months ended October 31, 2009. In addition, stock-based compensation expenses declined by $7.3 million.</w:t>
      </w:r>
    </w:p>
    <w:p>
      <w:pPr>
        <w:spacing w:after="0" w:line="12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We currently expect that research and development expense during the fourth quarter ending January 29, 2011 will increase slightly from the level of expense reported during the third quarter ended October 30, 2010.</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140" w:type="dxa"/>
            <w:vAlign w:val="bottom"/>
            <w:gridSpan w:val="5"/>
          </w:tcPr>
          <w:p>
            <w:pPr>
              <w:jc w:val="right"/>
              <w:ind w:right="57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96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8"/>
              </w:rPr>
              <w:t>October 30,</w:t>
            </w:r>
          </w:p>
        </w:tc>
        <w:tc>
          <w:tcPr>
            <w:tcW w:w="1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280" w:type="dxa"/>
            <w:vAlign w:val="bottom"/>
          </w:tcPr>
          <w:p>
            <w:pPr>
              <w:spacing w:after="0"/>
              <w:rPr>
                <w:sz w:val="14"/>
                <w:szCs w:val="14"/>
                <w:color w:val="auto"/>
              </w:rPr>
            </w:pPr>
          </w:p>
        </w:tc>
        <w:tc>
          <w:tcPr>
            <w:tcW w:w="7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720" w:type="dxa"/>
            <w:vAlign w:val="bottom"/>
            <w:gridSpan w:val="2"/>
          </w:tcPr>
          <w:p>
            <w:pPr>
              <w:jc w:val="center"/>
              <w:ind w:right="218"/>
              <w:spacing w:after="0"/>
              <w:rPr>
                <w:sz w:val="20"/>
                <w:szCs w:val="20"/>
                <w:color w:val="auto"/>
              </w:rPr>
            </w:pPr>
            <w:r>
              <w:rPr>
                <w:rFonts w:ascii="Arial" w:cs="Arial" w:eastAsia="Arial" w:hAnsi="Arial"/>
                <w:sz w:val="14"/>
                <w:szCs w:val="14"/>
                <w:b w:val="1"/>
                <w:bCs w:val="1"/>
                <w:color w:val="auto"/>
                <w:w w:val="85"/>
              </w:rPr>
              <w:t>Change</w:t>
            </w:r>
          </w:p>
        </w:tc>
        <w:tc>
          <w:tcPr>
            <w:tcW w:w="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38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0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4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00" w:type="dxa"/>
            <w:vAlign w:val="bottom"/>
            <w:gridSpan w:val="2"/>
          </w:tcPr>
          <w:p>
            <w:pPr>
              <w:ind w:left="80"/>
              <w:spacing w:after="0"/>
              <w:rPr>
                <w:sz w:val="20"/>
                <w:szCs w:val="20"/>
                <w:color w:val="auto"/>
              </w:rPr>
            </w:pPr>
            <w:r>
              <w:rPr>
                <w:rFonts w:ascii="Arial" w:cs="Arial" w:eastAsia="Arial" w:hAnsi="Arial"/>
                <w:sz w:val="12"/>
                <w:szCs w:val="12"/>
                <w:b w:val="1"/>
                <w:bCs w:val="1"/>
                <w:color w:val="auto"/>
                <w:w w:val="78"/>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3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$ 39,751</w:t>
            </w:r>
          </w:p>
        </w:tc>
        <w:tc>
          <w:tcPr>
            <w:tcW w:w="1180" w:type="dxa"/>
            <w:vAlign w:val="bottom"/>
            <w:gridSpan w:val="3"/>
            <w:shd w:val="clear" w:color="auto" w:fill="CCEEFF"/>
          </w:tcPr>
          <w:p>
            <w:pPr>
              <w:jc w:val="right"/>
              <w:ind w:right="332"/>
              <w:spacing w:after="0"/>
              <w:rPr>
                <w:sz w:val="20"/>
                <w:szCs w:val="20"/>
                <w:color w:val="auto"/>
              </w:rPr>
            </w:pPr>
            <w:r>
              <w:rPr>
                <w:rFonts w:ascii="Arial" w:cs="Arial" w:eastAsia="Arial" w:hAnsi="Arial"/>
                <w:sz w:val="18"/>
                <w:szCs w:val="18"/>
                <w:color w:val="auto"/>
              </w:rPr>
              <w:t>$ 35,442</w:t>
            </w:r>
          </w:p>
        </w:tc>
        <w:tc>
          <w:tcPr>
            <w:tcW w:w="720" w:type="dxa"/>
            <w:vAlign w:val="bottom"/>
            <w:gridSpan w:val="2"/>
            <w:shd w:val="clear" w:color="auto" w:fill="CCEEFF"/>
          </w:tcPr>
          <w:p>
            <w:pPr>
              <w:jc w:val="right"/>
              <w:ind w:right="58"/>
              <w:spacing w:after="0"/>
              <w:rPr>
                <w:sz w:val="20"/>
                <w:szCs w:val="20"/>
                <w:color w:val="auto"/>
              </w:rPr>
            </w:pPr>
            <w:r>
              <w:rPr>
                <w:rFonts w:ascii="Arial" w:cs="Arial" w:eastAsia="Arial" w:hAnsi="Arial"/>
                <w:sz w:val="18"/>
                <w:szCs w:val="18"/>
                <w:color w:val="auto"/>
              </w:rPr>
              <w:t>12.2%</w:t>
            </w:r>
          </w:p>
        </w:tc>
        <w:tc>
          <w:tcPr>
            <w:tcW w:w="118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w w:val="97"/>
              </w:rPr>
              <w:t>$ 115,037</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$102,260</w:t>
            </w:r>
          </w:p>
        </w:tc>
        <w:tc>
          <w:tcPr>
            <w:tcW w:w="4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12.5%</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4.1%</w:t>
            </w:r>
          </w:p>
        </w:tc>
        <w:tc>
          <w:tcPr>
            <w:tcW w:w="1180" w:type="dxa"/>
            <w:vAlign w:val="bottom"/>
            <w:gridSpan w:val="3"/>
          </w:tcPr>
          <w:p>
            <w:pPr>
              <w:jc w:val="right"/>
              <w:ind w:right="172"/>
              <w:spacing w:after="0"/>
              <w:rPr>
                <w:sz w:val="20"/>
                <w:szCs w:val="20"/>
                <w:color w:val="auto"/>
              </w:rPr>
            </w:pPr>
            <w:r>
              <w:rPr>
                <w:rFonts w:ascii="Arial" w:cs="Arial" w:eastAsia="Arial" w:hAnsi="Arial"/>
                <w:sz w:val="18"/>
                <w:szCs w:val="18"/>
                <w:color w:val="auto"/>
              </w:rPr>
              <w:t>4.4%</w:t>
            </w:r>
          </w:p>
        </w:tc>
        <w:tc>
          <w:tcPr>
            <w:tcW w:w="4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80" w:type="dxa"/>
            <w:vAlign w:val="bottom"/>
            <w:gridSpan w:val="3"/>
          </w:tcPr>
          <w:p>
            <w:pPr>
              <w:jc w:val="right"/>
              <w:ind w:right="240"/>
              <w:spacing w:after="0"/>
              <w:rPr>
                <w:sz w:val="20"/>
                <w:szCs w:val="20"/>
                <w:color w:val="auto"/>
              </w:rPr>
            </w:pPr>
            <w:r>
              <w:rPr>
                <w:rFonts w:ascii="Arial" w:cs="Arial" w:eastAsia="Arial" w:hAnsi="Arial"/>
                <w:sz w:val="18"/>
                <w:szCs w:val="18"/>
                <w:color w:val="auto"/>
              </w:rPr>
              <w:t>4.2%</w:t>
            </w:r>
          </w:p>
        </w:tc>
        <w:tc>
          <w:tcPr>
            <w:tcW w:w="108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increase in selling and marketing expense for the three months ended October 30, 2010 compared to the three months ended October 31, 2009 of $4.3 million included an increase of $1.9 million as a result of higher sponsorship and public relations expenses as we increased our presence in these areas. In addition, personnel related costs increased $1.8 million due to increased headcount and contractor services to support the company’s growth. In addition, in connection with higher levels of sales activities, we have experienced higher travel and sales related costs of $2.0 million. Partially offsetting these increases was a decrease in stock-based compensation costs of $0.9 million.</w:t>
      </w:r>
    </w:p>
    <w:p>
      <w:pPr>
        <w:spacing w:after="0" w:line="143"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The increase in selling and marketing expense for the nine months ended October 30, 2010 compared to the nine months ended October 31, 2009 of $12.8 million was primarily due to an increase of $6.5 million in trade show and public relations expenses as we increased our presence in these areas. In addition, personnel related costs increased $5.8 million due to increased headcount and contractor services to support the company’s growth. Sales representative commissions increased $1.5 million due to the increase in revenue. In addition, in connection with higher levels of sales activities, we have experienced higher travel and sales related costs of $7.1 million. Partially offsetting these increases was a decrease in stock-based compensation costs of $2.7 million. In addition, restructuring costs declined due to $1.8 million of severance related costs recorded during the nine months ended October 31, 2009.</w:t>
      </w:r>
    </w:p>
    <w:p>
      <w:pPr>
        <w:spacing w:after="0" w:line="12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We currently expect that selling and marketing expense during the fourth quarter ending January 29, 2011 will increase slightly from the level of expense reported during the third quarter ended October 30, 2010.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00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gridSpan w:val="2"/>
            <w:vMerge w:val="restart"/>
          </w:tcPr>
          <w:p>
            <w:pPr>
              <w:jc w:val="center"/>
              <w:ind w:left="246"/>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2300" w:type="dxa"/>
            <w:vAlign w:val="bottom"/>
            <w:gridSpan w:val="4"/>
          </w:tcPr>
          <w:p>
            <w:pPr>
              <w:jc w:val="right"/>
              <w:ind w:right="80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0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6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w w:val="85"/>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0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4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20" w:type="dxa"/>
            <w:vAlign w:val="bottom"/>
            <w:gridSpan w:val="2"/>
          </w:tcPr>
          <w:p>
            <w:pPr>
              <w:jc w:val="center"/>
              <w:ind w:right="412"/>
              <w:spacing w:after="0"/>
              <w:rPr>
                <w:sz w:val="20"/>
                <w:szCs w:val="20"/>
                <w:color w:val="auto"/>
              </w:rPr>
            </w:pPr>
            <w:r>
              <w:rPr>
                <w:rFonts w:ascii="Arial" w:cs="Arial" w:eastAsia="Arial" w:hAnsi="Arial"/>
                <w:sz w:val="14"/>
                <w:szCs w:val="14"/>
                <w:b w:val="1"/>
                <w:bCs w:val="1"/>
                <w:color w:val="auto"/>
                <w:w w:val="85"/>
              </w:rPr>
              <w:t>Change</w:t>
            </w: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2010</w:t>
            </w:r>
          </w:p>
        </w:tc>
        <w:tc>
          <w:tcPr>
            <w:tcW w:w="46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2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30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rPr>
              <w:t>except</w:t>
            </w:r>
          </w:p>
        </w:tc>
        <w:tc>
          <w:tcPr>
            <w:tcW w:w="6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percentage)</w:t>
            </w:r>
          </w:p>
        </w:tc>
        <w:tc>
          <w:tcPr>
            <w:tcW w:w="4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8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$ 29,576</w:t>
            </w:r>
          </w:p>
        </w:tc>
        <w:tc>
          <w:tcPr>
            <w:tcW w:w="32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$ 16,660</w:t>
            </w:r>
          </w:p>
        </w:tc>
        <w:tc>
          <w:tcPr>
            <w:tcW w:w="1220" w:type="dxa"/>
            <w:vAlign w:val="bottom"/>
            <w:gridSpan w:val="3"/>
            <w:shd w:val="clear" w:color="auto" w:fill="CCEEFF"/>
          </w:tcPr>
          <w:p>
            <w:pPr>
              <w:jc w:val="right"/>
              <w:ind w:right="252"/>
              <w:spacing w:after="0"/>
              <w:rPr>
                <w:sz w:val="20"/>
                <w:szCs w:val="20"/>
                <w:color w:val="auto"/>
              </w:rPr>
            </w:pPr>
            <w:r>
              <w:rPr>
                <w:rFonts w:ascii="Arial" w:cs="Arial" w:eastAsia="Arial" w:hAnsi="Arial"/>
                <w:sz w:val="18"/>
                <w:szCs w:val="18"/>
                <w:color w:val="auto"/>
              </w:rPr>
              <w:t>77.5%</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$ 78,124</w:t>
            </w:r>
          </w:p>
        </w:tc>
        <w:tc>
          <w:tcPr>
            <w:tcW w:w="46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$148,856</w:t>
            </w:r>
          </w:p>
        </w:tc>
        <w:tc>
          <w:tcPr>
            <w:tcW w:w="4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(47.5)%</w:t>
            </w:r>
          </w:p>
        </w:tc>
        <w:tc>
          <w:tcPr>
            <w:tcW w:w="0" w:type="dxa"/>
            <w:vAlign w:val="bottom"/>
          </w:tcPr>
          <w:p>
            <w:pPr>
              <w:spacing w:after="0"/>
              <w:rPr>
                <w:sz w:val="1"/>
                <w:szCs w:val="1"/>
                <w:color w:val="auto"/>
              </w:rPr>
            </w:pPr>
          </w:p>
        </w:tc>
      </w:tr>
      <w:tr>
        <w:trPr>
          <w:trHeight w:val="222"/>
        </w:trPr>
        <w:tc>
          <w:tcPr>
            <w:tcW w:w="520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gridSpan w:val="2"/>
          </w:tcPr>
          <w:p>
            <w:pPr>
              <w:jc w:val="right"/>
              <w:ind w:right="180"/>
              <w:spacing w:after="0"/>
              <w:rPr>
                <w:sz w:val="20"/>
                <w:szCs w:val="20"/>
                <w:color w:val="auto"/>
              </w:rPr>
            </w:pPr>
            <w:r>
              <w:rPr>
                <w:rFonts w:ascii="Arial" w:cs="Arial" w:eastAsia="Arial" w:hAnsi="Arial"/>
                <w:sz w:val="18"/>
                <w:szCs w:val="18"/>
                <w:color w:val="auto"/>
              </w:rPr>
              <w:t>3.1%</w:t>
            </w:r>
          </w:p>
        </w:tc>
        <w:tc>
          <w:tcPr>
            <w:tcW w:w="1000" w:type="dxa"/>
            <w:vAlign w:val="bottom"/>
            <w:gridSpan w:val="3"/>
          </w:tcPr>
          <w:p>
            <w:pPr>
              <w:jc w:val="right"/>
              <w:ind w:right="20"/>
              <w:spacing w:after="0"/>
              <w:rPr>
                <w:sz w:val="20"/>
                <w:szCs w:val="20"/>
                <w:color w:val="auto"/>
              </w:rPr>
            </w:pPr>
            <w:r>
              <w:rPr>
                <w:rFonts w:ascii="Arial" w:cs="Arial" w:eastAsia="Arial" w:hAnsi="Arial"/>
                <w:sz w:val="18"/>
                <w:szCs w:val="18"/>
                <w:color w:val="auto"/>
              </w:rPr>
              <w:t>2.1%</w:t>
            </w:r>
          </w:p>
        </w:tc>
        <w:tc>
          <w:tcPr>
            <w:tcW w:w="3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140" w:type="dxa"/>
            <w:vAlign w:val="bottom"/>
            <w:gridSpan w:val="2"/>
          </w:tcPr>
          <w:p>
            <w:pPr>
              <w:jc w:val="right"/>
              <w:ind w:right="320"/>
              <w:spacing w:after="0"/>
              <w:rPr>
                <w:sz w:val="20"/>
                <w:szCs w:val="20"/>
                <w:color w:val="auto"/>
              </w:rPr>
            </w:pPr>
            <w:r>
              <w:rPr>
                <w:rFonts w:ascii="Arial" w:cs="Arial" w:eastAsia="Arial" w:hAnsi="Arial"/>
                <w:sz w:val="18"/>
                <w:szCs w:val="18"/>
                <w:color w:val="auto"/>
              </w:rPr>
              <w:t>2.9%</w:t>
            </w:r>
          </w:p>
        </w:tc>
        <w:tc>
          <w:tcPr>
            <w:tcW w:w="1160" w:type="dxa"/>
            <w:vAlign w:val="bottom"/>
            <w:gridSpan w:val="2"/>
          </w:tcPr>
          <w:p>
            <w:pPr>
              <w:jc w:val="right"/>
              <w:ind w:right="320"/>
              <w:spacing w:after="0"/>
              <w:rPr>
                <w:sz w:val="20"/>
                <w:szCs w:val="20"/>
                <w:color w:val="auto"/>
              </w:rPr>
            </w:pPr>
            <w:r>
              <w:rPr>
                <w:rFonts w:ascii="Arial" w:cs="Arial" w:eastAsia="Arial" w:hAnsi="Arial"/>
                <w:sz w:val="18"/>
                <w:szCs w:val="18"/>
                <w:color w:val="auto"/>
              </w:rPr>
              <w:t>7.6%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increase in general and administrative expense for the three months ended October 30, 2010 compared to the three months ended October 31, 2009 of $12.9 million was primarily due to a significant increase in legal fees primarily due to the timing of trial activity. In addition, personnel and related cost increased by $2.7 million due mainly to higher contractor services.</w:t>
      </w:r>
    </w:p>
    <w:p>
      <w:pPr>
        <w:spacing w:after="0" w:line="14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The decrease in general and administrative expense for the nine months ended October 30, 2010 compared to the nine months ended October 31, 2009 of $70.7 million was primarily due to a $72.0 million settlement recorded in the nine months ended October 31, 2009 in connection with the settlement of the class action securities litigation related to our historical stock option granting practices. In addition, legal fees decreased significantly primarily due to the timing of trial activity and lower activity as a result of the settlement of various litigation matters. Partially offsetting the decreases was an increase in personnel and related cost of $5.9 million due to higher increased headcount and contractor services to support the company’s growth, as well as higher incentive compensation costs due to the higher revenue and operating profit compared to the prior year. Finally, stock-based compensation increased $3.7 million due to the impact of executive performance grants.</w:t>
      </w:r>
    </w:p>
    <w:p>
      <w:pPr>
        <w:spacing w:after="0" w:line="147"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We currently expect that general and administrative expense during the fourth quarter ending January 29, 2011 will increase slightly from the level of expense reported during the third quarter ended October 30, 2010.</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98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740" w:type="dxa"/>
            <w:vAlign w:val="bottom"/>
            <w:gridSpan w:val="2"/>
            <w:vMerge w:val="restart"/>
          </w:tcPr>
          <w:p>
            <w:pPr>
              <w:jc w:val="center"/>
              <w:ind w:left="206"/>
              <w:spacing w:after="0"/>
              <w:rPr>
                <w:sz w:val="20"/>
                <w:szCs w:val="20"/>
                <w:color w:val="auto"/>
              </w:rPr>
            </w:pPr>
            <w:r>
              <w:rPr>
                <w:rFonts w:ascii="Arial" w:cs="Arial" w:eastAsia="Arial" w:hAnsi="Arial"/>
                <w:sz w:val="14"/>
                <w:szCs w:val="14"/>
                <w:b w:val="1"/>
                <w:bCs w:val="1"/>
                <w:color w:val="auto"/>
              </w:rPr>
              <w:t>%</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8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6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6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00" w:type="dxa"/>
            <w:vAlign w:val="bottom"/>
          </w:tcPr>
          <w:p>
            <w:pPr>
              <w:spacing w:after="0"/>
              <w:rPr>
                <w:sz w:val="14"/>
                <w:szCs w:val="14"/>
                <w:color w:val="auto"/>
              </w:rPr>
            </w:pPr>
          </w:p>
        </w:tc>
        <w:tc>
          <w:tcPr>
            <w:tcW w:w="18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4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20" w:type="dxa"/>
            <w:vAlign w:val="bottom"/>
            <w:gridSpan w:val="2"/>
          </w:tcPr>
          <w:p>
            <w:pPr>
              <w:jc w:val="center"/>
              <w:ind w:right="272"/>
              <w:spacing w:after="0"/>
              <w:rPr>
                <w:sz w:val="20"/>
                <w:szCs w:val="20"/>
                <w:color w:val="auto"/>
              </w:rPr>
            </w:pPr>
            <w:r>
              <w:rPr>
                <w:rFonts w:ascii="Arial" w:cs="Arial" w:eastAsia="Arial" w:hAnsi="Arial"/>
                <w:sz w:val="14"/>
                <w:szCs w:val="14"/>
                <w:b w:val="1"/>
                <w:bCs w:val="1"/>
                <w:color w:val="auto"/>
                <w:w w:val="85"/>
              </w:rPr>
              <w:t>Change</w:t>
            </w:r>
          </w:p>
        </w:tc>
        <w:tc>
          <w:tcPr>
            <w:tcW w:w="820" w:type="dxa"/>
            <w:vAlign w:val="bottom"/>
            <w:gridSpan w:val="2"/>
          </w:tcPr>
          <w:p>
            <w:pPr>
              <w:jc w:val="center"/>
              <w:ind w:left="79"/>
              <w:spacing w:after="0"/>
              <w:rPr>
                <w:sz w:val="20"/>
                <w:szCs w:val="20"/>
                <w:color w:val="auto"/>
              </w:rPr>
            </w:pPr>
            <w:r>
              <w:rPr>
                <w:rFonts w:ascii="Arial" w:cs="Arial" w:eastAsia="Arial" w:hAnsi="Arial"/>
                <w:sz w:val="14"/>
                <w:szCs w:val="14"/>
                <w:b w:val="1"/>
                <w:bCs w:val="1"/>
                <w:color w:val="auto"/>
                <w:w w:val="83"/>
              </w:rPr>
              <w:t>2010</w:t>
            </w:r>
          </w:p>
        </w:tc>
        <w:tc>
          <w:tcPr>
            <w:tcW w:w="300" w:type="dxa"/>
            <w:vAlign w:val="bottom"/>
          </w:tcPr>
          <w:p>
            <w:pPr>
              <w:spacing w:after="0"/>
              <w:rPr>
                <w:sz w:val="14"/>
                <w:szCs w:val="14"/>
                <w:color w:val="auto"/>
              </w:rPr>
            </w:pPr>
          </w:p>
        </w:tc>
        <w:tc>
          <w:tcPr>
            <w:tcW w:w="8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60" w:type="dxa"/>
            <w:vAlign w:val="bottom"/>
          </w:tcPr>
          <w:p>
            <w:pPr>
              <w:spacing w:after="0"/>
              <w:rPr>
                <w:sz w:val="12"/>
                <w:szCs w:val="12"/>
                <w:color w:val="auto"/>
              </w:rPr>
            </w:pPr>
          </w:p>
        </w:tc>
        <w:tc>
          <w:tcPr>
            <w:tcW w:w="280" w:type="dxa"/>
            <w:vAlign w:val="bottom"/>
          </w:tcPr>
          <w:p>
            <w:pPr>
              <w:ind w:left="40"/>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tcBorders>
              <w:top w:val="single" w:sz="8" w:color="auto"/>
            </w:tcBorders>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500" w:type="dxa"/>
            <w:vAlign w:val="bottom"/>
            <w:gridSpan w:val="2"/>
          </w:tcPr>
          <w:p>
            <w:pPr>
              <w:ind w:left="140"/>
              <w:spacing w:after="0" w:line="142" w:lineRule="exact"/>
              <w:rPr>
                <w:sz w:val="20"/>
                <w:szCs w:val="20"/>
                <w:color w:val="auto"/>
              </w:rPr>
            </w:pPr>
            <w:r>
              <w:rPr>
                <w:rFonts w:ascii="Arial" w:cs="Arial" w:eastAsia="Arial" w:hAnsi="Arial"/>
                <w:sz w:val="14"/>
                <w:szCs w:val="14"/>
                <w:b w:val="1"/>
                <w:bCs w:val="1"/>
                <w:color w:val="auto"/>
                <w:w w:val="76"/>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0"/>
              </w:rPr>
              <w:t>percentage)</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10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$ 21,770</w:t>
            </w:r>
          </w:p>
        </w:tc>
        <w:tc>
          <w:tcPr>
            <w:tcW w:w="10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$ 26,450</w:t>
            </w:r>
          </w:p>
        </w:tc>
        <w:tc>
          <w:tcPr>
            <w:tcW w:w="110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(17.7)%</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$ 65,533</w:t>
            </w:r>
          </w:p>
        </w:tc>
        <w:tc>
          <w:tcPr>
            <w:tcW w:w="300" w:type="dxa"/>
            <w:vAlign w:val="bottom"/>
            <w:shd w:val="clear" w:color="auto" w:fill="CCEEFF"/>
          </w:tcPr>
          <w:p>
            <w:pPr>
              <w:spacing w:after="0"/>
              <w:rPr>
                <w:sz w:val="18"/>
                <w:szCs w:val="18"/>
                <w:color w:val="auto"/>
              </w:rPr>
            </w:pPr>
          </w:p>
        </w:tc>
        <w:tc>
          <w:tcPr>
            <w:tcW w:w="13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$ 83,252</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(21.3)%</w:t>
            </w:r>
          </w:p>
        </w:tc>
        <w:tc>
          <w:tcPr>
            <w:tcW w:w="0" w:type="dxa"/>
            <w:vAlign w:val="bottom"/>
          </w:tcPr>
          <w:p>
            <w:pPr>
              <w:spacing w:after="0"/>
              <w:rPr>
                <w:sz w:val="1"/>
                <w:szCs w:val="1"/>
                <w:color w:val="auto"/>
              </w:rPr>
            </w:pPr>
          </w:p>
        </w:tc>
      </w:tr>
      <w:tr>
        <w:trPr>
          <w:trHeight w:val="222"/>
        </w:trPr>
        <w:tc>
          <w:tcPr>
            <w:tcW w:w="4100" w:type="dxa"/>
            <w:vAlign w:val="bottom"/>
          </w:tcPr>
          <w:p>
            <w:pPr>
              <w:spacing w:after="0"/>
              <w:rPr>
                <w:sz w:val="20"/>
                <w:szCs w:val="20"/>
                <w:color w:val="auto"/>
              </w:rPr>
            </w:pPr>
            <w:r>
              <w:rPr>
                <w:rFonts w:ascii="Arial" w:cs="Arial" w:eastAsia="Arial" w:hAnsi="Arial"/>
                <w:sz w:val="18"/>
                <w:szCs w:val="18"/>
                <w:color w:val="auto"/>
              </w:rPr>
              <w:t>% of net revenue</w:t>
            </w:r>
          </w:p>
        </w:tc>
        <w:tc>
          <w:tcPr>
            <w:tcW w:w="2100" w:type="dxa"/>
            <w:vAlign w:val="bottom"/>
            <w:gridSpan w:val="3"/>
          </w:tcPr>
          <w:p>
            <w:pPr>
              <w:jc w:val="right"/>
              <w:ind w:right="160"/>
              <w:spacing w:after="0"/>
              <w:rPr>
                <w:sz w:val="20"/>
                <w:szCs w:val="20"/>
                <w:color w:val="auto"/>
              </w:rPr>
            </w:pPr>
            <w:r>
              <w:rPr>
                <w:rFonts w:ascii="Arial" w:cs="Arial" w:eastAsia="Arial" w:hAnsi="Arial"/>
                <w:sz w:val="18"/>
                <w:szCs w:val="18"/>
                <w:color w:val="auto"/>
              </w:rPr>
              <w:t>2.3%</w:t>
            </w:r>
          </w:p>
        </w:tc>
        <w:tc>
          <w:tcPr>
            <w:tcW w:w="1000" w:type="dxa"/>
            <w:vAlign w:val="bottom"/>
            <w:gridSpan w:val="3"/>
          </w:tcPr>
          <w:p>
            <w:pPr>
              <w:jc w:val="right"/>
              <w:ind w:right="20"/>
              <w:spacing w:after="0"/>
              <w:rPr>
                <w:sz w:val="20"/>
                <w:szCs w:val="20"/>
                <w:color w:val="auto"/>
              </w:rPr>
            </w:pPr>
            <w:r>
              <w:rPr>
                <w:rFonts w:ascii="Arial" w:cs="Arial" w:eastAsia="Arial" w:hAnsi="Arial"/>
                <w:sz w:val="18"/>
                <w:szCs w:val="18"/>
                <w:color w:val="auto"/>
              </w:rPr>
              <w:t>3.3%</w:t>
            </w: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120" w:type="dxa"/>
            <w:vAlign w:val="bottom"/>
            <w:gridSpan w:val="3"/>
          </w:tcPr>
          <w:p>
            <w:pPr>
              <w:jc w:val="right"/>
              <w:ind w:right="140"/>
              <w:spacing w:after="0"/>
              <w:rPr>
                <w:sz w:val="20"/>
                <w:szCs w:val="20"/>
                <w:color w:val="auto"/>
              </w:rPr>
            </w:pPr>
            <w:r>
              <w:rPr>
                <w:rFonts w:ascii="Arial" w:cs="Arial" w:eastAsia="Arial" w:hAnsi="Arial"/>
                <w:sz w:val="18"/>
                <w:szCs w:val="18"/>
                <w:color w:val="auto"/>
              </w:rPr>
              <w:t>2.4%</w:t>
            </w:r>
          </w:p>
        </w:tc>
        <w:tc>
          <w:tcPr>
            <w:tcW w:w="1300" w:type="dxa"/>
            <w:vAlign w:val="bottom"/>
            <w:gridSpan w:val="3"/>
          </w:tcPr>
          <w:p>
            <w:pPr>
              <w:jc w:val="right"/>
              <w:ind w:right="320"/>
              <w:spacing w:after="0"/>
              <w:rPr>
                <w:sz w:val="20"/>
                <w:szCs w:val="20"/>
                <w:color w:val="auto"/>
              </w:rPr>
            </w:pPr>
            <w:r>
              <w:rPr>
                <w:rFonts w:ascii="Arial" w:cs="Arial" w:eastAsia="Arial" w:hAnsi="Arial"/>
                <w:sz w:val="18"/>
                <w:szCs w:val="18"/>
                <w:color w:val="auto"/>
              </w:rPr>
              <w:t>4.2%</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100" w:type="dxa"/>
            <w:vAlign w:val="bottom"/>
          </w:tcPr>
          <w:p>
            <w:pPr>
              <w:spacing w:after="0"/>
              <w:rPr>
                <w:sz w:val="24"/>
                <w:szCs w:val="24"/>
                <w:color w:val="auto"/>
              </w:rPr>
            </w:pPr>
          </w:p>
        </w:tc>
        <w:tc>
          <w:tcPr>
            <w:tcW w:w="1800" w:type="dxa"/>
            <w:vAlign w:val="bottom"/>
            <w:gridSpan w:val="2"/>
          </w:tcPr>
          <w:p>
            <w:pPr>
              <w:jc w:val="right"/>
              <w:ind w:right="32"/>
              <w:spacing w:after="0"/>
              <w:rPr>
                <w:sz w:val="20"/>
                <w:szCs w:val="20"/>
                <w:color w:val="auto"/>
              </w:rPr>
            </w:pPr>
            <w:r>
              <w:rPr>
                <w:rFonts w:ascii="Arial" w:cs="Arial" w:eastAsia="Arial" w:hAnsi="Arial"/>
                <w:sz w:val="18"/>
                <w:szCs w:val="18"/>
                <w:color w:val="auto"/>
              </w:rPr>
              <w:t>27</w:t>
            </w: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and nine months ended October 30, 2010 compared to the three and nine months ended October 31, 2009 was due to intangible assets from certain acquisitions becoming fully amortized and the effects of the write-off of certain purchased intangibles during the fourth quarter ended January 30, 2010.</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and Other Income (Expense),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0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360" w:type="dxa"/>
            <w:vAlign w:val="bottom"/>
            <w:gridSpan w:val="4"/>
          </w:tcPr>
          <w:p>
            <w:pPr>
              <w:jc w:val="right"/>
              <w:ind w:right="752"/>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60" w:type="dxa"/>
            <w:vAlign w:val="bottom"/>
            <w:gridSpan w:val="6"/>
          </w:tcPr>
          <w:p>
            <w:pPr>
              <w:jc w:val="right"/>
              <w:ind w:right="780"/>
              <w:spacing w:after="0"/>
              <w:rPr>
                <w:sz w:val="20"/>
                <w:szCs w:val="20"/>
                <w:color w:val="auto"/>
              </w:rPr>
            </w:pPr>
            <w:r>
              <w:rPr>
                <w:rFonts w:ascii="Arial" w:cs="Arial" w:eastAsia="Arial" w:hAnsi="Arial"/>
                <w:sz w:val="14"/>
                <w:szCs w:val="14"/>
                <w:b w:val="1"/>
                <w:bCs w:val="1"/>
                <w:color w:val="auto"/>
              </w:rPr>
              <w:t>Nine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0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Borders>
              <w:top w:val="single" w:sz="8" w:color="auto"/>
            </w:tcBorders>
            <w:gridSpan w:val="2"/>
          </w:tcPr>
          <w:p>
            <w:pPr>
              <w:jc w:val="center"/>
              <w:ind w:right="500"/>
              <w:spacing w:after="0" w:line="129" w:lineRule="exact"/>
              <w:rPr>
                <w:sz w:val="20"/>
                <w:szCs w:val="20"/>
                <w:color w:val="auto"/>
              </w:rPr>
            </w:pPr>
            <w:r>
              <w:rPr>
                <w:rFonts w:ascii="Arial" w:cs="Arial" w:eastAsia="Arial" w:hAnsi="Arial"/>
                <w:sz w:val="14"/>
                <w:szCs w:val="14"/>
                <w:b w:val="1"/>
                <w:bCs w:val="1"/>
                <w:color w:val="auto"/>
                <w:w w:val="88"/>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0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8"/>
              </w:rPr>
              <w:t>October 30,</w:t>
            </w:r>
          </w:p>
        </w:tc>
        <w:tc>
          <w:tcPr>
            <w:tcW w:w="1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3"/>
              </w:rPr>
              <w:t>October 31,</w:t>
            </w:r>
          </w:p>
        </w:tc>
        <w:tc>
          <w:tcPr>
            <w:tcW w:w="4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000" w:type="dxa"/>
            <w:vAlign w:val="bottom"/>
          </w:tcPr>
          <w:p>
            <w:pPr>
              <w:spacing w:after="0"/>
              <w:rPr>
                <w:sz w:val="14"/>
                <w:szCs w:val="14"/>
                <w:color w:val="auto"/>
              </w:rPr>
            </w:pPr>
          </w:p>
        </w:tc>
        <w:tc>
          <w:tcPr>
            <w:tcW w:w="18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2010</w:t>
            </w:r>
          </w:p>
        </w:tc>
        <w:tc>
          <w:tcPr>
            <w:tcW w:w="50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2009</w:t>
            </w:r>
          </w:p>
        </w:tc>
        <w:tc>
          <w:tcPr>
            <w:tcW w:w="500" w:type="dxa"/>
            <w:vAlign w:val="bottom"/>
          </w:tcPr>
          <w:p>
            <w:pPr>
              <w:spacing w:after="0"/>
              <w:rPr>
                <w:sz w:val="14"/>
                <w:szCs w:val="14"/>
                <w:color w:val="auto"/>
              </w:rPr>
            </w:pPr>
          </w:p>
        </w:tc>
        <w:tc>
          <w:tcPr>
            <w:tcW w:w="740" w:type="dxa"/>
            <w:vAlign w:val="bottom"/>
            <w:gridSpan w:val="2"/>
          </w:tcPr>
          <w:p>
            <w:pPr>
              <w:jc w:val="center"/>
              <w:ind w:right="232"/>
              <w:spacing w:after="0"/>
              <w:rPr>
                <w:sz w:val="20"/>
                <w:szCs w:val="20"/>
                <w:color w:val="auto"/>
              </w:rPr>
            </w:pPr>
            <w:r>
              <w:rPr>
                <w:rFonts w:ascii="Arial" w:cs="Arial" w:eastAsia="Arial" w:hAnsi="Arial"/>
                <w:sz w:val="14"/>
                <w:szCs w:val="14"/>
                <w:b w:val="1"/>
                <w:bCs w:val="1"/>
                <w:color w:val="auto"/>
                <w:w w:val="85"/>
              </w:rPr>
              <w:t>Change</w:t>
            </w:r>
          </w:p>
        </w:tc>
        <w:tc>
          <w:tcPr>
            <w:tcW w:w="820" w:type="dxa"/>
            <w:vAlign w:val="bottom"/>
            <w:gridSpan w:val="2"/>
          </w:tcPr>
          <w:p>
            <w:pPr>
              <w:jc w:val="center"/>
              <w:ind w:left="79"/>
              <w:spacing w:after="0"/>
              <w:rPr>
                <w:sz w:val="20"/>
                <w:szCs w:val="20"/>
                <w:color w:val="auto"/>
              </w:rPr>
            </w:pPr>
            <w:r>
              <w:rPr>
                <w:rFonts w:ascii="Arial" w:cs="Arial" w:eastAsia="Arial" w:hAnsi="Arial"/>
                <w:sz w:val="14"/>
                <w:szCs w:val="14"/>
                <w:b w:val="1"/>
                <w:bCs w:val="1"/>
                <w:color w:val="auto"/>
                <w:w w:val="83"/>
              </w:rPr>
              <w:t>2010</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jc w:val="right"/>
              <w:ind w:right="119"/>
              <w:spacing w:after="0"/>
              <w:rPr>
                <w:sz w:val="20"/>
                <w:szCs w:val="20"/>
                <w:color w:val="auto"/>
              </w:rPr>
            </w:pPr>
            <w:r>
              <w:rPr>
                <w:rFonts w:ascii="Arial" w:cs="Arial" w:eastAsia="Arial" w:hAnsi="Arial"/>
                <w:sz w:val="14"/>
                <w:szCs w:val="14"/>
                <w:b w:val="1"/>
                <w:bCs w:val="1"/>
                <w:color w:val="auto"/>
                <w:w w:val="96"/>
              </w:rPr>
              <w:t>2009</w:t>
            </w:r>
          </w:p>
        </w:tc>
        <w:tc>
          <w:tcPr>
            <w:tcW w:w="460" w:type="dxa"/>
            <w:vAlign w:val="bottom"/>
          </w:tcPr>
          <w:p>
            <w:pPr>
              <w:spacing w:after="0"/>
              <w:rPr>
                <w:sz w:val="14"/>
                <w:szCs w:val="14"/>
                <w:color w:val="auto"/>
              </w:rPr>
            </w:pPr>
          </w:p>
        </w:tc>
        <w:tc>
          <w:tcPr>
            <w:tcW w:w="7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0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500" w:type="dxa"/>
            <w:vAlign w:val="bottom"/>
          </w:tcPr>
          <w:p>
            <w:pPr>
              <w:jc w:val="right"/>
              <w:ind w:right="92"/>
              <w:spacing w:after="0" w:line="142" w:lineRule="exact"/>
              <w:rPr>
                <w:sz w:val="20"/>
                <w:szCs w:val="20"/>
                <w:color w:val="auto"/>
              </w:rPr>
            </w:pPr>
            <w:r>
              <w:rPr>
                <w:rFonts w:ascii="Arial" w:cs="Arial" w:eastAsia="Arial" w:hAnsi="Arial"/>
                <w:sz w:val="14"/>
                <w:szCs w:val="14"/>
                <w:b w:val="1"/>
                <w:bCs w:val="1"/>
                <w:color w:val="auto"/>
              </w:rPr>
              <w:t>(in</w:t>
            </w:r>
          </w:p>
        </w:tc>
        <w:tc>
          <w:tcPr>
            <w:tcW w:w="440" w:type="dxa"/>
            <w:vAlign w:val="bottom"/>
            <w:tcBorders>
              <w:top w:val="single" w:sz="8" w:color="auto"/>
            </w:tcBorders>
          </w:tcPr>
          <w:p>
            <w:pPr>
              <w:jc w:val="center"/>
              <w:spacing w:after="0"/>
              <w:rPr>
                <w:sz w:val="20"/>
                <w:szCs w:val="20"/>
                <w:color w:val="auto"/>
              </w:rPr>
            </w:pPr>
            <w:r>
              <w:rPr>
                <w:rFonts w:ascii="Arial" w:cs="Arial" w:eastAsia="Arial" w:hAnsi="Arial"/>
                <w:sz w:val="11"/>
                <w:szCs w:val="11"/>
                <w:b w:val="1"/>
                <w:bCs w:val="1"/>
                <w:color w:val="auto"/>
                <w:w w:val="74"/>
              </w:rPr>
              <w:t>thousands,</w:t>
            </w:r>
          </w:p>
        </w:tc>
        <w:tc>
          <w:tcPr>
            <w:tcW w:w="440" w:type="dxa"/>
            <w:vAlign w:val="bottom"/>
            <w:gridSpan w:val="2"/>
          </w:tcPr>
          <w:p>
            <w:pPr>
              <w:ind w:left="100"/>
              <w:spacing w:after="0" w:line="142" w:lineRule="exact"/>
              <w:rPr>
                <w:sz w:val="20"/>
                <w:szCs w:val="20"/>
                <w:color w:val="auto"/>
              </w:rPr>
            </w:pPr>
            <w:r>
              <w:rPr>
                <w:rFonts w:ascii="Arial" w:cs="Arial" w:eastAsia="Arial" w:hAnsi="Arial"/>
                <w:sz w:val="14"/>
                <w:szCs w:val="14"/>
                <w:b w:val="1"/>
                <w:bCs w:val="1"/>
                <w:color w:val="auto"/>
                <w:w w:val="72"/>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78"/>
              </w:rPr>
              <w:t>percentage)</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spacing w:after="0"/>
              <w:rPr>
                <w:sz w:val="12"/>
                <w:szCs w:val="12"/>
                <w:color w:val="auto"/>
              </w:rPr>
            </w:pPr>
          </w:p>
        </w:tc>
        <w:tc>
          <w:tcPr>
            <w:tcW w:w="460" w:type="dxa"/>
            <w:vAlign w:val="bottom"/>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234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  (1,634)</w:t>
            </w:r>
          </w:p>
        </w:tc>
        <w:tc>
          <w:tcPr>
            <w:tcW w:w="1180" w:type="dxa"/>
            <w:vAlign w:val="bottom"/>
            <w:gridSpan w:val="2"/>
            <w:shd w:val="clear" w:color="auto" w:fill="CCEEFF"/>
          </w:tcPr>
          <w:p>
            <w:pPr>
              <w:jc w:val="right"/>
              <w:ind w:right="372"/>
              <w:spacing w:after="0"/>
              <w:rPr>
                <w:sz w:val="20"/>
                <w:szCs w:val="20"/>
                <w:color w:val="auto"/>
              </w:rPr>
            </w:pPr>
            <w:r>
              <w:rPr>
                <w:rFonts w:ascii="Arial" w:cs="Arial" w:eastAsia="Arial" w:hAnsi="Arial"/>
                <w:sz w:val="18"/>
                <w:szCs w:val="18"/>
                <w:color w:val="auto"/>
                <w:w w:val="93"/>
              </w:rPr>
              <w:t>$  (1,303)</w:t>
            </w:r>
          </w:p>
        </w:tc>
        <w:tc>
          <w:tcPr>
            <w:tcW w:w="740" w:type="dxa"/>
            <w:vAlign w:val="bottom"/>
            <w:gridSpan w:val="2"/>
            <w:shd w:val="clear" w:color="auto" w:fill="CCEEFF"/>
          </w:tcPr>
          <w:p>
            <w:pPr>
              <w:jc w:val="right"/>
              <w:ind w:right="92"/>
              <w:spacing w:after="0"/>
              <w:rPr>
                <w:sz w:val="20"/>
                <w:szCs w:val="20"/>
                <w:color w:val="auto"/>
              </w:rPr>
            </w:pPr>
            <w:r>
              <w:rPr>
                <w:rFonts w:ascii="Arial" w:cs="Arial" w:eastAsia="Arial" w:hAnsi="Arial"/>
                <w:sz w:val="18"/>
                <w:szCs w:val="18"/>
                <w:color w:val="auto"/>
              </w:rPr>
              <w:t>25.4%</w:t>
            </w:r>
          </w:p>
        </w:tc>
        <w:tc>
          <w:tcPr>
            <w:tcW w:w="11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  (1,082)</w:t>
            </w:r>
          </w:p>
        </w:tc>
        <w:tc>
          <w:tcPr>
            <w:tcW w:w="30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w:t>
            </w:r>
          </w:p>
        </w:tc>
        <w:tc>
          <w:tcPr>
            <w:tcW w:w="46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(358.9)%</w:t>
            </w:r>
          </w:p>
        </w:tc>
        <w:tc>
          <w:tcPr>
            <w:tcW w:w="0" w:type="dxa"/>
            <w:vAlign w:val="bottom"/>
          </w:tcPr>
          <w:p>
            <w:pPr>
              <w:spacing w:after="0"/>
              <w:rPr>
                <w:sz w:val="1"/>
                <w:szCs w:val="1"/>
                <w:color w:val="auto"/>
              </w:rPr>
            </w:pPr>
          </w:p>
        </w:tc>
      </w:tr>
      <w:tr>
        <w:trPr>
          <w:trHeight w:val="222"/>
        </w:trPr>
        <w:tc>
          <w:tcPr>
            <w:tcW w:w="4000" w:type="dxa"/>
            <w:vAlign w:val="bottom"/>
          </w:tcPr>
          <w:p>
            <w:pPr>
              <w:spacing w:after="0"/>
              <w:rPr>
                <w:sz w:val="20"/>
                <w:szCs w:val="20"/>
                <w:color w:val="auto"/>
              </w:rPr>
            </w:pPr>
            <w:r>
              <w:rPr>
                <w:rFonts w:ascii="Arial" w:cs="Arial" w:eastAsia="Arial" w:hAnsi="Arial"/>
                <w:sz w:val="18"/>
                <w:szCs w:val="18"/>
                <w:color w:val="auto"/>
              </w:rPr>
              <w:t>% of net revenue</w:t>
            </w:r>
          </w:p>
        </w:tc>
        <w:tc>
          <w:tcPr>
            <w:tcW w:w="2340" w:type="dxa"/>
            <w:vAlign w:val="bottom"/>
            <w:gridSpan w:val="3"/>
          </w:tcPr>
          <w:p>
            <w:pPr>
              <w:jc w:val="right"/>
              <w:ind w:right="300"/>
              <w:spacing w:after="0"/>
              <w:rPr>
                <w:sz w:val="20"/>
                <w:szCs w:val="20"/>
                <w:color w:val="auto"/>
              </w:rPr>
            </w:pPr>
            <w:r>
              <w:rPr>
                <w:rFonts w:ascii="Arial" w:cs="Arial" w:eastAsia="Arial" w:hAnsi="Arial"/>
                <w:sz w:val="18"/>
                <w:szCs w:val="18"/>
                <w:color w:val="auto"/>
              </w:rPr>
              <w:t>(0.2)%</w:t>
            </w:r>
          </w:p>
        </w:tc>
        <w:tc>
          <w:tcPr>
            <w:tcW w:w="1180" w:type="dxa"/>
            <w:vAlign w:val="bottom"/>
            <w:gridSpan w:val="2"/>
          </w:tcPr>
          <w:p>
            <w:pPr>
              <w:jc w:val="right"/>
              <w:ind w:right="232"/>
              <w:spacing w:after="0"/>
              <w:rPr>
                <w:sz w:val="20"/>
                <w:szCs w:val="20"/>
                <w:color w:val="auto"/>
              </w:rPr>
            </w:pPr>
            <w:r>
              <w:rPr>
                <w:rFonts w:ascii="Arial" w:cs="Arial" w:eastAsia="Arial" w:hAnsi="Arial"/>
                <w:sz w:val="18"/>
                <w:szCs w:val="18"/>
                <w:color w:val="auto"/>
              </w:rPr>
              <w:t>(0.2)%</w:t>
            </w:r>
          </w:p>
        </w:tc>
        <w:tc>
          <w:tcPr>
            <w:tcW w:w="4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20" w:type="dxa"/>
            <w:vAlign w:val="bottom"/>
            <w:gridSpan w:val="3"/>
          </w:tcPr>
          <w:p>
            <w:pPr>
              <w:jc w:val="right"/>
              <w:ind w:right="160"/>
              <w:spacing w:after="0"/>
              <w:rPr>
                <w:sz w:val="20"/>
                <w:szCs w:val="20"/>
                <w:color w:val="auto"/>
              </w:rPr>
            </w:pPr>
            <w:r>
              <w:rPr>
                <w:rFonts w:ascii="Arial" w:cs="Arial" w:eastAsia="Arial" w:hAnsi="Arial"/>
                <w:sz w:val="18"/>
                <w:szCs w:val="18"/>
                <w:color w:val="auto"/>
              </w:rPr>
              <w:t>0.0%</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gridSpan w:val="2"/>
          </w:tcPr>
          <w:p>
            <w:pPr>
              <w:jc w:val="right"/>
              <w:ind w:right="300"/>
              <w:spacing w:after="0"/>
              <w:rPr>
                <w:sz w:val="20"/>
                <w:szCs w:val="20"/>
                <w:color w:val="auto"/>
              </w:rPr>
            </w:pPr>
            <w:r>
              <w:rPr>
                <w:rFonts w:ascii="Arial" w:cs="Arial" w:eastAsia="Arial" w:hAnsi="Arial"/>
                <w:sz w:val="18"/>
                <w:szCs w:val="18"/>
                <w:color w:val="auto"/>
              </w:rPr>
              <w:t>0.0%</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increase in the loss in interest and other income (expense), net for the three months ended October 30, 2010 compared to the three months ended October 31, 2009 was primarily due to $3.0 million in higher unfavorable foreign currency impacts on our tax liabilities as a result of the weakening of the U.S. dollar. Mostly offsetting this impact was $2.2 million of higher interest income due to higher cash and investment balances, as well as higher interest rates.</w:t>
      </w:r>
    </w:p>
    <w:p>
      <w:pPr>
        <w:spacing w:after="0" w:line="107"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The loss in interest and other income (expense), net for the nine months ended October 30, 2010 compared to the income during the nine months ended October 31, 2009 was primarily due to $2.7 million in higher unfavorable foreign currency impacts on our tax liabilities as a result of the weakening of the U.S. dollar. Mostly offsetting this impact was $3.8 million of higher interest income due to cash and investment balances, as well as higher interest rates.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4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w w:val="99"/>
              </w:rPr>
              <w:t>Three Months Ended</w:t>
            </w:r>
          </w:p>
        </w:tc>
        <w:tc>
          <w:tcPr>
            <w:tcW w:w="740" w:type="dxa"/>
            <w:vAlign w:val="bottom"/>
            <w:gridSpan w:val="2"/>
            <w:vMerge w:val="restart"/>
          </w:tcPr>
          <w:p>
            <w:pPr>
              <w:jc w:val="right"/>
              <w:ind w:right="92"/>
              <w:spacing w:after="0"/>
              <w:rPr>
                <w:sz w:val="20"/>
                <w:szCs w:val="20"/>
                <w:color w:val="auto"/>
              </w:rPr>
            </w:pPr>
            <w:r>
              <w:rPr>
                <w:rFonts w:ascii="Arial" w:cs="Arial" w:eastAsia="Arial" w:hAnsi="Arial"/>
                <w:sz w:val="14"/>
                <w:szCs w:val="14"/>
                <w:b w:val="1"/>
                <w:bCs w:val="1"/>
                <w:color w:val="auto"/>
              </w:rPr>
              <w:t>%</w:t>
            </w: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260" w:type="dxa"/>
            <w:vAlign w:val="bottom"/>
            <w:gridSpan w:val="4"/>
          </w:tcPr>
          <w:p>
            <w:pPr>
              <w:jc w:val="right"/>
              <w:ind w:right="880"/>
              <w:spacing w:after="0"/>
              <w:rPr>
                <w:sz w:val="20"/>
                <w:szCs w:val="20"/>
                <w:color w:val="auto"/>
              </w:rPr>
            </w:pPr>
            <w:r>
              <w:rPr>
                <w:rFonts w:ascii="Arial" w:cs="Arial" w:eastAsia="Arial" w:hAnsi="Arial"/>
                <w:sz w:val="14"/>
                <w:szCs w:val="14"/>
                <w:b w:val="1"/>
                <w:bCs w:val="1"/>
                <w:color w:val="auto"/>
              </w:rPr>
              <w:t>Nine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06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20" w:type="dxa"/>
            <w:vAlign w:val="bottom"/>
          </w:tcPr>
          <w:p>
            <w:pPr>
              <w:spacing w:after="0"/>
              <w:rPr>
                <w:sz w:val="11"/>
                <w:szCs w:val="11"/>
                <w:color w:val="auto"/>
              </w:rPr>
            </w:pPr>
          </w:p>
        </w:tc>
        <w:tc>
          <w:tcPr>
            <w:tcW w:w="740" w:type="dxa"/>
            <w:vAlign w:val="bottom"/>
            <w:gridSpan w:val="2"/>
            <w:vMerge w:val="continue"/>
          </w:tcPr>
          <w:p>
            <w:pPr>
              <w:spacing w:after="0"/>
              <w:rPr>
                <w:sz w:val="11"/>
                <w:szCs w:val="11"/>
                <w:color w:val="auto"/>
              </w:rPr>
            </w:pPr>
          </w:p>
        </w:tc>
        <w:tc>
          <w:tcPr>
            <w:tcW w:w="580" w:type="dxa"/>
            <w:vAlign w:val="bottom"/>
          </w:tcPr>
          <w:p>
            <w:pPr>
              <w:spacing w:after="0"/>
              <w:rPr>
                <w:sz w:val="11"/>
                <w:szCs w:val="11"/>
                <w:color w:val="auto"/>
              </w:rPr>
            </w:pPr>
          </w:p>
        </w:tc>
        <w:tc>
          <w:tcPr>
            <w:tcW w:w="12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0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jc w:val="right"/>
              <w:ind w:right="122"/>
              <w:spacing w:after="0"/>
              <w:rPr>
                <w:sz w:val="20"/>
                <w:szCs w:val="20"/>
                <w:color w:val="auto"/>
              </w:rPr>
            </w:pPr>
            <w:r>
              <w:rPr>
                <w:rFonts w:ascii="Arial" w:cs="Arial" w:eastAsia="Arial" w:hAnsi="Arial"/>
                <w:sz w:val="14"/>
                <w:szCs w:val="14"/>
                <w:b w:val="1"/>
                <w:bCs w:val="1"/>
                <w:color w:val="auto"/>
                <w:w w:val="96"/>
              </w:rPr>
              <w:t>2010</w:t>
            </w:r>
          </w:p>
        </w:tc>
        <w:tc>
          <w:tcPr>
            <w:tcW w:w="3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9"/>
              <w:spacing w:after="0"/>
              <w:rPr>
                <w:sz w:val="20"/>
                <w:szCs w:val="20"/>
                <w:color w:val="auto"/>
              </w:rPr>
            </w:pPr>
            <w:r>
              <w:rPr>
                <w:rFonts w:ascii="Arial" w:cs="Arial" w:eastAsia="Arial" w:hAnsi="Arial"/>
                <w:sz w:val="14"/>
                <w:szCs w:val="14"/>
                <w:b w:val="1"/>
                <w:bCs w:val="1"/>
                <w:color w:val="auto"/>
              </w:rPr>
              <w:t>2009</w:t>
            </w:r>
          </w:p>
        </w:tc>
        <w:tc>
          <w:tcPr>
            <w:tcW w:w="220" w:type="dxa"/>
            <w:vAlign w:val="bottom"/>
          </w:tcPr>
          <w:p>
            <w:pPr>
              <w:spacing w:after="0"/>
              <w:rPr>
                <w:sz w:val="14"/>
                <w:szCs w:val="14"/>
                <w:color w:val="auto"/>
              </w:rPr>
            </w:pPr>
          </w:p>
        </w:tc>
        <w:tc>
          <w:tcPr>
            <w:tcW w:w="280" w:type="dxa"/>
            <w:vAlign w:val="bottom"/>
            <w:vMerge w:val="restart"/>
          </w:tcPr>
          <w:p>
            <w:pPr>
              <w:ind w:left="80"/>
              <w:spacing w:after="0"/>
              <w:rPr>
                <w:sz w:val="20"/>
                <w:szCs w:val="20"/>
                <w:color w:val="auto"/>
              </w:rPr>
            </w:pPr>
            <w:r>
              <w:rPr>
                <w:rFonts w:ascii="Arial" w:cs="Arial" w:eastAsia="Arial" w:hAnsi="Arial"/>
                <w:sz w:val="14"/>
                <w:szCs w:val="14"/>
                <w:b w:val="1"/>
                <w:bCs w:val="1"/>
                <w:color w:val="auto"/>
              </w:rPr>
              <w:t>(in</w:t>
            </w:r>
          </w:p>
        </w:tc>
        <w:tc>
          <w:tcPr>
            <w:tcW w:w="460" w:type="dxa"/>
            <w:vAlign w:val="bottom"/>
          </w:tcPr>
          <w:p>
            <w:pPr>
              <w:spacing w:after="0"/>
              <w:rPr>
                <w:sz w:val="20"/>
                <w:szCs w:val="20"/>
                <w:color w:val="auto"/>
              </w:rPr>
            </w:pPr>
            <w:r>
              <w:rPr>
                <w:rFonts w:ascii="Arial" w:cs="Arial" w:eastAsia="Arial" w:hAnsi="Arial"/>
                <w:sz w:val="14"/>
                <w:szCs w:val="14"/>
                <w:b w:val="1"/>
                <w:bCs w:val="1"/>
                <w:color w:val="auto"/>
                <w:w w:val="85"/>
              </w:rPr>
              <w:t>Change</w:t>
            </w: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20" w:type="dxa"/>
            <w:vAlign w:val="bottom"/>
          </w:tcPr>
          <w:p>
            <w:pPr>
              <w:jc w:val="right"/>
              <w:ind w:right="122"/>
              <w:spacing w:after="0"/>
              <w:rPr>
                <w:sz w:val="20"/>
                <w:szCs w:val="20"/>
                <w:color w:val="auto"/>
              </w:rPr>
            </w:pPr>
            <w:r>
              <w:rPr>
                <w:rFonts w:ascii="Arial" w:cs="Arial" w:eastAsia="Arial" w:hAnsi="Arial"/>
                <w:sz w:val="14"/>
                <w:szCs w:val="14"/>
                <w:b w:val="1"/>
                <w:bCs w:val="1"/>
                <w:color w:val="auto"/>
                <w:w w:val="96"/>
              </w:rPr>
              <w:t>2010</w:t>
            </w:r>
          </w:p>
        </w:tc>
        <w:tc>
          <w:tcPr>
            <w:tcW w:w="540" w:type="dxa"/>
            <w:vAlign w:val="bottom"/>
          </w:tcPr>
          <w:p>
            <w:pPr>
              <w:spacing w:after="0"/>
              <w:rPr>
                <w:sz w:val="14"/>
                <w:szCs w:val="14"/>
                <w:color w:val="auto"/>
              </w:rPr>
            </w:pPr>
          </w:p>
        </w:tc>
        <w:tc>
          <w:tcPr>
            <w:tcW w:w="680" w:type="dxa"/>
            <w:vAlign w:val="bottom"/>
          </w:tcPr>
          <w:p>
            <w:pPr>
              <w:jc w:val="right"/>
              <w:ind w:right="142"/>
              <w:spacing w:after="0"/>
              <w:rPr>
                <w:sz w:val="20"/>
                <w:szCs w:val="20"/>
                <w:color w:val="auto"/>
              </w:rPr>
            </w:pPr>
            <w:r>
              <w:rPr>
                <w:rFonts w:ascii="Arial" w:cs="Arial" w:eastAsia="Arial" w:hAnsi="Arial"/>
                <w:sz w:val="14"/>
                <w:szCs w:val="14"/>
                <w:b w:val="1"/>
                <w:bCs w:val="1"/>
                <w:color w:val="auto"/>
              </w:rPr>
              <w:t>2009</w:t>
            </w:r>
          </w:p>
        </w:tc>
        <w:tc>
          <w:tcPr>
            <w:tcW w:w="5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306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vMerge w:val="continue"/>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60" w:type="dxa"/>
            <w:vAlign w:val="bottom"/>
            <w:gridSpan w:val="2"/>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306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80" w:type="dxa"/>
            <w:vAlign w:val="bottom"/>
            <w:vMerge w:val="continue"/>
          </w:tcPr>
          <w:p>
            <w:pPr>
              <w:spacing w:after="0"/>
              <w:rPr>
                <w:sz w:val="12"/>
                <w:szCs w:val="12"/>
                <w:color w:val="auto"/>
              </w:rPr>
            </w:pPr>
          </w:p>
        </w:tc>
        <w:tc>
          <w:tcPr>
            <w:tcW w:w="2240" w:type="dxa"/>
            <w:vAlign w:val="bottom"/>
            <w:gridSpan w:val="5"/>
          </w:tcPr>
          <w:p>
            <w:pPr>
              <w:spacing w:after="0" w:line="142" w:lineRule="exact"/>
              <w:rPr>
                <w:sz w:val="20"/>
                <w:szCs w:val="20"/>
                <w:color w:val="auto"/>
              </w:rPr>
            </w:pPr>
            <w:r>
              <w:rPr>
                <w:rFonts w:ascii="Arial" w:cs="Arial" w:eastAsia="Arial" w:hAnsi="Arial"/>
                <w:sz w:val="14"/>
                <w:szCs w:val="14"/>
                <w:b w:val="1"/>
                <w:bCs w:val="1"/>
                <w:color w:val="auto"/>
              </w:rPr>
              <w:t>thousands, except percentage)</w:t>
            </w:r>
          </w:p>
        </w:tc>
        <w:tc>
          <w:tcPr>
            <w:tcW w:w="6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0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000" w:type="dxa"/>
            <w:vAlign w:val="bottom"/>
            <w:gridSpan w:val="2"/>
            <w:shd w:val="clear" w:color="auto" w:fill="CCEEFF"/>
          </w:tcPr>
          <w:p>
            <w:pPr>
              <w:ind w:left="18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3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70</w:t>
            </w:r>
          </w:p>
        </w:tc>
        <w:tc>
          <w:tcPr>
            <w:tcW w:w="132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(55.7)%</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w:t>
            </w:r>
          </w:p>
        </w:tc>
        <w:tc>
          <w:tcPr>
            <w:tcW w:w="54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  1,672</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(92.6)%</w:t>
            </w:r>
          </w:p>
        </w:tc>
        <w:tc>
          <w:tcPr>
            <w:tcW w:w="0" w:type="dxa"/>
            <w:vAlign w:val="bottom"/>
          </w:tcPr>
          <w:p>
            <w:pPr>
              <w:spacing w:after="0"/>
              <w:rPr>
                <w:sz w:val="1"/>
                <w:szCs w:val="1"/>
                <w:color w:val="auto"/>
              </w:rPr>
            </w:pPr>
          </w:p>
        </w:tc>
      </w:tr>
      <w:tr>
        <w:trPr>
          <w:trHeight w:val="222"/>
        </w:trPr>
        <w:tc>
          <w:tcPr>
            <w:tcW w:w="3060" w:type="dxa"/>
            <w:vAlign w:val="bottom"/>
          </w:tcPr>
          <w:p>
            <w:pPr>
              <w:spacing w:after="0"/>
              <w:rPr>
                <w:sz w:val="20"/>
                <w:szCs w:val="20"/>
                <w:color w:val="auto"/>
              </w:rPr>
            </w:pPr>
            <w:r>
              <w:rPr>
                <w:rFonts w:ascii="Arial" w:cs="Arial" w:eastAsia="Arial" w:hAnsi="Arial"/>
                <w:sz w:val="18"/>
                <w:szCs w:val="18"/>
                <w:color w:val="auto"/>
              </w:rPr>
              <w:t>% of net revenue</w:t>
            </w:r>
          </w:p>
        </w:tc>
        <w:tc>
          <w:tcPr>
            <w:tcW w:w="18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0.0%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2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60" w:type="dxa"/>
            <w:vAlign w:val="bottom"/>
            <w:gridSpan w:val="2"/>
          </w:tcPr>
          <w:p>
            <w:pPr>
              <w:jc w:val="right"/>
              <w:ind w:right="380"/>
              <w:spacing w:after="0"/>
              <w:rPr>
                <w:sz w:val="20"/>
                <w:szCs w:val="20"/>
                <w:color w:val="auto"/>
              </w:rPr>
            </w:pPr>
            <w:r>
              <w:rPr>
                <w:rFonts w:ascii="Arial" w:cs="Arial" w:eastAsia="Arial" w:hAnsi="Arial"/>
                <w:sz w:val="18"/>
                <w:szCs w:val="18"/>
                <w:color w:val="auto"/>
              </w:rPr>
              <w:t>0.0%</w:t>
            </w:r>
          </w:p>
        </w:tc>
        <w:tc>
          <w:tcPr>
            <w:tcW w:w="1200" w:type="dxa"/>
            <w:vAlign w:val="bottom"/>
            <w:gridSpan w:val="2"/>
          </w:tcPr>
          <w:p>
            <w:pPr>
              <w:jc w:val="right"/>
              <w:ind w:right="380"/>
              <w:spacing w:after="0"/>
              <w:rPr>
                <w:sz w:val="20"/>
                <w:szCs w:val="20"/>
                <w:color w:val="auto"/>
              </w:rPr>
            </w:pPr>
            <w:r>
              <w:rPr>
                <w:rFonts w:ascii="Arial" w:cs="Arial" w:eastAsia="Arial" w:hAnsi="Arial"/>
                <w:sz w:val="18"/>
                <w:szCs w:val="18"/>
                <w:color w:val="auto"/>
              </w:rPr>
              <w:t>0.0%</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20" w:firstLine="456"/>
        <w:spacing w:after="0" w:line="268" w:lineRule="auto"/>
        <w:rPr>
          <w:sz w:val="20"/>
          <w:szCs w:val="20"/>
          <w:color w:val="auto"/>
        </w:rPr>
      </w:pPr>
      <w:r>
        <w:rPr>
          <w:rFonts w:ascii="Arial" w:cs="Arial" w:eastAsia="Arial" w:hAnsi="Arial"/>
          <w:sz w:val="18"/>
          <w:szCs w:val="18"/>
          <w:color w:val="auto"/>
        </w:rPr>
        <w:t>The decrease in interest expense for the three and nine months ended October 30, 2010 compared to the three and nine months ended October 31, 2009 was due to the repayment of capital lease obligations.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80" w:type="dxa"/>
            <w:vAlign w:val="bottom"/>
          </w:tcPr>
          <w:p>
            <w:pPr>
              <w:spacing w:after="0"/>
              <w:rPr>
                <w:sz w:val="14"/>
                <w:szCs w:val="14"/>
                <w:color w:val="auto"/>
              </w:rPr>
            </w:pPr>
          </w:p>
        </w:tc>
        <w:tc>
          <w:tcPr>
            <w:tcW w:w="208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760" w:type="dxa"/>
            <w:vAlign w:val="bottom"/>
            <w:gridSpan w:val="2"/>
            <w:vMerge w:val="restart"/>
          </w:tcPr>
          <w:p>
            <w:pPr>
              <w:jc w:val="center"/>
              <w:ind w:left="166"/>
              <w:spacing w:after="0"/>
              <w:rPr>
                <w:sz w:val="20"/>
                <w:szCs w:val="20"/>
                <w:color w:val="auto"/>
              </w:rPr>
            </w:pPr>
            <w:r>
              <w:rPr>
                <w:rFonts w:ascii="Arial" w:cs="Arial" w:eastAsia="Arial" w:hAnsi="Arial"/>
                <w:sz w:val="14"/>
                <w:szCs w:val="14"/>
                <w:b w:val="1"/>
                <w:bCs w:val="1"/>
                <w:color w:val="auto"/>
                <w:w w:val="96"/>
              </w:rPr>
              <w:t>%</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4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98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5"/>
              </w:rPr>
              <w:t>October 30,</w:t>
            </w:r>
          </w:p>
        </w:tc>
        <w:tc>
          <w:tcPr>
            <w:tcW w:w="1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280" w:type="dxa"/>
            <w:vAlign w:val="bottom"/>
          </w:tcPr>
          <w:p>
            <w:pPr>
              <w:spacing w:after="0"/>
              <w:rPr>
                <w:sz w:val="11"/>
                <w:szCs w:val="11"/>
                <w:color w:val="auto"/>
              </w:rPr>
            </w:pPr>
          </w:p>
        </w:tc>
        <w:tc>
          <w:tcPr>
            <w:tcW w:w="760" w:type="dxa"/>
            <w:vAlign w:val="bottom"/>
            <w:gridSpan w:val="2"/>
            <w:vMerge w:val="continue"/>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8"/>
              </w:rPr>
              <w:t>October 30,</w:t>
            </w:r>
          </w:p>
        </w:tc>
        <w:tc>
          <w:tcPr>
            <w:tcW w:w="1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2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980" w:type="dxa"/>
            <w:vAlign w:val="bottom"/>
          </w:tcPr>
          <w:p>
            <w:pPr>
              <w:spacing w:after="0"/>
              <w:rPr>
                <w:sz w:val="14"/>
                <w:szCs w:val="14"/>
                <w:color w:val="auto"/>
              </w:rPr>
            </w:pPr>
          </w:p>
        </w:tc>
        <w:tc>
          <w:tcPr>
            <w:tcW w:w="680" w:type="dxa"/>
            <w:vAlign w:val="bottom"/>
          </w:tcPr>
          <w:p>
            <w:pPr>
              <w:jc w:val="right"/>
              <w:ind w:right="124"/>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8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80" w:type="dxa"/>
            <w:vAlign w:val="bottom"/>
            <w:gridSpan w:val="2"/>
          </w:tcPr>
          <w:p>
            <w:pPr>
              <w:jc w:val="center"/>
              <w:ind w:right="292"/>
              <w:spacing w:after="0"/>
              <w:rPr>
                <w:sz w:val="20"/>
                <w:szCs w:val="20"/>
                <w:color w:val="auto"/>
              </w:rPr>
            </w:pPr>
            <w:r>
              <w:rPr>
                <w:rFonts w:ascii="Arial" w:cs="Arial" w:eastAsia="Arial" w:hAnsi="Arial"/>
                <w:sz w:val="14"/>
                <w:szCs w:val="14"/>
                <w:b w:val="1"/>
                <w:bCs w:val="1"/>
                <w:color w:val="auto"/>
                <w:w w:val="85"/>
              </w:rPr>
              <w:t>Change</w:t>
            </w:r>
          </w:p>
        </w:tc>
        <w:tc>
          <w:tcPr>
            <w:tcW w:w="820" w:type="dxa"/>
            <w:vAlign w:val="bottom"/>
            <w:gridSpan w:val="2"/>
          </w:tcPr>
          <w:p>
            <w:pPr>
              <w:jc w:val="center"/>
              <w:ind w:left="59"/>
              <w:spacing w:after="0"/>
              <w:rPr>
                <w:sz w:val="20"/>
                <w:szCs w:val="20"/>
                <w:color w:val="auto"/>
              </w:rPr>
            </w:pPr>
            <w:r>
              <w:rPr>
                <w:rFonts w:ascii="Arial" w:cs="Arial" w:eastAsia="Arial" w:hAnsi="Arial"/>
                <w:sz w:val="14"/>
                <w:szCs w:val="14"/>
                <w:b w:val="1"/>
                <w:bCs w:val="1"/>
                <w:color w:val="auto"/>
                <w:w w:val="89"/>
              </w:rPr>
              <w:t>2010</w:t>
            </w:r>
          </w:p>
        </w:tc>
        <w:tc>
          <w:tcPr>
            <w:tcW w:w="300" w:type="dxa"/>
            <w:vAlign w:val="bottom"/>
          </w:tcPr>
          <w:p>
            <w:pPr>
              <w:spacing w:after="0"/>
              <w:rPr>
                <w:sz w:val="14"/>
                <w:szCs w:val="14"/>
                <w:color w:val="auto"/>
              </w:rPr>
            </w:pPr>
          </w:p>
        </w:tc>
        <w:tc>
          <w:tcPr>
            <w:tcW w:w="8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2009</w:t>
            </w:r>
          </w:p>
        </w:tc>
        <w:tc>
          <w:tcPr>
            <w:tcW w:w="520" w:type="dxa"/>
            <w:vAlign w:val="bottom"/>
          </w:tcPr>
          <w:p>
            <w:pPr>
              <w:spacing w:after="0"/>
              <w:rPr>
                <w:sz w:val="14"/>
                <w:szCs w:val="14"/>
                <w:color w:val="auto"/>
              </w:rPr>
            </w:pPr>
          </w:p>
        </w:tc>
        <w:tc>
          <w:tcPr>
            <w:tcW w:w="7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9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80" w:type="dxa"/>
            <w:vAlign w:val="bottom"/>
          </w:tcPr>
          <w:p>
            <w:pPr>
              <w:spacing w:after="0"/>
              <w:rPr>
                <w:sz w:val="12"/>
                <w:szCs w:val="12"/>
                <w:color w:val="auto"/>
              </w:rPr>
            </w:pPr>
          </w:p>
        </w:tc>
        <w:tc>
          <w:tcPr>
            <w:tcW w:w="240" w:type="dxa"/>
            <w:vAlign w:val="bottom"/>
          </w:tcPr>
          <w:p>
            <w:pPr>
              <w:ind w:left="60"/>
              <w:spacing w:after="0" w:line="142" w:lineRule="exact"/>
              <w:rPr>
                <w:sz w:val="20"/>
                <w:szCs w:val="20"/>
                <w:color w:val="auto"/>
              </w:rPr>
            </w:pPr>
            <w:r>
              <w:rPr>
                <w:rFonts w:ascii="Arial" w:cs="Arial" w:eastAsia="Arial" w:hAnsi="Arial"/>
                <w:sz w:val="14"/>
                <w:szCs w:val="14"/>
                <w:b w:val="1"/>
                <w:bCs w:val="1"/>
                <w:color w:val="auto"/>
                <w:w w:val="93"/>
              </w:rPr>
              <w:t>(in</w:t>
            </w:r>
          </w:p>
        </w:tc>
        <w:tc>
          <w:tcPr>
            <w:tcW w:w="520" w:type="dxa"/>
            <w:vAlign w:val="bottom"/>
            <w:tcBorders>
              <w:top w:val="single" w:sz="8" w:color="auto"/>
            </w:tcBorders>
          </w:tcPr>
          <w:p>
            <w:pPr>
              <w:jc w:val="center"/>
              <w:spacing w:after="0"/>
              <w:rPr>
                <w:sz w:val="20"/>
                <w:szCs w:val="20"/>
                <w:color w:val="auto"/>
              </w:rPr>
            </w:pPr>
            <w:r>
              <w:rPr>
                <w:rFonts w:ascii="Arial" w:cs="Arial" w:eastAsia="Arial" w:hAnsi="Arial"/>
                <w:sz w:val="12"/>
                <w:szCs w:val="12"/>
                <w:b w:val="1"/>
                <w:bCs w:val="1"/>
                <w:color w:val="auto"/>
                <w:w w:val="81"/>
              </w:rPr>
              <w:t>thousands,</w:t>
            </w:r>
          </w:p>
        </w:tc>
        <w:tc>
          <w:tcPr>
            <w:tcW w:w="500" w:type="dxa"/>
            <w:vAlign w:val="bottom"/>
            <w:gridSpan w:val="2"/>
          </w:tcPr>
          <w:p>
            <w:pPr>
              <w:ind w:left="140"/>
              <w:spacing w:after="0" w:line="142" w:lineRule="exact"/>
              <w:rPr>
                <w:sz w:val="20"/>
                <w:szCs w:val="20"/>
                <w:color w:val="auto"/>
              </w:rPr>
            </w:pPr>
            <w:r>
              <w:rPr>
                <w:rFonts w:ascii="Arial" w:cs="Arial" w:eastAsia="Arial" w:hAnsi="Arial"/>
                <w:sz w:val="14"/>
                <w:szCs w:val="14"/>
                <w:b w:val="1"/>
                <w:bCs w:val="1"/>
                <w:color w:val="auto"/>
                <w:w w:val="76"/>
              </w:rPr>
              <w:t>except</w:t>
            </w:r>
          </w:p>
        </w:tc>
        <w:tc>
          <w:tcPr>
            <w:tcW w:w="68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0"/>
              </w:rPr>
              <w:t>percentage)</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520" w:type="dxa"/>
            <w:vAlign w:val="bottom"/>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1,605</w:t>
            </w:r>
          </w:p>
        </w:tc>
        <w:tc>
          <w:tcPr>
            <w:tcW w:w="3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 (32,916)</w:t>
            </w:r>
          </w:p>
        </w:tc>
        <w:tc>
          <w:tcPr>
            <w:tcW w:w="1120" w:type="dxa"/>
            <w:vAlign w:val="bottom"/>
            <w:gridSpan w:val="3"/>
            <w:shd w:val="clear" w:color="auto" w:fill="CCEEFF"/>
          </w:tcPr>
          <w:p>
            <w:pPr>
              <w:jc w:val="right"/>
              <w:ind w:right="92"/>
              <w:spacing w:after="0"/>
              <w:rPr>
                <w:sz w:val="20"/>
                <w:szCs w:val="20"/>
                <w:color w:val="auto"/>
              </w:rPr>
            </w:pPr>
            <w:r>
              <w:rPr>
                <w:rFonts w:ascii="Arial" w:cs="Arial" w:eastAsia="Arial" w:hAnsi="Arial"/>
                <w:sz w:val="18"/>
                <w:szCs w:val="18"/>
                <w:color w:val="auto"/>
              </w:rPr>
              <w:t>(104.9)%</w:t>
            </w:r>
          </w:p>
        </w:tc>
        <w:tc>
          <w:tcPr>
            <w:tcW w:w="112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2,988</w:t>
            </w:r>
          </w:p>
        </w:tc>
        <w:tc>
          <w:tcPr>
            <w:tcW w:w="136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 (21,563)</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(113.9)%</w:t>
            </w:r>
          </w:p>
        </w:tc>
        <w:tc>
          <w:tcPr>
            <w:tcW w:w="0" w:type="dxa"/>
            <w:vAlign w:val="bottom"/>
          </w:tcPr>
          <w:p>
            <w:pPr>
              <w:spacing w:after="0"/>
              <w:rPr>
                <w:sz w:val="1"/>
                <w:szCs w:val="1"/>
                <w:color w:val="auto"/>
              </w:rPr>
            </w:pPr>
          </w:p>
        </w:tc>
      </w:tr>
      <w:tr>
        <w:trPr>
          <w:trHeight w:val="222"/>
        </w:trPr>
        <w:tc>
          <w:tcPr>
            <w:tcW w:w="49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(4.1)%</w:t>
            </w:r>
          </w:p>
        </w:tc>
        <w:tc>
          <w:tcPr>
            <w:tcW w:w="2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120" w:type="dxa"/>
            <w:vAlign w:val="bottom"/>
            <w:gridSpan w:val="3"/>
          </w:tcPr>
          <w:p>
            <w:pPr>
              <w:jc w:val="right"/>
              <w:ind w:right="160"/>
              <w:spacing w:after="0"/>
              <w:rPr>
                <w:sz w:val="20"/>
                <w:szCs w:val="20"/>
                <w:color w:val="auto"/>
              </w:rPr>
            </w:pPr>
            <w:r>
              <w:rPr>
                <w:rFonts w:ascii="Arial" w:cs="Arial" w:eastAsia="Arial" w:hAnsi="Arial"/>
                <w:sz w:val="18"/>
                <w:szCs w:val="18"/>
                <w:color w:val="auto"/>
              </w:rPr>
              <w:t>0.1%</w:t>
            </w:r>
          </w:p>
        </w:tc>
        <w:tc>
          <w:tcPr>
            <w:tcW w:w="1360" w:type="dxa"/>
            <w:vAlign w:val="bottom"/>
            <w:gridSpan w:val="3"/>
          </w:tcPr>
          <w:p>
            <w:pPr>
              <w:jc w:val="right"/>
              <w:ind w:right="320"/>
              <w:spacing w:after="0"/>
              <w:rPr>
                <w:sz w:val="20"/>
                <w:szCs w:val="20"/>
                <w:color w:val="auto"/>
              </w:rPr>
            </w:pPr>
            <w:r>
              <w:rPr>
                <w:rFonts w:ascii="Arial" w:cs="Arial" w:eastAsia="Arial" w:hAnsi="Arial"/>
                <w:sz w:val="18"/>
                <w:szCs w:val="18"/>
                <w:color w:val="auto"/>
              </w:rPr>
              <w:t>(1.1)%</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For the three and nine months ended October 30, 2010, the provision for income taxes was impacted by a reduction of unrecognized tax benefits in the amount $1.9 million and $10.7 million, respectively, due to the expiration of the statute of limitations in multiple jurisdictions. In addition, we recognized a $3.4 million valuation allowance benefit due to completion of an audit, and a $1.9 million benefit related to a ruling denial related to our supply chain structure, for the three months ended October 30, 2010. During the three and nine months ended October 31, 2009 the benefit for income taxes was impacted by a benefit of $27.4 million and $33.2 million, respectively, due to the expiration of the statute of limitations, along with the reversal of taxes payable of $5.3 million related to the periods 2002 through 2006 of a non-U.S. entity, and by a reduction of $2.4 million and $5.0 million, respectively, in unrecognized tax benefits due to a settlement of an audit in a non-U.S. jurisdiction. In addition, the nine months ended October 31, 2009 includes an increase in our provision due to the impact of a non-U.S. corporate tax rate change of $6.2 million.</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Liquidity and Capital Resources</w:t>
      </w:r>
    </w:p>
    <w:p>
      <w:pPr>
        <w:spacing w:after="0" w:line="90"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Our principal source of liquidity as of October 30, 2010 consisted of approximately $2.7 billion of cash, cash equivalents and short-term investments, as well as cash from operations. We believe that our existing cash, cash equivalents and short term investments, together with cash generated from operations, will be sufficient to cover our working capital needs, capital expenditures, investment requirements and commitments for at least the next 12 months.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Net cash provided by operating activities was $942.7 million for the nine months ended October 30, 2010. The cash inflows from operations in the nine months ended October 30, 2010 were primarily due to $904.1 million of net income adjusted for non-cash items.</w:t>
      </w:r>
    </w:p>
    <w:p>
      <w:pPr>
        <w:spacing w:after="0" w:line="132"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Increases in working capital during the nine months ended October 30, 2010 included an increase in accounts payable of $63.9 million. The increase in accounts payable was due to higher levels of purchasing to support our business. Deferred income increased by $28.8 million due to our distributors increasing inventory levels in anticipation of increased sales to their end customers. Accrued employee compensation increased by $27.0 million due to timing of payroll periods and withholding on the employee stock purchase plan. Significant working capital changes offsetting positive cash flows for the nine months ended October 30, 2010 included an increase in accounts receivable of $111.2 million due to higher levels of revenue, and seasonal patterns.</w:t>
      </w:r>
    </w:p>
    <w:p>
      <w:pPr>
        <w:spacing w:after="0" w:line="116"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Net cash provided by operating activities of $530.4 million for the nine months ended October 31, 2009 included $394.9 million from net income adjusted for non-cash items and $135.5 million of net cash provided by changes in working capital items. Improvements in working capital included a decrease in inventories of $83.5 million as we decreased our inventory levels earlier in the year in light of the economic downturn and we experienced capacity constraints as we attempted to restore the levels. In addition, accounts payable increased by $172.0 million due to our on-going efforts to manage payment periods with vendors. Accrued employee compensation also increased by $35.1 million due primarily to an increase in accrued incentive compensation. Finally, deferred income increased due to our distributors increasing inventory levels in anticipation of increased sales as the overall economic environment was improving. Significant working capital changes offsetting these positive cash flows for the nine months ended October 31, 2009 related to an increase in accounts receivable of $172.2 million due to the higher revenue during the three months ended October 31, 2009 compared to the end of the prior year. In addition, income taxes payable decreased by $29.1 million due to the reversal of tax contingency reserves as a result of the expiration of the statute of limitations related to certain items and favorable outcomes on audit closures in foreign jurisdictions during fiscal 2010.</w:t>
      </w:r>
    </w:p>
    <w:p>
      <w:pPr>
        <w:spacing w:after="0" w:line="20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Net cash used in investing activities was $441.6 million for the nine months ended October 30, 2010 compared to $444.0 million for the nine months ended October 31, 2009. The net cash used in investing activities in the nine months ended October 30, 2010 was due to net purchases of investments of $345.0 million. In addition, we purchased $63.3 million of property and equipment mainly to support additional capacity, $20.7 million for an acquisition and purchased technology licenses of $12.6 million. The net cash used for the nine months ended October 31, 2009 was due primarily to the net purchase of investments of $416.7 million purchases of property and equipment of $14.8 million and purchases of technology licenses for $12.6 million.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Net Cash Provided by Financing Activities</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Net cash provided by financing activities was $36.3 million for the nine months ended October 30, 2010 compared to $33.6 million for the nine months ended October 31, 2009. For the nine months ended October 30, 2010, net cash provided by financing activities was primarily attributable to proceeds from the issuance of common shares under our stock option plan of $97.7 million, which was partially offset by stock repurchases under our new stock repurchase program. We repurchased 3.6 million shares for a total of $60.6 million during the three months ended October 30, 2010. For the nine months ended October 31, 2009, net cash provided by financing activities was primarily attributable to proceeds from the issuance of common shares under our stock option plans.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Off-Balance Sheet Arrangements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October 30, 2010, we did not have any material off-balance sheet arrangements, as defined in Item 303(a)(4)(ii) of SEC Regulation S-K.</w:t>
      </w:r>
    </w:p>
    <w:p>
      <w:pPr>
        <w:spacing w:after="0" w:line="27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Recent Accounting Pronouncements and Accounting Changes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“Note 2: Recent Accounting Pronouncements and Accounting Changes” in Part 1, Item 1 of this Form 10-Q.</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Our interest rate risk relates primarily to our fixed income short-term investment portfolio as we do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October 30, 2010. We maintain an investment policy that requires minimum short-term and long-term credit ratings, diversification of credit risk and limits the long-term interest rate risk by requiring maturities of less than five years. We invest our excess cash primarily in highly liquid debt instruments of the U.S. government and its agencies, time deposits, money market mutual funds and corporate debt securities. These investments are generally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October 30, 2010, a hypothetical 100 basis point increase in interest rates across all maturities would result in a $10.9 million incremental decline in the fair market value of the portfolio. Due to our positive cash flow from operations, the relatively short-term nature of our investment portfolio and our ability to hold investments to maturity, such change in fair market value would likely not result in any cash flow impact.</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of October 30, 2010, our investment portfolio included $33.0 million in par value of auction rate securities. Beginning in February 2008, liquidity issues in the global credit markets resulted in a failure of auction rate securities, as the amount of securities submitted for sale in those auctions exceeded the amount of bids. To estimate the fair value of the auction rate securities since that time, we have used a discounted cash flow model based on estimated timing and amount of future interest and principal payments, credit quality of the underlying securities and liquidity considerations, the collateralization of underlying security investments, the credit worthiness of the issuer of the securities, the probability of full repayment and other considerations. As of October 30, 2010, the fair value of auction rate securities was $2.1 million less than par value and recorded in long-term investments.</w:t>
      </w:r>
    </w:p>
    <w:p>
      <w:pPr>
        <w:spacing w:after="0" w:line="120"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Based on our assessment of our cash flow projections, our balance of approximately $2.7 billion in cash, cash equivalents and short-term investments other than auction rate securities, and the fact that we continue to generate positive cash flow on a quarterly basis, we do not anticipate having to sell these securities below par value in order to operate our business. We do not have the intent to sell these auction rate securities until recovery and it is more likely than not that we will not be required to sell the auction rate securities prior to recovery. Thus we consider the impairment to be temporary and recorded the unrealized loss to accumulated other comprehensive loss, a component of shareholders’ equity.</w:t>
      </w:r>
    </w:p>
    <w:p>
      <w:pPr>
        <w:spacing w:after="0" w:line="11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Investment Risk. We invest in equity instruments of privately held companies for strategic purposes. These investments, which totaled $8.1 million at October 30, 2010,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impairment is deemed to be other-than-temporary.</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other income and expense.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to hedge a portion of the forecasted Israeli Shekel expenses. We will enter into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other income and expense. We do not hedge our tax liabilities denominated in local currency on our balance sheet as the timing of these tax liabilities becoming cash flows is not deemed to be certain.</w:t>
      </w:r>
    </w:p>
    <w:p>
      <w:pPr>
        <w:spacing w:after="0" w:line="11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2.7%.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Controls and Procedures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Management’s Evaluation of Disclosure Controls and Procedures</w:t>
      </w:r>
    </w:p>
    <w:p>
      <w:pPr>
        <w:spacing w:after="0" w:line="90" w:lineRule="exact"/>
        <w:rPr>
          <w:sz w:val="20"/>
          <w:szCs w:val="20"/>
          <w:color w:val="auto"/>
        </w:rPr>
      </w:pPr>
    </w:p>
    <w:p>
      <w:pPr>
        <w:ind w:right="80" w:firstLine="456"/>
        <w:spacing w:after="0" w:line="314" w:lineRule="auto"/>
        <w:rPr>
          <w:sz w:val="20"/>
          <w:szCs w:val="20"/>
          <w:color w:val="auto"/>
        </w:rPr>
      </w:pPr>
      <w:r>
        <w:rPr>
          <w:rFonts w:ascii="Arial" w:cs="Arial" w:eastAsia="Arial" w:hAnsi="Arial"/>
          <w:sz w:val="15"/>
          <w:szCs w:val="15"/>
          <w:color w:val="auto"/>
        </w:rPr>
        <w:t>Our management, with the participation of our Chief Executive Officer and our Chief Financial Officer, has evaluated the effectiveness of our disclosure controls and procedures (as defined in Rule 13a-15(e) of the Securities Exchange Act of 1934, as amended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October 30, 2010, our disclosure controls and procedures were effective.</w:t>
      </w:r>
    </w:p>
    <w:p>
      <w:pPr>
        <w:spacing w:after="0" w:line="18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Changes in Internal Control Over Financial Reporting</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October 30, 2010 that have materially affected, or are reasonably likely to materially affect, our internal control over financial reporting.</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Limitation on Effectiveness of Controls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color w:val="auto"/>
        </w:rPr>
        <w:t>Legal Proceedings</w:t>
      </w:r>
    </w:p>
    <w:p>
      <w:pPr>
        <w:spacing w:after="0" w:line="9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color w:val="auto"/>
        </w:rPr>
        <w:t>Risk Factors</w:t>
      </w:r>
    </w:p>
    <w:p>
      <w:pPr>
        <w:spacing w:after="0" w:line="96"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30, 2010 and subsequent reports on Forms 10-Q and 8-K. Many of these risks and uncertainties are beyond our control, including business cycles and seasonal trends of the computing, semiconductor and related industries.</w:t>
      </w:r>
    </w:p>
    <w:p>
      <w:pPr>
        <w:spacing w:after="0" w:line="113"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94"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20" w:hanging="325"/>
        <w:spacing w:after="0" w:line="268"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cancellations, rescheduling or deferrals of significant customer orders or shipments;</w:t>
      </w:r>
    </w:p>
    <w:p>
      <w:pPr>
        <w:spacing w:after="0" w:line="90" w:lineRule="exact"/>
        <w:rPr>
          <w:rFonts w:ascii="Arial" w:cs="Arial" w:eastAsia="Arial" w:hAnsi="Arial"/>
          <w:sz w:val="18"/>
          <w:szCs w:val="18"/>
          <w:color w:val="auto"/>
        </w:rPr>
      </w:pPr>
    </w:p>
    <w:p>
      <w:pPr>
        <w:ind w:left="900" w:right="7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or demand for new products requested by our customers;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gain or loss of a key customer or design win;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successfully transition to smaller geometry process technologies or achieve higher levels of design integration;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anticipate and adapt to changes in technology and evolving industry standards and our customers’ changing demands;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protect our intellectual property; and</w:t>
      </w:r>
    </w:p>
    <w:p>
      <w:pPr>
        <w:spacing w:after="0" w:line="90" w:lineRule="exact"/>
        <w:rPr>
          <w:rFonts w:ascii="Arial" w:cs="Arial" w:eastAsia="Arial" w:hAnsi="Arial"/>
          <w:sz w:val="18"/>
          <w:szCs w:val="18"/>
          <w:color w:val="auto"/>
        </w:rPr>
      </w:pPr>
    </w:p>
    <w:p>
      <w:pPr>
        <w:ind w:left="900" w:right="42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32"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The trading price of our common shares on the NASDAQ Global Select Market for the period of January 1, 2009 to October 30, 2010 ranged from a low of $5.66 to a high of $22.87. In future periods, if our revenue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maintain and grow our business</w:t>
      </w:r>
    </w:p>
    <w:p>
      <w:pPr>
        <w:spacing w:after="0" w:line="147"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132"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operate in the semiconductor industry, which is cyclical,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18" w:lineRule="exact"/>
        <w:rPr>
          <w:sz w:val="20"/>
          <w:szCs w:val="20"/>
          <w:color w:val="auto"/>
        </w:rPr>
      </w:pPr>
    </w:p>
    <w:p>
      <w:pPr>
        <w:ind w:right="460" w:firstLine="456"/>
        <w:spacing w:after="0" w:line="291" w:lineRule="auto"/>
        <w:rPr>
          <w:sz w:val="20"/>
          <w:szCs w:val="20"/>
          <w:color w:val="auto"/>
        </w:rPr>
      </w:pPr>
      <w:r>
        <w:rPr>
          <w:rFonts w:ascii="Arial" w:cs="Arial" w:eastAsia="Arial" w:hAnsi="Arial"/>
          <w:sz w:val="16"/>
          <w:szCs w:val="16"/>
          <w:color w:val="auto"/>
        </w:rPr>
        <w:t>The global credit and financial markets continue to experience extreme volatility and disruptions, including severely diminished liquidity and credit availability, increased concerns about inflation and deflation, decreased consumer confidence, lower economic growth, volatile energy costs, increased unemployment rates, and uncertainty about economic stability. We cannot predict the timing, strength or duration of any economic slowdown or subsequent global economic recovery in the markets we serve.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A large portion of our business is dependent on the hard disk drive industry, which is highly cyclical, experiences rapid technological change, and is facing increased competition from alternative technologies.</w:t>
      </w:r>
    </w:p>
    <w:p>
      <w:pPr>
        <w:spacing w:after="0" w:line="132"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has historically been cyclical, with periods of increased demand and rapid growth followed by periods of oversupply and subsequent contraction. These cycles may affect us because some of our customers are participants in this industry.</w:t>
      </w:r>
    </w:p>
    <w:p>
      <w:pPr>
        <w:spacing w:after="0" w:line="14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43"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44"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operate in the intensely competitive mobile and wireless communications markets, and our failure to compete effectively would harm our results of operations.</w:t>
      </w:r>
    </w:p>
    <w:p>
      <w:pPr>
        <w:spacing w:after="0" w:line="132"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semiconductor industry and specifically the mobile and wireless communications markets are extremely competitive, and we expect competition to intensify as current competitors expand their product offerings and new competitors enter the market.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mobile and wireless products and services.</w:t>
      </w:r>
    </w:p>
    <w:p>
      <w:pPr>
        <w:spacing w:after="0" w:line="143"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As the markets we compete in continue to increase, our revenue and gross margins may be harmed.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We cannot assure you that we will be able to continue to compete successfully against existing or new competitors, which would harm our results of operations.</w:t>
      </w:r>
    </w:p>
    <w:p>
      <w:pPr>
        <w:spacing w:after="0" w:line="118"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receive a significant amount of our revenue from a limited number of customers. For the nine months ended October 30, 2010, two customers accounted for a total of approximately 36%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32"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w:t>
      </w:r>
    </w:p>
    <w:p>
      <w:pPr>
        <w:spacing w:after="0" w:line="113"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14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Regional Concentration:</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including, for example, in March 2010, and may be subject to additional earthquakes that could disrupt manufacturing operations.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 cost of goods sold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No Guarantee of Capacity or Supply:</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In addition, when demand is strong, availability of foundry capacity may be constrained, and with limited exceptions, our vendors are not obligated to perform services or supply products to us for any specific period, in any specific quantities, or at any specific price, except as may be provided in a particular purchase order. For example, as a consequence of the economic downturn, in several of our past quarters, we experienced some supply shortages due to the difficulties encountered by the foundries in rapidly increasing their production capacities from low utilization levels to the high utilization levels required due to a rapid increase in demand. Although we have entered into contractual commitments to supply specified levels of products to some of our customers, we may not have sufficient levels of production capacity with all of our foundries, despite signing an agreement with a foundry to reserve and secure foundry fabrication capacity for a fixed number of wafers.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 net income and cash flow.</w:t>
      </w:r>
    </w:p>
    <w:p>
      <w:pPr>
        <w:spacing w:after="0" w:line="143"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Uncertain Yields and Quality:</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40"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For example, in order to reduce expenses in the challenging economic environment that began during the second half of fiscal 2009, and continued into late fiscal 2009 and early in fiscal 2010, we implemented certain cost reduction measures to reduce operating expenses.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4"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14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2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If we overestimate customer demand, we may allocate resources to manufacturing products that we may not be able 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94"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Our future success will depend on our ability to anticipate and adapt to changes in technology and evolving industry standards.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which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w:t>
      </w:r>
    </w:p>
    <w:p>
      <w:pPr>
        <w:spacing w:after="0" w:line="127"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132"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products we develop and sell are primarily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reducing our costs or developing new or enhanced products on a timely basis with higher selling prices or gross margin.</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32"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21" w:lineRule="exact"/>
        <w:rPr>
          <w:sz w:val="20"/>
          <w:szCs w:val="20"/>
          <w:color w:val="auto"/>
        </w:rPr>
      </w:pPr>
    </w:p>
    <w:p>
      <w:pPr>
        <w:ind w:right="60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economic and exchange rate risks, which may harm our results of operations, because a majority of our products and our customers’ products are manufactured and sold outside of the United States.</w:t>
      </w:r>
    </w:p>
    <w:p>
      <w:pPr>
        <w:spacing w:after="0" w:line="85"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82% of our net revenue for the nine months ended October 30, 2010, 89% of our net revenue in fiscal 2010, 86% of our net revenue in fiscal 2009 and 84% of our net revenue in fiscal 2008.</w:t>
      </w:r>
    </w:p>
    <w:p>
      <w:pPr>
        <w:spacing w:after="0" w:line="14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As of October 30, 2010, we have substantial operations outside of the U.S. These operations are directly influenced by the political and economic conditions, as well as possible military hostilities that could affect our operations in Israel.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62" w:lineRule="exact"/>
        <w:rPr>
          <w:sz w:val="20"/>
          <w:szCs w:val="20"/>
          <w:color w:val="auto"/>
        </w:rPr>
      </w:pPr>
    </w:p>
    <w:p>
      <w:pPr>
        <w:ind w:left="900" w:right="38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132"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effective distributors or manufacturers’ representatives, our sales and results of operations will be harmed.</w:t>
      </w:r>
    </w:p>
    <w:p>
      <w:pPr>
        <w:spacing w:after="0" w:line="14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85"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We expect to continue to make acquisitions and investments in businesses that offer complementary products and technologies, augment our market segment coverage, or enhance our technological capabilities. We may also enter into strategic alliances or joint ventures to achieve these goals. We cannot assure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have approximately $2.0 billion of goodwill and $131 million of intangible assets on our balance sheet as of October 30, 2010. Under GAAP, we are required to review our intangible assets for impairment whenever events or changes in circumstances indicate that the carrying value of these assets may not be recoverable. We perform an assessment of goodwill at the beginning of our fiscal fourth quarter and we also assess the impairment of goodwill on an interim basis whenever events or changes in circumstances indicate that the carrying value of such assets may not be recoverable. If the businesses acquired fail to meet our expectations set out at the time of the acquisition or if our market capitalization adjusted for control premiums and other factors declines to below our carrying value, we could incur significant goodwill or intangible impairment charges, which could negatively impact our financial results. For example, as a result of our analysis related to acquired intangible assets, we recorded an impairment charge of $16 million in the fourth quarter ended January 31, 2009. In addition, from time to time, we have made investments in, rather than acquisitions of, other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127"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controls over financial reporting, as of the end of each year, and to include a management report assessing the effectiveness of our internal control over financial reporting in each Annual Report on Form 10-K.</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or mistake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ectPr>
          <w:pgSz w:w="11900" w:h="16838" w:orient="portrait"/>
          <w:cols w:equalWidth="0" w:num="1">
            <w:col w:w="11420"/>
          </w:cols>
          <w:pgMar w:left="240" w:top="459" w:right="239" w:bottom="1440" w:gutter="0" w:footer="0" w:header="0"/>
        </w:sectPr>
      </w:pP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38</w:t>
      </w:r>
    </w:p>
    <w:p>
      <w:pPr>
        <w:sectPr>
          <w:pgSz w:w="11900" w:h="16838" w:orient="portrait"/>
          <w:cols w:equalWidth="0" w:num="1">
            <w:col w:w="11420"/>
          </w:cols>
          <w:pgMar w:left="240" w:top="459" w:right="239" w:bottom="1440" w:gutter="0" w:footer="0" w:header="0"/>
          <w:type w:val="continuous"/>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94"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increase our costs.</w:t>
      </w:r>
    </w:p>
    <w:p>
      <w:pPr>
        <w:spacing w:after="0" w:line="171"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Over the course of the past several years, we have entered into agreements with the local governments in certain foreign jurisdictions where we have significant operations to provide us with favorable tax rates in those jurisdictions if certain criteria are met.</w:t>
      </w:r>
    </w:p>
    <w:p>
      <w:pPr>
        <w:spacing w:after="0" w:line="132"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We obtained from the Minister of Finance of Bermuda under the Exempt Undertakings Tax Protection Act 1966, as amended, an undertaking that, in the event that Bermuda enacts legislation imposing tax computed on income and capital gains, those taxes should not apply to us until March 28, 2016.</w:t>
      </w:r>
    </w:p>
    <w:p>
      <w:pPr>
        <w:spacing w:after="0" w:line="85"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Economic Development Board of Singapore (the “EDB”) granted Pioneer Status to our wholly-owned subsidiary in Singapore in July 1999. This tax exemption was to expire after ten years, but the EDB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Due to the economic downturn in fiscal 2010, we came to an agreement to amend the Pioneer conditions for future years and preserve the 15 year tax exemption status.</w:t>
      </w:r>
    </w:p>
    <w:p>
      <w:pPr>
        <w:spacing w:after="0" w:line="11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Under the Israeli law of “approved or benefited enterprise,” two branches of Marvell Israel (“MISL”), the GTL division and the cellular division (formerly Marvell DSPC), are entitled to a beneficial tax program that includes reduced tax rates and exemption of certain income. The first program was approved for MISL in 1995 and the most recent was elected in 2009. Marvell DSPC also has approved programs with the first approved in 1990 and the most recent elected in 2010. The benefit period is generally ten to 15 years and begins in the first year in which our Israeli branches earn taxable income from the approved or benefited enterprises, provided the maximum period has not elapsed. Income from the approved or benefited enterprises is subject to reduced tax rates ranging between 0% and 10% or tax exemptions for fiscal years 2008 through 2020.</w:t>
      </w:r>
    </w:p>
    <w:p>
      <w:pPr>
        <w:spacing w:after="0" w:line="12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any of our tax arrangements in these foreign jurisdictions were terminated, our financial results could be harmed.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7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120"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85"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2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340" w:firstLine="456"/>
        <w:spacing w:after="0" w:line="306"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w:t>
      </w:r>
    </w:p>
    <w:p>
      <w:pPr>
        <w:spacing w:after="0" w:line="107" w:lineRule="exact"/>
        <w:rPr>
          <w:sz w:val="20"/>
          <w:szCs w:val="20"/>
          <w:color w:val="auto"/>
        </w:rPr>
      </w:pPr>
    </w:p>
    <w:p>
      <w:pPr>
        <w:jc w:val="both"/>
        <w:ind w:right="280"/>
        <w:spacing w:after="0" w:line="370"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spacing w:after="0" w:line="62"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refer to Note 9 – Commitments and Contingencies (Contingencies) of our Notes to our unaudited condensed consolidated financial statements set forth in Part I, Item 1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The ultimate outcome of these actions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until June 2011.</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On May 8, 2008, we announced that we had reached an agreement with the SEC that concluded the SEC’s formal investigation of us with respect to our historic stock option granting practices.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20"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132"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engineers,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43"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14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the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16% of our outstanding common shares as of October 30, 2010.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1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Restated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weakness in credit market conditions continues or increases, it could have a material adverse impact on our investment portfolio.</w:t>
      </w:r>
    </w:p>
    <w:p>
      <w:pPr>
        <w:spacing w:after="0" w:line="194"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U.S. sub-prime mortgage defaults have had a significant impact across various sectors of the financial markets, causing global credit and liquidity issues. The short-term funding markets experienced credit issues beginning in the second half of calendar 2007 leading to liquidity disruption in the auction rate securities market and certain asset-backed commercial paper. We hold auction rate securities in our portfolio, and if the global credit market continues to deteriorate, our investment portfolio may be impacted and we could determine that some of our investments are impaired. This could materially adversely impact our results of operations and financial condition. For additional details on our auction rate securities, please see Part I, Item 3, “Quantitative and Qualitative Disclosures About Market Risk.”</w:t>
      </w:r>
    </w:p>
    <w:p>
      <w:pPr>
        <w:spacing w:after="0" w:line="144"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13"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 and the failure of any critical information system, may result in serious harm to our business.</w:t>
      </w:r>
    </w:p>
    <w:p>
      <w:pPr>
        <w:spacing w:after="0" w:line="132"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71"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Etoy, Switzerland and Shanghai, China subject us to the risks of owning real property, which include:</w:t>
      </w:r>
    </w:p>
    <w:p>
      <w:pPr>
        <w:spacing w:after="0" w:line="51"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32"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We believe our existing insurance coverage is consistent with common practice and economic and availability considerations. However, if our insurance coverage is inadequate to protect us against unforeseen catastrophic losses, any uncovered losses could adversely affect our financial condition and results of operations.</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07" w:lineRule="exact"/>
        <w:rPr>
          <w:sz w:val="20"/>
          <w:szCs w:val="20"/>
          <w:color w:val="auto"/>
        </w:rPr>
      </w:pPr>
    </w:p>
    <w:p>
      <w:pPr>
        <w:ind w:right="20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18"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20" w:lineRule="exact"/>
        <w:rPr>
          <w:sz w:val="20"/>
          <w:szCs w:val="20"/>
          <w:color w:val="auto"/>
        </w:rPr>
      </w:pPr>
    </w:p>
    <w:p>
      <w:pPr>
        <w:ind w:right="6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and</w:t>
      </w:r>
    </w:p>
    <w:p>
      <w:pPr>
        <w:spacing w:after="0" w:line="90" w:lineRule="exact"/>
        <w:rPr>
          <w:rFonts w:ascii="Arial" w:cs="Arial" w:eastAsia="Arial" w:hAnsi="Arial"/>
          <w:sz w:val="18"/>
          <w:szCs w:val="18"/>
          <w:color w:val="auto"/>
        </w:rPr>
      </w:pPr>
    </w:p>
    <w:p>
      <w:pPr>
        <w:ind w:left="900" w:right="120" w:hanging="325"/>
        <w:spacing w:after="0" w:line="232"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 xml:space="preserve">requiring a vote of two-thirds of the outstanding shares to approve any change of corporate control in the event the action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22"/>
          <w:szCs w:val="22"/>
          <w:color w:val="auto"/>
          <w:vertAlign w:val="subscript"/>
        </w:rPr>
        <w:t>3</w:t>
      </w:r>
      <w:r>
        <w:rPr>
          <w:rFonts w:ascii="Arial" w:cs="Arial" w:eastAsia="Arial" w:hAnsi="Arial"/>
          <w:sz w:val="18"/>
          <w:szCs w:val="18"/>
          <w:color w:val="auto"/>
        </w:rPr>
        <w:t>% of the directors holding office at the date of the Board meeting to approve the action.</w:t>
      </w:r>
    </w:p>
    <w:p>
      <w:pPr>
        <w:spacing w:after="0" w:line="15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 However, beginning in calendar year 2011 our classified board of directors will be phased out and by calendar year 2013 all directors will be up for election annually.</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color w:val="auto"/>
        </w:rPr>
        <w:t>Unregistered Sales of Equity Securities and Use of Proceeds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Issuer Purchases of Equity Securities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The following table presents details of our repurchases during the three months ended October 30, 2010 (in thousands, except per share data):</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0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Total Number of Shares</w:t>
            </w:r>
          </w:p>
        </w:tc>
        <w:tc>
          <w:tcPr>
            <w:tcW w:w="30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w w:val="92"/>
              </w:rPr>
              <w:t>Approximated Dollar 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0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00" w:type="dxa"/>
            <w:vAlign w:val="bottom"/>
            <w:gridSpan w:val="2"/>
          </w:tcPr>
          <w:p>
            <w:pPr>
              <w:jc w:val="right"/>
              <w:ind w:right="300"/>
              <w:spacing w:after="0" w:line="149" w:lineRule="exact"/>
              <w:rPr>
                <w:sz w:val="20"/>
                <w:szCs w:val="20"/>
                <w:color w:val="auto"/>
              </w:rPr>
            </w:pPr>
            <w:r>
              <w:rPr>
                <w:rFonts w:ascii="Arial" w:cs="Arial" w:eastAsia="Arial" w:hAnsi="Arial"/>
                <w:sz w:val="14"/>
                <w:szCs w:val="14"/>
                <w:b w:val="1"/>
                <w:bCs w:val="1"/>
                <w:color w:val="auto"/>
                <w:w w:val="85"/>
              </w:rPr>
              <w:t>Purchased as Part of Publicly</w:t>
            </w:r>
          </w:p>
        </w:tc>
        <w:tc>
          <w:tcPr>
            <w:tcW w:w="3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3000" w:type="dxa"/>
            <w:vAlign w:val="bottom"/>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1"/>
              </w:rPr>
              <w:t>Total Number of</w:t>
            </w:r>
          </w:p>
        </w:tc>
        <w:tc>
          <w:tcPr>
            <w:tcW w:w="600" w:type="dxa"/>
            <w:vAlign w:val="bottom"/>
          </w:tcPr>
          <w:p>
            <w:pPr>
              <w:spacing w:after="0"/>
              <w:rPr>
                <w:sz w:val="12"/>
                <w:szCs w:val="12"/>
                <w:color w:val="auto"/>
              </w:rPr>
            </w:pPr>
          </w:p>
        </w:tc>
        <w:tc>
          <w:tcPr>
            <w:tcW w:w="1480" w:type="dxa"/>
            <w:vAlign w:val="bottom"/>
            <w:gridSpan w:val="3"/>
          </w:tcPr>
          <w:p>
            <w:pPr>
              <w:jc w:val="right"/>
              <w:ind w:right="640"/>
              <w:spacing w:after="0" w:line="149" w:lineRule="exact"/>
              <w:rPr>
                <w:sz w:val="20"/>
                <w:szCs w:val="20"/>
                <w:color w:val="auto"/>
              </w:rPr>
            </w:pPr>
            <w:r>
              <w:rPr>
                <w:rFonts w:ascii="Arial" w:cs="Arial" w:eastAsia="Arial" w:hAnsi="Arial"/>
                <w:sz w:val="14"/>
                <w:szCs w:val="14"/>
                <w:b w:val="1"/>
                <w:bCs w:val="1"/>
                <w:color w:val="auto"/>
                <w:w w:val="87"/>
              </w:rPr>
              <w:t>Average Price</w:t>
            </w:r>
          </w:p>
        </w:tc>
        <w:tc>
          <w:tcPr>
            <w:tcW w:w="20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Announced Plans or</w:t>
            </w:r>
          </w:p>
        </w:tc>
        <w:tc>
          <w:tcPr>
            <w:tcW w:w="30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Purchased Under the Plans or</w:t>
            </w:r>
          </w:p>
        </w:tc>
        <w:tc>
          <w:tcPr>
            <w:tcW w:w="0" w:type="dxa"/>
            <w:vAlign w:val="bottom"/>
          </w:tcPr>
          <w:p>
            <w:pPr>
              <w:spacing w:after="0"/>
              <w:rPr>
                <w:sz w:val="1"/>
                <w:szCs w:val="1"/>
                <w:color w:val="auto"/>
              </w:rPr>
            </w:pPr>
          </w:p>
        </w:tc>
      </w:tr>
      <w:tr>
        <w:trPr>
          <w:trHeight w:val="161"/>
        </w:trPr>
        <w:tc>
          <w:tcPr>
            <w:tcW w:w="4160" w:type="dxa"/>
            <w:vAlign w:val="bottom"/>
            <w:gridSpan w:val="4"/>
          </w:tcPr>
          <w:p>
            <w:pPr>
              <w:spacing w:after="0"/>
              <w:rPr>
                <w:sz w:val="20"/>
                <w:szCs w:val="20"/>
                <w:color w:val="auto"/>
              </w:rPr>
            </w:pPr>
            <w:r>
              <w:rPr>
                <w:rFonts w:ascii="Arial" w:cs="Arial" w:eastAsia="Arial" w:hAnsi="Arial"/>
                <w:sz w:val="14"/>
                <w:szCs w:val="14"/>
                <w:b w:val="1"/>
                <w:bCs w:val="1"/>
                <w:color w:val="auto"/>
              </w:rPr>
              <w:t>Period</w:t>
            </w:r>
          </w:p>
        </w:tc>
        <w:tc>
          <w:tcPr>
            <w:tcW w:w="1040" w:type="dxa"/>
            <w:vAlign w:val="bottom"/>
          </w:tcPr>
          <w:p>
            <w:pPr>
              <w:jc w:val="right"/>
              <w:spacing w:after="0"/>
              <w:rPr>
                <w:sz w:val="20"/>
                <w:szCs w:val="20"/>
                <w:color w:val="auto"/>
              </w:rPr>
            </w:pPr>
            <w:r>
              <w:rPr>
                <w:rFonts w:ascii="Arial" w:cs="Arial" w:eastAsia="Arial" w:hAnsi="Arial"/>
                <w:sz w:val="14"/>
                <w:szCs w:val="14"/>
                <w:b w:val="1"/>
                <w:bCs w:val="1"/>
                <w:color w:val="auto"/>
                <w:w w:val="81"/>
              </w:rPr>
              <w:t>Shares Purchased</w:t>
            </w:r>
          </w:p>
        </w:tc>
        <w:tc>
          <w:tcPr>
            <w:tcW w:w="600" w:type="dxa"/>
            <w:vAlign w:val="bottom"/>
          </w:tcPr>
          <w:p>
            <w:pPr>
              <w:spacing w:after="0"/>
              <w:rPr>
                <w:sz w:val="14"/>
                <w:szCs w:val="14"/>
                <w:color w:val="auto"/>
              </w:rPr>
            </w:pPr>
          </w:p>
        </w:tc>
        <w:tc>
          <w:tcPr>
            <w:tcW w:w="1480" w:type="dxa"/>
            <w:vAlign w:val="bottom"/>
            <w:gridSpan w:val="3"/>
          </w:tcPr>
          <w:p>
            <w:pPr>
              <w:spacing w:after="0"/>
              <w:rPr>
                <w:sz w:val="20"/>
                <w:szCs w:val="20"/>
                <w:color w:val="auto"/>
              </w:rPr>
            </w:pPr>
            <w:r>
              <w:rPr>
                <w:rFonts w:ascii="Arial" w:cs="Arial" w:eastAsia="Arial" w:hAnsi="Arial"/>
                <w:sz w:val="14"/>
                <w:szCs w:val="14"/>
                <w:b w:val="1"/>
                <w:bCs w:val="1"/>
                <w:color w:val="auto"/>
              </w:rPr>
              <w:t>Paid per Share</w:t>
            </w:r>
          </w:p>
        </w:tc>
        <w:tc>
          <w:tcPr>
            <w:tcW w:w="20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7"/>
              </w:rPr>
              <w:t>Programs (1)</w:t>
            </w: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6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1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August 1 - August 28, 2010</w:t>
            </w:r>
          </w:p>
        </w:tc>
        <w:tc>
          <w:tcPr>
            <w:tcW w:w="104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2000" w:type="dxa"/>
            <w:vAlign w:val="bottom"/>
            <w:gridSpan w:val="2"/>
            <w:shd w:val="clear" w:color="auto" w:fill="CCEEFF"/>
          </w:tcPr>
          <w:p>
            <w:pPr>
              <w:ind w:left="1440"/>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gridSpan w:val="3"/>
          </w:tcPr>
          <w:p>
            <w:pPr>
              <w:spacing w:after="0"/>
              <w:rPr>
                <w:sz w:val="20"/>
                <w:szCs w:val="20"/>
                <w:color w:val="auto"/>
              </w:rPr>
            </w:pPr>
            <w:r>
              <w:rPr>
                <w:rFonts w:ascii="Arial" w:cs="Arial" w:eastAsia="Arial" w:hAnsi="Arial"/>
                <w:sz w:val="18"/>
                <w:szCs w:val="18"/>
                <w:color w:val="auto"/>
              </w:rPr>
              <w:t>August 29 - September 25, 2010</w:t>
            </w:r>
          </w:p>
        </w:tc>
        <w:tc>
          <w:tcPr>
            <w:tcW w:w="1040" w:type="dxa"/>
            <w:vAlign w:val="bottom"/>
          </w:tcPr>
          <w:p>
            <w:pPr>
              <w:jc w:val="right"/>
              <w:spacing w:after="0"/>
              <w:rPr>
                <w:sz w:val="20"/>
                <w:szCs w:val="20"/>
                <w:color w:val="auto"/>
              </w:rPr>
            </w:pPr>
            <w:r>
              <w:rPr>
                <w:rFonts w:ascii="Arial" w:cs="Arial" w:eastAsia="Arial" w:hAnsi="Arial"/>
                <w:sz w:val="18"/>
                <w:szCs w:val="18"/>
                <w:color w:val="auto"/>
              </w:rPr>
              <w:t>2,086</w:t>
            </w:r>
          </w:p>
        </w:tc>
        <w:tc>
          <w:tcPr>
            <w:tcW w:w="88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17.16</w:t>
            </w:r>
          </w:p>
        </w:tc>
        <w:tc>
          <w:tcPr>
            <w:tcW w:w="2000" w:type="dxa"/>
            <w:vAlign w:val="bottom"/>
            <w:gridSpan w:val="2"/>
          </w:tcPr>
          <w:p>
            <w:pPr>
              <w:jc w:val="right"/>
              <w:ind w:right="300"/>
              <w:spacing w:after="0"/>
              <w:rPr>
                <w:sz w:val="20"/>
                <w:szCs w:val="20"/>
                <w:color w:val="auto"/>
              </w:rPr>
            </w:pPr>
            <w:r>
              <w:rPr>
                <w:rFonts w:ascii="Arial" w:cs="Arial" w:eastAsia="Arial" w:hAnsi="Arial"/>
                <w:sz w:val="18"/>
                <w:szCs w:val="18"/>
                <w:color w:val="auto"/>
              </w:rPr>
              <w:t>2,086</w:t>
            </w:r>
          </w:p>
        </w:tc>
        <w:tc>
          <w:tcPr>
            <w:tcW w:w="44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464,207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26 - October 30, 2010</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88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16.57</w:t>
            </w: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1,500</w:t>
            </w:r>
          </w:p>
        </w:tc>
        <w:tc>
          <w:tcPr>
            <w:tcW w:w="300" w:type="dxa"/>
            <w:vAlign w:val="bottom"/>
            <w:shd w:val="clear" w:color="auto" w:fill="CCEEFF"/>
          </w:tcPr>
          <w:p>
            <w:pPr>
              <w:spacing w:after="0"/>
              <w:rPr>
                <w:sz w:val="18"/>
                <w:szCs w:val="18"/>
                <w:color w:val="auto"/>
              </w:rPr>
            </w:pPr>
          </w:p>
        </w:tc>
        <w:tc>
          <w:tcPr>
            <w:tcW w:w="4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439,352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160" w:type="dxa"/>
            <w:vAlign w:val="bottom"/>
            <w:gridSpan w:val="4"/>
          </w:tcPr>
          <w:p>
            <w:pPr>
              <w:spacing w:after="0"/>
              <w:rPr>
                <w:sz w:val="20"/>
                <w:szCs w:val="20"/>
                <w:color w:val="auto"/>
              </w:rPr>
            </w:pPr>
            <w:r>
              <w:rPr>
                <w:rFonts w:ascii="Arial" w:cs="Arial" w:eastAsia="Arial" w:hAnsi="Arial"/>
                <w:sz w:val="18"/>
                <w:szCs w:val="18"/>
                <w:color w:val="auto"/>
              </w:rPr>
              <w:t>Total</w:t>
            </w:r>
          </w:p>
        </w:tc>
        <w:tc>
          <w:tcPr>
            <w:tcW w:w="1040" w:type="dxa"/>
            <w:vAlign w:val="bottom"/>
          </w:tcPr>
          <w:p>
            <w:pPr>
              <w:jc w:val="right"/>
              <w:spacing w:after="0"/>
              <w:rPr>
                <w:sz w:val="20"/>
                <w:szCs w:val="20"/>
                <w:color w:val="auto"/>
              </w:rPr>
            </w:pPr>
            <w:r>
              <w:rPr>
                <w:rFonts w:ascii="Arial" w:cs="Arial" w:eastAsia="Arial" w:hAnsi="Arial"/>
                <w:sz w:val="18"/>
                <w:szCs w:val="18"/>
                <w:color w:val="auto"/>
              </w:rPr>
              <w:t>3,586</w:t>
            </w:r>
          </w:p>
        </w:tc>
        <w:tc>
          <w:tcPr>
            <w:tcW w:w="88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16.91</w:t>
            </w:r>
          </w:p>
        </w:tc>
        <w:tc>
          <w:tcPr>
            <w:tcW w:w="2000" w:type="dxa"/>
            <w:vAlign w:val="bottom"/>
            <w:gridSpan w:val="2"/>
          </w:tcPr>
          <w:p>
            <w:pPr>
              <w:jc w:val="right"/>
              <w:ind w:right="300"/>
              <w:spacing w:after="0"/>
              <w:rPr>
                <w:sz w:val="20"/>
                <w:szCs w:val="20"/>
                <w:color w:val="auto"/>
              </w:rPr>
            </w:pPr>
            <w:r>
              <w:rPr>
                <w:rFonts w:ascii="Arial" w:cs="Arial" w:eastAsia="Arial" w:hAnsi="Arial"/>
                <w:sz w:val="18"/>
                <w:szCs w:val="18"/>
                <w:color w:val="auto"/>
              </w:rPr>
              <w:t>3,586</w:t>
            </w:r>
          </w:p>
        </w:tc>
        <w:tc>
          <w:tcPr>
            <w:tcW w:w="44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439,352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3000" w:type="dxa"/>
            <w:vAlign w:val="bottom"/>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tcPr>
          <w:p>
            <w:pPr>
              <w:spacing w:after="0"/>
              <w:rPr>
                <w:sz w:val="8"/>
                <w:szCs w:val="8"/>
                <w:color w:val="auto"/>
              </w:rPr>
            </w:pPr>
          </w:p>
        </w:tc>
        <w:tc>
          <w:tcPr>
            <w:tcW w:w="38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30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620" w:type="dxa"/>
            <w:vAlign w:val="bottom"/>
          </w:tcPr>
          <w:p>
            <w:pPr>
              <w:spacing w:after="0"/>
              <w:rPr>
                <w:sz w:val="8"/>
                <w:szCs w:val="8"/>
                <w:color w:val="auto"/>
              </w:rPr>
            </w:pPr>
          </w:p>
        </w:tc>
        <w:tc>
          <w:tcPr>
            <w:tcW w:w="17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40" w:hanging="452"/>
        <w:spacing w:after="0" w:line="256"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On August 19, 2010, we announced that our Board of Directors authorized a program to repurchase up to $500.0 million of our outstanding common shares. We intend to affect the repurchase program in accordance with the conditions of Rule 10b-18 under the Exchange Act. The repurchase program will be subject to market conditions and other factors and does not obligate us to repurchase any dollar amount or number of our common shares. The program may be extended, modified, suspended or discontinued at any time.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Exhibits</w:t>
      </w:r>
    </w:p>
    <w:p>
      <w:pPr>
        <w:spacing w:after="0" w:line="96" w:lineRule="exact"/>
        <w:rPr>
          <w:sz w:val="20"/>
          <w:szCs w:val="20"/>
          <w:color w:val="auto"/>
        </w:rPr>
      </w:pPr>
    </w:p>
    <w:p>
      <w:pPr>
        <w:ind w:left="460" w:hanging="452"/>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following exhibits are filed as part of this report:</w:t>
      </w:r>
    </w:p>
    <w:p>
      <w:pPr>
        <w:sectPr>
          <w:pgSz w:w="11900" w:h="16838" w:orient="portrait"/>
          <w:cols w:equalWidth="0" w:num="1">
            <w:col w:w="11400"/>
          </w:cols>
          <w:pgMar w:left="240" w:top="459" w:right="259" w:bottom="1440" w:gutter="0" w:footer="0" w:header="0"/>
        </w:sectPr>
      </w:pPr>
    </w:p>
    <w:p>
      <w:pPr>
        <w:spacing w:after="0" w:line="343" w:lineRule="exact"/>
        <w:rPr>
          <w:sz w:val="20"/>
          <w:szCs w:val="20"/>
          <w:color w:val="auto"/>
        </w:rPr>
      </w:pPr>
    </w:p>
    <w:p>
      <w:pPr>
        <w:ind w:left="120"/>
        <w:spacing w:after="0"/>
        <w:rPr>
          <w:sz w:val="20"/>
          <w:szCs w:val="20"/>
          <w:color w:val="auto"/>
        </w:rPr>
      </w:pPr>
      <w:r>
        <w:rPr>
          <w:rFonts w:ascii="Arial" w:cs="Arial" w:eastAsia="Arial" w:hAnsi="Arial"/>
          <w:sz w:val="15"/>
          <w:szCs w:val="15"/>
          <w:color w:val="auto"/>
        </w:rPr>
        <w:t>10.1#</w:t>
      </w:r>
    </w:p>
    <w:p>
      <w:pPr>
        <w:spacing w:after="0" w:line="20" w:lineRule="exact"/>
        <w:rPr>
          <w:sz w:val="20"/>
          <w:szCs w:val="20"/>
          <w:color w:val="auto"/>
        </w:rPr>
      </w:pPr>
      <w:r>
        <w:rPr>
          <w:sz w:val="20"/>
          <w:szCs w:val="20"/>
          <w:color w:val="auto"/>
        </w:rPr>
        <w:br w:type="column"/>
      </w:r>
    </w:p>
    <w:p>
      <w:pPr>
        <w:spacing w:after="0" w:line="323" w:lineRule="exact"/>
        <w:rPr>
          <w:sz w:val="20"/>
          <w:szCs w:val="20"/>
          <w:color w:val="auto"/>
        </w:rPr>
      </w:pPr>
    </w:p>
    <w:p>
      <w:pPr>
        <w:spacing w:after="0"/>
        <w:rPr>
          <w:sz w:val="20"/>
          <w:szCs w:val="20"/>
          <w:color w:val="auto"/>
        </w:rPr>
      </w:pPr>
      <w:r>
        <w:rPr>
          <w:rFonts w:ascii="Arial" w:cs="Arial" w:eastAsia="Arial" w:hAnsi="Arial"/>
          <w:sz w:val="15"/>
          <w:szCs w:val="15"/>
          <w:color w:val="auto"/>
        </w:rPr>
        <w:t>2007 Director Stock Incentive Plan, as amended and restated on August 25, 2010</w:t>
      </w:r>
    </w:p>
    <w:p>
      <w:pPr>
        <w:spacing w:after="0" w:line="152" w:lineRule="exact"/>
        <w:rPr>
          <w:sz w:val="20"/>
          <w:szCs w:val="20"/>
          <w:color w:val="auto"/>
        </w:rPr>
      </w:pPr>
    </w:p>
    <w:p>
      <w:pPr>
        <w:sectPr>
          <w:pgSz w:w="11900" w:h="16838" w:orient="portrait"/>
          <w:cols w:equalWidth="0" w:num="2">
            <w:col w:w="700" w:space="720"/>
            <w:col w:w="9980"/>
          </w:cols>
          <w:pgMar w:left="240" w:top="459" w:right="259" w:bottom="1440" w:gutter="0" w:footer="0" w:header="0"/>
          <w:type w:val="continuous"/>
        </w:sectPr>
      </w:pPr>
    </w:p>
    <w:p>
      <w:pPr>
        <w:ind w:left="120"/>
        <w:spacing w:after="0"/>
        <w:rPr>
          <w:sz w:val="20"/>
          <w:szCs w:val="20"/>
          <w:color w:val="auto"/>
        </w:rPr>
      </w:pPr>
      <w:r>
        <w:rPr>
          <w:rFonts w:ascii="Arial" w:cs="Arial" w:eastAsia="Arial" w:hAnsi="Arial"/>
          <w:sz w:val="15"/>
          <w:szCs w:val="15"/>
          <w:color w:val="auto"/>
        </w:rPr>
        <w:t>31.1</w:t>
      </w:r>
    </w:p>
    <w:p>
      <w:pPr>
        <w:spacing w:after="0" w:line="20" w:lineRule="exact"/>
        <w:rPr>
          <w:sz w:val="20"/>
          <w:szCs w:val="20"/>
          <w:color w:val="auto"/>
        </w:rPr>
      </w:pPr>
      <w:r>
        <w:rPr>
          <w:sz w:val="20"/>
          <w:szCs w:val="20"/>
          <w:color w:val="auto"/>
        </w:rPr>
        <w:br w:type="column"/>
      </w:r>
    </w:p>
    <w:p>
      <w:pPr>
        <w:spacing w:after="0" w:line="268" w:lineRule="auto"/>
        <w:rPr>
          <w:sz w:val="20"/>
          <w:szCs w:val="20"/>
          <w:color w:val="auto"/>
        </w:rPr>
      </w:pPr>
      <w:r>
        <w:rPr>
          <w:rFonts w:ascii="Arial" w:cs="Arial" w:eastAsia="Arial" w:hAnsi="Arial"/>
          <w:sz w:val="18"/>
          <w:szCs w:val="18"/>
          <w:color w:val="auto"/>
        </w:rPr>
        <w:t>Certification of Chief Executive Officer pursuant to 18 U.S.C. Section 1350, as adopted pursuant to Section 302 of the Sarbanes-Oxley Act of 2002</w:t>
      </w:r>
    </w:p>
    <w:p>
      <w:pPr>
        <w:spacing w:after="0" w:line="78" w:lineRule="exact"/>
        <w:rPr>
          <w:sz w:val="20"/>
          <w:szCs w:val="20"/>
          <w:color w:val="auto"/>
        </w:rPr>
      </w:pPr>
    </w:p>
    <w:p>
      <w:pPr>
        <w:sectPr>
          <w:pgSz w:w="11900" w:h="16838" w:orient="portrait"/>
          <w:cols w:equalWidth="0" w:num="2">
            <w:col w:w="700" w:space="720"/>
            <w:col w:w="9980"/>
          </w:cols>
          <w:pgMar w:left="240" w:top="459" w:right="259" w:bottom="1440" w:gutter="0" w:footer="0" w:header="0"/>
          <w:type w:val="continuous"/>
        </w:sectPr>
      </w:pPr>
    </w:p>
    <w:p>
      <w:pPr>
        <w:ind w:left="120"/>
        <w:spacing w:after="0"/>
        <w:rPr>
          <w:sz w:val="20"/>
          <w:szCs w:val="20"/>
          <w:color w:val="auto"/>
        </w:rPr>
      </w:pPr>
      <w:r>
        <w:rPr>
          <w:rFonts w:ascii="Arial" w:cs="Arial" w:eastAsia="Arial" w:hAnsi="Arial"/>
          <w:sz w:val="15"/>
          <w:szCs w:val="15"/>
          <w:color w:val="auto"/>
        </w:rPr>
        <w:t>31.2</w:t>
      </w:r>
    </w:p>
    <w:p>
      <w:pPr>
        <w:spacing w:after="0" w:line="20" w:lineRule="exact"/>
        <w:rPr>
          <w:sz w:val="20"/>
          <w:szCs w:val="20"/>
          <w:color w:val="auto"/>
        </w:rPr>
      </w:pPr>
      <w:r>
        <w:rPr>
          <w:sz w:val="20"/>
          <w:szCs w:val="20"/>
          <w:color w:val="auto"/>
        </w:rPr>
        <w:br w:type="column"/>
      </w:r>
    </w:p>
    <w:p>
      <w:pPr>
        <w:ind w:right="6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302 of the Sarbanes-Oxley Act of 2002</w:t>
      </w:r>
    </w:p>
    <w:p>
      <w:pPr>
        <w:spacing w:after="0" w:line="78" w:lineRule="exact"/>
        <w:rPr>
          <w:sz w:val="20"/>
          <w:szCs w:val="20"/>
          <w:color w:val="auto"/>
        </w:rPr>
      </w:pPr>
    </w:p>
    <w:p>
      <w:pPr>
        <w:sectPr>
          <w:pgSz w:w="11900" w:h="16838" w:orient="portrait"/>
          <w:cols w:equalWidth="0" w:num="2">
            <w:col w:w="700" w:space="720"/>
            <w:col w:w="9980"/>
          </w:cols>
          <w:pgMar w:left="240" w:top="459" w:right="259" w:bottom="1440" w:gutter="0" w:footer="0" w:header="0"/>
          <w:type w:val="continuous"/>
        </w:sectPr>
      </w:pPr>
    </w:p>
    <w:p>
      <w:pPr>
        <w:ind w:left="120"/>
        <w:spacing w:after="0"/>
        <w:rPr>
          <w:sz w:val="20"/>
          <w:szCs w:val="20"/>
          <w:color w:val="auto"/>
        </w:rPr>
      </w:pPr>
      <w:r>
        <w:rPr>
          <w:rFonts w:ascii="Arial" w:cs="Arial" w:eastAsia="Arial" w:hAnsi="Arial"/>
          <w:sz w:val="16"/>
          <w:szCs w:val="16"/>
          <w:color w:val="auto"/>
        </w:rPr>
        <w:t>32.1*</w:t>
      </w:r>
    </w:p>
    <w:p>
      <w:pPr>
        <w:spacing w:after="0" w:line="20" w:lineRule="exact"/>
        <w:rPr>
          <w:sz w:val="20"/>
          <w:szCs w:val="20"/>
          <w:color w:val="auto"/>
        </w:rPr>
      </w:pPr>
      <w:r>
        <w:rPr>
          <w:sz w:val="20"/>
          <w:szCs w:val="20"/>
          <w:color w:val="auto"/>
        </w:rPr>
        <w:br w:type="column"/>
      </w:r>
    </w:p>
    <w:p>
      <w:pPr>
        <w:spacing w:after="0" w:line="268" w:lineRule="auto"/>
        <w:rPr>
          <w:sz w:val="20"/>
          <w:szCs w:val="20"/>
          <w:color w:val="auto"/>
        </w:rPr>
      </w:pPr>
      <w:r>
        <w:rPr>
          <w:rFonts w:ascii="Arial" w:cs="Arial" w:eastAsia="Arial" w:hAnsi="Arial"/>
          <w:sz w:val="18"/>
          <w:szCs w:val="18"/>
          <w:color w:val="auto"/>
        </w:rPr>
        <w:t>Certification of Chief Executive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700" w:space="720"/>
            <w:col w:w="9980"/>
          </w:cols>
          <w:pgMar w:left="240" w:top="459" w:right="259" w:bottom="1440" w:gutter="0" w:footer="0" w:header="0"/>
          <w:type w:val="continuous"/>
        </w:sectPr>
      </w:pPr>
    </w:p>
    <w:p>
      <w:pPr>
        <w:ind w:left="120"/>
        <w:spacing w:after="0"/>
        <w:rPr>
          <w:sz w:val="20"/>
          <w:szCs w:val="20"/>
          <w:color w:val="auto"/>
        </w:rPr>
      </w:pPr>
      <w:r>
        <w:rPr>
          <w:rFonts w:ascii="Arial" w:cs="Arial" w:eastAsia="Arial" w:hAnsi="Arial"/>
          <w:sz w:val="16"/>
          <w:szCs w:val="16"/>
          <w:color w:val="auto"/>
        </w:rPr>
        <w:t>32.2*</w:t>
      </w:r>
    </w:p>
    <w:p>
      <w:pPr>
        <w:spacing w:after="0" w:line="20" w:lineRule="exact"/>
        <w:rPr>
          <w:sz w:val="20"/>
          <w:szCs w:val="20"/>
          <w:color w:val="auto"/>
        </w:rPr>
      </w:pPr>
      <w:r>
        <w:rPr>
          <w:sz w:val="20"/>
          <w:szCs w:val="20"/>
          <w:color w:val="auto"/>
        </w:rPr>
        <w:br w:type="column"/>
      </w:r>
    </w:p>
    <w:p>
      <w:pPr>
        <w:ind w:right="60"/>
        <w:spacing w:after="0" w:line="268" w:lineRule="auto"/>
        <w:rPr>
          <w:sz w:val="20"/>
          <w:szCs w:val="20"/>
          <w:color w:val="auto"/>
        </w:rPr>
      </w:pPr>
      <w:r>
        <w:rPr>
          <w:rFonts w:ascii="Arial" w:cs="Arial" w:eastAsia="Arial" w:hAnsi="Arial"/>
          <w:sz w:val="18"/>
          <w:szCs w:val="18"/>
          <w:color w:val="auto"/>
        </w:rPr>
        <w:t>Certification of Chief Financial Officer pursuant to 18 U.S.C. Section 1350, as adopted pursuant to Section 906 of the Sarbanes-Oxley Act of 2002</w:t>
      </w:r>
    </w:p>
    <w:p>
      <w:pPr>
        <w:spacing w:after="0" w:line="78" w:lineRule="exact"/>
        <w:rPr>
          <w:sz w:val="20"/>
          <w:szCs w:val="20"/>
          <w:color w:val="auto"/>
        </w:rPr>
      </w:pPr>
    </w:p>
    <w:p>
      <w:pPr>
        <w:sectPr>
          <w:pgSz w:w="11900" w:h="16838" w:orient="portrait"/>
          <w:cols w:equalWidth="0" w:num="2">
            <w:col w:w="700" w:space="720"/>
            <w:col w:w="9980"/>
          </w:cols>
          <w:pgMar w:left="240" w:top="459" w:right="259" w:bottom="1440" w:gutter="0" w:footer="0" w:header="0"/>
          <w:type w:val="continuous"/>
        </w:sectPr>
      </w:pPr>
    </w:p>
    <w:p>
      <w:pPr>
        <w:ind w:left="20"/>
        <w:spacing w:after="0"/>
        <w:rPr>
          <w:sz w:val="20"/>
          <w:szCs w:val="20"/>
          <w:color w:val="auto"/>
        </w:rPr>
      </w:pPr>
      <w:r>
        <w:rPr>
          <w:rFonts w:ascii="Arial" w:cs="Arial" w:eastAsia="Arial" w:hAnsi="Arial"/>
          <w:sz w:val="16"/>
          <w:szCs w:val="16"/>
          <w:color w:val="auto"/>
        </w:rPr>
        <w:t>101.INS**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Instance Document</w:t>
      </w:r>
    </w:p>
    <w:p>
      <w:pPr>
        <w:spacing w:after="0" w:line="140" w:lineRule="exact"/>
        <w:rPr>
          <w:sz w:val="20"/>
          <w:szCs w:val="20"/>
          <w:color w:val="auto"/>
        </w:rPr>
      </w:pPr>
    </w:p>
    <w:p>
      <w:pPr>
        <w:sectPr>
          <w:pgSz w:w="11900" w:h="16838" w:orient="portrait"/>
          <w:cols w:equalWidth="0" w:num="2">
            <w:col w:w="780" w:space="640"/>
            <w:col w:w="9980"/>
          </w:cols>
          <w:pgMar w:left="240" w:top="459" w:right="259" w:bottom="1440" w:gutter="0" w:footer="0" w:header="0"/>
          <w:type w:val="continuous"/>
        </w:sectPr>
      </w:pPr>
    </w:p>
    <w:p>
      <w:pPr>
        <w:ind w:left="20"/>
        <w:spacing w:after="0"/>
        <w:rPr>
          <w:sz w:val="20"/>
          <w:szCs w:val="20"/>
          <w:color w:val="auto"/>
        </w:rPr>
      </w:pPr>
      <w:r>
        <w:rPr>
          <w:rFonts w:ascii="Arial" w:cs="Arial" w:eastAsia="Arial" w:hAnsi="Arial"/>
          <w:sz w:val="16"/>
          <w:szCs w:val="16"/>
          <w:color w:val="auto"/>
        </w:rPr>
        <w:t>101.SCH**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Schema Document</w:t>
      </w:r>
    </w:p>
    <w:p>
      <w:pPr>
        <w:spacing w:after="0" w:line="140" w:lineRule="exact"/>
        <w:rPr>
          <w:sz w:val="20"/>
          <w:szCs w:val="20"/>
          <w:color w:val="auto"/>
        </w:rPr>
      </w:pPr>
    </w:p>
    <w:p>
      <w:pPr>
        <w:sectPr>
          <w:pgSz w:w="11900" w:h="16838" w:orient="portrait"/>
          <w:cols w:equalWidth="0" w:num="2">
            <w:col w:w="840" w:space="580"/>
            <w:col w:w="9980"/>
          </w:cols>
          <w:pgMar w:left="240" w:top="459" w:right="259" w:bottom="1440" w:gutter="0" w:footer="0" w:header="0"/>
          <w:type w:val="continuous"/>
        </w:sectPr>
      </w:pPr>
    </w:p>
    <w:p>
      <w:pPr>
        <w:spacing w:after="0"/>
        <w:rPr>
          <w:sz w:val="20"/>
          <w:szCs w:val="20"/>
          <w:color w:val="auto"/>
        </w:rPr>
      </w:pPr>
      <w:r>
        <w:rPr>
          <w:rFonts w:ascii="Arial" w:cs="Arial" w:eastAsia="Arial" w:hAnsi="Arial"/>
          <w:sz w:val="16"/>
          <w:szCs w:val="16"/>
          <w:color w:val="auto"/>
        </w:rPr>
        <w:t>101.CAL**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Calculation Linkbase Document</w:t>
      </w:r>
    </w:p>
    <w:p>
      <w:pPr>
        <w:spacing w:after="0" w:line="140" w:lineRule="exact"/>
        <w:rPr>
          <w:sz w:val="20"/>
          <w:szCs w:val="20"/>
          <w:color w:val="auto"/>
        </w:rPr>
      </w:pPr>
    </w:p>
    <w:p>
      <w:pPr>
        <w:sectPr>
          <w:pgSz w:w="11900" w:h="16838" w:orient="portrait"/>
          <w:cols w:equalWidth="0" w:num="2">
            <w:col w:w="840" w:space="580"/>
            <w:col w:w="9980"/>
          </w:cols>
          <w:pgMar w:left="240" w:top="459" w:right="259" w:bottom="1440" w:gutter="0" w:footer="0" w:header="0"/>
          <w:type w:val="continuous"/>
        </w:sectPr>
      </w:pPr>
    </w:p>
    <w:p>
      <w:pPr>
        <w:ind w:left="20"/>
        <w:spacing w:after="0"/>
        <w:rPr>
          <w:sz w:val="20"/>
          <w:szCs w:val="20"/>
          <w:color w:val="auto"/>
        </w:rPr>
      </w:pPr>
      <w:r>
        <w:rPr>
          <w:rFonts w:ascii="Arial" w:cs="Arial" w:eastAsia="Arial" w:hAnsi="Arial"/>
          <w:sz w:val="16"/>
          <w:szCs w:val="16"/>
          <w:color w:val="auto"/>
        </w:rPr>
        <w:t>101.DEF**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Definition Document</w:t>
      </w:r>
    </w:p>
    <w:p>
      <w:pPr>
        <w:spacing w:after="0" w:line="140" w:lineRule="exact"/>
        <w:rPr>
          <w:sz w:val="20"/>
          <w:szCs w:val="20"/>
          <w:color w:val="auto"/>
        </w:rPr>
      </w:pPr>
    </w:p>
    <w:p>
      <w:pPr>
        <w:sectPr>
          <w:pgSz w:w="11900" w:h="16838" w:orient="portrait"/>
          <w:cols w:equalWidth="0" w:num="2">
            <w:col w:w="840" w:space="580"/>
            <w:col w:w="9980"/>
          </w:cols>
          <w:pgMar w:left="240" w:top="459" w:right="259" w:bottom="1440" w:gutter="0" w:footer="0" w:header="0"/>
          <w:type w:val="continuous"/>
        </w:sectPr>
      </w:pPr>
    </w:p>
    <w:p>
      <w:pPr>
        <w:spacing w:after="0"/>
        <w:rPr>
          <w:sz w:val="20"/>
          <w:szCs w:val="20"/>
          <w:color w:val="auto"/>
        </w:rPr>
      </w:pPr>
      <w:r>
        <w:rPr>
          <w:rFonts w:ascii="Arial" w:cs="Arial" w:eastAsia="Arial" w:hAnsi="Arial"/>
          <w:sz w:val="18"/>
          <w:szCs w:val="18"/>
          <w:color w:val="auto"/>
        </w:rPr>
        <w:t>101.LAB**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Label Linkbase Document</w:t>
      </w:r>
    </w:p>
    <w:p>
      <w:pPr>
        <w:spacing w:after="0" w:line="139" w:lineRule="exact"/>
        <w:rPr>
          <w:sz w:val="20"/>
          <w:szCs w:val="20"/>
          <w:color w:val="auto"/>
        </w:rPr>
      </w:pPr>
    </w:p>
    <w:p>
      <w:pPr>
        <w:sectPr>
          <w:pgSz w:w="11900" w:h="16838" w:orient="portrait"/>
          <w:cols w:equalWidth="0" w:num="2">
            <w:col w:w="840" w:space="580"/>
            <w:col w:w="9980"/>
          </w:cols>
          <w:pgMar w:left="240" w:top="459" w:right="259" w:bottom="1440" w:gutter="0" w:footer="0" w:header="0"/>
          <w:type w:val="continuous"/>
        </w:sectPr>
      </w:pPr>
    </w:p>
    <w:p>
      <w:pPr>
        <w:ind w:left="20"/>
        <w:spacing w:after="0"/>
        <w:rPr>
          <w:sz w:val="20"/>
          <w:szCs w:val="20"/>
          <w:color w:val="auto"/>
        </w:rPr>
      </w:pPr>
      <w:r>
        <w:rPr>
          <w:rFonts w:ascii="Arial" w:cs="Arial" w:eastAsia="Arial" w:hAnsi="Arial"/>
          <w:sz w:val="16"/>
          <w:szCs w:val="16"/>
          <w:color w:val="auto"/>
        </w:rPr>
        <w:t>101.PRE**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94615</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XBRL Taxonomy Extension Presentation Linkbase Document</w:t>
      </w:r>
    </w:p>
    <w:p>
      <w:pPr>
        <w:spacing w:after="0" w:line="181" w:lineRule="exact"/>
        <w:rPr>
          <w:sz w:val="20"/>
          <w:szCs w:val="20"/>
          <w:color w:val="auto"/>
        </w:rPr>
      </w:pPr>
    </w:p>
    <w:p>
      <w:pPr>
        <w:sectPr>
          <w:pgSz w:w="11900" w:h="16838" w:orient="portrait"/>
          <w:cols w:equalWidth="0" w:num="2">
            <w:col w:w="820" w:space="600"/>
            <w:col w:w="9980"/>
          </w:cols>
          <w:pgMar w:left="240" w:top="459" w:right="259" w:bottom="1440" w:gutter="0" w:footer="0" w:header="0"/>
          <w:type w:val="continuous"/>
        </w:sect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40" w:hanging="452"/>
        <w:spacing w:after="0" w:line="281"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w:t>
      </w:r>
    </w:p>
    <w:p>
      <w:pPr>
        <w:spacing w:after="0" w:line="1" w:lineRule="exact"/>
        <w:rPr>
          <w:sz w:val="20"/>
          <w:szCs w:val="20"/>
          <w:color w:val="auto"/>
        </w:rPr>
      </w:pPr>
    </w:p>
    <w:p>
      <w:pPr>
        <w:ind w:left="460" w:right="60"/>
        <w:spacing w:after="0" w:line="250" w:lineRule="auto"/>
        <w:rPr>
          <w:sz w:val="20"/>
          <w:szCs w:val="20"/>
          <w:color w:val="auto"/>
        </w:rPr>
      </w:pPr>
      <w:r>
        <w:rPr>
          <w:rFonts w:ascii="Arial" w:cs="Arial" w:eastAsia="Arial" w:hAnsi="Arial"/>
          <w:sz w:val="18"/>
          <w:szCs w:val="18"/>
          <w:color w:val="auto"/>
        </w:rPr>
        <w:t>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right="20" w:hanging="452"/>
        <w:spacing w:after="0" w:line="253"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type w:val="continuous"/>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7760" w:type="dxa"/>
            <w:vAlign w:val="bottom"/>
            <w:gridSpan w:val="2"/>
          </w:tcPr>
          <w:p>
            <w:pPr>
              <w:ind w:left="2260"/>
              <w:spacing w:after="0"/>
              <w:rPr>
                <w:sz w:val="20"/>
                <w:szCs w:val="20"/>
                <w:color w:val="auto"/>
              </w:rPr>
            </w:pPr>
            <w:r>
              <w:rPr>
                <w:rFonts w:ascii="Arial" w:cs="Arial" w:eastAsia="Arial" w:hAnsi="Arial"/>
                <w:sz w:val="18"/>
                <w:szCs w:val="18"/>
                <w:color w:val="auto"/>
              </w:rPr>
              <w:t>MARVELL TECHNOLOGY GROUP LTD.</w:t>
            </w:r>
          </w:p>
        </w:tc>
        <w:tc>
          <w:tcPr>
            <w:tcW w:w="0" w:type="dxa"/>
            <w:vAlign w:val="bottom"/>
          </w:tcPr>
          <w:p>
            <w:pPr>
              <w:spacing w:after="0"/>
              <w:rPr>
                <w:sz w:val="1"/>
                <w:szCs w:val="1"/>
                <w:color w:val="auto"/>
              </w:rPr>
            </w:pPr>
          </w:p>
        </w:tc>
      </w:tr>
      <w:tr>
        <w:trPr>
          <w:trHeight w:val="394"/>
        </w:trPr>
        <w:tc>
          <w:tcPr>
            <w:tcW w:w="20" w:type="dxa"/>
            <w:vAlign w:val="bottom"/>
          </w:tcPr>
          <w:p>
            <w:pPr>
              <w:spacing w:after="0"/>
              <w:rPr>
                <w:sz w:val="24"/>
                <w:szCs w:val="24"/>
                <w:color w:val="auto"/>
              </w:rPr>
            </w:pPr>
          </w:p>
        </w:tc>
        <w:tc>
          <w:tcPr>
            <w:tcW w:w="13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86"/>
              </w:rPr>
              <w:t>November 23, 2010</w:t>
            </w:r>
          </w:p>
        </w:tc>
        <w:tc>
          <w:tcPr>
            <w:tcW w:w="2260" w:type="dxa"/>
            <w:vAlign w:val="bottom"/>
          </w:tcPr>
          <w:p>
            <w:pPr>
              <w:spacing w:after="0"/>
              <w:rPr>
                <w:sz w:val="24"/>
                <w:szCs w:val="24"/>
                <w:color w:val="auto"/>
              </w:rPr>
            </w:pPr>
          </w:p>
        </w:tc>
        <w:tc>
          <w:tcPr>
            <w:tcW w:w="2620" w:type="dxa"/>
            <w:vAlign w:val="bottom"/>
          </w:tcPr>
          <w:p>
            <w:pPr>
              <w:ind w:left="2260"/>
              <w:spacing w:after="0"/>
              <w:rPr>
                <w:sz w:val="20"/>
                <w:szCs w:val="20"/>
                <w:color w:val="auto"/>
              </w:rPr>
            </w:pPr>
            <w:r>
              <w:rPr>
                <w:rFonts w:ascii="Arial" w:cs="Arial" w:eastAsia="Arial" w:hAnsi="Arial"/>
                <w:sz w:val="18"/>
                <w:szCs w:val="18"/>
                <w:color w:val="auto"/>
              </w:rPr>
              <w:t>By:</w:t>
            </w:r>
          </w:p>
        </w:tc>
        <w:tc>
          <w:tcPr>
            <w:tcW w:w="5140" w:type="dxa"/>
            <w:vAlign w:val="bottom"/>
          </w:tcPr>
          <w:p>
            <w:pPr>
              <w:ind w:left="1600"/>
              <w:spacing w:after="0"/>
              <w:rPr>
                <w:sz w:val="20"/>
                <w:szCs w:val="20"/>
                <w:color w:val="auto"/>
              </w:rPr>
            </w:pP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c>
          <w:tcPr>
            <w:tcW w:w="0" w:type="dxa"/>
            <w:vAlign w:val="bottom"/>
          </w:tcPr>
          <w:p>
            <w:pPr>
              <w:spacing w:after="0"/>
              <w:rPr>
                <w:sz w:val="1"/>
                <w:szCs w:val="1"/>
                <w:color w:val="auto"/>
              </w:rPr>
            </w:pPr>
          </w:p>
        </w:tc>
      </w:tr>
      <w:tr>
        <w:trPr>
          <w:trHeight w:val="21"/>
        </w:trPr>
        <w:tc>
          <w:tcPr>
            <w:tcW w:w="3660" w:type="dxa"/>
            <w:vAlign w:val="bottom"/>
            <w:gridSpan w:val="3"/>
            <w:vMerge w:val="restart"/>
          </w:tcPr>
          <w:p>
            <w:pPr>
              <w:spacing w:after="0"/>
              <w:rPr>
                <w:sz w:val="20"/>
                <w:szCs w:val="20"/>
                <w:color w:val="auto"/>
              </w:rPr>
            </w:pPr>
            <w:r>
              <w:rPr>
                <w:rFonts w:ascii="Arial" w:cs="Arial" w:eastAsia="Arial" w:hAnsi="Arial"/>
                <w:sz w:val="18"/>
                <w:szCs w:val="18"/>
                <w:color w:val="auto"/>
              </w:rPr>
              <w:t>Date</w:t>
            </w:r>
          </w:p>
        </w:tc>
        <w:tc>
          <w:tcPr>
            <w:tcW w:w="2620" w:type="dxa"/>
            <w:vAlign w:val="bottom"/>
          </w:tcPr>
          <w:p>
            <w:pPr>
              <w:spacing w:after="0" w:line="20" w:lineRule="exact"/>
              <w:rPr>
                <w:sz w:val="1"/>
                <w:szCs w:val="1"/>
                <w:color w:val="auto"/>
              </w:rPr>
            </w:pPr>
          </w:p>
        </w:tc>
        <w:tc>
          <w:tcPr>
            <w:tcW w:w="5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4"/>
        </w:trPr>
        <w:tc>
          <w:tcPr>
            <w:tcW w:w="3660" w:type="dxa"/>
            <w:vAlign w:val="bottom"/>
            <w:gridSpan w:val="3"/>
            <w:vMerge w:val="continue"/>
          </w:tcPr>
          <w:p>
            <w:pPr>
              <w:spacing w:after="0"/>
              <w:rPr>
                <w:sz w:val="19"/>
                <w:szCs w:val="19"/>
                <w:color w:val="auto"/>
              </w:rPr>
            </w:pPr>
          </w:p>
        </w:tc>
        <w:tc>
          <w:tcPr>
            <w:tcW w:w="2620" w:type="dxa"/>
            <w:vAlign w:val="bottom"/>
          </w:tcPr>
          <w:p>
            <w:pPr>
              <w:spacing w:after="0"/>
              <w:rPr>
                <w:sz w:val="19"/>
                <w:szCs w:val="19"/>
                <w:color w:val="auto"/>
              </w:rPr>
            </w:pPr>
          </w:p>
        </w:tc>
        <w:tc>
          <w:tcPr>
            <w:tcW w:w="5140" w:type="dxa"/>
            <w:vAlign w:val="bottom"/>
          </w:tcPr>
          <w:p>
            <w:pPr>
              <w:ind w:left="2100"/>
              <w:spacing w:after="0"/>
              <w:rPr>
                <w:sz w:val="20"/>
                <w:szCs w:val="20"/>
                <w:color w:val="auto"/>
              </w:rPr>
            </w:pPr>
            <w:r>
              <w:rPr>
                <w:rFonts w:ascii="Arial" w:cs="Arial" w:eastAsia="Arial" w:hAnsi="Arial"/>
                <w:sz w:val="14"/>
                <w:szCs w:val="14"/>
                <w:b w:val="1"/>
                <w:bCs w:val="1"/>
                <w:color w:val="auto"/>
              </w:rPr>
              <w:t>Clyde R. Hosein</w:t>
            </w:r>
          </w:p>
        </w:tc>
        <w:tc>
          <w:tcPr>
            <w:tcW w:w="0" w:type="dxa"/>
            <w:vAlign w:val="bottom"/>
          </w:tcPr>
          <w:p>
            <w:pPr>
              <w:spacing w:after="0"/>
              <w:rPr>
                <w:sz w:val="1"/>
                <w:szCs w:val="1"/>
                <w:color w:val="auto"/>
              </w:rPr>
            </w:pPr>
          </w:p>
        </w:tc>
      </w:tr>
    </w:tbl>
    <w:p>
      <w:pPr>
        <w:ind w:left="776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20" w:type="dxa"/>
            <w:vAlign w:val="bottom"/>
          </w:tcPr>
          <w:p>
            <w:pPr>
              <w:spacing w:after="0"/>
              <w:rPr>
                <w:sz w:val="19"/>
                <w:szCs w:val="19"/>
                <w:color w:val="auto"/>
              </w:rPr>
            </w:pPr>
          </w:p>
        </w:tc>
        <w:tc>
          <w:tcPr>
            <w:tcW w:w="10240" w:type="dxa"/>
            <w:vAlign w:val="bottom"/>
          </w:tcPr>
          <w:p>
            <w:pPr>
              <w:ind w:left="39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1120" w:type="dxa"/>
            <w:vAlign w:val="bottom"/>
          </w:tcPr>
          <w:p>
            <w:pPr>
              <w:ind w:left="100"/>
              <w:spacing w:after="0"/>
              <w:rPr>
                <w:sz w:val="20"/>
                <w:szCs w:val="20"/>
                <w:color w:val="auto"/>
              </w:rPr>
            </w:pPr>
            <w:r>
              <w:rPr>
                <w:rFonts w:ascii="Arial" w:cs="Arial" w:eastAsia="Arial" w:hAnsi="Arial"/>
                <w:sz w:val="18"/>
                <w:szCs w:val="18"/>
                <w:color w:val="auto"/>
              </w:rPr>
              <w:t>10.1#</w:t>
            </w:r>
          </w:p>
        </w:tc>
        <w:tc>
          <w:tcPr>
            <w:tcW w:w="10240" w:type="dxa"/>
            <w:vAlign w:val="bottom"/>
          </w:tcPr>
          <w:p>
            <w:pPr>
              <w:ind w:left="260"/>
              <w:spacing w:after="0"/>
              <w:rPr>
                <w:sz w:val="20"/>
                <w:szCs w:val="20"/>
                <w:color w:val="auto"/>
              </w:rPr>
            </w:pPr>
            <w:r>
              <w:rPr>
                <w:rFonts w:ascii="Arial" w:cs="Arial" w:eastAsia="Arial" w:hAnsi="Arial"/>
                <w:sz w:val="18"/>
                <w:szCs w:val="18"/>
                <w:color w:val="auto"/>
              </w:rPr>
              <w:t>2007 Director Stock Incentive Plan, as amended and restated on August 25, 2010</w:t>
            </w:r>
          </w:p>
        </w:tc>
      </w:tr>
      <w:tr>
        <w:trPr>
          <w:trHeight w:val="318"/>
        </w:trPr>
        <w:tc>
          <w:tcPr>
            <w:tcW w:w="1120" w:type="dxa"/>
            <w:vAlign w:val="bottom"/>
          </w:tcPr>
          <w:p>
            <w:pPr>
              <w:ind w:left="100"/>
              <w:spacing w:after="0"/>
              <w:rPr>
                <w:sz w:val="20"/>
                <w:szCs w:val="20"/>
                <w:color w:val="auto"/>
              </w:rPr>
            </w:pPr>
            <w:r>
              <w:rPr>
                <w:rFonts w:ascii="Arial" w:cs="Arial" w:eastAsia="Arial" w:hAnsi="Arial"/>
                <w:sz w:val="18"/>
                <w:szCs w:val="18"/>
                <w:color w:val="auto"/>
              </w:rPr>
              <w:t>31.1</w:t>
            </w:r>
          </w:p>
        </w:tc>
        <w:tc>
          <w:tcPr>
            <w:tcW w:w="10240" w:type="dxa"/>
            <w:vAlign w:val="bottom"/>
          </w:tcPr>
          <w:p>
            <w:pPr>
              <w:ind w:left="2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302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ind w:left="100"/>
              <w:spacing w:after="0"/>
              <w:rPr>
                <w:sz w:val="20"/>
                <w:szCs w:val="20"/>
                <w:color w:val="auto"/>
              </w:rPr>
            </w:pPr>
            <w:r>
              <w:rPr>
                <w:rFonts w:ascii="Arial" w:cs="Arial" w:eastAsia="Arial" w:hAnsi="Arial"/>
                <w:sz w:val="18"/>
                <w:szCs w:val="18"/>
                <w:color w:val="auto"/>
              </w:rPr>
              <w:t>31.2</w:t>
            </w:r>
          </w:p>
        </w:tc>
        <w:tc>
          <w:tcPr>
            <w:tcW w:w="10240" w:type="dxa"/>
            <w:vAlign w:val="bottom"/>
          </w:tcPr>
          <w:p>
            <w:pPr>
              <w:ind w:left="2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302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ind w:left="100"/>
              <w:spacing w:after="0"/>
              <w:rPr>
                <w:sz w:val="20"/>
                <w:szCs w:val="20"/>
                <w:color w:val="auto"/>
              </w:rPr>
            </w:pPr>
            <w:r>
              <w:rPr>
                <w:rFonts w:ascii="Arial" w:cs="Arial" w:eastAsia="Arial" w:hAnsi="Arial"/>
                <w:sz w:val="18"/>
                <w:szCs w:val="18"/>
                <w:color w:val="auto"/>
              </w:rPr>
              <w:t>32.1*</w:t>
            </w:r>
          </w:p>
        </w:tc>
        <w:tc>
          <w:tcPr>
            <w:tcW w:w="10240" w:type="dxa"/>
            <w:vAlign w:val="bottom"/>
          </w:tcPr>
          <w:p>
            <w:pPr>
              <w:ind w:left="260"/>
              <w:spacing w:after="0"/>
              <w:rPr>
                <w:sz w:val="20"/>
                <w:szCs w:val="20"/>
                <w:color w:val="auto"/>
              </w:rPr>
            </w:pPr>
            <w:r>
              <w:rPr>
                <w:rFonts w:ascii="Arial" w:cs="Arial" w:eastAsia="Arial" w:hAnsi="Arial"/>
                <w:sz w:val="18"/>
                <w:szCs w:val="18"/>
                <w:color w:val="auto"/>
                <w:w w:val="88"/>
              </w:rPr>
              <w:t>Certification of Chief Executive Officer pursuant to 18 U.S.C. Section 1350, as adopted pursuant to Section 906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18"/>
        </w:trPr>
        <w:tc>
          <w:tcPr>
            <w:tcW w:w="1120" w:type="dxa"/>
            <w:vAlign w:val="bottom"/>
          </w:tcPr>
          <w:p>
            <w:pPr>
              <w:ind w:left="100"/>
              <w:spacing w:after="0"/>
              <w:rPr>
                <w:sz w:val="20"/>
                <w:szCs w:val="20"/>
                <w:color w:val="auto"/>
              </w:rPr>
            </w:pPr>
            <w:r>
              <w:rPr>
                <w:rFonts w:ascii="Arial" w:cs="Arial" w:eastAsia="Arial" w:hAnsi="Arial"/>
                <w:sz w:val="18"/>
                <w:szCs w:val="18"/>
                <w:color w:val="auto"/>
              </w:rPr>
              <w:t>32.2*</w:t>
            </w:r>
          </w:p>
        </w:tc>
        <w:tc>
          <w:tcPr>
            <w:tcW w:w="10240" w:type="dxa"/>
            <w:vAlign w:val="bottom"/>
          </w:tcPr>
          <w:p>
            <w:pPr>
              <w:ind w:left="260"/>
              <w:spacing w:after="0"/>
              <w:rPr>
                <w:sz w:val="20"/>
                <w:szCs w:val="20"/>
                <w:color w:val="auto"/>
              </w:rPr>
            </w:pPr>
            <w:r>
              <w:rPr>
                <w:rFonts w:ascii="Arial" w:cs="Arial" w:eastAsia="Arial" w:hAnsi="Arial"/>
                <w:sz w:val="18"/>
                <w:szCs w:val="18"/>
                <w:color w:val="auto"/>
                <w:w w:val="89"/>
              </w:rPr>
              <w:t>Certification of Chief Financial Officer pursuant to 18 U.S.C. Section 1350, as adopted pursuant to Section 906 of the Sarbanes-Oxley Act of</w:t>
            </w:r>
          </w:p>
        </w:tc>
      </w:tr>
      <w:tr>
        <w:trPr>
          <w:trHeight w:val="222"/>
        </w:trPr>
        <w:tc>
          <w:tcPr>
            <w:tcW w:w="1120" w:type="dxa"/>
            <w:vAlign w:val="bottom"/>
          </w:tcPr>
          <w:p>
            <w:pPr>
              <w:spacing w:after="0"/>
              <w:rPr>
                <w:sz w:val="19"/>
                <w:szCs w:val="19"/>
                <w:color w:val="auto"/>
              </w:rPr>
            </w:pPr>
          </w:p>
        </w:tc>
        <w:tc>
          <w:tcPr>
            <w:tcW w:w="10240" w:type="dxa"/>
            <w:vAlign w:val="bottom"/>
          </w:tcPr>
          <w:p>
            <w:pPr>
              <w:ind w:left="260"/>
              <w:spacing w:after="0"/>
              <w:rPr>
                <w:sz w:val="20"/>
                <w:szCs w:val="20"/>
                <w:color w:val="auto"/>
              </w:rPr>
            </w:pPr>
            <w:r>
              <w:rPr>
                <w:rFonts w:ascii="Arial" w:cs="Arial" w:eastAsia="Arial" w:hAnsi="Arial"/>
                <w:sz w:val="18"/>
                <w:szCs w:val="18"/>
                <w:color w:val="auto"/>
              </w:rPr>
              <w:t>2002</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6"/>
              </w:rPr>
              <w:t>101.INS**</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Instance Document</w:t>
            </w:r>
          </w:p>
        </w:tc>
      </w:tr>
      <w:tr>
        <w:trPr>
          <w:trHeight w:val="324"/>
        </w:trPr>
        <w:tc>
          <w:tcPr>
            <w:tcW w:w="1120" w:type="dxa"/>
            <w:vAlign w:val="bottom"/>
          </w:tcPr>
          <w:p>
            <w:pPr>
              <w:jc w:val="center"/>
              <w:ind w:right="172"/>
              <w:spacing w:after="0"/>
              <w:rPr>
                <w:sz w:val="20"/>
                <w:szCs w:val="20"/>
                <w:color w:val="auto"/>
              </w:rPr>
            </w:pPr>
            <w:r>
              <w:rPr>
                <w:rFonts w:ascii="Arial" w:cs="Arial" w:eastAsia="Arial" w:hAnsi="Arial"/>
                <w:sz w:val="18"/>
                <w:szCs w:val="18"/>
                <w:color w:val="auto"/>
                <w:w w:val="94"/>
              </w:rPr>
              <w:t>101.SCH**</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9"/>
              </w:rPr>
              <w:t>101.CAL**</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1120" w:type="dxa"/>
            <w:vAlign w:val="bottom"/>
          </w:tcPr>
          <w:p>
            <w:pPr>
              <w:jc w:val="center"/>
              <w:ind w:right="172"/>
              <w:spacing w:after="0"/>
              <w:rPr>
                <w:sz w:val="20"/>
                <w:szCs w:val="20"/>
                <w:color w:val="auto"/>
              </w:rPr>
            </w:pPr>
            <w:r>
              <w:rPr>
                <w:rFonts w:ascii="Arial" w:cs="Arial" w:eastAsia="Arial" w:hAnsi="Arial"/>
                <w:sz w:val="18"/>
                <w:szCs w:val="18"/>
                <w:color w:val="auto"/>
                <w:w w:val="96"/>
              </w:rPr>
              <w:t>101.DEF**</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rPr>
              <w:t>101.LAB**</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1120" w:type="dxa"/>
            <w:vAlign w:val="bottom"/>
          </w:tcPr>
          <w:p>
            <w:pPr>
              <w:jc w:val="center"/>
              <w:ind w:right="192"/>
              <w:spacing w:after="0"/>
              <w:rPr>
                <w:sz w:val="20"/>
                <w:szCs w:val="20"/>
                <w:color w:val="auto"/>
              </w:rPr>
            </w:pPr>
            <w:r>
              <w:rPr>
                <w:rFonts w:ascii="Arial" w:cs="Arial" w:eastAsia="Arial" w:hAnsi="Arial"/>
                <w:sz w:val="18"/>
                <w:szCs w:val="18"/>
                <w:color w:val="auto"/>
                <w:w w:val="92"/>
              </w:rPr>
              <w:t>101.PRE**</w:t>
            </w:r>
          </w:p>
        </w:tc>
        <w:tc>
          <w:tcPr>
            <w:tcW w:w="10240" w:type="dxa"/>
            <w:vAlign w:val="bottom"/>
          </w:tcPr>
          <w:p>
            <w:pPr>
              <w:ind w:left="26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ind w:left="460" w:right="120" w:hanging="452"/>
        <w:spacing w:after="0" w:line="281" w:lineRule="auto"/>
        <w:tabs>
          <w:tab w:leader="none" w:pos="460"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w:t>
      </w:r>
    </w:p>
    <w:p>
      <w:pPr>
        <w:spacing w:after="0" w:line="2" w:lineRule="exact"/>
        <w:rPr>
          <w:sz w:val="20"/>
          <w:szCs w:val="20"/>
          <w:color w:val="auto"/>
        </w:rPr>
      </w:pPr>
    </w:p>
    <w:p>
      <w:pPr>
        <w:ind w:left="460" w:right="40"/>
        <w:spacing w:after="0" w:line="250" w:lineRule="auto"/>
        <w:rPr>
          <w:sz w:val="20"/>
          <w:szCs w:val="20"/>
          <w:color w:val="auto"/>
        </w:rPr>
      </w:pPr>
      <w:r>
        <w:rPr>
          <w:rFonts w:ascii="Arial" w:cs="Arial" w:eastAsia="Arial" w:hAnsi="Arial"/>
          <w:sz w:val="18"/>
          <w:szCs w:val="18"/>
          <w:color w:val="auto"/>
        </w:rPr>
        <w:t>not be deemed to be incorporated by reference into any filings under the Securities Act of 1933, as amended, or the Exchange Act, except to the extent that the registrant specifically incorporates it by reference.</w:t>
      </w:r>
    </w:p>
    <w:p>
      <w:pPr>
        <w:spacing w:after="0" w:line="1" w:lineRule="exact"/>
        <w:rPr>
          <w:sz w:val="20"/>
          <w:szCs w:val="20"/>
          <w:color w:val="auto"/>
        </w:rPr>
      </w:pPr>
    </w:p>
    <w:p>
      <w:pPr>
        <w:ind w:left="460" w:hanging="452"/>
        <w:spacing w:after="0" w:line="253"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Pursuant to applicable securities laws and regulations, we are deemed to have complied with the reporting obligation relating to the submission of interactive data files in such exhibits and are not subject to liability under any anti-fraud provisions of the federal securities laws as long as we have made a good faith attempt to comply with the submission requirements and promptly amend the interactive data files after becoming aware that the interactive data files fail to comply with the submission requirements. Users of this data are advised that, pursuant to Rule 406T, these interactive data files are deemed not filed and otherwise are not subject to liability.</w:t>
      </w:r>
    </w:p>
    <w:p>
      <w:pPr>
        <w:spacing w:after="0" w:line="13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46" w:name="page47"/>
    <w:bookmarkEnd w:id="46"/>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AUGUST 25, 2010</w:t>
      </w:r>
    </w:p>
    <w:p>
      <w:pPr>
        <w:spacing w:after="0" w:line="171" w:lineRule="exact"/>
        <w:rPr>
          <w:sz w:val="20"/>
          <w:szCs w:val="20"/>
          <w:color w:val="auto"/>
        </w:rPr>
      </w:pPr>
    </w:p>
    <w:p>
      <w:pPr>
        <w:ind w:right="500" w:firstLine="464"/>
        <w:spacing w:after="0" w:line="262" w:lineRule="auto"/>
        <w:tabs>
          <w:tab w:leader="none" w:pos="632"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32" w:lineRule="exact"/>
        <w:rPr>
          <w:rFonts w:ascii="Arial" w:cs="Arial" w:eastAsia="Arial" w:hAnsi="Arial"/>
          <w:sz w:val="18"/>
          <w:szCs w:val="18"/>
          <w:b w:val="1"/>
          <w:bCs w:val="1"/>
          <w:color w:val="auto"/>
        </w:rPr>
      </w:pPr>
    </w:p>
    <w:p>
      <w:pPr>
        <w:ind w:left="640" w:hanging="176"/>
        <w:spacing w:after="0"/>
        <w:tabs>
          <w:tab w:leader="none" w:pos="640" w:val="left"/>
        </w:tabs>
        <w:numPr>
          <w:ilvl w:val="0"/>
          <w:numId w:val="2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177" w:lineRule="exact"/>
        <w:rPr>
          <w:rFonts w:ascii="Arial" w:cs="Arial" w:eastAsia="Arial" w:hAnsi="Arial"/>
          <w:sz w:val="18"/>
          <w:szCs w:val="18"/>
          <w:b w:val="1"/>
          <w:bCs w:val="1"/>
          <w:color w:val="auto"/>
        </w:rPr>
      </w:pPr>
    </w:p>
    <w:p>
      <w:pPr>
        <w:ind w:left="1160" w:hanging="239"/>
        <w:spacing w:after="0"/>
        <w:tabs>
          <w:tab w:leader="none" w:pos="11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171" w:lineRule="exact"/>
        <w:rPr>
          <w:rFonts w:ascii="Arial" w:cs="Arial" w:eastAsia="Arial" w:hAnsi="Arial"/>
          <w:sz w:val="18"/>
          <w:szCs w:val="18"/>
          <w:color w:val="auto"/>
        </w:rPr>
      </w:pPr>
    </w:p>
    <w:p>
      <w:pPr>
        <w:ind w:right="280" w:firstLine="921"/>
        <w:spacing w:after="0" w:line="259" w:lineRule="auto"/>
        <w:tabs>
          <w:tab w:leader="none" w:pos="1152"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40" w:lineRule="exact"/>
        <w:rPr>
          <w:rFonts w:ascii="Arial" w:cs="Arial" w:eastAsia="Arial" w:hAnsi="Arial"/>
          <w:sz w:val="18"/>
          <w:szCs w:val="18"/>
          <w:color w:val="auto"/>
        </w:rPr>
      </w:pPr>
    </w:p>
    <w:p>
      <w:pPr>
        <w:ind w:right="380" w:firstLine="921"/>
        <w:spacing w:after="0" w:line="268" w:lineRule="auto"/>
        <w:tabs>
          <w:tab w:leader="none" w:pos="1162"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31" w:lineRule="exact"/>
        <w:rPr>
          <w:rFonts w:ascii="Arial" w:cs="Arial" w:eastAsia="Arial" w:hAnsi="Arial"/>
          <w:sz w:val="18"/>
          <w:szCs w:val="18"/>
          <w:color w:val="auto"/>
        </w:rPr>
      </w:pPr>
    </w:p>
    <w:p>
      <w:pPr>
        <w:ind w:right="80" w:firstLine="921"/>
        <w:spacing w:after="0" w:line="268" w:lineRule="auto"/>
        <w:tabs>
          <w:tab w:leader="none" w:pos="1152"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171" w:lineRule="exact"/>
        <w:rPr>
          <w:rFonts w:ascii="Arial" w:cs="Arial" w:eastAsia="Arial" w:hAnsi="Arial"/>
          <w:sz w:val="18"/>
          <w:szCs w:val="18"/>
          <w:color w:val="auto"/>
        </w:rPr>
      </w:pPr>
    </w:p>
    <w:p>
      <w:pPr>
        <w:jc w:val="both"/>
        <w:ind w:right="60" w:firstLine="1492"/>
        <w:spacing w:after="0" w:line="259" w:lineRule="auto"/>
        <w:tabs>
          <w:tab w:leader="none" w:pos="1693" w:val="left"/>
        </w:tabs>
        <w:numPr>
          <w:ilvl w:val="2"/>
          <w:numId w:val="20"/>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40" w:lineRule="exact"/>
        <w:rPr>
          <w:rFonts w:ascii="Arial" w:cs="Arial" w:eastAsia="Arial" w:hAnsi="Arial"/>
          <w:sz w:val="18"/>
          <w:szCs w:val="18"/>
          <w:color w:val="auto"/>
        </w:rPr>
      </w:pPr>
    </w:p>
    <w:p>
      <w:pPr>
        <w:ind w:left="1760" w:hanging="268"/>
        <w:spacing w:after="0"/>
        <w:tabs>
          <w:tab w:leader="none" w:pos="1760" w:val="left"/>
        </w:tabs>
        <w:numPr>
          <w:ilvl w:val="2"/>
          <w:numId w:val="20"/>
        </w:numPr>
        <w:rPr>
          <w:rFonts w:ascii="Arial" w:cs="Arial" w:eastAsia="Arial" w:hAnsi="Arial"/>
          <w:sz w:val="18"/>
          <w:szCs w:val="18"/>
          <w:color w:val="auto"/>
        </w:rPr>
      </w:pPr>
      <w:r>
        <w:rPr>
          <w:rFonts w:ascii="Arial" w:cs="Arial" w:eastAsia="Arial" w:hAnsi="Arial"/>
          <w:sz w:val="18"/>
          <w:szCs w:val="18"/>
          <w:color w:val="auto"/>
        </w:rPr>
        <w:t>The consummation of the sale or disposition by the Company of all or substantially all of the Company’s assets; or</w:t>
      </w:r>
    </w:p>
    <w:p>
      <w:pPr>
        <w:spacing w:after="0" w:line="171" w:lineRule="exact"/>
        <w:rPr>
          <w:rFonts w:ascii="Arial" w:cs="Arial" w:eastAsia="Arial" w:hAnsi="Arial"/>
          <w:sz w:val="18"/>
          <w:szCs w:val="18"/>
          <w:color w:val="auto"/>
        </w:rPr>
      </w:pPr>
    </w:p>
    <w:p>
      <w:pPr>
        <w:ind w:right="40" w:firstLine="1492"/>
        <w:spacing w:after="0" w:line="268" w:lineRule="auto"/>
        <w:tabs>
          <w:tab w:leader="none" w:pos="1791" w:val="left"/>
        </w:tabs>
        <w:numPr>
          <w:ilvl w:val="2"/>
          <w:numId w:val="20"/>
        </w:numPr>
        <w:rPr>
          <w:rFonts w:ascii="Arial" w:cs="Arial" w:eastAsia="Arial" w:hAnsi="Arial"/>
          <w:sz w:val="18"/>
          <w:szCs w:val="18"/>
          <w:color w:val="auto"/>
        </w:rPr>
      </w:pPr>
      <w:r>
        <w:rPr>
          <w:rFonts w:ascii="Arial" w:cs="Arial" w:eastAsia="Arial" w:hAnsi="Arial"/>
          <w:sz w:val="18"/>
          <w:szCs w:val="18"/>
          <w:color w:val="auto"/>
        </w:rPr>
        <w:t>The consummation of a merger or consolidation of the Company with any other corporation, other than a merger or consolidation which would result in the voting</w:t>
      </w:r>
    </w:p>
    <w:p>
      <w:pPr>
        <w:sectPr>
          <w:pgSz w:w="11900" w:h="16838" w:orient="portrait"/>
          <w:cols w:equalWidth="0" w:num="1">
            <w:col w:w="11420"/>
          </w:cols>
          <w:pgMar w:left="240" w:top="125" w:right="239" w:bottom="1440" w:gutter="0" w:footer="0" w:header="0"/>
        </w:sectPr>
      </w:pPr>
    </w:p>
    <w:bookmarkStart w:id="47" w:name="page48"/>
    <w:bookmarkEnd w:id="47"/>
    <w:p>
      <w:pPr>
        <w:ind w:right="2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40" w:lineRule="exact"/>
        <w:rPr>
          <w:sz w:val="20"/>
          <w:szCs w:val="20"/>
          <w:color w:val="auto"/>
        </w:rPr>
      </w:pPr>
    </w:p>
    <w:p>
      <w:pPr>
        <w:ind w:right="640" w:firstLine="1492"/>
        <w:spacing w:after="0" w:line="268" w:lineRule="auto"/>
        <w:tabs>
          <w:tab w:leader="none" w:pos="1781" w:val="left"/>
        </w:tabs>
        <w:numPr>
          <w:ilvl w:val="1"/>
          <w:numId w:val="21"/>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31" w:lineRule="exact"/>
        <w:rPr>
          <w:rFonts w:ascii="Arial" w:cs="Arial" w:eastAsia="Arial" w:hAnsi="Arial"/>
          <w:sz w:val="18"/>
          <w:szCs w:val="18"/>
          <w:color w:val="auto"/>
        </w:rPr>
      </w:pPr>
    </w:p>
    <w:p>
      <w:pPr>
        <w:ind w:right="720" w:firstLine="921"/>
        <w:spacing w:after="0" w:line="268" w:lineRule="auto"/>
        <w:tabs>
          <w:tab w:leader="none" w:pos="1162"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31" w:lineRule="exact"/>
        <w:rPr>
          <w:rFonts w:ascii="Arial" w:cs="Arial" w:eastAsia="Arial" w:hAnsi="Arial"/>
          <w:sz w:val="18"/>
          <w:szCs w:val="18"/>
          <w:color w:val="auto"/>
        </w:rPr>
      </w:pPr>
    </w:p>
    <w:p>
      <w:pPr>
        <w:ind w:right="440" w:firstLine="921"/>
        <w:spacing w:after="0" w:line="268" w:lineRule="auto"/>
        <w:tabs>
          <w:tab w:leader="none" w:pos="1123"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Committee</w:t>
      </w:r>
      <w:r>
        <w:rPr>
          <w:rFonts w:ascii="Arial" w:cs="Arial" w:eastAsia="Arial" w:hAnsi="Arial"/>
          <w:sz w:val="18"/>
          <w:szCs w:val="18"/>
          <w:color w:val="auto"/>
        </w:rPr>
        <w:t>” means a committee of Directors or of other individuals satisfying Applicable Laws appointed by the Board in accordance with Section 4 hereof.</w:t>
      </w:r>
    </w:p>
    <w:p>
      <w:pPr>
        <w:spacing w:after="0" w:line="131" w:lineRule="exact"/>
        <w:rPr>
          <w:rFonts w:ascii="Arial" w:cs="Arial" w:eastAsia="Arial" w:hAnsi="Arial"/>
          <w:sz w:val="18"/>
          <w:szCs w:val="18"/>
          <w:color w:val="auto"/>
        </w:rPr>
      </w:pPr>
    </w:p>
    <w:p>
      <w:pPr>
        <w:ind w:left="1140" w:hanging="219"/>
        <w:spacing w:after="0"/>
        <w:tabs>
          <w:tab w:leader="none" w:pos="11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right="520" w:firstLine="921"/>
        <w:spacing w:after="0" w:line="268" w:lineRule="auto"/>
        <w:tabs>
          <w:tab w:leader="none" w:pos="1123"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31" w:lineRule="exact"/>
        <w:rPr>
          <w:rFonts w:ascii="Arial" w:cs="Arial" w:eastAsia="Arial" w:hAnsi="Arial"/>
          <w:sz w:val="18"/>
          <w:szCs w:val="18"/>
          <w:color w:val="auto"/>
        </w:rPr>
      </w:pPr>
    </w:p>
    <w:p>
      <w:pPr>
        <w:ind w:left="1220" w:hanging="299"/>
        <w:spacing w:after="0"/>
        <w:tabs>
          <w:tab w:leader="none" w:pos="1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171" w:lineRule="exact"/>
        <w:rPr>
          <w:rFonts w:ascii="Arial" w:cs="Arial" w:eastAsia="Arial" w:hAnsi="Arial"/>
          <w:sz w:val="18"/>
          <w:szCs w:val="18"/>
          <w:color w:val="auto"/>
        </w:rPr>
      </w:pPr>
    </w:p>
    <w:p>
      <w:pPr>
        <w:ind w:right="180" w:firstLine="921"/>
        <w:spacing w:after="0" w:line="332" w:lineRule="auto"/>
        <w:tabs>
          <w:tab w:leader="none" w:pos="1162" w:val="left"/>
        </w:tabs>
        <w:numPr>
          <w:ilvl w:val="0"/>
          <w:numId w:val="22"/>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85" w:lineRule="exact"/>
        <w:rPr>
          <w:rFonts w:ascii="Arial" w:cs="Arial" w:eastAsia="Arial" w:hAnsi="Arial"/>
          <w:sz w:val="16"/>
          <w:szCs w:val="16"/>
          <w:color w:val="auto"/>
        </w:rPr>
      </w:pPr>
    </w:p>
    <w:p>
      <w:pPr>
        <w:ind w:left="1160" w:hanging="239"/>
        <w:spacing w:after="0"/>
        <w:tabs>
          <w:tab w:leader="none" w:pos="11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ind w:firstLine="921"/>
        <w:spacing w:after="0" w:line="294" w:lineRule="auto"/>
        <w:tabs>
          <w:tab w:leader="none" w:pos="1162" w:val="left"/>
        </w:tabs>
        <w:numPr>
          <w:ilvl w:val="0"/>
          <w:numId w:val="22"/>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Program</w:t>
      </w:r>
      <w:r>
        <w:rPr>
          <w:rFonts w:ascii="Arial" w:cs="Arial" w:eastAsia="Arial" w:hAnsi="Arial"/>
          <w:sz w:val="16"/>
          <w:szCs w:val="16"/>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however if an Award is exchanged for an Award with a lower exercise price or the exercise price of an outstanding Award is reduced, shareholder approval must be obtained in advance.</w:t>
      </w:r>
    </w:p>
    <w:p>
      <w:pPr>
        <w:spacing w:after="0" w:line="115" w:lineRule="exact"/>
        <w:rPr>
          <w:rFonts w:ascii="Arial" w:cs="Arial" w:eastAsia="Arial" w:hAnsi="Arial"/>
          <w:sz w:val="16"/>
          <w:szCs w:val="16"/>
          <w:color w:val="auto"/>
        </w:rPr>
      </w:pPr>
    </w:p>
    <w:p>
      <w:pPr>
        <w:ind w:left="1140" w:hanging="219"/>
        <w:spacing w:after="0"/>
        <w:tabs>
          <w:tab w:leader="none" w:pos="11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48" w:name="page49"/>
    <w:bookmarkEnd w:id="48"/>
    <w:p>
      <w:pPr>
        <w:ind w:right="200" w:firstLine="1492"/>
        <w:spacing w:after="0" w:line="298" w:lineRule="auto"/>
        <w:tabs>
          <w:tab w:leader="none" w:pos="1693" w:val="left"/>
        </w:tabs>
        <w:numPr>
          <w:ilvl w:val="1"/>
          <w:numId w:val="2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112" w:lineRule="exact"/>
        <w:rPr>
          <w:rFonts w:ascii="Arial" w:cs="Arial" w:eastAsia="Arial" w:hAnsi="Arial"/>
          <w:sz w:val="16"/>
          <w:szCs w:val="16"/>
          <w:color w:val="auto"/>
        </w:rPr>
      </w:pPr>
    </w:p>
    <w:p>
      <w:pPr>
        <w:jc w:val="both"/>
        <w:ind w:right="100" w:firstLine="1492"/>
        <w:spacing w:after="0" w:line="259" w:lineRule="auto"/>
        <w:tabs>
          <w:tab w:leader="none" w:pos="1742" w:val="left"/>
        </w:tabs>
        <w:numPr>
          <w:ilvl w:val="1"/>
          <w:numId w:val="23"/>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40" w:lineRule="exact"/>
        <w:rPr>
          <w:rFonts w:ascii="Arial" w:cs="Arial" w:eastAsia="Arial" w:hAnsi="Arial"/>
          <w:sz w:val="18"/>
          <w:szCs w:val="18"/>
          <w:color w:val="auto"/>
        </w:rPr>
      </w:pPr>
    </w:p>
    <w:p>
      <w:pPr>
        <w:ind w:left="1800" w:hanging="308"/>
        <w:spacing w:after="0"/>
        <w:tabs>
          <w:tab w:leader="none" w:pos="18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 faith by the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Administrator.</w:t>
      </w:r>
    </w:p>
    <w:p>
      <w:pPr>
        <w:spacing w:after="0" w:line="164" w:lineRule="exact"/>
        <w:rPr>
          <w:rFonts w:ascii="Arial" w:cs="Arial" w:eastAsia="Arial" w:hAnsi="Arial"/>
          <w:sz w:val="16"/>
          <w:szCs w:val="16"/>
          <w:color w:val="auto"/>
        </w:rPr>
      </w:pPr>
    </w:p>
    <w:p>
      <w:pPr>
        <w:ind w:firstLine="921"/>
        <w:spacing w:after="0" w:line="306" w:lineRule="auto"/>
        <w:tabs>
          <w:tab w:leader="none" w:pos="1142" w:val="left"/>
        </w:tabs>
        <w:numPr>
          <w:ilvl w:val="0"/>
          <w:numId w:val="24"/>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06" w:lineRule="exact"/>
        <w:rPr>
          <w:rFonts w:ascii="Arial" w:cs="Arial" w:eastAsia="Arial" w:hAnsi="Arial"/>
          <w:sz w:val="16"/>
          <w:szCs w:val="16"/>
          <w:color w:val="auto"/>
        </w:rPr>
      </w:pPr>
    </w:p>
    <w:p>
      <w:pPr>
        <w:ind w:left="1140" w:hanging="219"/>
        <w:spacing w:after="0"/>
        <w:tabs>
          <w:tab w:leader="none" w:pos="11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Nonstatutory Stock Option</w:t>
      </w:r>
      <w:r>
        <w:rPr>
          <w:rFonts w:ascii="Arial" w:cs="Arial" w:eastAsia="Arial" w:hAnsi="Arial"/>
          <w:sz w:val="16"/>
          <w:szCs w:val="16"/>
          <w:color w:val="auto"/>
        </w:rPr>
        <w:t>” means an Option that by its terms does not qualify or is not intended to qualify as an Incentive Stock Option.</w:t>
      </w:r>
    </w:p>
    <w:p>
      <w:pPr>
        <w:spacing w:after="0" w:line="194" w:lineRule="exact"/>
        <w:rPr>
          <w:rFonts w:ascii="Arial" w:cs="Arial" w:eastAsia="Arial" w:hAnsi="Arial"/>
          <w:sz w:val="16"/>
          <w:szCs w:val="16"/>
          <w:color w:val="auto"/>
        </w:rPr>
      </w:pPr>
    </w:p>
    <w:p>
      <w:pPr>
        <w:ind w:right="140" w:firstLine="921"/>
        <w:spacing w:after="0" w:line="268" w:lineRule="auto"/>
        <w:tabs>
          <w:tab w:leader="none" w:pos="1162" w:val="left"/>
        </w:tabs>
        <w:numPr>
          <w:ilvl w:val="0"/>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200" w:hanging="279"/>
        <w:spacing w:after="0"/>
        <w:tabs>
          <w:tab w:leader="none" w:pos="12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Option</w:t>
      </w:r>
      <w:r>
        <w:rPr>
          <w:rFonts w:ascii="Arial" w:cs="Arial" w:eastAsia="Arial" w:hAnsi="Arial"/>
          <w:sz w:val="16"/>
          <w:szCs w:val="16"/>
          <w:color w:val="auto"/>
        </w:rPr>
        <w:t>” means a stock option granted pursuant to the Plan. All Options granted under the Plan will be Nonstatutory Stock Options.</w:t>
      </w:r>
    </w:p>
    <w:p>
      <w:pPr>
        <w:spacing w:after="0" w:line="194" w:lineRule="exact"/>
        <w:rPr>
          <w:rFonts w:ascii="Arial" w:cs="Arial" w:eastAsia="Arial" w:hAnsi="Arial"/>
          <w:sz w:val="16"/>
          <w:szCs w:val="16"/>
          <w:color w:val="auto"/>
        </w:rPr>
      </w:pPr>
    </w:p>
    <w:p>
      <w:pPr>
        <w:ind w:left="1160" w:hanging="239"/>
        <w:spacing w:after="0"/>
        <w:tabs>
          <w:tab w:leader="none" w:pos="11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has not been an Employee.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left="1160" w:hanging="239"/>
        <w:spacing w:after="0"/>
        <w:tabs>
          <w:tab w:leader="none" w:pos="11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pacing w:after="0" w:line="171" w:lineRule="exact"/>
        <w:rPr>
          <w:sz w:val="20"/>
          <w:szCs w:val="20"/>
          <w:color w:val="auto"/>
        </w:rPr>
      </w:pPr>
    </w:p>
    <w:p>
      <w:pPr>
        <w:ind w:right="40" w:firstLine="921"/>
        <w:spacing w:after="0" w:line="332" w:lineRule="auto"/>
        <w:tabs>
          <w:tab w:leader="none" w:pos="1230" w:val="left"/>
        </w:tabs>
        <w:numPr>
          <w:ilvl w:val="0"/>
          <w:numId w:val="25"/>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Performance Share</w:t>
      </w:r>
      <w:r>
        <w:rPr>
          <w:rFonts w:ascii="Arial" w:cs="Arial" w:eastAsia="Arial" w:hAnsi="Arial"/>
          <w:sz w:val="16"/>
          <w:szCs w:val="16"/>
          <w:color w:val="auto"/>
        </w:rPr>
        <w:t>” means an Award denominated in Shares which may be earned in whole or in part upon attainment of performance goals or other vesting criteria as the Administrator may determine pursuant to Section 13.</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49" w:name="page50"/>
    <w:bookmarkEnd w:id="49"/>
    <w:p>
      <w:pPr>
        <w:ind w:left="-80" w:firstLine="921"/>
        <w:spacing w:after="0" w:line="332" w:lineRule="auto"/>
        <w:tabs>
          <w:tab w:leader="none" w:pos="1169" w:val="left"/>
        </w:tabs>
        <w:numPr>
          <w:ilvl w:val="1"/>
          <w:numId w:val="2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u w:val="single" w:color="auto"/>
          <w:color w:val="auto"/>
        </w:rPr>
        <w:t>Performance Unit</w:t>
      </w:r>
      <w:r>
        <w:rPr>
          <w:rFonts w:ascii="Arial" w:cs="Arial" w:eastAsia="Arial" w:hAnsi="Arial"/>
          <w:sz w:val="16"/>
          <w:szCs w:val="16"/>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85" w:lineRule="exact"/>
        <w:rPr>
          <w:rFonts w:ascii="Arial" w:cs="Arial" w:eastAsia="Arial" w:hAnsi="Arial"/>
          <w:sz w:val="16"/>
          <w:szCs w:val="16"/>
          <w:color w:val="auto"/>
        </w:rPr>
      </w:pPr>
    </w:p>
    <w:p>
      <w:pPr>
        <w:ind w:left="1160" w:hanging="319"/>
        <w:spacing w:after="0"/>
        <w:tabs>
          <w:tab w:leader="none" w:pos="11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171" w:lineRule="exact"/>
        <w:rPr>
          <w:rFonts w:ascii="Arial" w:cs="Arial" w:eastAsia="Arial" w:hAnsi="Arial"/>
          <w:sz w:val="18"/>
          <w:szCs w:val="18"/>
          <w:color w:val="auto"/>
        </w:rPr>
      </w:pPr>
    </w:p>
    <w:p>
      <w:pPr>
        <w:ind w:left="1180" w:hanging="339"/>
        <w:spacing w:after="0"/>
        <w:tabs>
          <w:tab w:leader="none" w:pos="11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171" w:lineRule="exact"/>
        <w:rPr>
          <w:rFonts w:ascii="Arial" w:cs="Arial" w:eastAsia="Arial" w:hAnsi="Arial"/>
          <w:sz w:val="18"/>
          <w:szCs w:val="18"/>
          <w:color w:val="auto"/>
        </w:rPr>
      </w:pPr>
    </w:p>
    <w:p>
      <w:pPr>
        <w:ind w:left="-80" w:right="320" w:firstLine="921"/>
        <w:spacing w:after="0" w:line="332" w:lineRule="auto"/>
        <w:tabs>
          <w:tab w:leader="none" w:pos="1150" w:val="left"/>
        </w:tabs>
        <w:numPr>
          <w:ilvl w:val="1"/>
          <w:numId w:val="2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Restricted Stock Unit</w:t>
      </w:r>
      <w:r>
        <w:rPr>
          <w:rFonts w:ascii="Arial" w:cs="Arial" w:eastAsia="Arial" w:hAnsi="Arial"/>
          <w:sz w:val="16"/>
          <w:szCs w:val="16"/>
          <w:color w:val="auto"/>
        </w:rPr>
        <w:t>” or “</w:t>
      </w:r>
      <w:r>
        <w:rPr>
          <w:rFonts w:ascii="Arial" w:cs="Arial" w:eastAsia="Arial" w:hAnsi="Arial"/>
          <w:sz w:val="16"/>
          <w:szCs w:val="16"/>
          <w:u w:val="single" w:color="auto"/>
          <w:color w:val="auto"/>
        </w:rPr>
        <w:t>RSU</w:t>
      </w:r>
      <w:r>
        <w:rPr>
          <w:rFonts w:ascii="Arial" w:cs="Arial" w:eastAsia="Arial" w:hAnsi="Arial"/>
          <w:sz w:val="16"/>
          <w:szCs w:val="16"/>
          <w:color w:val="auto"/>
        </w:rPr>
        <w:t>” means a bookkeeping entry representing an amount equal to the Fair Market Value of one Share, granted pursuant to the Plan. Each Restricted Stock Unit represents an unfunded and unsecured obligation of the Company.</w:t>
      </w:r>
    </w:p>
    <w:p>
      <w:pPr>
        <w:spacing w:after="0" w:line="85" w:lineRule="exact"/>
        <w:rPr>
          <w:rFonts w:ascii="Arial" w:cs="Arial" w:eastAsia="Arial" w:hAnsi="Arial"/>
          <w:sz w:val="16"/>
          <w:szCs w:val="16"/>
          <w:color w:val="auto"/>
        </w:rPr>
      </w:pPr>
    </w:p>
    <w:p>
      <w:pPr>
        <w:ind w:left="1120" w:hanging="279"/>
        <w:spacing w:after="0"/>
        <w:tabs>
          <w:tab w:leader="none" w:pos="112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171" w:lineRule="exact"/>
        <w:rPr>
          <w:rFonts w:ascii="Arial" w:cs="Arial" w:eastAsia="Arial" w:hAnsi="Arial"/>
          <w:sz w:val="18"/>
          <w:szCs w:val="18"/>
          <w:color w:val="auto"/>
        </w:rPr>
      </w:pPr>
    </w:p>
    <w:p>
      <w:pPr>
        <w:ind w:left="1180" w:hanging="339"/>
        <w:spacing w:after="0"/>
        <w:tabs>
          <w:tab w:leader="none" w:pos="11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18 hereof.</w:t>
      </w:r>
    </w:p>
    <w:p>
      <w:pPr>
        <w:spacing w:after="0" w:line="171" w:lineRule="exact"/>
        <w:rPr>
          <w:rFonts w:ascii="Arial" w:cs="Arial" w:eastAsia="Arial" w:hAnsi="Arial"/>
          <w:sz w:val="18"/>
          <w:szCs w:val="18"/>
          <w:color w:val="auto"/>
        </w:rPr>
      </w:pPr>
    </w:p>
    <w:p>
      <w:pPr>
        <w:ind w:left="-80" w:right="360" w:firstLine="921"/>
        <w:spacing w:after="0" w:line="268" w:lineRule="auto"/>
        <w:tabs>
          <w:tab w:leader="none" w:pos="1169"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31" w:lineRule="exact"/>
        <w:rPr>
          <w:rFonts w:ascii="Arial" w:cs="Arial" w:eastAsia="Arial" w:hAnsi="Arial"/>
          <w:sz w:val="18"/>
          <w:szCs w:val="18"/>
          <w:color w:val="auto"/>
        </w:rPr>
      </w:pPr>
    </w:p>
    <w:p>
      <w:pPr>
        <w:ind w:left="1100" w:hanging="259"/>
        <w:spacing w:after="0"/>
        <w:tabs>
          <w:tab w:leader="none" w:pos="11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whether now or hereafter existing, as defined in Section 424(f) of the Code.</w:t>
      </w:r>
    </w:p>
    <w:p>
      <w:pPr>
        <w:spacing w:after="0" w:line="246" w:lineRule="exact"/>
        <w:rPr>
          <w:rFonts w:ascii="Arial" w:cs="Arial" w:eastAsia="Arial" w:hAnsi="Arial"/>
          <w:sz w:val="18"/>
          <w:szCs w:val="18"/>
          <w:color w:val="auto"/>
        </w:rPr>
      </w:pPr>
    </w:p>
    <w:p>
      <w:pPr>
        <w:ind w:left="560" w:hanging="176"/>
        <w:spacing w:after="0"/>
        <w:tabs>
          <w:tab w:leader="none" w:pos="560"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96" w:lineRule="exact"/>
        <w:rPr>
          <w:rFonts w:ascii="Arial" w:cs="Arial" w:eastAsia="Arial" w:hAnsi="Arial"/>
          <w:sz w:val="18"/>
          <w:szCs w:val="18"/>
          <w:b w:val="1"/>
          <w:bCs w:val="1"/>
          <w:color w:val="auto"/>
        </w:rPr>
      </w:pPr>
    </w:p>
    <w:p>
      <w:pPr>
        <w:ind w:left="-80" w:right="60" w:firstLine="921"/>
        <w:spacing w:after="0" w:line="268" w:lineRule="auto"/>
        <w:tabs>
          <w:tab w:leader="none" w:pos="1072"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31" w:lineRule="exact"/>
        <w:rPr>
          <w:rFonts w:ascii="Arial" w:cs="Arial" w:eastAsia="Arial" w:hAnsi="Arial"/>
          <w:sz w:val="18"/>
          <w:szCs w:val="18"/>
          <w:color w:val="auto"/>
        </w:rPr>
      </w:pPr>
    </w:p>
    <w:p>
      <w:pPr>
        <w:ind w:left="-80" w:firstLine="921"/>
        <w:spacing w:after="0" w:line="288" w:lineRule="auto"/>
        <w:tabs>
          <w:tab w:leader="none" w:pos="1081" w:val="left"/>
        </w:tabs>
        <w:numPr>
          <w:ilvl w:val="1"/>
          <w:numId w:val="27"/>
        </w:numPr>
        <w:rPr>
          <w:rFonts w:ascii="Arial" w:cs="Arial" w:eastAsia="Arial" w:hAnsi="Arial"/>
          <w:sz w:val="16"/>
          <w:szCs w:val="16"/>
          <w:color w:val="auto"/>
        </w:rPr>
      </w:pPr>
      <w:r>
        <w:rPr>
          <w:rFonts w:ascii="Arial" w:cs="Arial" w:eastAsia="Arial" w:hAnsi="Arial"/>
          <w:sz w:val="16"/>
          <w:szCs w:val="16"/>
          <w:u w:val="single" w:color="auto"/>
          <w:color w:val="auto"/>
        </w:rPr>
        <w:t>Lapsed Awards</w:t>
      </w:r>
      <w:r>
        <w:rPr>
          <w:rFonts w:ascii="Arial" w:cs="Arial" w:eastAsia="Arial" w:hAnsi="Arial"/>
          <w:sz w:val="16"/>
          <w:szCs w:val="16"/>
          <w:color w:val="auto"/>
        </w:rPr>
        <w:t>. If an Award expires or becomes unexercisable without having been exercised in full, is surrendered pursuant to an Exchange Program, or, with respect to Performance Shares, 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60"/>
          </w:cols>
          <w:pgMar w:left="320" w:top="280" w:right="319" w:bottom="1440" w:gutter="0" w:footer="0" w:header="0"/>
        </w:sectPr>
      </w:pPr>
    </w:p>
    <w:bookmarkStart w:id="50" w:name="page51"/>
    <w:bookmarkEnd w:id="50"/>
    <w:p>
      <w:pPr>
        <w:jc w:val="both"/>
        <w:ind w:right="100" w:firstLine="464"/>
        <w:spacing w:after="0" w:line="287" w:lineRule="auto"/>
        <w:tabs>
          <w:tab w:leader="none" w:pos="632" w:val="left"/>
        </w:tabs>
        <w:numPr>
          <w:ilvl w:val="1"/>
          <w:numId w:val="28"/>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Administration. </w:t>
      </w:r>
      <w:r>
        <w:rPr>
          <w:rFonts w:ascii="Arial" w:cs="Arial" w:eastAsia="Arial" w:hAnsi="Arial"/>
          <w:sz w:val="16"/>
          <w:szCs w:val="16"/>
          <w:color w:val="auto"/>
        </w:rPr>
        <w:t>The Plan will be administered by (A) the Board or (B) a Committee, which will be constituted to satisfy Applicable Laws. Subject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w:t>
      </w:r>
    </w:p>
    <w:p>
      <w:pPr>
        <w:ind w:right="140" w:firstLine="8"/>
        <w:spacing w:after="0" w:line="253" w:lineRule="auto"/>
        <w:tabs>
          <w:tab w:leader="none" w:pos="307"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any, and, with the approval of the shareholders if necessary, to institute any Exchange Program and (vi) to make all other determinations deemed necessary or advisable for administering the Plan. The Administrator’s decisions, determinations and interpretations will be final and binding on all Participants and any other holders of Awards.</w:t>
      </w:r>
    </w:p>
    <w:p>
      <w:pPr>
        <w:spacing w:after="0" w:line="220" w:lineRule="exact"/>
        <w:rPr>
          <w:rFonts w:ascii="Arial" w:cs="Arial" w:eastAsia="Arial" w:hAnsi="Arial"/>
          <w:sz w:val="18"/>
          <w:szCs w:val="18"/>
          <w:color w:val="auto"/>
        </w:rPr>
      </w:pPr>
    </w:p>
    <w:p>
      <w:pPr>
        <w:ind w:left="640" w:hanging="176"/>
        <w:spacing w:after="0"/>
        <w:tabs>
          <w:tab w:leader="none" w:pos="640" w:val="left"/>
        </w:tabs>
        <w:numPr>
          <w:ilvl w:val="1"/>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96" w:lineRule="exact"/>
        <w:rPr>
          <w:rFonts w:ascii="Arial" w:cs="Arial" w:eastAsia="Arial" w:hAnsi="Arial"/>
          <w:sz w:val="18"/>
          <w:szCs w:val="18"/>
          <w:b w:val="1"/>
          <w:bCs w:val="1"/>
          <w:color w:val="auto"/>
        </w:rPr>
      </w:pPr>
    </w:p>
    <w:p>
      <w:pPr>
        <w:ind w:left="1160" w:hanging="239"/>
        <w:spacing w:after="0"/>
        <w:tabs>
          <w:tab w:leader="none" w:pos="1160" w:val="left"/>
        </w:tabs>
        <w:numPr>
          <w:ilvl w:val="2"/>
          <w:numId w:val="29"/>
        </w:numPr>
        <w:rPr>
          <w:rFonts w:ascii="Arial" w:cs="Arial" w:eastAsia="Arial" w:hAnsi="Arial"/>
          <w:sz w:val="16"/>
          <w:szCs w:val="16"/>
          <w:color w:val="auto"/>
        </w:rPr>
      </w:pPr>
      <w:r>
        <w:rPr>
          <w:rFonts w:ascii="Arial" w:cs="Arial" w:eastAsia="Arial" w:hAnsi="Arial"/>
          <w:sz w:val="16"/>
          <w:szCs w:val="16"/>
          <w:u w:val="single" w:color="auto"/>
          <w:color w:val="auto"/>
        </w:rPr>
        <w:t>Procedure for Grants.</w:t>
      </w:r>
      <w:r>
        <w:rPr>
          <w:rFonts w:ascii="Arial" w:cs="Arial" w:eastAsia="Arial" w:hAnsi="Arial"/>
          <w:sz w:val="16"/>
          <w:szCs w:val="16"/>
          <w:color w:val="auto"/>
        </w:rPr>
        <w:t xml:space="preserve"> All grants of Awards to Outside Directors under this Plan shall be made strictly in accordance with the following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64" w:lineRule="exact"/>
        <w:rPr>
          <w:rFonts w:ascii="Arial" w:cs="Arial" w:eastAsia="Arial" w:hAnsi="Arial"/>
          <w:sz w:val="16"/>
          <w:szCs w:val="16"/>
          <w:color w:val="auto"/>
        </w:rPr>
      </w:pPr>
    </w:p>
    <w:p>
      <w:pPr>
        <w:ind w:right="280" w:firstLine="921"/>
        <w:spacing w:after="0" w:line="268" w:lineRule="auto"/>
        <w:tabs>
          <w:tab w:leader="none" w:pos="1161" w:val="left"/>
        </w:tabs>
        <w:numPr>
          <w:ilvl w:val="2"/>
          <w:numId w:val="29"/>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31" w:lineRule="exact"/>
        <w:rPr>
          <w:rFonts w:ascii="Arial" w:cs="Arial" w:eastAsia="Arial" w:hAnsi="Arial"/>
          <w:sz w:val="18"/>
          <w:szCs w:val="18"/>
          <w:color w:val="auto"/>
        </w:rPr>
      </w:pPr>
    </w:p>
    <w:p>
      <w:pPr>
        <w:ind w:left="1160" w:hanging="239"/>
        <w:spacing w:after="0"/>
        <w:tabs>
          <w:tab w:leader="none" w:pos="1160" w:val="left"/>
        </w:tabs>
        <w:numPr>
          <w:ilvl w:val="2"/>
          <w:numId w:val="29"/>
        </w:numPr>
        <w:rPr>
          <w:rFonts w:ascii="Arial" w:cs="Arial" w:eastAsia="Arial" w:hAnsi="Arial"/>
          <w:sz w:val="18"/>
          <w:szCs w:val="18"/>
          <w:color w:val="auto"/>
        </w:rPr>
      </w:pPr>
      <w:r>
        <w:rPr>
          <w:rFonts w:ascii="Arial" w:cs="Arial" w:eastAsia="Arial" w:hAnsi="Arial"/>
          <w:sz w:val="18"/>
          <w:szCs w:val="18"/>
          <w:u w:val="single" w:color="auto"/>
          <w:color w:val="auto"/>
        </w:rPr>
        <w:t>Eligibility for Awards</w:t>
      </w:r>
      <w:r>
        <w:rPr>
          <w:rFonts w:ascii="Arial" w:cs="Arial" w:eastAsia="Arial" w:hAnsi="Arial"/>
          <w:sz w:val="18"/>
          <w:szCs w:val="18"/>
          <w:color w:val="auto"/>
        </w:rPr>
        <w:t>. An Outside Director is eligible for Awards under the Plan (is an “Eligible Outside Director”) if such person:</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3"/>
          <w:numId w:val="29"/>
        </w:numPr>
        <w:rPr>
          <w:rFonts w:ascii="Arial" w:cs="Arial" w:eastAsia="Arial" w:hAnsi="Arial"/>
          <w:sz w:val="18"/>
          <w:szCs w:val="18"/>
          <w:color w:val="auto"/>
        </w:rPr>
      </w:pPr>
      <w:r>
        <w:rPr>
          <w:rFonts w:ascii="Arial" w:cs="Arial" w:eastAsia="Arial" w:hAnsi="Arial"/>
          <w:sz w:val="18"/>
          <w:szCs w:val="18"/>
          <w:color w:val="auto"/>
        </w:rPr>
        <w:t>is first elected as an Outside Director on or following the date this Plan is adopted by the Board; or</w:t>
      </w:r>
    </w:p>
    <w:p>
      <w:pPr>
        <w:spacing w:after="0" w:line="171" w:lineRule="exact"/>
        <w:rPr>
          <w:rFonts w:ascii="Arial" w:cs="Arial" w:eastAsia="Arial" w:hAnsi="Arial"/>
          <w:sz w:val="18"/>
          <w:szCs w:val="18"/>
          <w:color w:val="auto"/>
        </w:rPr>
      </w:pPr>
    </w:p>
    <w:p>
      <w:pPr>
        <w:ind w:left="1760" w:hanging="268"/>
        <w:spacing w:after="0"/>
        <w:tabs>
          <w:tab w:leader="none" w:pos="1760" w:val="left"/>
        </w:tabs>
        <w:numPr>
          <w:ilvl w:val="3"/>
          <w:numId w:val="29"/>
        </w:numPr>
        <w:rPr>
          <w:rFonts w:ascii="Arial" w:cs="Arial" w:eastAsia="Arial" w:hAnsi="Arial"/>
          <w:sz w:val="18"/>
          <w:szCs w:val="18"/>
          <w:color w:val="auto"/>
        </w:rPr>
      </w:pPr>
      <w:r>
        <w:rPr>
          <w:rFonts w:ascii="Arial" w:cs="Arial" w:eastAsia="Arial" w:hAnsi="Arial"/>
          <w:sz w:val="18"/>
          <w:szCs w:val="18"/>
          <w:color w:val="auto"/>
        </w:rPr>
        <w:t>is designated by the Board of Directors as an Eligible Outsider Director.</w:t>
      </w:r>
    </w:p>
    <w:p>
      <w:pPr>
        <w:spacing w:after="0" w:line="171" w:lineRule="exact"/>
        <w:rPr>
          <w:rFonts w:ascii="Arial" w:cs="Arial" w:eastAsia="Arial" w:hAnsi="Arial"/>
          <w:sz w:val="18"/>
          <w:szCs w:val="18"/>
          <w:color w:val="auto"/>
        </w:rPr>
      </w:pPr>
    </w:p>
    <w:p>
      <w:pPr>
        <w:jc w:val="both"/>
        <w:ind w:firstLine="921"/>
        <w:spacing w:after="0" w:line="255" w:lineRule="auto"/>
        <w:tabs>
          <w:tab w:leader="none" w:pos="1161" w:val="left"/>
        </w:tabs>
        <w:numPr>
          <w:ilvl w:val="2"/>
          <w:numId w:val="29"/>
        </w:numPr>
        <w:rPr>
          <w:rFonts w:ascii="Arial" w:cs="Arial" w:eastAsia="Arial" w:hAnsi="Arial"/>
          <w:sz w:val="18"/>
          <w:szCs w:val="18"/>
          <w:color w:val="auto"/>
        </w:rPr>
      </w:pPr>
      <w:r>
        <w:rPr>
          <w:rFonts w:ascii="Arial" w:cs="Arial" w:eastAsia="Arial" w:hAnsi="Arial"/>
          <w:sz w:val="18"/>
          <w:szCs w:val="18"/>
          <w:u w:val="single" w:color="auto"/>
          <w:color w:val="auto"/>
        </w:rPr>
        <w:t>Initial Option Award</w:t>
      </w:r>
      <w:r>
        <w:rPr>
          <w:rFonts w:ascii="Arial" w:cs="Arial" w:eastAsia="Arial" w:hAnsi="Arial"/>
          <w:sz w:val="18"/>
          <w:szCs w:val="18"/>
          <w:color w:val="auto"/>
        </w:rPr>
        <w:t>. Each person who first becomes an Outside Director on or following the date this Plan is adopted by the Board will 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51" w:name="page52"/>
    <w:bookmarkEnd w:id="51"/>
    <w:p>
      <w:pPr>
        <w:ind w:right="340" w:firstLine="921"/>
        <w:spacing w:after="0" w:line="259" w:lineRule="auto"/>
        <w:tabs>
          <w:tab w:leader="none" w:pos="1152"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Annual Option Award</w:t>
      </w:r>
      <w:r>
        <w:rPr>
          <w:rFonts w:ascii="Arial" w:cs="Arial" w:eastAsia="Arial" w:hAnsi="Arial"/>
          <w:sz w:val="18"/>
          <w:szCs w:val="18"/>
          <w:color w:val="auto"/>
        </w:rPr>
        <w:t>. Each Eligible Outside Director will be automatically granted an Option to purchase nine thousand (9,000) Shares (the “Annual Option Award”) immediately following each Annual General Meeting of the Company beginning in 2011, if as of such date, such Eligible Outside Director has served on the Board for at least the preceding six (6) months.</w:t>
      </w:r>
    </w:p>
    <w:p>
      <w:pPr>
        <w:spacing w:after="0" w:line="140" w:lineRule="exact"/>
        <w:rPr>
          <w:rFonts w:ascii="Arial" w:cs="Arial" w:eastAsia="Arial" w:hAnsi="Arial"/>
          <w:sz w:val="18"/>
          <w:szCs w:val="18"/>
          <w:color w:val="auto"/>
        </w:rPr>
      </w:pPr>
    </w:p>
    <w:p>
      <w:pPr>
        <w:ind w:right="80" w:firstLine="921"/>
        <w:spacing w:after="0" w:line="255" w:lineRule="auto"/>
        <w:tabs>
          <w:tab w:leader="none" w:pos="1132"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 Each Eligible Outside Director will be automatically granted such number of Shares subject to Restricted Stock Units as set forth in this Section 5(f) (the “Annual RSU Award”) immediately following each Annual General Meeting of the Company beginning in 2011, if as of such date, such Eligible Outside Director has served on the Board for at least the preceding six (6) months. The Annual RSU Award will cover a number of Shares with an aggregate Fair Market Value equal to $70,000 on the grant date; provided that such number of Shares subject to the Annual RSU Award will be rounded down to the nearest whole number of Shares.</w:t>
      </w:r>
    </w:p>
    <w:p>
      <w:pPr>
        <w:spacing w:after="0" w:line="142" w:lineRule="exact"/>
        <w:rPr>
          <w:rFonts w:ascii="Arial" w:cs="Arial" w:eastAsia="Arial" w:hAnsi="Arial"/>
          <w:sz w:val="18"/>
          <w:szCs w:val="18"/>
          <w:color w:val="auto"/>
        </w:rPr>
      </w:pPr>
    </w:p>
    <w:p>
      <w:pPr>
        <w:ind w:left="1160" w:hanging="239"/>
        <w:spacing w:after="0"/>
        <w:tabs>
          <w:tab w:leader="none" w:pos="1160"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1"/>
          <w:numId w:val="30"/>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 pursuant to</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Section 8 hereof.</w:t>
      </w:r>
    </w:p>
    <w:p>
      <w:pPr>
        <w:spacing w:after="0" w:line="164" w:lineRule="exact"/>
        <w:rPr>
          <w:rFonts w:ascii="Arial" w:cs="Arial" w:eastAsia="Arial" w:hAnsi="Arial"/>
          <w:sz w:val="16"/>
          <w:szCs w:val="16"/>
          <w:color w:val="auto"/>
        </w:rPr>
      </w:pPr>
    </w:p>
    <w:p>
      <w:pPr>
        <w:ind w:left="1760" w:hanging="268"/>
        <w:spacing w:after="0"/>
        <w:tabs>
          <w:tab w:leader="none" w:pos="1760" w:val="left"/>
        </w:tabs>
        <w:numPr>
          <w:ilvl w:val="1"/>
          <w:numId w:val="30"/>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 granted</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this Section.</w:t>
      </w:r>
    </w:p>
    <w:p>
      <w:pPr>
        <w:spacing w:after="0" w:line="164" w:lineRule="exact"/>
        <w:rPr>
          <w:rFonts w:ascii="Arial" w:cs="Arial" w:eastAsia="Arial" w:hAnsi="Arial"/>
          <w:sz w:val="16"/>
          <w:szCs w:val="16"/>
          <w:color w:val="auto"/>
        </w:rPr>
      </w:pPr>
    </w:p>
    <w:p>
      <w:pPr>
        <w:ind w:right="820" w:firstLine="921"/>
        <w:spacing w:after="0" w:line="332" w:lineRule="auto"/>
        <w:tabs>
          <w:tab w:leader="none" w:pos="1161" w:val="left"/>
        </w:tabs>
        <w:numPr>
          <w:ilvl w:val="0"/>
          <w:numId w:val="30"/>
        </w:numPr>
        <w:rPr>
          <w:rFonts w:ascii="Arial" w:cs="Arial" w:eastAsia="Arial" w:hAnsi="Arial"/>
          <w:sz w:val="16"/>
          <w:szCs w:val="16"/>
          <w:color w:val="auto"/>
        </w:rPr>
      </w:pPr>
      <w:r>
        <w:rPr>
          <w:rFonts w:ascii="Arial" w:cs="Arial" w:eastAsia="Arial" w:hAnsi="Arial"/>
          <w:sz w:val="16"/>
          <w:szCs w:val="16"/>
          <w:u w:val="single" w:color="auto"/>
          <w:color w:val="auto"/>
        </w:rPr>
        <w:t>Acceleration of Awards</w:t>
      </w:r>
      <w:r>
        <w:rPr>
          <w:rFonts w:ascii="Arial" w:cs="Arial" w:eastAsia="Arial" w:hAnsi="Arial"/>
          <w:sz w:val="16"/>
          <w:szCs w:val="16"/>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85" w:lineRule="exact"/>
        <w:rPr>
          <w:rFonts w:ascii="Arial" w:cs="Arial" w:eastAsia="Arial" w:hAnsi="Arial"/>
          <w:sz w:val="16"/>
          <w:szCs w:val="16"/>
          <w:color w:val="auto"/>
        </w:rPr>
      </w:pPr>
    </w:p>
    <w:p>
      <w:pPr>
        <w:ind w:right="260" w:firstLine="921"/>
        <w:spacing w:after="0" w:line="259" w:lineRule="auto"/>
        <w:tabs>
          <w:tab w:leader="none" w:pos="1122"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40" w:lineRule="exact"/>
        <w:rPr>
          <w:rFonts w:ascii="Arial" w:cs="Arial" w:eastAsia="Arial" w:hAnsi="Arial"/>
          <w:sz w:val="18"/>
          <w:szCs w:val="18"/>
          <w:color w:val="auto"/>
        </w:rPr>
      </w:pPr>
    </w:p>
    <w:p>
      <w:pPr>
        <w:ind w:firstLine="921"/>
        <w:spacing w:after="0" w:line="291" w:lineRule="auto"/>
        <w:tabs>
          <w:tab w:leader="none" w:pos="1122" w:val="left"/>
        </w:tabs>
        <w:numPr>
          <w:ilvl w:val="0"/>
          <w:numId w:val="30"/>
        </w:numPr>
        <w:rPr>
          <w:rFonts w:ascii="Arial" w:cs="Arial" w:eastAsia="Arial" w:hAnsi="Arial"/>
          <w:sz w:val="16"/>
          <w:szCs w:val="16"/>
          <w:color w:val="auto"/>
        </w:rPr>
      </w:pPr>
      <w:r>
        <w:rPr>
          <w:rFonts w:ascii="Arial" w:cs="Arial" w:eastAsia="Arial" w:hAnsi="Arial"/>
          <w:sz w:val="16"/>
          <w:szCs w:val="16"/>
          <w:u w:val="single" w:color="auto"/>
          <w:color w:val="auto"/>
        </w:rPr>
        <w:t>Amendment</w:t>
      </w:r>
      <w:r>
        <w:rPr>
          <w:rFonts w:ascii="Arial" w:cs="Arial" w:eastAsia="Arial" w:hAnsi="Arial"/>
          <w:sz w:val="16"/>
          <w:szCs w:val="16"/>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80" w:right="259" w:bottom="1440" w:gutter="0" w:footer="0" w:header="0"/>
        </w:sectPr>
      </w:pPr>
    </w:p>
    <w:bookmarkStart w:id="52" w:name="page53"/>
    <w:bookmarkEnd w:id="52"/>
    <w:p>
      <w:pPr>
        <w:ind w:firstLine="464"/>
        <w:spacing w:after="0" w:line="293" w:lineRule="auto"/>
        <w:tabs>
          <w:tab w:leader="none" w:pos="632"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Consideration. </w:t>
      </w:r>
      <w:r>
        <w:rPr>
          <w:rFonts w:ascii="Arial" w:cs="Arial" w:eastAsia="Arial" w:hAnsi="Arial"/>
          <w:sz w:val="16"/>
          <w:szCs w:val="16"/>
          <w:color w:val="auto"/>
        </w:rPr>
        <w:t>The consideration to be paid for the Shares to be issued upon exercise of an Award or the purchase of Shares thereunder shall consist</w:t>
      </w:r>
      <w:r>
        <w:rPr>
          <w:rFonts w:ascii="Arial" w:cs="Arial" w:eastAsia="Arial" w:hAnsi="Arial"/>
          <w:sz w:val="16"/>
          <w:szCs w:val="16"/>
          <w:b w:val="1"/>
          <w:bCs w:val="1"/>
          <w:color w:val="auto"/>
        </w:rPr>
        <w:t xml:space="preserve"> </w:t>
      </w:r>
      <w:r>
        <w:rPr>
          <w:rFonts w:ascii="Arial" w:cs="Arial" w:eastAsia="Arial" w:hAnsi="Arial"/>
          <w:sz w:val="16"/>
          <w:szCs w:val="16"/>
          <w:color w:val="auto"/>
        </w:rPr>
        <w:t>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10" w:lineRule="exact"/>
        <w:rPr>
          <w:rFonts w:ascii="Arial" w:cs="Arial" w:eastAsia="Arial" w:hAnsi="Arial"/>
          <w:sz w:val="16"/>
          <w:szCs w:val="16"/>
          <w:b w:val="1"/>
          <w:bCs w:val="1"/>
          <w:color w:val="auto"/>
        </w:rPr>
      </w:pPr>
    </w:p>
    <w:p>
      <w:pPr>
        <w:ind w:right="220" w:firstLine="464"/>
        <w:spacing w:after="0" w:line="310" w:lineRule="auto"/>
        <w:tabs>
          <w:tab w:leader="none" w:pos="632"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of Options or Stock Appreciation Rights. </w:t>
      </w:r>
      <w:r>
        <w:rPr>
          <w:rFonts w:ascii="Arial" w:cs="Arial" w:eastAsia="Arial" w:hAnsi="Arial"/>
          <w:sz w:val="16"/>
          <w:szCs w:val="16"/>
          <w:color w:val="auto"/>
        </w:rPr>
        <w:t>Any Option or Stock Appreciation Right granted hereunder will be exercisable as set forth in</w:t>
      </w:r>
      <w:r>
        <w:rPr>
          <w:rFonts w:ascii="Arial" w:cs="Arial" w:eastAsia="Arial" w:hAnsi="Arial"/>
          <w:sz w:val="16"/>
          <w:szCs w:val="16"/>
          <w:b w:val="1"/>
          <w:bCs w:val="1"/>
          <w:color w:val="auto"/>
        </w:rPr>
        <w:t xml:space="preserve"> </w:t>
      </w:r>
      <w:r>
        <w:rPr>
          <w:rFonts w:ascii="Arial" w:cs="Arial" w:eastAsia="Arial" w:hAnsi="Arial"/>
          <w:sz w:val="16"/>
          <w:szCs w:val="16"/>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103" w:lineRule="exact"/>
        <w:rPr>
          <w:sz w:val="20"/>
          <w:szCs w:val="20"/>
          <w:color w:val="auto"/>
        </w:rPr>
      </w:pPr>
    </w:p>
    <w:p>
      <w:pPr>
        <w:ind w:firstLine="913"/>
        <w:spacing w:after="0" w:line="288"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20" w:lineRule="exact"/>
        <w:rPr>
          <w:sz w:val="20"/>
          <w:szCs w:val="20"/>
          <w:color w:val="auto"/>
        </w:rPr>
      </w:pPr>
    </w:p>
    <w:p>
      <w:pPr>
        <w:jc w:val="both"/>
        <w:ind w:right="240" w:firstLine="913"/>
        <w:spacing w:after="0" w:line="259"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215" w:lineRule="exact"/>
        <w:rPr>
          <w:sz w:val="20"/>
          <w:szCs w:val="20"/>
          <w:color w:val="auto"/>
        </w:rPr>
      </w:pPr>
    </w:p>
    <w:p>
      <w:pPr>
        <w:ind w:left="640" w:hanging="176"/>
        <w:spacing w:after="0"/>
        <w:tabs>
          <w:tab w:leader="none" w:pos="64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96" w:lineRule="exact"/>
        <w:rPr>
          <w:rFonts w:ascii="Arial" w:cs="Arial" w:eastAsia="Arial" w:hAnsi="Arial"/>
          <w:sz w:val="18"/>
          <w:szCs w:val="18"/>
          <w:b w:val="1"/>
          <w:bCs w:val="1"/>
          <w:color w:val="auto"/>
        </w:rPr>
      </w:pPr>
    </w:p>
    <w:p>
      <w:pPr>
        <w:ind w:right="20" w:firstLine="921"/>
        <w:spacing w:after="0" w:line="298" w:lineRule="auto"/>
        <w:tabs>
          <w:tab w:leader="none" w:pos="1152" w:val="left"/>
        </w:tabs>
        <w:numPr>
          <w:ilvl w:val="1"/>
          <w:numId w:val="32"/>
        </w:numPr>
        <w:rPr>
          <w:rFonts w:ascii="Arial" w:cs="Arial" w:eastAsia="Arial" w:hAnsi="Arial"/>
          <w:sz w:val="16"/>
          <w:szCs w:val="16"/>
          <w:color w:val="auto"/>
        </w:rPr>
      </w:pPr>
      <w:r>
        <w:rPr>
          <w:rFonts w:ascii="Arial" w:cs="Arial" w:eastAsia="Arial" w:hAnsi="Arial"/>
          <w:sz w:val="16"/>
          <w:szCs w:val="16"/>
          <w:u w:val="single" w:color="auto"/>
          <w:color w:val="auto"/>
        </w:rPr>
        <w:t>Termination of Relationship as a Service Provider</w:t>
      </w:r>
      <w:r>
        <w:rPr>
          <w:rFonts w:ascii="Arial" w:cs="Arial" w:eastAsia="Arial" w:hAnsi="Arial"/>
          <w:sz w:val="16"/>
          <w:szCs w:val="16"/>
          <w:color w:val="auto"/>
        </w:rPr>
        <w:t>.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53" w:name="page54"/>
    <w:bookmarkEnd w:id="53"/>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40" w:lineRule="exact"/>
        <w:rPr>
          <w:sz w:val="20"/>
          <w:szCs w:val="20"/>
          <w:color w:val="auto"/>
        </w:rPr>
      </w:pPr>
    </w:p>
    <w:p>
      <w:pPr>
        <w:ind w:right="80" w:firstLine="921"/>
        <w:spacing w:after="0" w:line="289" w:lineRule="auto"/>
        <w:tabs>
          <w:tab w:leader="none" w:pos="1161" w:val="left"/>
        </w:tabs>
        <w:numPr>
          <w:ilvl w:val="1"/>
          <w:numId w:val="33"/>
        </w:numPr>
        <w:rPr>
          <w:rFonts w:ascii="Arial" w:cs="Arial" w:eastAsia="Arial" w:hAnsi="Arial"/>
          <w:sz w:val="16"/>
          <w:szCs w:val="16"/>
          <w:color w:val="auto"/>
        </w:rPr>
      </w:pPr>
      <w:r>
        <w:rPr>
          <w:rFonts w:ascii="Arial" w:cs="Arial" w:eastAsia="Arial" w:hAnsi="Arial"/>
          <w:sz w:val="16"/>
          <w:szCs w:val="16"/>
          <w:u w:val="single" w:color="auto"/>
          <w:color w:val="auto"/>
        </w:rPr>
        <w:t>Death or Disability of Participant</w:t>
      </w:r>
      <w:r>
        <w:rPr>
          <w:rFonts w:ascii="Arial" w:cs="Arial" w:eastAsia="Arial" w:hAnsi="Arial"/>
          <w:sz w:val="16"/>
          <w:szCs w:val="16"/>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93" w:lineRule="exact"/>
        <w:rPr>
          <w:rFonts w:ascii="Arial" w:cs="Arial" w:eastAsia="Arial" w:hAnsi="Arial"/>
          <w:sz w:val="16"/>
          <w:szCs w:val="16"/>
          <w:color w:val="auto"/>
        </w:rPr>
      </w:pPr>
    </w:p>
    <w:p>
      <w:pPr>
        <w:ind w:left="640" w:hanging="176"/>
        <w:spacing w:after="0"/>
        <w:tabs>
          <w:tab w:leader="none" w:pos="64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96" w:lineRule="exact"/>
        <w:rPr>
          <w:rFonts w:ascii="Arial" w:cs="Arial" w:eastAsia="Arial" w:hAnsi="Arial"/>
          <w:sz w:val="18"/>
          <w:szCs w:val="18"/>
          <w:b w:val="1"/>
          <w:bCs w:val="1"/>
          <w:color w:val="auto"/>
        </w:rPr>
      </w:pPr>
    </w:p>
    <w:p>
      <w:pPr>
        <w:ind w:right="240" w:firstLine="921"/>
        <w:spacing w:after="0" w:line="259" w:lineRule="auto"/>
        <w:tabs>
          <w:tab w:leader="none" w:pos="1152"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Options in such amounts as the Administrator, in its sole discretion, will determine.</w:t>
      </w:r>
    </w:p>
    <w:p>
      <w:pPr>
        <w:spacing w:after="0" w:line="140" w:lineRule="exact"/>
        <w:rPr>
          <w:rFonts w:ascii="Arial" w:cs="Arial" w:eastAsia="Arial" w:hAnsi="Arial"/>
          <w:sz w:val="18"/>
          <w:szCs w:val="18"/>
          <w:color w:val="auto"/>
        </w:rPr>
      </w:pPr>
    </w:p>
    <w:p>
      <w:pPr>
        <w:ind w:left="1160" w:hanging="239"/>
        <w:spacing w:after="0"/>
        <w:tabs>
          <w:tab w:leader="none" w:pos="1160"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171" w:lineRule="exact"/>
        <w:rPr>
          <w:rFonts w:ascii="Arial" w:cs="Arial" w:eastAsia="Arial" w:hAnsi="Arial"/>
          <w:sz w:val="18"/>
          <w:szCs w:val="18"/>
          <w:color w:val="auto"/>
        </w:rPr>
      </w:pPr>
    </w:p>
    <w:p>
      <w:pPr>
        <w:ind w:left="1700" w:hanging="208"/>
        <w:spacing w:after="0"/>
        <w:tabs>
          <w:tab w:leader="none" w:pos="1700" w:val="left"/>
        </w:tabs>
        <w:numPr>
          <w:ilvl w:val="2"/>
          <w:numId w:val="34"/>
        </w:numPr>
        <w:rPr>
          <w:rFonts w:ascii="Arial" w:cs="Arial" w:eastAsia="Arial" w:hAnsi="Arial"/>
          <w:sz w:val="16"/>
          <w:szCs w:val="16"/>
          <w:color w:val="auto"/>
        </w:rPr>
      </w:pPr>
      <w:r>
        <w:rPr>
          <w:rFonts w:ascii="Arial" w:cs="Arial" w:eastAsia="Arial" w:hAnsi="Arial"/>
          <w:sz w:val="16"/>
          <w:szCs w:val="16"/>
          <w:color w:val="auto"/>
        </w:rPr>
        <w:t>The term of an Option will be ten (10) years; provided, however, that the Option may expire earlier pursuant to Section 8 hereof.</w:t>
      </w:r>
    </w:p>
    <w:p>
      <w:pPr>
        <w:spacing w:after="0" w:line="194" w:lineRule="exact"/>
        <w:rPr>
          <w:rFonts w:ascii="Arial" w:cs="Arial" w:eastAsia="Arial" w:hAnsi="Arial"/>
          <w:sz w:val="16"/>
          <w:szCs w:val="16"/>
          <w:color w:val="auto"/>
        </w:rPr>
      </w:pPr>
    </w:p>
    <w:p>
      <w:pPr>
        <w:ind w:left="1760" w:hanging="268"/>
        <w:spacing w:after="0"/>
        <w:tabs>
          <w:tab w:leader="none" w:pos="1760" w:val="left"/>
        </w:tabs>
        <w:numPr>
          <w:ilvl w:val="2"/>
          <w:numId w:val="34"/>
        </w:numPr>
        <w:rPr>
          <w:rFonts w:ascii="Arial" w:cs="Arial" w:eastAsia="Arial" w:hAnsi="Arial"/>
          <w:sz w:val="15"/>
          <w:szCs w:val="15"/>
          <w:color w:val="auto"/>
        </w:rPr>
      </w:pPr>
      <w:r>
        <w:rPr>
          <w:rFonts w:ascii="Arial" w:cs="Arial" w:eastAsia="Arial" w:hAnsi="Arial"/>
          <w:sz w:val="15"/>
          <w:szCs w:val="15"/>
          <w:color w:val="auto"/>
        </w:rPr>
        <w:t>The per share exercise price for Shares subject to Options will be one hundred percent (100%) of the Fair Market Value on the grant date.</w:t>
      </w:r>
    </w:p>
    <w:p>
      <w:pPr>
        <w:spacing w:after="0" w:line="205" w:lineRule="exact"/>
        <w:rPr>
          <w:rFonts w:ascii="Arial" w:cs="Arial" w:eastAsia="Arial" w:hAnsi="Arial"/>
          <w:sz w:val="15"/>
          <w:szCs w:val="15"/>
          <w:color w:val="auto"/>
        </w:rPr>
      </w:pPr>
    </w:p>
    <w:p>
      <w:pPr>
        <w:ind w:right="40" w:firstLine="1492"/>
        <w:spacing w:after="0" w:line="254" w:lineRule="auto"/>
        <w:tabs>
          <w:tab w:leader="none" w:pos="1791" w:val="left"/>
        </w:tabs>
        <w:numPr>
          <w:ilvl w:val="2"/>
          <w:numId w:val="34"/>
        </w:numPr>
        <w:rPr>
          <w:rFonts w:ascii="Arial" w:cs="Arial" w:eastAsia="Arial" w:hAnsi="Arial"/>
          <w:sz w:val="18"/>
          <w:szCs w:val="18"/>
          <w:color w:val="auto"/>
        </w:rPr>
      </w:pPr>
      <w:r>
        <w:rPr>
          <w:rFonts w:ascii="Arial" w:cs="Arial" w:eastAsia="Arial" w:hAnsi="Arial"/>
          <w:sz w:val="18"/>
          <w:szCs w:val="18"/>
          <w:color w:val="auto"/>
        </w:rPr>
        <w:t>Subject to Section 5(h) and Section 18, each Initial Option Award will vest and become exercisable as to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one-year anniversary of the date of grant (or on the last day of the month, if there is no corresponding date); as to an additional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second annual anniversary of the date of grant thereafter (or on the last day of the month, if there is no corresponding date); and as to an final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80" w:right="239" w:bottom="1440" w:gutter="0" w:footer="0" w:header="0"/>
        </w:sectPr>
      </w:pPr>
    </w:p>
    <w:bookmarkStart w:id="54" w:name="page55"/>
    <w:bookmarkEnd w:id="54"/>
    <w:p>
      <w:pPr>
        <w:ind w:left="-20" w:right="160" w:firstLine="1492"/>
        <w:spacing w:after="0" w:line="306" w:lineRule="auto"/>
        <w:tabs>
          <w:tab w:leader="none" w:pos="1761" w:val="left"/>
        </w:tabs>
        <w:numPr>
          <w:ilvl w:val="2"/>
          <w:numId w:val="3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Subject to Section 5(h) and Section 18, each Annual Option Award will vest and become exercisable as to one hundred percent (100%) of the Shares subject to the Option on the earlier of the next Annual General Meeting or the one year anniversary of the Option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ind w:left="-20" w:firstLine="921"/>
        <w:spacing w:after="0" w:line="332" w:lineRule="auto"/>
        <w:tabs>
          <w:tab w:leader="none" w:pos="1132" w:val="left"/>
        </w:tabs>
        <w:numPr>
          <w:ilvl w:val="1"/>
          <w:numId w:val="36"/>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left="-20" w:right="60" w:firstLine="921"/>
        <w:spacing w:after="0" w:line="268" w:lineRule="auto"/>
        <w:tabs>
          <w:tab w:leader="none" w:pos="1141" w:val="left"/>
        </w:tabs>
        <w:numPr>
          <w:ilvl w:val="1"/>
          <w:numId w:val="36"/>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206" w:lineRule="exact"/>
        <w:rPr>
          <w:rFonts w:ascii="Arial" w:cs="Arial" w:eastAsia="Arial" w:hAnsi="Arial"/>
          <w:sz w:val="18"/>
          <w:szCs w:val="18"/>
          <w:color w:val="auto"/>
        </w:rPr>
      </w:pPr>
    </w:p>
    <w:p>
      <w:pPr>
        <w:ind w:left="700" w:hanging="256"/>
        <w:spacing w:after="0"/>
        <w:tabs>
          <w:tab w:leader="none" w:pos="700"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w:t>
      </w:r>
    </w:p>
    <w:p>
      <w:pPr>
        <w:spacing w:after="0" w:line="96" w:lineRule="exact"/>
        <w:rPr>
          <w:rFonts w:ascii="Arial" w:cs="Arial" w:eastAsia="Arial" w:hAnsi="Arial"/>
          <w:sz w:val="18"/>
          <w:szCs w:val="18"/>
          <w:b w:val="1"/>
          <w:bCs w:val="1"/>
          <w:color w:val="auto"/>
        </w:rPr>
      </w:pPr>
    </w:p>
    <w:p>
      <w:pPr>
        <w:ind w:left="-20" w:right="40" w:firstLine="921"/>
        <w:spacing w:after="0" w:line="370" w:lineRule="auto"/>
        <w:tabs>
          <w:tab w:leader="none" w:pos="1132" w:val="left"/>
        </w:tabs>
        <w:numPr>
          <w:ilvl w:val="1"/>
          <w:numId w:val="37"/>
        </w:numPr>
        <w:rPr>
          <w:rFonts w:ascii="Arial" w:cs="Arial" w:eastAsia="Arial" w:hAnsi="Arial"/>
          <w:sz w:val="15"/>
          <w:szCs w:val="15"/>
          <w:color w:val="auto"/>
        </w:rPr>
      </w:pPr>
      <w:r>
        <w:rPr>
          <w:rFonts w:ascii="Arial" w:cs="Arial" w:eastAsia="Arial" w:hAnsi="Arial"/>
          <w:sz w:val="15"/>
          <w:szCs w:val="15"/>
          <w:u w:val="single" w:color="auto"/>
          <w:color w:val="auto"/>
        </w:rPr>
        <w:t>Grant of Restricted Stock</w:t>
      </w:r>
      <w:r>
        <w:rPr>
          <w:rFonts w:ascii="Arial" w:cs="Arial" w:eastAsia="Arial" w:hAnsi="Arial"/>
          <w:sz w:val="15"/>
          <w:szCs w:val="15"/>
          <w:color w:val="auto"/>
        </w:rPr>
        <w:t>. Subject to the terms and provisions of the Plan and pursuant to Section 5(j), the Administrator, may change or add automatic Awards granted pursuant to Section 5 to include Awards of Restricted Stock in such amounts as the Administrator, in its sole discretion, will determine.</w:t>
      </w:r>
    </w:p>
    <w:p>
      <w:pPr>
        <w:spacing w:after="0" w:line="62" w:lineRule="exact"/>
        <w:rPr>
          <w:rFonts w:ascii="Arial" w:cs="Arial" w:eastAsia="Arial" w:hAnsi="Arial"/>
          <w:sz w:val="15"/>
          <w:szCs w:val="15"/>
          <w:color w:val="auto"/>
        </w:rPr>
      </w:pPr>
    </w:p>
    <w:p>
      <w:pPr>
        <w:ind w:left="-20" w:right="260" w:firstLine="921"/>
        <w:spacing w:after="0" w:line="294" w:lineRule="auto"/>
        <w:tabs>
          <w:tab w:leader="none" w:pos="1141"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Restricted Stock Agreement</w:t>
      </w:r>
      <w:r>
        <w:rPr>
          <w:rFonts w:ascii="Arial" w:cs="Arial" w:eastAsia="Arial" w:hAnsi="Arial"/>
          <w:sz w:val="16"/>
          <w:szCs w:val="16"/>
          <w:color w:val="auto"/>
        </w:rPr>
        <w:t>. Each Award of Restricted Stock will be evidenced by an Award Agreement that will specify the vesting criteria, number of Shares granted, and such other terms and conditions as the Administrator, in its sole discretion, will determine; provided, however, that an Award of Restricted Stock shall not be fully vested before a period of restriction (“Period of Restriction”) of a minimum of three (3) years. Vesting shall be no more favorable than pro rata and occur as to no more than 1/3rd of the number of Shares on each one-year anniversary of the grant date. Unless the Administrator determines otherwise, the Company as escrow agent will hold Shares of Restricted Stock until the restrictions on such Shares have lapsed.</w:t>
      </w:r>
    </w:p>
    <w:p>
      <w:pPr>
        <w:spacing w:after="0" w:line="115" w:lineRule="exact"/>
        <w:rPr>
          <w:rFonts w:ascii="Arial" w:cs="Arial" w:eastAsia="Arial" w:hAnsi="Arial"/>
          <w:sz w:val="16"/>
          <w:szCs w:val="16"/>
          <w:color w:val="auto"/>
        </w:rPr>
      </w:pPr>
    </w:p>
    <w:p>
      <w:pPr>
        <w:ind w:left="-20" w:right="340" w:firstLine="921"/>
        <w:spacing w:after="0" w:line="268" w:lineRule="auto"/>
        <w:tabs>
          <w:tab w:leader="none" w:pos="1132"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31" w:lineRule="exact"/>
        <w:rPr>
          <w:rFonts w:ascii="Arial" w:cs="Arial" w:eastAsia="Arial" w:hAnsi="Arial"/>
          <w:sz w:val="18"/>
          <w:szCs w:val="18"/>
          <w:color w:val="auto"/>
        </w:rPr>
      </w:pPr>
    </w:p>
    <w:p>
      <w:pPr>
        <w:ind w:left="-20" w:right="40" w:firstLine="921"/>
        <w:spacing w:after="0" w:line="259" w:lineRule="auto"/>
        <w:tabs>
          <w:tab w:leader="none" w:pos="1141"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this Section 8,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40" w:lineRule="exact"/>
        <w:rPr>
          <w:rFonts w:ascii="Arial" w:cs="Arial" w:eastAsia="Arial" w:hAnsi="Arial"/>
          <w:sz w:val="18"/>
          <w:szCs w:val="18"/>
          <w:color w:val="auto"/>
        </w:rPr>
      </w:pPr>
    </w:p>
    <w:p>
      <w:pPr>
        <w:ind w:left="-20" w:right="40" w:firstLine="921"/>
        <w:spacing w:after="0" w:line="268" w:lineRule="auto"/>
        <w:tabs>
          <w:tab w:leader="none" w:pos="1132"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31" w:lineRule="exact"/>
        <w:rPr>
          <w:rFonts w:ascii="Arial" w:cs="Arial" w:eastAsia="Arial" w:hAnsi="Arial"/>
          <w:sz w:val="18"/>
          <w:szCs w:val="18"/>
          <w:color w:val="auto"/>
        </w:rPr>
      </w:pPr>
    </w:p>
    <w:p>
      <w:pPr>
        <w:ind w:left="-20" w:right="60" w:firstLine="921"/>
        <w:spacing w:after="0" w:line="268" w:lineRule="auto"/>
        <w:tabs>
          <w:tab w:leader="none" w:pos="1112" w:val="left"/>
        </w:tabs>
        <w:numPr>
          <w:ilvl w:val="1"/>
          <w:numId w:val="37"/>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60" w:top="280" w:right="239" w:bottom="1440" w:gutter="0" w:footer="0" w:header="0"/>
        </w:sectPr>
      </w:pPr>
    </w:p>
    <w:bookmarkStart w:id="55" w:name="page56"/>
    <w:bookmarkEnd w:id="55"/>
    <w:p>
      <w:pPr>
        <w:ind w:right="48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such dividends or distributions are paid in Shares, the Shares will be subject to the same restrictions on transferability and forfeitability as the Shares of Restricted Stock with respect to which they were paid.</w:t>
      </w:r>
    </w:p>
    <w:p>
      <w:pPr>
        <w:spacing w:after="0" w:line="132" w:lineRule="exact"/>
        <w:rPr>
          <w:sz w:val="20"/>
          <w:szCs w:val="20"/>
          <w:color w:val="auto"/>
        </w:rPr>
      </w:pPr>
    </w:p>
    <w:p>
      <w:pPr>
        <w:ind w:firstLine="921"/>
        <w:spacing w:after="0" w:line="268" w:lineRule="auto"/>
        <w:tabs>
          <w:tab w:leader="none" w:pos="1161"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206" w:lineRule="exact"/>
        <w:rPr>
          <w:rFonts w:ascii="Arial" w:cs="Arial" w:eastAsia="Arial" w:hAnsi="Arial"/>
          <w:sz w:val="18"/>
          <w:szCs w:val="18"/>
          <w:color w:val="auto"/>
        </w:rPr>
      </w:pPr>
    </w:p>
    <w:p>
      <w:pPr>
        <w:ind w:left="720" w:hanging="256"/>
        <w:spacing w:after="0"/>
        <w:tabs>
          <w:tab w:leader="none" w:pos="720" w:val="left"/>
        </w:tabs>
        <w:numPr>
          <w:ilvl w:val="0"/>
          <w:numId w:val="39"/>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96" w:lineRule="exact"/>
        <w:rPr>
          <w:rFonts w:ascii="Arial" w:cs="Arial" w:eastAsia="Arial" w:hAnsi="Arial"/>
          <w:sz w:val="18"/>
          <w:szCs w:val="18"/>
          <w:b w:val="1"/>
          <w:bCs w:val="1"/>
          <w:color w:val="auto"/>
        </w:rPr>
      </w:pPr>
    </w:p>
    <w:p>
      <w:pPr>
        <w:ind w:right="140" w:firstLine="921"/>
        <w:spacing w:after="0" w:line="259" w:lineRule="auto"/>
        <w:tabs>
          <w:tab w:leader="none" w:pos="1152"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Restricted Stock Units in such amounts as the Administrator, in its sole discretion, will determine.</w:t>
      </w:r>
    </w:p>
    <w:p>
      <w:pPr>
        <w:spacing w:after="0" w:line="140" w:lineRule="exact"/>
        <w:rPr>
          <w:rFonts w:ascii="Arial" w:cs="Arial" w:eastAsia="Arial" w:hAnsi="Arial"/>
          <w:sz w:val="18"/>
          <w:szCs w:val="18"/>
          <w:color w:val="auto"/>
        </w:rPr>
      </w:pPr>
    </w:p>
    <w:p>
      <w:pPr>
        <w:ind w:right="140" w:firstLine="921"/>
        <w:spacing w:after="0" w:line="332" w:lineRule="auto"/>
        <w:tabs>
          <w:tab w:leader="none" w:pos="1161" w:val="left"/>
        </w:tabs>
        <w:numPr>
          <w:ilvl w:val="1"/>
          <w:numId w:val="39"/>
        </w:numPr>
        <w:rPr>
          <w:rFonts w:ascii="Arial" w:cs="Arial" w:eastAsia="Arial" w:hAnsi="Arial"/>
          <w:sz w:val="16"/>
          <w:szCs w:val="16"/>
          <w:color w:val="auto"/>
        </w:rPr>
      </w:pPr>
      <w:r>
        <w:rPr>
          <w:rFonts w:ascii="Arial" w:cs="Arial" w:eastAsia="Arial" w:hAnsi="Arial"/>
          <w:sz w:val="16"/>
          <w:szCs w:val="16"/>
          <w:u w:val="single" w:color="auto"/>
          <w:color w:val="auto"/>
        </w:rPr>
        <w:t>Restricted Stock Unit Agreement</w:t>
      </w:r>
      <w:r>
        <w:rPr>
          <w:rFonts w:ascii="Arial" w:cs="Arial" w:eastAsia="Arial" w:hAnsi="Arial"/>
          <w:sz w:val="16"/>
          <w:szCs w:val="16"/>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166" w:lineRule="exact"/>
        <w:rPr>
          <w:rFonts w:ascii="Arial" w:cs="Arial" w:eastAsia="Arial" w:hAnsi="Arial"/>
          <w:sz w:val="16"/>
          <w:szCs w:val="16"/>
          <w:color w:val="auto"/>
        </w:rPr>
      </w:pPr>
    </w:p>
    <w:p>
      <w:pPr>
        <w:ind w:left="1160" w:hanging="239"/>
        <w:spacing w:after="0"/>
        <w:tabs>
          <w:tab w:leader="none" w:pos="1160"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Vesting Criteria and Other Terms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right="20" w:firstLine="1492"/>
        <w:spacing w:after="0" w:line="254" w:lineRule="auto"/>
        <w:tabs>
          <w:tab w:leader="none" w:pos="1693" w:val="left"/>
        </w:tabs>
        <w:numPr>
          <w:ilvl w:val="2"/>
          <w:numId w:val="39"/>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 An Award of Restricted Stock Units shall not be fully vested until a minimum period of three (3) years from the date of grant. Vesting shall be no more favorable than pro rata and occur as to no more than one-third (1/3</w:t>
      </w:r>
      <w:r>
        <w:rPr>
          <w:rFonts w:ascii="Arial" w:cs="Arial" w:eastAsia="Arial" w:hAnsi="Arial"/>
          <w:sz w:val="11"/>
          <w:szCs w:val="11"/>
          <w:color w:val="auto"/>
        </w:rPr>
        <w:t>rd</w:t>
      </w:r>
      <w:r>
        <w:rPr>
          <w:rFonts w:ascii="Arial" w:cs="Arial" w:eastAsia="Arial" w:hAnsi="Arial"/>
          <w:sz w:val="18"/>
          <w:szCs w:val="18"/>
          <w:color w:val="auto"/>
        </w:rPr>
        <w:t>) of the number of Shares on each one-year anniversary of the grant date.</w:t>
      </w:r>
    </w:p>
    <w:p>
      <w:pPr>
        <w:spacing w:after="0" w:line="144" w:lineRule="exact"/>
        <w:rPr>
          <w:rFonts w:ascii="Arial" w:cs="Arial" w:eastAsia="Arial" w:hAnsi="Arial"/>
          <w:sz w:val="18"/>
          <w:szCs w:val="18"/>
          <w:color w:val="auto"/>
        </w:rPr>
      </w:pPr>
    </w:p>
    <w:p>
      <w:pPr>
        <w:ind w:right="20" w:firstLine="1492"/>
        <w:spacing w:after="0" w:line="290" w:lineRule="auto"/>
        <w:tabs>
          <w:tab w:leader="none" w:pos="1742" w:val="left"/>
        </w:tabs>
        <w:numPr>
          <w:ilvl w:val="2"/>
          <w:numId w:val="39"/>
        </w:numPr>
        <w:rPr>
          <w:rFonts w:ascii="Arial" w:cs="Arial" w:eastAsia="Arial" w:hAnsi="Arial"/>
          <w:sz w:val="16"/>
          <w:szCs w:val="16"/>
          <w:color w:val="auto"/>
        </w:rPr>
      </w:pPr>
      <w:r>
        <w:rPr>
          <w:rFonts w:ascii="Arial" w:cs="Arial" w:eastAsia="Arial" w:hAnsi="Arial"/>
          <w:sz w:val="16"/>
          <w:szCs w:val="16"/>
          <w:color w:val="auto"/>
        </w:rPr>
        <w:t>The vesting commencement date of each Annual RSU Award shall be the last day of the calendar month immediately following the grant date. Subject to the restrictions set forth in Section 11(c)(i),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the one-year anniversary of the vesting commencement date (or on the last day of the month, if there is no corresponding date); as to an additional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the second annual anniversary of the vesting commencement date thereafter (or on the last day of the month, if there is no corresponding date); and as to an final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18" w:lineRule="exact"/>
        <w:rPr>
          <w:rFonts w:ascii="Arial" w:cs="Arial" w:eastAsia="Arial" w:hAnsi="Arial"/>
          <w:sz w:val="16"/>
          <w:szCs w:val="16"/>
          <w:color w:val="auto"/>
        </w:rPr>
      </w:pPr>
    </w:p>
    <w:p>
      <w:pPr>
        <w:ind w:right="140" w:firstLine="921"/>
        <w:spacing w:after="0" w:line="268" w:lineRule="auto"/>
        <w:tabs>
          <w:tab w:leader="none" w:pos="1161"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Upon meeting the applicable vesting criteria, the Participant will be entitled to receive a payout as determined by the Administrator.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80" w:right="239" w:bottom="1440" w:gutter="0" w:footer="0" w:header="0"/>
        </w:sectPr>
      </w:pPr>
    </w:p>
    <w:bookmarkStart w:id="56" w:name="page57"/>
    <w:bookmarkEnd w:id="56"/>
    <w:p>
      <w:pPr>
        <w:ind w:right="46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85" w:lineRule="exact"/>
        <w:rPr>
          <w:sz w:val="20"/>
          <w:szCs w:val="20"/>
          <w:color w:val="auto"/>
        </w:rPr>
      </w:pPr>
    </w:p>
    <w:p>
      <w:pPr>
        <w:ind w:left="1160" w:hanging="239"/>
        <w:spacing w:after="0"/>
        <w:tabs>
          <w:tab w:leader="none" w:pos="1160"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Cancellation</w:t>
      </w:r>
      <w:r>
        <w:rPr>
          <w:rFonts w:ascii="Arial" w:cs="Arial" w:eastAsia="Arial" w:hAnsi="Arial"/>
          <w:sz w:val="16"/>
          <w:szCs w:val="16"/>
          <w:color w:val="auto"/>
        </w:rPr>
        <w:t>. On the date set forth in the Award Agreement, all unearned Restricted Stock Units will be forfeited to the Company.</w:t>
      </w:r>
    </w:p>
    <w:p>
      <w:pPr>
        <w:spacing w:after="0" w:line="269" w:lineRule="exact"/>
        <w:rPr>
          <w:rFonts w:ascii="Arial" w:cs="Arial" w:eastAsia="Arial" w:hAnsi="Arial"/>
          <w:sz w:val="16"/>
          <w:szCs w:val="16"/>
          <w:color w:val="auto"/>
        </w:rPr>
      </w:pPr>
    </w:p>
    <w:p>
      <w:pPr>
        <w:ind w:left="720" w:hanging="256"/>
        <w:spacing w:after="0"/>
        <w:tabs>
          <w:tab w:leader="none" w:pos="720"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96" w:lineRule="exact"/>
        <w:rPr>
          <w:rFonts w:ascii="Arial" w:cs="Arial" w:eastAsia="Arial" w:hAnsi="Arial"/>
          <w:sz w:val="18"/>
          <w:szCs w:val="18"/>
          <w:b w:val="1"/>
          <w:bCs w:val="1"/>
          <w:color w:val="auto"/>
        </w:rPr>
      </w:pPr>
    </w:p>
    <w:p>
      <w:pPr>
        <w:ind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Stock Appreciation Rights.</w:t>
      </w:r>
    </w:p>
    <w:p>
      <w:pPr>
        <w:spacing w:after="0" w:line="131" w:lineRule="exact"/>
        <w:rPr>
          <w:rFonts w:ascii="Arial" w:cs="Arial" w:eastAsia="Arial" w:hAnsi="Arial"/>
          <w:sz w:val="18"/>
          <w:szCs w:val="18"/>
          <w:color w:val="auto"/>
        </w:rPr>
      </w:pPr>
    </w:p>
    <w:p>
      <w:pPr>
        <w:ind w:right="340" w:firstLine="921"/>
        <w:spacing w:after="0" w:line="259" w:lineRule="auto"/>
        <w:tabs>
          <w:tab w:leader="none" w:pos="1161"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40" w:lineRule="exact"/>
        <w:rPr>
          <w:rFonts w:ascii="Arial" w:cs="Arial" w:eastAsia="Arial" w:hAnsi="Arial"/>
          <w:sz w:val="18"/>
          <w:szCs w:val="18"/>
          <w:color w:val="auto"/>
        </w:rPr>
      </w:pPr>
    </w:p>
    <w:p>
      <w:pPr>
        <w:ind w:right="120"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31" w:lineRule="exact"/>
        <w:rPr>
          <w:rFonts w:ascii="Arial" w:cs="Arial" w:eastAsia="Arial" w:hAnsi="Arial"/>
          <w:sz w:val="18"/>
          <w:szCs w:val="18"/>
          <w:color w:val="auto"/>
        </w:rPr>
      </w:pPr>
    </w:p>
    <w:p>
      <w:pPr>
        <w:jc w:val="both"/>
        <w:ind w:right="500" w:firstLine="921"/>
        <w:spacing w:after="0" w:line="259" w:lineRule="auto"/>
        <w:tabs>
          <w:tab w:leader="none" w:pos="1161"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pacing w:after="0" w:line="140" w:lineRule="exact"/>
        <w:rPr>
          <w:rFonts w:ascii="Arial" w:cs="Arial" w:eastAsia="Arial" w:hAnsi="Arial"/>
          <w:sz w:val="18"/>
          <w:szCs w:val="18"/>
          <w:color w:val="auto"/>
        </w:rPr>
      </w:pPr>
    </w:p>
    <w:p>
      <w:pPr>
        <w:ind w:right="160" w:firstLine="921"/>
        <w:spacing w:after="0" w:line="268" w:lineRule="auto"/>
        <w:tabs>
          <w:tab w:leader="none" w:pos="1152" w:val="left"/>
        </w:tabs>
        <w:numPr>
          <w:ilvl w:val="1"/>
          <w:numId w:val="41"/>
        </w:numPr>
        <w:rPr>
          <w:rFonts w:ascii="Arial" w:cs="Arial" w:eastAsia="Arial" w:hAnsi="Arial"/>
          <w:sz w:val="18"/>
          <w:szCs w:val="18"/>
          <w:color w:val="auto"/>
        </w:rPr>
      </w:pPr>
      <w:r>
        <w:rPr>
          <w:rFonts w:ascii="Arial" w:cs="Arial" w:eastAsia="Arial" w:hAnsi="Arial"/>
          <w:sz w:val="18"/>
          <w:szCs w:val="18"/>
          <w:u w:val="single" w:color="auto"/>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31" w:lineRule="exact"/>
        <w:rPr>
          <w:rFonts w:ascii="Arial" w:cs="Arial" w:eastAsia="Arial" w:hAnsi="Arial"/>
          <w:sz w:val="18"/>
          <w:szCs w:val="18"/>
          <w:color w:val="auto"/>
        </w:rPr>
      </w:pPr>
    </w:p>
    <w:p>
      <w:pPr>
        <w:ind w:left="1700" w:hanging="208"/>
        <w:spacing w:after="0"/>
        <w:tabs>
          <w:tab w:leader="none" w:pos="1700" w:val="left"/>
        </w:tabs>
        <w:numPr>
          <w:ilvl w:val="2"/>
          <w:numId w:val="41"/>
        </w:numPr>
        <w:rPr>
          <w:rFonts w:ascii="Arial" w:cs="Arial" w:eastAsia="Arial" w:hAnsi="Arial"/>
          <w:sz w:val="18"/>
          <w:szCs w:val="18"/>
          <w:color w:val="auto"/>
        </w:rPr>
      </w:pPr>
      <w:r>
        <w:rPr>
          <w:rFonts w:ascii="Arial" w:cs="Arial" w:eastAsia="Arial" w:hAnsi="Arial"/>
          <w:sz w:val="18"/>
          <w:szCs w:val="18"/>
          <w:color w:val="auto"/>
        </w:rPr>
        <w:t>The difference between the Fair Market Value of a Share on the date of exercise over the exercise price; times</w:t>
      </w:r>
    </w:p>
    <w:p>
      <w:pPr>
        <w:spacing w:after="0" w:line="171" w:lineRule="exact"/>
        <w:rPr>
          <w:rFonts w:ascii="Arial" w:cs="Arial" w:eastAsia="Arial" w:hAnsi="Arial"/>
          <w:sz w:val="18"/>
          <w:szCs w:val="18"/>
          <w:color w:val="auto"/>
        </w:rPr>
      </w:pPr>
    </w:p>
    <w:p>
      <w:pPr>
        <w:ind w:left="1760" w:hanging="268"/>
        <w:spacing w:after="0"/>
        <w:tabs>
          <w:tab w:leader="none" w:pos="1760" w:val="left"/>
        </w:tabs>
        <w:numPr>
          <w:ilvl w:val="2"/>
          <w:numId w:val="41"/>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17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207" w:lineRule="exact"/>
        <w:rPr>
          <w:sz w:val="20"/>
          <w:szCs w:val="20"/>
          <w:color w:val="auto"/>
        </w:rPr>
      </w:pPr>
    </w:p>
    <w:p>
      <w:pPr>
        <w:ind w:left="720" w:hanging="256"/>
        <w:spacing w:after="0"/>
        <w:tabs>
          <w:tab w:leader="none" w:pos="720" w:val="left"/>
        </w:tabs>
        <w:numPr>
          <w:ilvl w:val="0"/>
          <w:numId w:val="42"/>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96" w:lineRule="exact"/>
        <w:rPr>
          <w:rFonts w:ascii="Arial" w:cs="Arial" w:eastAsia="Arial" w:hAnsi="Arial"/>
          <w:sz w:val="18"/>
          <w:szCs w:val="18"/>
          <w:b w:val="1"/>
          <w:bCs w:val="1"/>
          <w:color w:val="auto"/>
        </w:rPr>
      </w:pPr>
    </w:p>
    <w:p>
      <w:pPr>
        <w:ind w:right="40" w:firstLine="921"/>
        <w:spacing w:after="0" w:line="268" w:lineRule="auto"/>
        <w:tabs>
          <w:tab w:leader="none" w:pos="1152"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w:t>
      </w:r>
    </w:p>
    <w:p>
      <w:pPr>
        <w:spacing w:after="0" w:line="11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80"/>
          </w:cols>
          <w:pgMar w:left="240" w:top="280" w:right="379" w:bottom="1440" w:gutter="0" w:footer="0" w:header="0"/>
        </w:sectPr>
      </w:pPr>
    </w:p>
    <w:bookmarkStart w:id="57" w:name="page58"/>
    <w:bookmarkEnd w:id="5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discretion in determining the number of Performance Units and Performance Shares granted to each Participant.</w:t>
      </w:r>
    </w:p>
    <w:p>
      <w:pPr>
        <w:spacing w:after="0" w:line="171" w:lineRule="exact"/>
        <w:rPr>
          <w:sz w:val="20"/>
          <w:szCs w:val="20"/>
          <w:color w:val="auto"/>
        </w:rPr>
      </w:pPr>
    </w:p>
    <w:p>
      <w:pPr>
        <w:ind w:right="300" w:firstLine="921"/>
        <w:spacing w:after="0" w:line="332" w:lineRule="auto"/>
        <w:tabs>
          <w:tab w:leader="none" w:pos="1161" w:val="left"/>
        </w:tabs>
        <w:numPr>
          <w:ilvl w:val="0"/>
          <w:numId w:val="43"/>
        </w:numPr>
        <w:rPr>
          <w:rFonts w:ascii="Arial" w:cs="Arial" w:eastAsia="Arial" w:hAnsi="Arial"/>
          <w:sz w:val="16"/>
          <w:szCs w:val="16"/>
          <w:color w:val="auto"/>
        </w:rPr>
      </w:pPr>
      <w:r>
        <w:rPr>
          <w:rFonts w:ascii="Arial" w:cs="Arial" w:eastAsia="Arial" w:hAnsi="Arial"/>
          <w:sz w:val="16"/>
          <w:szCs w:val="16"/>
          <w:u w:val="single" w:color="auto"/>
          <w:color w:val="auto"/>
        </w:rPr>
        <w:t>Value of Performance Units/Shares</w:t>
      </w:r>
      <w:r>
        <w:rPr>
          <w:rFonts w:ascii="Arial" w:cs="Arial" w:eastAsia="Arial" w:hAnsi="Arial"/>
          <w:sz w:val="16"/>
          <w:szCs w:val="16"/>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85" w:lineRule="exact"/>
        <w:rPr>
          <w:rFonts w:ascii="Arial" w:cs="Arial" w:eastAsia="Arial" w:hAnsi="Arial"/>
          <w:sz w:val="16"/>
          <w:szCs w:val="16"/>
          <w:color w:val="auto"/>
        </w:rPr>
      </w:pPr>
    </w:p>
    <w:p>
      <w:pPr>
        <w:ind w:firstLine="921"/>
        <w:spacing w:after="0" w:line="289" w:lineRule="auto"/>
        <w:tabs>
          <w:tab w:leader="none" w:pos="1152" w:val="left"/>
        </w:tabs>
        <w:numPr>
          <w:ilvl w:val="0"/>
          <w:numId w:val="43"/>
        </w:numPr>
        <w:rPr>
          <w:rFonts w:ascii="Arial" w:cs="Arial" w:eastAsia="Arial" w:hAnsi="Arial"/>
          <w:sz w:val="16"/>
          <w:szCs w:val="16"/>
          <w:color w:val="auto"/>
        </w:rPr>
      </w:pPr>
      <w:r>
        <w:rPr>
          <w:rFonts w:ascii="Arial" w:cs="Arial" w:eastAsia="Arial" w:hAnsi="Arial"/>
          <w:sz w:val="16"/>
          <w:szCs w:val="16"/>
          <w:u w:val="single" w:color="auto"/>
          <w:color w:val="auto"/>
        </w:rPr>
        <w:t>Performance Objectives and Other Terms</w:t>
      </w:r>
      <w:r>
        <w:rPr>
          <w:rFonts w:ascii="Arial" w:cs="Arial" w:eastAsia="Arial" w:hAnsi="Arial"/>
          <w:sz w:val="16"/>
          <w:szCs w:val="16"/>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The duration of a Performance Period shall be no less than three (3) years. Vesting shall be no more favorable than pro rata and occur as to no more than 1/3rd of the number of the Shares on each one-year anniversary of the grant date.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18" w:lineRule="exact"/>
        <w:rPr>
          <w:rFonts w:ascii="Arial" w:cs="Arial" w:eastAsia="Arial" w:hAnsi="Arial"/>
          <w:sz w:val="16"/>
          <w:szCs w:val="16"/>
          <w:color w:val="auto"/>
        </w:rPr>
      </w:pPr>
    </w:p>
    <w:p>
      <w:pPr>
        <w:ind w:right="160" w:firstLine="921"/>
        <w:spacing w:after="0" w:line="298" w:lineRule="auto"/>
        <w:tabs>
          <w:tab w:leader="none" w:pos="1161" w:val="left"/>
        </w:tabs>
        <w:numPr>
          <w:ilvl w:val="0"/>
          <w:numId w:val="43"/>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12" w:lineRule="exact"/>
        <w:rPr>
          <w:rFonts w:ascii="Arial" w:cs="Arial" w:eastAsia="Arial" w:hAnsi="Arial"/>
          <w:sz w:val="16"/>
          <w:szCs w:val="16"/>
          <w:color w:val="auto"/>
        </w:rPr>
      </w:pPr>
    </w:p>
    <w:p>
      <w:pPr>
        <w:ind w:right="40" w:firstLine="921"/>
        <w:spacing w:after="0" w:line="256" w:lineRule="auto"/>
        <w:tabs>
          <w:tab w:leader="none" w:pos="1152"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43" w:lineRule="exact"/>
        <w:rPr>
          <w:rFonts w:ascii="Arial" w:cs="Arial" w:eastAsia="Arial" w:hAnsi="Arial"/>
          <w:sz w:val="18"/>
          <w:szCs w:val="18"/>
          <w:color w:val="auto"/>
        </w:rPr>
      </w:pPr>
    </w:p>
    <w:p>
      <w:pPr>
        <w:ind w:right="20" w:firstLine="921"/>
        <w:spacing w:after="0" w:line="268" w:lineRule="auto"/>
        <w:tabs>
          <w:tab w:leader="none" w:pos="1132"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26" w:lineRule="exact"/>
        <w:rPr>
          <w:sz w:val="20"/>
          <w:szCs w:val="20"/>
          <w:color w:val="auto"/>
        </w:rPr>
      </w:pPr>
    </w:p>
    <w:p>
      <w:pPr>
        <w:ind w:right="220" w:firstLine="464"/>
        <w:spacing w:after="0" w:line="339" w:lineRule="auto"/>
        <w:tabs>
          <w:tab w:leader="none" w:pos="720" w:val="left"/>
        </w:tabs>
        <w:numPr>
          <w:ilvl w:val="0"/>
          <w:numId w:val="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Nontransferability of Awards. </w:t>
      </w:r>
      <w:r>
        <w:rPr>
          <w:rFonts w:ascii="Arial" w:cs="Arial" w:eastAsia="Arial" w:hAnsi="Arial"/>
          <w:sz w:val="16"/>
          <w:szCs w:val="16"/>
          <w:color w:val="auto"/>
        </w:rPr>
        <w:t>An Award may not be sold, pledged, assigned, hypothecated, transferred, or disposed of in any manner other than by</w:t>
      </w:r>
      <w:r>
        <w:rPr>
          <w:rFonts w:ascii="Arial" w:cs="Arial" w:eastAsia="Arial" w:hAnsi="Arial"/>
          <w:sz w:val="16"/>
          <w:szCs w:val="16"/>
          <w:b w:val="1"/>
          <w:bCs w:val="1"/>
          <w:color w:val="auto"/>
        </w:rPr>
        <w:t xml:space="preserve"> </w:t>
      </w:r>
      <w:r>
        <w:rPr>
          <w:rFonts w:ascii="Arial" w:cs="Arial" w:eastAsia="Arial" w:hAnsi="Arial"/>
          <w:sz w:val="16"/>
          <w:szCs w:val="16"/>
          <w:color w:val="auto"/>
        </w:rPr>
        <w:t>will or by the laws of descent or distribution and may be exercised, during the lifetime of the Participant, only by the Participant.</w:t>
      </w:r>
    </w:p>
    <w:p>
      <w:pPr>
        <w:spacing w:after="0" w:line="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280" w:right="239" w:bottom="1440" w:gutter="0" w:footer="0" w:header="0"/>
        </w:sectPr>
      </w:pPr>
    </w:p>
    <w:bookmarkStart w:id="58" w:name="page59"/>
    <w:bookmarkEnd w:id="58"/>
    <w:p>
      <w:pPr>
        <w:ind w:left="680" w:hanging="256"/>
        <w:spacing w:after="0"/>
        <w:tabs>
          <w:tab w:leader="none" w:pos="68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Awards Generally.</w:t>
      </w:r>
    </w:p>
    <w:p>
      <w:pPr>
        <w:spacing w:after="0" w:line="96" w:lineRule="exact"/>
        <w:rPr>
          <w:rFonts w:ascii="Arial" w:cs="Arial" w:eastAsia="Arial" w:hAnsi="Arial"/>
          <w:sz w:val="18"/>
          <w:szCs w:val="18"/>
          <w:b w:val="1"/>
          <w:bCs w:val="1"/>
          <w:color w:val="auto"/>
        </w:rPr>
      </w:pPr>
    </w:p>
    <w:p>
      <w:pPr>
        <w:ind w:left="1120" w:hanging="239"/>
        <w:spacing w:after="0"/>
        <w:tabs>
          <w:tab w:leader="none" w:pos="1120"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171" w:lineRule="exact"/>
        <w:rPr>
          <w:rFonts w:ascii="Arial" w:cs="Arial" w:eastAsia="Arial" w:hAnsi="Arial"/>
          <w:sz w:val="18"/>
          <w:szCs w:val="18"/>
          <w:color w:val="auto"/>
        </w:rPr>
      </w:pPr>
    </w:p>
    <w:p>
      <w:pPr>
        <w:ind w:left="-40" w:right="20" w:firstLine="921"/>
        <w:spacing w:after="0" w:line="294" w:lineRule="auto"/>
        <w:tabs>
          <w:tab w:leader="none" w:pos="1121" w:val="left"/>
        </w:tabs>
        <w:numPr>
          <w:ilvl w:val="1"/>
          <w:numId w:val="45"/>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09" w:lineRule="exact"/>
        <w:rPr>
          <w:rFonts w:ascii="Arial" w:cs="Arial" w:eastAsia="Arial" w:hAnsi="Arial"/>
          <w:sz w:val="16"/>
          <w:szCs w:val="16"/>
          <w:color w:val="auto"/>
        </w:rPr>
      </w:pPr>
    </w:p>
    <w:p>
      <w:pPr>
        <w:ind w:left="-40" w:right="40" w:firstLine="464"/>
        <w:spacing w:after="0" w:line="262" w:lineRule="auto"/>
        <w:tabs>
          <w:tab w:leader="none" w:pos="68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 Director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 Service Provider or nomination to serve as a Director, nor shall it interfere in any way with any rights which the Director or the Company may have to terminate the Director’s relationship with the Company at any time.</w:t>
      </w:r>
    </w:p>
    <w:p>
      <w:pPr>
        <w:spacing w:after="0" w:line="132" w:lineRule="exact"/>
        <w:rPr>
          <w:rFonts w:ascii="Arial" w:cs="Arial" w:eastAsia="Arial" w:hAnsi="Arial"/>
          <w:sz w:val="18"/>
          <w:szCs w:val="18"/>
          <w:b w:val="1"/>
          <w:bCs w:val="1"/>
          <w:color w:val="auto"/>
        </w:rPr>
      </w:pPr>
    </w:p>
    <w:p>
      <w:pPr>
        <w:ind w:left="-40" w:firstLine="464"/>
        <w:spacing w:after="0" w:line="339" w:lineRule="auto"/>
        <w:tabs>
          <w:tab w:leader="none" w:pos="680" w:val="left"/>
        </w:tabs>
        <w:numPr>
          <w:ilvl w:val="0"/>
          <w:numId w:val="4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 Company</w:t>
      </w:r>
      <w:r>
        <w:rPr>
          <w:rFonts w:ascii="Arial" w:cs="Arial" w:eastAsia="Arial" w:hAnsi="Arial"/>
          <w:sz w:val="16"/>
          <w:szCs w:val="16"/>
          <w:b w:val="1"/>
          <w:bCs w:val="1"/>
          <w:color w:val="auto"/>
        </w:rPr>
        <w:t xml:space="preserve"> </w:t>
      </w:r>
      <w:r>
        <w:rPr>
          <w:rFonts w:ascii="Arial" w:cs="Arial" w:eastAsia="Arial" w:hAnsi="Arial"/>
          <w:sz w:val="16"/>
          <w:szCs w:val="16"/>
          <w:color w:val="auto"/>
        </w:rPr>
        <w:t>as described in Section 25 of the Plan. It will continue in effect for a term of ten (10) years unless sooner terminated under Section 20 hereof.</w:t>
      </w:r>
    </w:p>
    <w:p>
      <w:pPr>
        <w:spacing w:after="0" w:line="155" w:lineRule="exact"/>
        <w:rPr>
          <w:rFonts w:ascii="Arial" w:cs="Arial" w:eastAsia="Arial" w:hAnsi="Arial"/>
          <w:sz w:val="16"/>
          <w:szCs w:val="16"/>
          <w:b w:val="1"/>
          <w:bCs w:val="1"/>
          <w:color w:val="auto"/>
        </w:rPr>
      </w:pPr>
    </w:p>
    <w:p>
      <w:pPr>
        <w:ind w:left="680" w:hanging="256"/>
        <w:spacing w:after="0"/>
        <w:tabs>
          <w:tab w:leader="none" w:pos="68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96" w:lineRule="exact"/>
        <w:rPr>
          <w:rFonts w:ascii="Arial" w:cs="Arial" w:eastAsia="Arial" w:hAnsi="Arial"/>
          <w:sz w:val="18"/>
          <w:szCs w:val="18"/>
          <w:b w:val="1"/>
          <w:bCs w:val="1"/>
          <w:color w:val="auto"/>
        </w:rPr>
      </w:pPr>
    </w:p>
    <w:p>
      <w:pPr>
        <w:ind w:left="-40" w:right="20" w:firstLine="921"/>
        <w:spacing w:after="0" w:line="255" w:lineRule="auto"/>
        <w:tabs>
          <w:tab w:leader="none" w:pos="1112" w:val="left"/>
        </w:tabs>
        <w:numPr>
          <w:ilvl w:val="1"/>
          <w:numId w:val="45"/>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42" w:lineRule="exact"/>
        <w:rPr>
          <w:rFonts w:ascii="Arial" w:cs="Arial" w:eastAsia="Arial" w:hAnsi="Arial"/>
          <w:sz w:val="18"/>
          <w:szCs w:val="18"/>
          <w:color w:val="auto"/>
        </w:rPr>
      </w:pPr>
    </w:p>
    <w:p>
      <w:pPr>
        <w:ind w:left="-40" w:right="120" w:firstLine="921"/>
        <w:spacing w:after="0" w:line="314" w:lineRule="auto"/>
        <w:tabs>
          <w:tab w:leader="none" w:pos="1121" w:val="left"/>
        </w:tabs>
        <w:numPr>
          <w:ilvl w:val="1"/>
          <w:numId w:val="45"/>
        </w:numPr>
        <w:rPr>
          <w:rFonts w:ascii="Arial" w:cs="Arial" w:eastAsia="Arial" w:hAnsi="Arial"/>
          <w:sz w:val="15"/>
          <w:szCs w:val="15"/>
          <w:color w:val="auto"/>
        </w:rPr>
      </w:pPr>
      <w:r>
        <w:rPr>
          <w:rFonts w:ascii="Arial" w:cs="Arial" w:eastAsia="Arial" w:hAnsi="Arial"/>
          <w:sz w:val="15"/>
          <w:szCs w:val="15"/>
          <w:u w:val="single" w:color="auto"/>
          <w:color w:val="auto"/>
        </w:rPr>
        <w:t>Change in Control</w:t>
      </w:r>
      <w:r>
        <w:rPr>
          <w:rFonts w:ascii="Arial" w:cs="Arial" w:eastAsia="Arial" w:hAnsi="Arial"/>
          <w:sz w:val="15"/>
          <w:szCs w:val="15"/>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w:t>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60"/>
          </w:cols>
          <w:pgMar w:left="280" w:top="274" w:right="259" w:bottom="1440" w:gutter="0" w:footer="0" w:header="0"/>
        </w:sectPr>
      </w:pPr>
    </w:p>
    <w:bookmarkStart w:id="59" w:name="page60"/>
    <w:bookmarkEnd w:id="5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terms and conditions met. The Administrator will not be required to treat all Awards similarly in the transaction.</w:t>
      </w:r>
    </w:p>
    <w:p>
      <w:pPr>
        <w:spacing w:after="0" w:line="171" w:lineRule="exact"/>
        <w:rPr>
          <w:sz w:val="20"/>
          <w:szCs w:val="20"/>
          <w:color w:val="auto"/>
        </w:rPr>
      </w:pPr>
    </w:p>
    <w:p>
      <w:pPr>
        <w:ind w:right="40" w:firstLine="913"/>
        <w:spacing w:after="0" w:line="287" w:lineRule="auto"/>
        <w:rPr>
          <w:sz w:val="20"/>
          <w:szCs w:val="20"/>
          <w:color w:val="auto"/>
        </w:rPr>
      </w:pPr>
      <w:r>
        <w:rPr>
          <w:rFonts w:ascii="Arial" w:cs="Arial" w:eastAsia="Arial" w:hAnsi="Arial"/>
          <w:sz w:val="16"/>
          <w:szCs w:val="16"/>
          <w:color w:val="auto"/>
        </w:rPr>
        <w:t>For the purposes of this subsection (c), an Award will be considered assumed if, following the Change in Control, the Award confers the right to purchase or receive, for each Share subject to the Award immediately 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23" w:lineRule="exact"/>
        <w:rPr>
          <w:sz w:val="20"/>
          <w:szCs w:val="20"/>
          <w:color w:val="auto"/>
        </w:rPr>
      </w:pPr>
    </w:p>
    <w:p>
      <w:pPr>
        <w:ind w:right="60" w:firstLine="913"/>
        <w:spacing w:after="0" w:line="256"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37" w:lineRule="exact"/>
        <w:rPr>
          <w:sz w:val="20"/>
          <w:szCs w:val="20"/>
          <w:color w:val="auto"/>
        </w:rPr>
      </w:pPr>
    </w:p>
    <w:p>
      <w:pPr>
        <w:ind w:firstLine="464"/>
        <w:spacing w:after="0" w:line="339" w:lineRule="auto"/>
        <w:tabs>
          <w:tab w:leader="none" w:pos="720" w:val="left"/>
        </w:tabs>
        <w:numPr>
          <w:ilvl w:val="0"/>
          <w:numId w:val="4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Sections 5 hereof. Notice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determination shall be given to each Participant to whom an Award is so granted within a reasonable time after the date of such grant.</w:t>
      </w:r>
    </w:p>
    <w:p>
      <w:pPr>
        <w:spacing w:after="0" w:line="155" w:lineRule="exact"/>
        <w:rPr>
          <w:rFonts w:ascii="Arial" w:cs="Arial" w:eastAsia="Arial" w:hAnsi="Arial"/>
          <w:sz w:val="16"/>
          <w:szCs w:val="16"/>
          <w:b w:val="1"/>
          <w:bCs w:val="1"/>
          <w:color w:val="auto"/>
        </w:rPr>
      </w:pPr>
    </w:p>
    <w:p>
      <w:pPr>
        <w:ind w:left="720" w:hanging="256"/>
        <w:spacing w:after="0"/>
        <w:tabs>
          <w:tab w:leader="none" w:pos="720" w:val="left"/>
        </w:tabs>
        <w:numPr>
          <w:ilvl w:val="0"/>
          <w:numId w:val="46"/>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96" w:lineRule="exact"/>
        <w:rPr>
          <w:rFonts w:ascii="Arial" w:cs="Arial" w:eastAsia="Arial" w:hAnsi="Arial"/>
          <w:sz w:val="18"/>
          <w:szCs w:val="18"/>
          <w:b w:val="1"/>
          <w:bCs w:val="1"/>
          <w:color w:val="auto"/>
        </w:rPr>
      </w:pPr>
    </w:p>
    <w:p>
      <w:pPr>
        <w:ind w:left="1160" w:hanging="239"/>
        <w:spacing w:after="0"/>
        <w:tabs>
          <w:tab w:leader="none" w:pos="1160" w:val="left"/>
        </w:tabs>
        <w:numPr>
          <w:ilvl w:val="1"/>
          <w:numId w:val="46"/>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71" w:lineRule="exact"/>
        <w:rPr>
          <w:rFonts w:ascii="Arial" w:cs="Arial" w:eastAsia="Arial" w:hAnsi="Arial"/>
          <w:sz w:val="18"/>
          <w:szCs w:val="18"/>
          <w:color w:val="auto"/>
        </w:rPr>
      </w:pPr>
    </w:p>
    <w:p>
      <w:pPr>
        <w:ind w:right="200" w:firstLine="921"/>
        <w:spacing w:after="0" w:line="268" w:lineRule="auto"/>
        <w:tabs>
          <w:tab w:leader="none" w:pos="1161" w:val="left"/>
        </w:tabs>
        <w:numPr>
          <w:ilvl w:val="1"/>
          <w:numId w:val="46"/>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31" w:lineRule="exact"/>
        <w:rPr>
          <w:rFonts w:ascii="Arial" w:cs="Arial" w:eastAsia="Arial" w:hAnsi="Arial"/>
          <w:sz w:val="18"/>
          <w:szCs w:val="18"/>
          <w:color w:val="auto"/>
        </w:rPr>
      </w:pPr>
    </w:p>
    <w:p>
      <w:pPr>
        <w:ind w:right="140" w:firstLine="921"/>
        <w:spacing w:after="0" w:line="256" w:lineRule="auto"/>
        <w:tabs>
          <w:tab w:leader="none" w:pos="1152" w:val="left"/>
        </w:tabs>
        <w:numPr>
          <w:ilvl w:val="1"/>
          <w:numId w:val="46"/>
        </w:numPr>
        <w:rPr>
          <w:rFonts w:ascii="Arial" w:cs="Arial" w:eastAsia="Arial" w:hAnsi="Arial"/>
          <w:sz w:val="18"/>
          <w:szCs w:val="18"/>
          <w:color w:val="auto"/>
        </w:rPr>
      </w:pPr>
      <w:r>
        <w:rPr>
          <w:rFonts w:ascii="Arial" w:cs="Arial" w:eastAsia="Arial" w:hAnsi="Arial"/>
          <w:sz w:val="18"/>
          <w:szCs w:val="18"/>
          <w:u w:val="single" w:color="auto"/>
          <w:color w:val="auto"/>
        </w:rPr>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280" w:right="259" w:bottom="1440" w:gutter="0" w:footer="0" w:header="0"/>
        </w:sectPr>
      </w:pPr>
    </w:p>
    <w:bookmarkStart w:id="60" w:name="page61"/>
    <w:bookmarkEnd w:id="60"/>
    <w:p>
      <w:pPr>
        <w:ind w:left="680" w:hanging="256"/>
        <w:spacing w:after="0"/>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Conditions on Issuance of Shares.</w:t>
      </w:r>
    </w:p>
    <w:p>
      <w:pPr>
        <w:spacing w:after="0" w:line="96" w:lineRule="exact"/>
        <w:rPr>
          <w:rFonts w:ascii="Arial" w:cs="Arial" w:eastAsia="Arial" w:hAnsi="Arial"/>
          <w:sz w:val="18"/>
          <w:szCs w:val="18"/>
          <w:b w:val="1"/>
          <w:bCs w:val="1"/>
          <w:color w:val="auto"/>
        </w:rPr>
      </w:pPr>
    </w:p>
    <w:p>
      <w:pPr>
        <w:ind w:left="-40" w:right="560" w:firstLine="921"/>
        <w:spacing w:after="0" w:line="259" w:lineRule="auto"/>
        <w:tabs>
          <w:tab w:leader="none" w:pos="1112"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40" w:lineRule="exact"/>
        <w:rPr>
          <w:rFonts w:ascii="Arial" w:cs="Arial" w:eastAsia="Arial" w:hAnsi="Arial"/>
          <w:sz w:val="18"/>
          <w:szCs w:val="18"/>
          <w:color w:val="auto"/>
        </w:rPr>
      </w:pPr>
    </w:p>
    <w:p>
      <w:pPr>
        <w:ind w:left="-40" w:firstLine="921"/>
        <w:spacing w:after="0" w:line="259" w:lineRule="auto"/>
        <w:tabs>
          <w:tab w:leader="none" w:pos="1121"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34" w:lineRule="exact"/>
        <w:rPr>
          <w:rFonts w:ascii="Arial" w:cs="Arial" w:eastAsia="Arial" w:hAnsi="Arial"/>
          <w:sz w:val="18"/>
          <w:szCs w:val="18"/>
          <w:color w:val="auto"/>
        </w:rPr>
      </w:pPr>
    </w:p>
    <w:p>
      <w:pPr>
        <w:ind w:left="-40" w:right="20" w:firstLine="464"/>
        <w:spacing w:after="0" w:line="258" w:lineRule="auto"/>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 failure to issue or sell such Shares as to which such requisite authority will not have been obtained. The Company has no obligation to register any Shares issued pursuant to this Plan under the securities laws of any jurisdiction.</w:t>
      </w:r>
    </w:p>
    <w:p>
      <w:pPr>
        <w:spacing w:after="0" w:line="136" w:lineRule="exact"/>
        <w:rPr>
          <w:rFonts w:ascii="Arial" w:cs="Arial" w:eastAsia="Arial" w:hAnsi="Arial"/>
          <w:sz w:val="18"/>
          <w:szCs w:val="18"/>
          <w:b w:val="1"/>
          <w:bCs w:val="1"/>
          <w:color w:val="auto"/>
        </w:rPr>
      </w:pPr>
    </w:p>
    <w:p>
      <w:pPr>
        <w:ind w:left="-40" w:right="480" w:firstLine="464"/>
        <w:spacing w:after="0" w:line="275" w:lineRule="auto"/>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19" w:lineRule="exact"/>
        <w:rPr>
          <w:rFonts w:ascii="Arial" w:cs="Arial" w:eastAsia="Arial" w:hAnsi="Arial"/>
          <w:sz w:val="18"/>
          <w:szCs w:val="18"/>
          <w:b w:val="1"/>
          <w:bCs w:val="1"/>
          <w:color w:val="auto"/>
        </w:rPr>
      </w:pPr>
    </w:p>
    <w:p>
      <w:pPr>
        <w:ind w:left="680" w:hanging="256"/>
        <w:spacing w:after="0"/>
        <w:tabs>
          <w:tab w:leader="none" w:pos="68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71" w:lineRule="exact"/>
        <w:rPr>
          <w:rFonts w:ascii="Arial" w:cs="Arial" w:eastAsia="Arial" w:hAnsi="Arial"/>
          <w:sz w:val="18"/>
          <w:szCs w:val="18"/>
          <w:b w:val="1"/>
          <w:bCs w:val="1"/>
          <w:color w:val="auto"/>
        </w:rPr>
      </w:pPr>
    </w:p>
    <w:p>
      <w:pPr>
        <w:ind w:left="-40" w:right="140" w:firstLine="464"/>
        <w:spacing w:after="0" w:line="339" w:lineRule="auto"/>
        <w:tabs>
          <w:tab w:leader="none" w:pos="680" w:val="left"/>
        </w:tabs>
        <w:numPr>
          <w:ilvl w:val="0"/>
          <w:numId w:val="4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 Plan is</w:t>
      </w:r>
      <w:r>
        <w:rPr>
          <w:rFonts w:ascii="Arial" w:cs="Arial" w:eastAsia="Arial" w:hAnsi="Arial"/>
          <w:sz w:val="16"/>
          <w:szCs w:val="16"/>
          <w:b w:val="1"/>
          <w:bCs w:val="1"/>
          <w:color w:val="auto"/>
        </w:rPr>
        <w:t xml:space="preserve"> </w:t>
      </w:r>
      <w:r>
        <w:rPr>
          <w:rFonts w:ascii="Arial" w:cs="Arial" w:eastAsia="Arial" w:hAnsi="Arial"/>
          <w:sz w:val="16"/>
          <w:szCs w:val="16"/>
          <w:color w:val="auto"/>
        </w:rPr>
        <w:t>adopted by the Board. Such shareholder approval will be obtained in the manner and to the degree required under Applicable Laws.</w:t>
      </w:r>
    </w:p>
    <w:p>
      <w:pPr>
        <w:spacing w:after="0" w:line="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40"/>
          </w:cols>
          <w:pgMar w:left="280" w:top="274" w:right="27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PRESIDENT AND CHIEF EXECUTIVE OFFICER PURSUANT TO SECURITIES EXCHANGE ACT RULES 13a-14(a)</w:t>
      </w:r>
    </w:p>
    <w:p>
      <w:pPr>
        <w:spacing w:after="0" w:line="44" w:lineRule="exact"/>
        <w:rPr>
          <w:sz w:val="20"/>
          <w:szCs w:val="20"/>
          <w:color w:val="auto"/>
        </w:rPr>
      </w:pPr>
    </w:p>
    <w:p>
      <w:pPr>
        <w:ind w:left="1580"/>
        <w:spacing w:after="0"/>
        <w:rPr>
          <w:sz w:val="20"/>
          <w:szCs w:val="20"/>
          <w:color w:val="auto"/>
        </w:rPr>
      </w:pPr>
      <w:r>
        <w:rPr>
          <w:rFonts w:ascii="Arial" w:cs="Arial" w:eastAsia="Arial" w:hAnsi="Arial"/>
          <w:sz w:val="18"/>
          <w:szCs w:val="18"/>
          <w:b w:val="1"/>
          <w:bCs w:val="1"/>
          <w:color w:val="auto"/>
        </w:rPr>
        <w:t>AND 15d-14(a), AS 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8"/>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8"/>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800" w:val="left"/>
          <w:tab w:leader="none" w:pos="65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November 23, 2010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w:t>
      </w:r>
      <w:r>
        <w:rPr>
          <w:rFonts w:ascii="Arial" w:cs="Arial" w:eastAsia="Arial" w:hAnsi="Arial"/>
          <w:sz w:val="13"/>
          <w:szCs w:val="13"/>
          <w:color w:val="auto"/>
        </w:rPr>
        <w:t>S</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10795</wp:posOffset>
            </wp:positionV>
            <wp:extent cx="311277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pacing w:after="0" w:line="22"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Sehat Sutardja, Ph.D.</w:t>
      </w:r>
    </w:p>
    <w:p>
      <w:pPr>
        <w:spacing w:after="0" w:line="9"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President and Chief Executive Officer</w:t>
      </w:r>
    </w:p>
    <w:p>
      <w:pPr>
        <w:sectPr>
          <w:pgSz w:w="11900" w:h="16838" w:orient="portrait"/>
          <w:cols w:equalWidth="0" w:num="1">
            <w:col w:w="11420"/>
          </w:cols>
          <w:pgMar w:left="240" w:top="125" w:right="239" w:bottom="1440" w:gutter="0" w:footer="0" w:header="0"/>
        </w:sectPr>
      </w:pPr>
    </w:p>
    <w:bookmarkStart w:id="62" w:name="page63"/>
    <w:bookmarkEnd w:id="62"/>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CHIEF FINANCIAL OFFICER PURSUANT TO SECURITIES EXCHANGE ACT RULES 13a-14(a) AND 15d-14(a), AS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49"/>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4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49"/>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800" w:val="left"/>
          <w:tab w:leader="none" w:pos="6500" w:val="left"/>
        </w:tabs>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November 23, 2010</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w:t>
      </w:r>
      <w:r>
        <w:rPr>
          <w:rFonts w:ascii="Arial" w:cs="Arial" w:eastAsia="Arial" w:hAnsi="Arial"/>
          <w:sz w:val="13"/>
          <w:szCs w:val="13"/>
          <w:color w:val="auto"/>
        </w:rPr>
        <w:t>S</w:t>
      </w:r>
      <w:r>
        <w:rPr>
          <w:rFonts w:ascii="Arial" w:cs="Arial" w:eastAsia="Arial" w:hAnsi="Arial"/>
          <w:sz w:val="16"/>
          <w:szCs w:val="16"/>
          <w:color w:val="auto"/>
        </w:rPr>
        <w:t>/ 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10795</wp:posOffset>
            </wp:positionV>
            <wp:extent cx="311277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pacing w:after="0" w:line="22"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Chief Financial Officer and Secretary</w:t>
      </w:r>
    </w:p>
    <w:p>
      <w:pPr>
        <w:sectPr>
          <w:pgSz w:w="11900" w:h="16838" w:orient="portrait"/>
          <w:cols w:equalWidth="0" w:num="1">
            <w:col w:w="11420"/>
          </w:cols>
          <w:pgMar w:left="240" w:top="125" w:right="239" w:bottom="1440" w:gutter="0" w:footer="0" w:header="0"/>
        </w:sectPr>
      </w:pPr>
    </w:p>
    <w:bookmarkStart w:id="63" w:name="page64"/>
    <w:bookmarkEnd w:id="63"/>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STATEMENT OF THE PRESIDENT AND CHIEF EXECUTIVE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500"/>
        <w:spacing w:after="0" w:line="332" w:lineRule="auto"/>
        <w:rPr>
          <w:sz w:val="20"/>
          <w:szCs w:val="20"/>
          <w:color w:val="auto"/>
        </w:rPr>
      </w:pPr>
      <w:r>
        <w:rPr>
          <w:rFonts w:ascii="Arial" w:cs="Arial" w:eastAsia="Arial" w:hAnsi="Arial"/>
          <w:sz w:val="16"/>
          <w:szCs w:val="16"/>
          <w:color w:val="auto"/>
        </w:rPr>
        <w:t>I, Sehat Sutardja Ph.D., the president and chief executive officer of Marvell Technology Group Ltd. (the “Company”), certify for the purposes of 18 U.S.C. Section 1350, as adopted pursuant to Section 906 of the Sarbanes-Oxley Act of 2002, that, to the best of my knowledge,</w:t>
      </w:r>
    </w:p>
    <w:p>
      <w:pPr>
        <w:spacing w:after="0" w:line="4" w:lineRule="exact"/>
        <w:rPr>
          <w:sz w:val="20"/>
          <w:szCs w:val="20"/>
          <w:color w:val="auto"/>
        </w:rPr>
      </w:pPr>
    </w:p>
    <w:p>
      <w:pPr>
        <w:ind w:left="900" w:right="880" w:hanging="446"/>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30,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November 23</w:t>
      </w:r>
      <w:r>
        <w:rPr>
          <w:rFonts w:ascii="Arial" w:cs="Arial" w:eastAsia="Arial" w:hAnsi="Arial"/>
          <w:sz w:val="18"/>
          <w:szCs w:val="18"/>
          <w:color w:val="auto"/>
        </w:rPr>
        <w:t>, 2010</w:t>
      </w:r>
    </w:p>
    <w:p>
      <w:pPr>
        <w:sectPr>
          <w:pgSz w:w="11900" w:h="16838" w:orient="portrait"/>
          <w:cols w:equalWidth="0" w:num="1">
            <w:col w:w="11420"/>
          </w:cols>
          <w:pgMar w:left="240" w:top="125" w:right="239" w:bottom="1440" w:gutter="0" w:footer="0" w:header="0"/>
        </w:sectPr>
      </w:pPr>
    </w:p>
    <w:bookmarkStart w:id="64" w:name="page65"/>
    <w:bookmarkEnd w:id="64"/>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STATEMENT OF THE CHIEF FINANCIAL OFFICER PURSUANT TO 18 U.S.C. § 1350, AS ADOPTED PURSUANT TO SECTION 906 OF THE</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SARBANES-OXLEY ACT OF 2002</w:t>
      </w:r>
    </w:p>
    <w:p>
      <w:pPr>
        <w:spacing w:after="0" w:line="16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I, Clyde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880" w:hanging="446"/>
        <w:spacing w:after="0" w:line="268"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October 30, 2010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 and Secretary</w:t>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 xml:space="preserve">Date: </w:t>
      </w:r>
      <w:r>
        <w:rPr>
          <w:rFonts w:ascii="Arial" w:cs="Arial" w:eastAsia="Arial" w:hAnsi="Arial"/>
          <w:sz w:val="18"/>
          <w:szCs w:val="18"/>
          <w:u w:val="single" w:color="auto"/>
          <w:color w:val="auto"/>
        </w:rPr>
        <w:t>November 23</w:t>
      </w:r>
      <w:r>
        <w:rPr>
          <w:rFonts w:ascii="Arial" w:cs="Arial" w:eastAsia="Arial" w:hAnsi="Arial"/>
          <w:sz w:val="18"/>
          <w:szCs w:val="18"/>
          <w:color w:val="auto"/>
        </w:rPr>
        <w:t>, 2010</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B03E0C6"/>
    <w:multiLevelType w:val="hybridMultilevel"/>
    <w:lvl w:ilvl="0">
      <w:lvlJc w:val="left"/>
      <w:lvlText w:val="☒"/>
      <w:numFmt w:val="bullet"/>
      <w:start w:val="1"/>
    </w:lvl>
  </w:abstractNum>
  <w:abstractNum w:abstractNumId="1">
    <w:nsid w:val="189A769B"/>
    <w:multiLevelType w:val="hybridMultilevel"/>
    <w:lvl w:ilvl="0">
      <w:lvlJc w:val="left"/>
      <w:lvlText w:val="☐"/>
      <w:numFmt w:val="bullet"/>
      <w:start w:val="1"/>
    </w:lvl>
  </w:abstractNum>
  <w:abstractNum w:abstractNumId="2">
    <w:nsid w:val="54E49EB4"/>
    <w:multiLevelType w:val="hybridMultilevel"/>
    <w:lvl w:ilvl="0">
      <w:lvlJc w:val="left"/>
      <w:lvlText w:val="*"/>
      <w:numFmt w:val="bullet"/>
      <w:start w:val="1"/>
    </w:lvl>
  </w:abstractNum>
  <w:abstractNum w:abstractNumId="3">
    <w:nsid w:val="71F32454"/>
    <w:multiLevelType w:val="hybridMultilevel"/>
    <w:lvl w:ilvl="0">
      <w:lvlJc w:val="left"/>
      <w:lvlText w:val="(%1)"/>
      <w:numFmt w:val="lowerRoman"/>
      <w:start w:val="2"/>
    </w:lvl>
  </w:abstractNum>
  <w:abstractNum w:abstractNumId="4">
    <w:nsid w:val="2CA88611"/>
    <w:multiLevelType w:val="hybridMultilevel"/>
    <w:lvl w:ilvl="0">
      <w:lvlJc w:val="left"/>
      <w:lvlText w:val="•"/>
      <w:numFmt w:val="bullet"/>
      <w:start w:val="1"/>
    </w:lvl>
  </w:abstractNum>
  <w:abstractNum w:abstractNumId="5">
    <w:nsid w:val="836C40E"/>
    <w:multiLevelType w:val="hybridMultilevel"/>
    <w:lvl w:ilvl="0">
      <w:lvlJc w:val="left"/>
      <w:lvlText w:val="•"/>
      <w:numFmt w:val="bullet"/>
      <w:start w:val="1"/>
    </w:lvl>
  </w:abstractNum>
  <w:abstractNum w:abstractNumId="6">
    <w:nsid w:val="2901D82"/>
    <w:multiLevelType w:val="hybridMultilevel"/>
    <w:lvl w:ilvl="0">
      <w:lvlJc w:val="left"/>
      <w:lvlText w:val="•"/>
      <w:numFmt w:val="bullet"/>
      <w:start w:val="1"/>
    </w:lvl>
  </w:abstractNum>
  <w:abstractNum w:abstractNumId="7">
    <w:nsid w:val="3A95F874"/>
    <w:multiLevelType w:val="hybridMultilevel"/>
    <w:lvl w:ilvl="0">
      <w:lvlJc w:val="left"/>
      <w:lvlText w:val="•"/>
      <w:numFmt w:val="bullet"/>
      <w:start w:val="1"/>
    </w:lvl>
  </w:abstractNum>
  <w:abstractNum w:abstractNumId="8">
    <w:nsid w:val="8138641"/>
    <w:multiLevelType w:val="hybridMultilevel"/>
    <w:lvl w:ilvl="0">
      <w:lvlJc w:val="left"/>
      <w:lvlText w:val="•"/>
      <w:numFmt w:val="bullet"/>
      <w:start w:val="1"/>
    </w:lvl>
  </w:abstractNum>
  <w:abstractNum w:abstractNumId="9">
    <w:nsid w:val="1E7FF521"/>
    <w:multiLevelType w:val="hybridMultilevel"/>
    <w:lvl w:ilvl="0">
      <w:lvlJc w:val="left"/>
      <w:lvlText w:val="•"/>
      <w:numFmt w:val="bullet"/>
      <w:start w:val="1"/>
    </w:lvl>
  </w:abstractNum>
  <w:abstractNum w:abstractNumId="10">
    <w:nsid w:val="7C3DBD3D"/>
    <w:multiLevelType w:val="hybridMultilevel"/>
    <w:lvl w:ilvl="0">
      <w:lvlJc w:val="left"/>
      <w:lvlText w:val="•"/>
      <w:numFmt w:val="bullet"/>
      <w:start w:val="1"/>
    </w:lvl>
  </w:abstractNum>
  <w:abstractNum w:abstractNumId="11">
    <w:nsid w:val="737B8DDC"/>
    <w:multiLevelType w:val="hybridMultilevel"/>
    <w:lvl w:ilvl="0">
      <w:lvlJc w:val="left"/>
      <w:lvlText w:val="(%1)"/>
      <w:numFmt w:val="decimal"/>
      <w:start w:val="1"/>
    </w:lvl>
  </w:abstractNum>
  <w:abstractNum w:abstractNumId="12">
    <w:nsid w:val="6CEAF087"/>
    <w:multiLevelType w:val="hybridMultilevel"/>
    <w:lvl w:ilvl="0">
      <w:lvlJc w:val="left"/>
      <w:lvlText w:val="(%1)"/>
      <w:numFmt w:val="lowerLetter"/>
      <w:start w:val="1"/>
    </w:lvl>
  </w:abstractNum>
  <w:abstractNum w:abstractNumId="13">
    <w:nsid w:val="22221A70"/>
    <w:multiLevelType w:val="hybridMultilevel"/>
    <w:lvl w:ilvl="0">
      <w:lvlJc w:val="left"/>
      <w:lvlText w:val="#"/>
      <w:numFmt w:val="bullet"/>
      <w:start w:val="1"/>
    </w:lvl>
  </w:abstractNum>
  <w:abstractNum w:abstractNumId="14">
    <w:nsid w:val="4516DDE9"/>
    <w:multiLevelType w:val="hybridMultilevel"/>
    <w:lvl w:ilvl="0">
      <w:lvlJc w:val="left"/>
      <w:lvlText w:val="*"/>
      <w:numFmt w:val="bullet"/>
      <w:start w:val="1"/>
    </w:lvl>
  </w:abstractNum>
  <w:abstractNum w:abstractNumId="15">
    <w:nsid w:val="3006C83E"/>
    <w:multiLevelType w:val="hybridMultilevel"/>
    <w:lvl w:ilvl="0">
      <w:lvlJc w:val="left"/>
      <w:lvlText w:val="**"/>
      <w:numFmt w:val="bullet"/>
      <w:start w:val="1"/>
    </w:lvl>
  </w:abstractNum>
  <w:abstractNum w:abstractNumId="16">
    <w:nsid w:val="614FD4A1"/>
    <w:multiLevelType w:val="hybridMultilevel"/>
    <w:lvl w:ilvl="0">
      <w:lvlJc w:val="left"/>
      <w:lvlText w:val="#"/>
      <w:numFmt w:val="bullet"/>
      <w:start w:val="1"/>
    </w:lvl>
  </w:abstractNum>
  <w:abstractNum w:abstractNumId="17">
    <w:nsid w:val="419AC241"/>
    <w:multiLevelType w:val="hybridMultilevel"/>
    <w:lvl w:ilvl="0">
      <w:lvlJc w:val="left"/>
      <w:lvlText w:val="*"/>
      <w:numFmt w:val="bullet"/>
      <w:start w:val="1"/>
    </w:lvl>
  </w:abstractNum>
  <w:abstractNum w:abstractNumId="18">
    <w:nsid w:val="5577F8E1"/>
    <w:multiLevelType w:val="hybridMultilevel"/>
    <w:lvl w:ilvl="0">
      <w:lvlJc w:val="left"/>
      <w:lvlText w:val="**"/>
      <w:numFmt w:val="bullet"/>
      <w:start w:val="1"/>
    </w:lvl>
  </w:abstractNum>
  <w:abstractNum w:abstractNumId="19">
    <w:nsid w:val="440BADFC"/>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0">
    <w:nsid w:val="5072367"/>
    <w:multiLevelType w:val="hybridMultilevel"/>
    <w:lvl w:ilvl="0">
      <w:lvlJc w:val="left"/>
      <w:lvlText w:val="%1"/>
      <w:numFmt w:val="lowerLetter"/>
      <w:start w:val="1"/>
    </w:lvl>
    <w:lvl w:ilvl="1">
      <w:lvlJc w:val="left"/>
      <w:lvlText w:val="(%2)"/>
      <w:numFmt w:val="lowerRoman"/>
      <w:start w:val="4"/>
    </w:lvl>
  </w:abstractNum>
  <w:abstractNum w:abstractNumId="21">
    <w:nsid w:val="3804823E"/>
    <w:multiLevelType w:val="hybridMultilevel"/>
    <w:lvl w:ilvl="0">
      <w:lvlJc w:val="left"/>
      <w:lvlText w:val="(%1)"/>
      <w:numFmt w:val="lowerLetter"/>
      <w:start w:val="8"/>
    </w:lvl>
    <w:lvl w:ilvl="1">
      <w:lvlJc w:val="left"/>
      <w:lvlText w:val="%2"/>
      <w:numFmt w:val="lowerRoman"/>
      <w:start w:val="1"/>
    </w:lvl>
  </w:abstractNum>
  <w:abstractNum w:abstractNumId="22">
    <w:nsid w:val="77465F01"/>
    <w:multiLevelType w:val="hybridMultilevel"/>
    <w:lvl w:ilvl="0">
      <w:lvlJc w:val="left"/>
      <w:lvlText w:val="%1"/>
      <w:numFmt w:val="lowerLetter"/>
      <w:start w:val="1"/>
    </w:lvl>
    <w:lvl w:ilvl="1">
      <w:lvlJc w:val="left"/>
      <w:lvlText w:val="(%2)"/>
      <w:numFmt w:val="lowerRoman"/>
      <w:start w:val="1"/>
    </w:lvl>
  </w:abstractNum>
  <w:abstractNum w:abstractNumId="23">
    <w:nsid w:val="7724C67E"/>
    <w:multiLevelType w:val="hybridMultilevel"/>
    <w:lvl w:ilvl="0">
      <w:lvlJc w:val="left"/>
      <w:lvlText w:val="(%1)"/>
      <w:numFmt w:val="lowerLetter"/>
      <w:start w:val="19"/>
    </w:lvl>
    <w:lvl w:ilvl="1">
      <w:lvlJc w:val="left"/>
      <w:lvlText w:val="%2"/>
      <w:numFmt w:val="lowerRoman"/>
      <w:start w:val="1"/>
    </w:lvl>
  </w:abstractNum>
  <w:abstractNum w:abstractNumId="24">
    <w:nsid w:val="5C482A97"/>
    <w:multiLevelType w:val="hybridMultilevel"/>
    <w:lvl w:ilvl="0">
      <w:lvlJc w:val="left"/>
      <w:lvlText w:val="(%1)"/>
      <w:numFmt w:val="lowerLetter"/>
      <w:start w:val="27"/>
    </w:lvl>
  </w:abstractNum>
  <w:abstractNum w:abstractNumId="25">
    <w:nsid w:val="2463B9EA"/>
    <w:multiLevelType w:val="hybridMultilevel"/>
    <w:lvl w:ilvl="0">
      <w:lvlJc w:val="left"/>
      <w:lvlText w:val="%1"/>
      <w:numFmt w:val="decimal"/>
      <w:start w:val="1"/>
    </w:lvl>
    <w:lvl w:ilvl="1">
      <w:lvlJc w:val="left"/>
      <w:lvlText w:val="(%2)"/>
      <w:numFmt w:val="lowerLetter"/>
      <w:start w:val="28"/>
    </w:lvl>
  </w:abstractNum>
  <w:abstractNum w:abstractNumId="26">
    <w:nsid w:val="5E884ADC"/>
    <w:multiLevelType w:val="hybridMultilevel"/>
    <w:lvl w:ilvl="0">
      <w:lvlJc w:val="left"/>
      <w:lvlText w:val="%1."/>
      <w:numFmt w:val="decimal"/>
      <w:start w:val="3"/>
    </w:lvl>
    <w:lvl w:ilvl="1">
      <w:lvlJc w:val="left"/>
      <w:lvlText w:val="(%2)"/>
      <w:numFmt w:val="lowerLetter"/>
      <w:start w:val="1"/>
    </w:lvl>
  </w:abstractNum>
  <w:abstractNum w:abstractNumId="27">
    <w:nsid w:val="51EAD36B"/>
    <w:multiLevelType w:val="hybridMultilevel"/>
    <w:lvl w:ilvl="0">
      <w:lvlJc w:val="left"/>
      <w:lvlText w:val="%1"/>
      <w:numFmt w:val="lowerLetter"/>
      <w:start w:val="1"/>
    </w:lvl>
    <w:lvl w:ilvl="1">
      <w:lvlJc w:val="left"/>
      <w:lvlText w:val="%2."/>
      <w:numFmt w:val="decimal"/>
      <w:start w:val="4"/>
    </w:lvl>
    <w:lvl w:ilvl="2">
      <w:lvlJc w:val="left"/>
      <w:lvlText w:val="%3"/>
      <w:numFmt w:val="lowerLetter"/>
      <w:start w:val="1"/>
    </w:lvl>
    <w:lvl w:ilvl="3">
      <w:lvlJc w:val="left"/>
      <w:lvlText w:val="%4"/>
      <w:numFmt w:val="lowerRoman"/>
      <w:start w:val="1"/>
    </w:lvl>
  </w:abstractNum>
  <w:abstractNum w:abstractNumId="28">
    <w:nsid w:val="2D517796"/>
    <w:multiLevelType w:val="hybridMultilevel"/>
    <w:lvl w:ilvl="0">
      <w:lvlJc w:val="left"/>
      <w:lvlText w:val="(%1)"/>
      <w:numFmt w:val="lowerLetter"/>
      <w:start w:val="61"/>
    </w:lvl>
    <w:lvl w:ilvl="1">
      <w:lvlJc w:val="left"/>
      <w:lvlText w:val="%2."/>
      <w:numFmt w:val="decimal"/>
      <w:start w:val="5"/>
    </w:lvl>
    <w:lvl w:ilvl="2">
      <w:lvlJc w:val="left"/>
      <w:lvlText w:val="(%3)"/>
      <w:numFmt w:val="lowerLetter"/>
      <w:start w:val="1"/>
    </w:lvl>
    <w:lvl w:ilvl="3">
      <w:lvlJc w:val="left"/>
      <w:lvlText w:val="(%4)"/>
      <w:numFmt w:val="lowerRoman"/>
      <w:start w:val="1"/>
    </w:lvl>
  </w:abstractNum>
  <w:abstractNum w:abstractNumId="29">
    <w:nsid w:val="580BD78F"/>
    <w:multiLevelType w:val="hybridMultilevel"/>
    <w:lvl w:ilvl="0">
      <w:lvlJc w:val="left"/>
      <w:lvlText w:val="(%1)"/>
      <w:numFmt w:val="lowerLetter"/>
      <w:start w:val="5"/>
    </w:lvl>
    <w:lvl w:ilvl="1">
      <w:lvlJc w:val="left"/>
      <w:lvlText w:val="(%2)"/>
      <w:numFmt w:val="lowerRoman"/>
      <w:start w:val="1"/>
    </w:lvl>
  </w:abstractNum>
  <w:abstractNum w:abstractNumId="30">
    <w:nsid w:val="153EA438"/>
    <w:multiLevelType w:val="hybridMultilevel"/>
    <w:lvl w:ilvl="0">
      <w:lvlJc w:val="left"/>
      <w:lvlText w:val="%1."/>
      <w:numFmt w:val="decimal"/>
      <w:start w:val="6"/>
    </w:lvl>
  </w:abstractNum>
  <w:abstractNum w:abstractNumId="31">
    <w:nsid w:val="3855585C"/>
    <w:multiLevelType w:val="hybridMultilevel"/>
    <w:lvl w:ilvl="0">
      <w:lvlJc w:val="left"/>
      <w:lvlText w:val="%1."/>
      <w:numFmt w:val="decimal"/>
      <w:start w:val="8"/>
    </w:lvl>
    <w:lvl w:ilvl="1">
      <w:lvlJc w:val="left"/>
      <w:lvlText w:val="(%2)"/>
      <w:numFmt w:val="lowerLetter"/>
      <w:start w:val="1"/>
    </w:lvl>
  </w:abstractNum>
  <w:abstractNum w:abstractNumId="32">
    <w:nsid w:val="70A64E2A"/>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33">
    <w:nsid w:val="6A2342EC"/>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4">
    <w:nsid w:val="2A487CB0"/>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4"/>
    </w:lvl>
  </w:abstractNum>
  <w:abstractNum w:abstractNumId="35">
    <w:nsid w:val="1D4ED43B"/>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36">
    <w:nsid w:val="725A06FB"/>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37">
    <w:nsid w:val="2CD89A32"/>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38">
    <w:nsid w:val="57E4CCAF"/>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39">
    <w:nsid w:val="7A6D8D3C"/>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40">
    <w:nsid w:val="4B588F54"/>
    <w:multiLevelType w:val="hybridMultilevel"/>
    <w:lvl w:ilvl="0">
      <w:lvlJc w:val="left"/>
      <w:lvlText w:val="%1."/>
      <w:numFmt w:val="decimal"/>
      <w:start w:val="12"/>
    </w:lvl>
    <w:lvl w:ilvl="1">
      <w:lvlJc w:val="left"/>
      <w:lvlText w:val="(%2)"/>
      <w:numFmt w:val="lowerLetter"/>
      <w:start w:val="1"/>
    </w:lvl>
    <w:lvl w:ilvl="2">
      <w:lvlJc w:val="left"/>
      <w:lvlText w:val="(%3)"/>
      <w:numFmt w:val="lowerRoman"/>
      <w:start w:val="1"/>
    </w:lvl>
  </w:abstractNum>
  <w:abstractNum w:abstractNumId="41">
    <w:nsid w:val="542289EC"/>
    <w:multiLevelType w:val="hybridMultilevel"/>
    <w:lvl w:ilvl="0">
      <w:lvlJc w:val="left"/>
      <w:lvlText w:val="%1."/>
      <w:numFmt w:val="decimal"/>
      <w:start w:val="13"/>
    </w:lvl>
    <w:lvl w:ilvl="1">
      <w:lvlJc w:val="left"/>
      <w:lvlText w:val="(%2)"/>
      <w:numFmt w:val="lowerLetter"/>
      <w:start w:val="1"/>
    </w:lvl>
  </w:abstractNum>
  <w:abstractNum w:abstractNumId="42">
    <w:nsid w:val="6DE91B18"/>
    <w:multiLevelType w:val="hybridMultilevel"/>
    <w:lvl w:ilvl="0">
      <w:lvlJc w:val="left"/>
      <w:lvlText w:val="(%1)"/>
      <w:numFmt w:val="lowerLetter"/>
      <w:start w:val="2"/>
    </w:lvl>
  </w:abstractNum>
  <w:abstractNum w:abstractNumId="43">
    <w:nsid w:val="38437FDB"/>
    <w:multiLevelType w:val="hybridMultilevel"/>
    <w:lvl w:ilvl="0">
      <w:lvlJc w:val="left"/>
      <w:lvlText w:val="%1."/>
      <w:numFmt w:val="decimal"/>
      <w:start w:val="14"/>
    </w:lvl>
  </w:abstractNum>
  <w:abstractNum w:abstractNumId="44">
    <w:nsid w:val="7644A45C"/>
    <w:multiLevelType w:val="hybridMultilevel"/>
    <w:lvl w:ilvl="0">
      <w:lvlJc w:val="left"/>
      <w:lvlText w:val="%1."/>
      <w:numFmt w:val="decimal"/>
      <w:start w:val="15"/>
    </w:lvl>
    <w:lvl w:ilvl="1">
      <w:lvlJc w:val="left"/>
      <w:lvlText w:val="(%2)"/>
      <w:numFmt w:val="lowerLetter"/>
      <w:start w:val="1"/>
    </w:lvl>
  </w:abstractNum>
  <w:abstractNum w:abstractNumId="45">
    <w:nsid w:val="32FFF902"/>
    <w:multiLevelType w:val="hybridMultilevel"/>
    <w:lvl w:ilvl="0">
      <w:lvlJc w:val="left"/>
      <w:lvlText w:val="%1."/>
      <w:numFmt w:val="decimal"/>
      <w:start w:val="19"/>
    </w:lvl>
    <w:lvl w:ilvl="1">
      <w:lvlJc w:val="left"/>
      <w:lvlText w:val="(%2)"/>
      <w:numFmt w:val="lowerLetter"/>
      <w:start w:val="1"/>
    </w:lvl>
  </w:abstractNum>
  <w:abstractNum w:abstractNumId="46">
    <w:nsid w:val="684A481A"/>
    <w:multiLevelType w:val="hybridMultilevel"/>
    <w:lvl w:ilvl="0">
      <w:lvlJc w:val="left"/>
      <w:lvlText w:val="%1."/>
      <w:numFmt w:val="decimal"/>
      <w:start w:val="21"/>
    </w:lvl>
    <w:lvl w:ilvl="1">
      <w:lvlJc w:val="left"/>
      <w:lvlText w:val="(%2)"/>
      <w:numFmt w:val="lowerLetter"/>
      <w:start w:val="1"/>
    </w:lvl>
  </w:abstractNum>
  <w:abstractNum w:abstractNumId="47">
    <w:nsid w:val="579478FE"/>
    <w:multiLevelType w:val="hybridMultilevel"/>
    <w:lvl w:ilvl="0">
      <w:lvlJc w:val="left"/>
      <w:lvlText w:val="%1."/>
      <w:numFmt w:val="decimal"/>
      <w:start w:val="1"/>
    </w:lvl>
    <w:lvl w:ilvl="1">
      <w:lvlJc w:val="left"/>
      <w:lvlText w:val="%2)"/>
      <w:numFmt w:val="lowerLetter"/>
      <w:start w:val="1"/>
    </w:lvl>
  </w:abstractNum>
  <w:abstractNum w:abstractNumId="48">
    <w:nsid w:val="749ABB43"/>
    <w:multiLevelType w:val="hybridMultilevel"/>
    <w:lvl w:ilvl="0">
      <w:lvlJc w:val="left"/>
      <w:lvlText w:val="%1."/>
      <w:numFmt w:val="decimal"/>
      <w:start w:val="1"/>
    </w:lvl>
    <w:lvl w:ilvl="1">
      <w:lvlJc w:val="left"/>
      <w:lvlText w:val="%2)"/>
      <w:numFmt w:val="lowerLetter"/>
      <w:start w:val="1"/>
    </w:lvl>
  </w:abstractNum>
  <w:abstractNum w:abstractNumId="49">
    <w:nsid w:val="3DC240FB"/>
    <w:multiLevelType w:val="hybridMultilevel"/>
    <w:lvl w:ilvl="0">
      <w:lvlJc w:val="left"/>
      <w:lvlText w:val="(%1)"/>
      <w:numFmt w:val="lowerRoman"/>
      <w:start w:val="1"/>
    </w:lvl>
  </w:abstractNum>
  <w:abstractNum w:abstractNumId="50">
    <w:nsid w:val="1BA026F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2019-12-10T16:09:46Z</dcterms:created>
  <dcterms:modified xsi:type="dcterms:W3CDTF">2019-12-10T16:09:46Z</dcterms:modified>
</cp:coreProperties>
</file>