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59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59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59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6" w:lineRule="exact"/>
        <w:rPr>
          <w:sz w:val="24"/>
          <w:szCs w:val="24"/>
          <w:color w:val="auto"/>
        </w:rPr>
      </w:pPr>
    </w:p>
    <w:p>
      <w:pPr>
        <w:jc w:val="center"/>
        <w:ind w:right="-599"/>
        <w:spacing w:after="0"/>
        <w:rPr>
          <w:sz w:val="20"/>
          <w:szCs w:val="20"/>
          <w:color w:val="auto"/>
        </w:rPr>
      </w:pPr>
      <w:r>
        <w:rPr>
          <w:rFonts w:ascii="Arial" w:cs="Arial" w:eastAsia="Arial" w:hAnsi="Arial"/>
          <w:sz w:val="24"/>
          <w:szCs w:val="24"/>
          <w:b w:val="1"/>
          <w:bCs w:val="1"/>
          <w:color w:val="auto"/>
        </w:rPr>
        <w:t>CURRENT REPORT</w:t>
      </w:r>
    </w:p>
    <w:p>
      <w:pPr>
        <w:spacing w:after="0" w:line="171" w:lineRule="exact"/>
        <w:rPr>
          <w:sz w:val="24"/>
          <w:szCs w:val="24"/>
          <w:color w:val="auto"/>
        </w:rPr>
      </w:pPr>
    </w:p>
    <w:p>
      <w:pPr>
        <w:jc w:val="center"/>
        <w:ind w:right="-599"/>
        <w:spacing w:after="0"/>
        <w:rPr>
          <w:sz w:val="20"/>
          <w:szCs w:val="20"/>
          <w:color w:val="auto"/>
        </w:rPr>
      </w:pPr>
      <w:r>
        <w:rPr>
          <w:rFonts w:ascii="Arial" w:cs="Arial" w:eastAsia="Arial" w:hAnsi="Arial"/>
          <w:sz w:val="22"/>
          <w:szCs w:val="22"/>
          <w:b w:val="1"/>
          <w:bCs w:val="1"/>
          <w:color w:val="auto"/>
        </w:rPr>
        <w:t>Pursuant to Section 13 or 15(d) of the</w:t>
      </w:r>
    </w:p>
    <w:p>
      <w:pPr>
        <w:spacing w:after="0" w:line="14" w:lineRule="exact"/>
        <w:rPr>
          <w:sz w:val="24"/>
          <w:szCs w:val="24"/>
          <w:color w:val="auto"/>
        </w:rPr>
      </w:pPr>
    </w:p>
    <w:p>
      <w:pPr>
        <w:jc w:val="center"/>
        <w:ind w:right="-599"/>
        <w:spacing w:after="0"/>
        <w:rPr>
          <w:sz w:val="20"/>
          <w:szCs w:val="20"/>
          <w:color w:val="auto"/>
        </w:rPr>
      </w:pPr>
      <w:r>
        <w:rPr>
          <w:rFonts w:ascii="Arial" w:cs="Arial" w:eastAsia="Arial" w:hAnsi="Arial"/>
          <w:sz w:val="22"/>
          <w:szCs w:val="22"/>
          <w:b w:val="1"/>
          <w:bCs w:val="1"/>
          <w:color w:val="auto"/>
        </w:rPr>
        <w:t>Securities Exchange Act of 1934</w:t>
      </w:r>
    </w:p>
    <w:p>
      <w:pPr>
        <w:spacing w:after="0" w:line="128" w:lineRule="exact"/>
        <w:rPr>
          <w:sz w:val="24"/>
          <w:szCs w:val="24"/>
          <w:color w:val="auto"/>
        </w:rPr>
      </w:pPr>
    </w:p>
    <w:p>
      <w:pPr>
        <w:jc w:val="center"/>
        <w:ind w:right="-599"/>
        <w:spacing w:after="0"/>
        <w:rPr>
          <w:sz w:val="20"/>
          <w:szCs w:val="20"/>
          <w:color w:val="auto"/>
        </w:rPr>
      </w:pPr>
      <w:r>
        <w:rPr>
          <w:rFonts w:ascii="Arial" w:cs="Arial" w:eastAsia="Arial" w:hAnsi="Arial"/>
          <w:sz w:val="22"/>
          <w:szCs w:val="22"/>
          <w:b w:val="1"/>
          <w:bCs w:val="1"/>
          <w:color w:val="auto"/>
        </w:rPr>
        <w:t>Date of Report (Date of earliest event reported): November 18, 2010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114300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1" w:lineRule="exact"/>
        <w:rPr>
          <w:sz w:val="24"/>
          <w:szCs w:val="24"/>
          <w:color w:val="auto"/>
        </w:rPr>
      </w:pPr>
    </w:p>
    <w:p>
      <w:pPr>
        <w:jc w:val="center"/>
        <w:ind w:right="-59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ind w:left="378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0820"/>
          </w:cols>
          <w:pgMar w:left="240" w:top="314" w:right="839" w:bottom="1440" w:gutter="0" w:footer="0" w:header="0"/>
        </w:sectPr>
      </w:pPr>
    </w:p>
    <w:p>
      <w:pPr>
        <w:spacing w:after="0" w:line="286"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jc w:val="center"/>
        <w:ind w:right="2240"/>
        <w:spacing w:after="0"/>
        <w:rPr>
          <w:sz w:val="20"/>
          <w:szCs w:val="20"/>
          <w:color w:val="auto"/>
        </w:rPr>
      </w:pPr>
      <w:r>
        <w:rPr>
          <w:rFonts w:ascii="Arial" w:cs="Arial" w:eastAsia="Arial" w:hAnsi="Arial"/>
          <w:sz w:val="15"/>
          <w:szCs w:val="15"/>
          <w:b w:val="1"/>
          <w:bCs w:val="1"/>
          <w:color w:val="auto"/>
        </w:rPr>
        <w:t>000-30877</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740" w:space="720"/>
            <w:col w:w="3000" w:space="720"/>
            <w:col w:w="1640"/>
          </w:cols>
          <w:pgMar w:left="240" w:top="314" w:right="83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740" w:space="720"/>
            <w:col w:w="2880" w:space="720"/>
            <w:col w:w="1760"/>
          </w:cols>
          <w:pgMar w:left="240" w:top="314" w:right="839" w:bottom="1440" w:gutter="0" w:footer="0" w:header="0"/>
          <w:type w:val="continuous"/>
        </w:sectPr>
      </w:pPr>
    </w:p>
    <w:p>
      <w:pPr>
        <w:jc w:val="center"/>
        <w:ind w:right="-61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61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61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ind w:left="3920"/>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111125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0820"/>
          </w:cols>
          <w:pgMar w:left="240" w:top="314" w:right="839" w:bottom="1440" w:gutter="0" w:footer="0" w:header="0"/>
          <w:type w:val="continuous"/>
        </w:sectPr>
      </w:pPr>
    </w:p>
    <w:p>
      <w:pPr>
        <w:spacing w:after="0" w:line="261" w:lineRule="exact"/>
        <w:rPr>
          <w:sz w:val="24"/>
          <w:szCs w:val="24"/>
          <w:color w:val="auto"/>
        </w:rPr>
      </w:pPr>
    </w:p>
    <w:p>
      <w:pPr>
        <w:ind w:firstLine="456"/>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88265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0820"/>
          </w:cols>
          <w:pgMar w:left="240" w:top="314" w:right="839" w:bottom="1440" w:gutter="0" w:footer="0" w:header="0"/>
          <w:type w:val="continuous"/>
        </w:sectPr>
      </w:pPr>
    </w:p>
    <w:bookmarkStart w:id="1" w:name="page2"/>
    <w:bookmarkEnd w:id="1"/>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w:t>
      </w:r>
      <w:r>
        <w:rPr>
          <w:sz w:val="20"/>
          <w:szCs w:val="20"/>
          <w:color w:val="auto"/>
        </w:rPr>
        <w:tab/>
      </w:r>
      <w:r>
        <w:rPr>
          <w:rFonts w:ascii="Arial" w:cs="Arial" w:eastAsia="Arial" w:hAnsi="Arial"/>
          <w:sz w:val="15"/>
          <w:szCs w:val="15"/>
          <w:b w:val="1"/>
          <w:bCs w:val="1"/>
          <w:color w:val="auto"/>
        </w:rPr>
        <w:t>Results of Operations and Financial Condition.</w:t>
      </w:r>
    </w:p>
    <w:p>
      <w:pPr>
        <w:spacing w:after="0" w:line="96" w:lineRule="exact"/>
        <w:rPr>
          <w:sz w:val="20"/>
          <w:szCs w:val="20"/>
          <w:color w:val="auto"/>
        </w:rPr>
      </w:pPr>
    </w:p>
    <w:p>
      <w:pPr>
        <w:ind w:right="440" w:firstLine="456"/>
        <w:spacing w:after="0" w:line="298" w:lineRule="auto"/>
        <w:rPr>
          <w:sz w:val="20"/>
          <w:szCs w:val="20"/>
          <w:color w:val="auto"/>
        </w:rPr>
      </w:pPr>
      <w:r>
        <w:rPr>
          <w:rFonts w:ascii="Arial" w:cs="Arial" w:eastAsia="Arial" w:hAnsi="Arial"/>
          <w:sz w:val="16"/>
          <w:szCs w:val="16"/>
          <w:color w:val="auto"/>
        </w:rPr>
        <w:t>The information in Item 2.02 of this Current Report, including the accompanying exhibit,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13" w:lineRule="exact"/>
        <w:rPr>
          <w:sz w:val="20"/>
          <w:szCs w:val="20"/>
          <w:color w:val="auto"/>
        </w:rPr>
      </w:pPr>
    </w:p>
    <w:p>
      <w:pPr>
        <w:ind w:right="200" w:firstLine="456"/>
        <w:spacing w:after="0" w:line="332" w:lineRule="auto"/>
        <w:rPr>
          <w:sz w:val="20"/>
          <w:szCs w:val="20"/>
          <w:color w:val="auto"/>
        </w:rPr>
      </w:pPr>
      <w:r>
        <w:rPr>
          <w:rFonts w:ascii="Arial" w:cs="Arial" w:eastAsia="Arial" w:hAnsi="Arial"/>
          <w:sz w:val="16"/>
          <w:szCs w:val="16"/>
          <w:color w:val="auto"/>
        </w:rPr>
        <w:t>On November 18, 2010, Marvell Technology Group Ltd. (“Marvell”) issued a press release regarding its financial results for its third fiscal quarter ended October 30, 2010. A copy of the press release is furnished herewith as Exhibit 99.1 and is incorporated by reference herein.</w:t>
      </w:r>
    </w:p>
    <w:p>
      <w:pPr>
        <w:spacing w:after="0" w:line="166"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Discussion of Non-GAAP Financial Measures</w:t>
      </w:r>
    </w:p>
    <w:p>
      <w:pPr>
        <w:spacing w:after="0" w:line="90"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In addition to disclosing financial results calculated in accordance with U.S. generally accepted accounting principles (“GAAP”), Marvell also reports non-GAAP financial measures. Pursuant to the requirements of Regulation G, Marvell has provided reconciliations with the press release of the non-GAAP financial measures to the most directly comparable GAAP financial measures included in the press release. Non-GAAP financial measures exclude the effect of stock-based compensation, amortization and write-offs of acquired intangible assets, restructuring costs and certain other expenses and benefits.</w:t>
      </w:r>
    </w:p>
    <w:p>
      <w:pPr>
        <w:spacing w:after="0" w:line="113" w:lineRule="exact"/>
        <w:rPr>
          <w:sz w:val="20"/>
          <w:szCs w:val="20"/>
          <w:color w:val="auto"/>
        </w:rPr>
      </w:pPr>
    </w:p>
    <w:p>
      <w:pPr>
        <w:ind w:right="140" w:firstLine="456"/>
        <w:spacing w:after="0" w:line="289" w:lineRule="auto"/>
        <w:rPr>
          <w:sz w:val="20"/>
          <w:szCs w:val="20"/>
          <w:color w:val="auto"/>
        </w:rPr>
      </w:pPr>
      <w:r>
        <w:rPr>
          <w:rFonts w:ascii="Arial" w:cs="Arial" w:eastAsia="Arial" w:hAnsi="Arial"/>
          <w:sz w:val="16"/>
          <w:szCs w:val="16"/>
          <w:color w:val="auto"/>
        </w:rPr>
        <w:t>Marvell believes that the presentation of non-GAAP financial measures provides important supplemental information to management and investors regarding financial and business trends relating to its financial condition and results of operations.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Marvell has chosen to provide this information to investors to enable them to perform comparisons of operating results in a manner similar to how Marvell analyzes its operating results internally. Management also believes that these non-GAAP financial measures may be used to facilitate comparisons of Marvell’s results with that of other companies in its industry.</w:t>
      </w:r>
    </w:p>
    <w:p>
      <w:pPr>
        <w:spacing w:after="0" w:line="118" w:lineRule="exact"/>
        <w:rPr>
          <w:sz w:val="20"/>
          <w:szCs w:val="20"/>
          <w:color w:val="auto"/>
        </w:rPr>
      </w:pPr>
    </w:p>
    <w:p>
      <w:pPr>
        <w:ind w:right="600" w:firstLine="456"/>
        <w:spacing w:after="0" w:line="332" w:lineRule="auto"/>
        <w:rPr>
          <w:sz w:val="20"/>
          <w:szCs w:val="20"/>
          <w:color w:val="auto"/>
        </w:rPr>
      </w:pPr>
      <w:r>
        <w:rPr>
          <w:rFonts w:ascii="Arial" w:cs="Arial" w:eastAsia="Arial" w:hAnsi="Arial"/>
          <w:sz w:val="16"/>
          <w:szCs w:val="16"/>
          <w:color w:val="auto"/>
        </w:rPr>
        <w:t>Externally, management believes that investors may find Marvell’s non-GAAP financial measures useful in their assessment of Marvell’s operating performance and the valuation of Marvell. Internally, Marvell’s non-GAAP financial measures are used by management in the following areas:</w:t>
      </w:r>
    </w:p>
    <w:p>
      <w:pPr>
        <w:spacing w:after="0" w:line="4" w:lineRule="exact"/>
        <w:rPr>
          <w:sz w:val="20"/>
          <w:szCs w:val="20"/>
          <w:color w:val="auto"/>
        </w:rPr>
      </w:pPr>
    </w:p>
    <w:p>
      <w:pPr>
        <w:ind w:left="900" w:hanging="325"/>
        <w:spacing w:after="0" w:line="268" w:lineRule="auto"/>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determination of the pro forma EPS target utilized to measure the achievement of stock-based bonus compensation for certain Marvell executive officers;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Non-GAAP financial measures are adjusted by the exclusion of the following items:</w:t>
      </w:r>
    </w:p>
    <w:p>
      <w:pPr>
        <w:spacing w:after="0" w:line="90" w:lineRule="exact"/>
        <w:rPr>
          <w:sz w:val="20"/>
          <w:szCs w:val="20"/>
          <w:color w:val="auto"/>
        </w:rPr>
      </w:pPr>
    </w:p>
    <w:p>
      <w:pPr>
        <w:ind w:left="900" w:right="200" w:hanging="325"/>
        <w:spacing w:after="0" w:line="256"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Stock-based compensation</w:t>
      </w:r>
      <w:r>
        <w:rPr>
          <w:rFonts w:ascii="Arial" w:cs="Arial" w:eastAsia="Arial" w:hAnsi="Arial"/>
          <w:sz w:val="18"/>
          <w:szCs w:val="18"/>
          <w:color w:val="auto"/>
        </w:rPr>
        <w:t>. Stock-based compensation relates primarily to employee stock options and restricted stock units issued. Stock-based</w:t>
      </w:r>
      <w:r>
        <w:rPr>
          <w:rFonts w:ascii="Arial" w:cs="Arial" w:eastAsia="Arial" w:hAnsi="Arial"/>
          <w:sz w:val="18"/>
          <w:szCs w:val="18"/>
          <w:i w:val="1"/>
          <w:iCs w:val="1"/>
          <w:color w:val="auto"/>
        </w:rPr>
        <w:t xml:space="preserve"> </w:t>
      </w:r>
      <w:r>
        <w:rPr>
          <w:rFonts w:ascii="Arial" w:cs="Arial" w:eastAsia="Arial" w:hAnsi="Arial"/>
          <w:sz w:val="18"/>
          <w:szCs w:val="18"/>
          <w:color w:val="auto"/>
        </w:rPr>
        <w:t>compensation expense is a non-cash expense that is difficult to predict as its valuation is affected by changes in market forces, such as the price of Marvell’s common shares, which is not within the control of management. Accordingly, management excludes this item from its internal operating forecasts and models.</w:t>
      </w:r>
    </w:p>
    <w:p>
      <w:pPr>
        <w:spacing w:after="0" w:line="62" w:lineRule="exact"/>
        <w:rPr>
          <w:rFonts w:ascii="Arial" w:cs="Arial" w:eastAsia="Arial" w:hAnsi="Arial"/>
          <w:sz w:val="18"/>
          <w:szCs w:val="18"/>
          <w:color w:val="auto"/>
        </w:rPr>
      </w:pPr>
    </w:p>
    <w:p>
      <w:pPr>
        <w:ind w:left="900" w:right="40" w:hanging="325"/>
        <w:spacing w:after="0" w:line="370" w:lineRule="auto"/>
        <w:tabs>
          <w:tab w:leader="none" w:pos="900" w:val="left"/>
        </w:tabs>
        <w:numPr>
          <w:ilvl w:val="0"/>
          <w:numId w:val="3"/>
        </w:numPr>
        <w:rPr>
          <w:rFonts w:ascii="Arial" w:cs="Arial" w:eastAsia="Arial" w:hAnsi="Arial"/>
          <w:sz w:val="15"/>
          <w:szCs w:val="15"/>
          <w:color w:val="auto"/>
        </w:rPr>
      </w:pPr>
      <w:r>
        <w:rPr>
          <w:rFonts w:ascii="Arial" w:cs="Arial" w:eastAsia="Arial" w:hAnsi="Arial"/>
          <w:sz w:val="15"/>
          <w:szCs w:val="15"/>
          <w:i w:val="1"/>
          <w:iCs w:val="1"/>
          <w:color w:val="auto"/>
        </w:rPr>
        <w:t>Amortization and write-off of acquired intangible assets</w:t>
      </w:r>
      <w:r>
        <w:rPr>
          <w:rFonts w:ascii="Arial" w:cs="Arial" w:eastAsia="Arial" w:hAnsi="Arial"/>
          <w:sz w:val="15"/>
          <w:szCs w:val="15"/>
          <w:color w:val="auto"/>
        </w:rPr>
        <w:t>. Purchased intangible assets relate primarily to existing and core technology, and customer</w:t>
      </w:r>
      <w:r>
        <w:rPr>
          <w:rFonts w:ascii="Arial" w:cs="Arial" w:eastAsia="Arial" w:hAnsi="Arial"/>
          <w:sz w:val="15"/>
          <w:szCs w:val="15"/>
          <w:i w:val="1"/>
          <w:iCs w:val="1"/>
          <w:color w:val="auto"/>
        </w:rPr>
        <w:t xml:space="preserve"> </w:t>
      </w:r>
      <w:r>
        <w:rPr>
          <w:rFonts w:ascii="Arial" w:cs="Arial" w:eastAsia="Arial" w:hAnsi="Arial"/>
          <w:sz w:val="15"/>
          <w:szCs w:val="15"/>
          <w:color w:val="auto"/>
        </w:rPr>
        <w:t>relationships of acquired businesses. Management considers these charges non-cash in nature and unrelated to Marvell’s core operating performance.</w:t>
      </w:r>
    </w:p>
    <w:p>
      <w:pPr>
        <w:sectPr>
          <w:pgSz w:w="11900" w:h="16838" w:orient="portrait"/>
          <w:cols w:equalWidth="0" w:num="1">
            <w:col w:w="11420"/>
          </w:cols>
          <w:pgMar w:left="240" w:top="274" w:right="239" w:bottom="1440" w:gutter="0" w:footer="0" w:header="0"/>
        </w:sectPr>
      </w:pPr>
    </w:p>
    <w:bookmarkStart w:id="2" w:name="page3"/>
    <w:bookmarkEnd w:id="2"/>
    <w:p>
      <w:pPr>
        <w:ind w:left="900" w:right="140" w:hanging="325"/>
        <w:spacing w:after="0" w:line="298"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Restructuring</w:t>
      </w:r>
      <w:r>
        <w:rPr>
          <w:rFonts w:ascii="Arial" w:cs="Arial" w:eastAsia="Arial" w:hAnsi="Arial"/>
          <w:sz w:val="16"/>
          <w:szCs w:val="16"/>
          <w:color w:val="auto"/>
        </w:rPr>
        <w:t>. Restructuring represents charges that are not directly related to Marvell’s ongoing or core business results. Management regularly</w:t>
      </w:r>
      <w:r>
        <w:rPr>
          <w:rFonts w:ascii="Arial" w:cs="Arial" w:eastAsia="Arial" w:hAnsi="Arial"/>
          <w:sz w:val="16"/>
          <w:szCs w:val="16"/>
          <w:i w:val="1"/>
          <w:iCs w:val="1"/>
          <w:color w:val="auto"/>
        </w:rPr>
        <w:t xml:space="preserve"> </w:t>
      </w:r>
      <w:r>
        <w:rPr>
          <w:rFonts w:ascii="Arial" w:cs="Arial" w:eastAsia="Arial" w:hAnsi="Arial"/>
          <w:sz w:val="16"/>
          <w:szCs w:val="16"/>
          <w:color w:val="auto"/>
        </w:rPr>
        <w:t>excludes such items from internal operating forecasts and models because they are not considered a core operating activity for Marvell and because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31" w:lineRule="exact"/>
        <w:rPr>
          <w:rFonts w:ascii="Arial" w:cs="Arial" w:eastAsia="Arial" w:hAnsi="Arial"/>
          <w:sz w:val="16"/>
          <w:szCs w:val="16"/>
          <w:color w:val="auto"/>
        </w:rPr>
      </w:pPr>
    </w:p>
    <w:p>
      <w:pPr>
        <w:ind w:left="900" w:hanging="325"/>
        <w:spacing w:after="0" w:line="255"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Other</w:t>
      </w:r>
      <w:r>
        <w:rPr>
          <w:rFonts w:ascii="Arial" w:cs="Arial" w:eastAsia="Arial" w:hAnsi="Arial"/>
          <w:sz w:val="18"/>
          <w:szCs w:val="18"/>
          <w:color w:val="auto"/>
        </w:rPr>
        <w:t>. From time to time, Marvell has other costs/benefits that are not directly related to Marvell’s ongoing or core business results. For example, in</w:t>
      </w:r>
      <w:r>
        <w:rPr>
          <w:rFonts w:ascii="Arial" w:cs="Arial" w:eastAsia="Arial" w:hAnsi="Arial"/>
          <w:sz w:val="18"/>
          <w:szCs w:val="18"/>
          <w:i w:val="1"/>
          <w:iCs w:val="1"/>
          <w:color w:val="auto"/>
        </w:rPr>
        <w:t xml:space="preserve"> </w:t>
      </w:r>
      <w:r>
        <w:rPr>
          <w:rFonts w:ascii="Arial" w:cs="Arial" w:eastAsia="Arial" w:hAnsi="Arial"/>
          <w:sz w:val="18"/>
          <w:szCs w:val="18"/>
          <w:color w:val="auto"/>
        </w:rPr>
        <w:t>the nine months ended October 31, 2009, Marvell recorded a $72 million charge in connection with the settlement of a class action lawsuit related to its historical stock option granting practices. Based on the size and nature of the settlement, management considers these charges to be unrelated to Marvell’s core operating performance. Excluding this data provides investors with a basis to compare Marvell’s performance against the performance of other companies without this variability.</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calculation of non-GAAP net income per share is adjusted for the following item:</w:t>
      </w:r>
    </w:p>
    <w:p>
      <w:pPr>
        <w:spacing w:after="0" w:line="90" w:lineRule="exact"/>
        <w:rPr>
          <w:sz w:val="20"/>
          <w:szCs w:val="20"/>
          <w:color w:val="auto"/>
        </w:rPr>
      </w:pPr>
    </w:p>
    <w:p>
      <w:pPr>
        <w:ind w:left="900" w:right="20" w:hanging="325"/>
        <w:spacing w:after="0" w:line="291" w:lineRule="auto"/>
        <w:tabs>
          <w:tab w:leader="none" w:pos="900" w:val="left"/>
        </w:tabs>
        <w:numPr>
          <w:ilvl w:val="0"/>
          <w:numId w:val="5"/>
        </w:numPr>
        <w:rPr>
          <w:rFonts w:ascii="Arial" w:cs="Arial" w:eastAsia="Arial" w:hAnsi="Arial"/>
          <w:sz w:val="16"/>
          <w:szCs w:val="16"/>
          <w:color w:val="auto"/>
        </w:rPr>
      </w:pPr>
      <w:r>
        <w:rPr>
          <w:rFonts w:ascii="Arial" w:cs="Arial" w:eastAsia="Arial" w:hAnsi="Arial"/>
          <w:sz w:val="16"/>
          <w:szCs w:val="16"/>
          <w:color w:val="auto"/>
        </w:rPr>
        <w:t>Non-GAAP net income per share is calculated by dividing non-GAAP net income by non-GAAP weighted average shares (diluted). For purposes of calculating non-GAAP net income per share, the GAAP weighted average shares outstanding (diluted) is adjusted to exclude the potential benefits of stock-based compensation costs expected to be incurred in future periods but not yet recognized in the financial statements. The expected compensation costs are treated as proceeds assumed to be used to repurchase shares under the GAAP treasury stock method. Since Marvell’s non-GAAP net income does not reflect the effects of these compensation costs, management believes these amounts should not be applied to the repurchase of shares in calculating non-GAAP net income per share.</w:t>
      </w:r>
    </w:p>
    <w:p>
      <w:pPr>
        <w:spacing w:after="0" w:line="120" w:lineRule="exact"/>
        <w:rPr>
          <w:sz w:val="20"/>
          <w:szCs w:val="20"/>
          <w:color w:val="auto"/>
        </w:rPr>
      </w:pPr>
    </w:p>
    <w:p>
      <w:pPr>
        <w:ind w:right="340" w:firstLine="456"/>
        <w:spacing w:after="0" w:line="318" w:lineRule="auto"/>
        <w:rPr>
          <w:sz w:val="20"/>
          <w:szCs w:val="20"/>
          <w:color w:val="auto"/>
        </w:rPr>
      </w:pPr>
      <w:r>
        <w:rPr>
          <w:rFonts w:ascii="Arial" w:cs="Arial" w:eastAsia="Arial" w:hAnsi="Arial"/>
          <w:sz w:val="15"/>
          <w:szCs w:val="15"/>
          <w:color w:val="auto"/>
        </w:rPr>
        <w:t>Non-GAAP financial measures should be considered supplemental to, and not as a substitute for, or superior to, financial measures calculated in accordance with GAAP. 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pacing w:after="0" w:line="215"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96" w:lineRule="exact"/>
        <w:rPr>
          <w:sz w:val="20"/>
          <w:szCs w:val="20"/>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Exhibits.</w:t>
      </w:r>
    </w:p>
    <w:p>
      <w:pPr>
        <w:spacing w:after="0" w:line="212"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November 18, 2010</w:t>
      </w:r>
    </w:p>
    <w:p>
      <w:pPr>
        <w:sectPr>
          <w:pgSz w:w="11900" w:h="16838" w:orient="portrait"/>
          <w:cols w:equalWidth="0" w:num="1">
            <w:col w:w="11400"/>
          </w:cols>
          <w:pgMar w:left="240" w:top="280" w:right="259" w:bottom="1440" w:gutter="0" w:footer="0" w:header="0"/>
        </w:sectPr>
      </w:pPr>
    </w:p>
    <w:bookmarkStart w:id="3" w:name="page4"/>
    <w:bookmarkEnd w:id="3"/>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November 18, 2010</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tabs>
          <w:tab w:leader="none" w:pos="8340" w:val="left"/>
          <w:tab w:leader="none" w:pos="868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C</w:t>
      </w:r>
      <w:r>
        <w:rPr>
          <w:rFonts w:ascii="Arial" w:cs="Arial" w:eastAsia="Arial" w:hAnsi="Arial"/>
          <w:sz w:val="13"/>
          <w:szCs w:val="13"/>
          <w:color w:val="auto"/>
        </w:rPr>
        <w:t>LYDE</w:t>
      </w:r>
      <w:r>
        <w:rPr>
          <w:rFonts w:ascii="Arial" w:cs="Arial" w:eastAsia="Arial" w:hAnsi="Arial"/>
          <w:sz w:val="16"/>
          <w:szCs w:val="16"/>
          <w:color w:val="auto"/>
        </w:rPr>
        <w:t xml:space="preserve"> R. H</w:t>
      </w:r>
      <w:r>
        <w:rPr>
          <w:rFonts w:ascii="Arial" w:cs="Arial" w:eastAsia="Arial" w:hAnsi="Arial"/>
          <w:sz w:val="13"/>
          <w:szCs w:val="13"/>
          <w:color w:val="auto"/>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10795</wp:posOffset>
            </wp:positionV>
            <wp:extent cx="265874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2" w:lineRule="exact"/>
        <w:rPr>
          <w:sz w:val="20"/>
          <w:szCs w:val="20"/>
          <w:color w:val="auto"/>
        </w:rPr>
      </w:pPr>
    </w:p>
    <w:p>
      <w:pPr>
        <w:jc w:val="center"/>
        <w:ind w:left="7240"/>
        <w:spacing w:after="0"/>
        <w:rPr>
          <w:sz w:val="20"/>
          <w:szCs w:val="20"/>
          <w:color w:val="auto"/>
        </w:rPr>
      </w:pPr>
      <w:r>
        <w:rPr>
          <w:rFonts w:ascii="Arial" w:cs="Arial" w:eastAsia="Arial" w:hAnsi="Arial"/>
          <w:sz w:val="14"/>
          <w:szCs w:val="14"/>
          <w:b w:val="1"/>
          <w:bCs w:val="1"/>
          <w:color w:val="auto"/>
        </w:rPr>
        <w:t>Clyde R. Hosein</w:t>
      </w:r>
    </w:p>
    <w:p>
      <w:pPr>
        <w:spacing w:after="0" w:line="1" w:lineRule="exact"/>
        <w:rPr>
          <w:sz w:val="20"/>
          <w:szCs w:val="20"/>
          <w:color w:val="auto"/>
        </w:rPr>
      </w:pPr>
    </w:p>
    <w:p>
      <w:pPr>
        <w:jc w:val="center"/>
        <w:ind w:left="7240"/>
        <w:spacing w:after="0"/>
        <w:rPr>
          <w:sz w:val="20"/>
          <w:szCs w:val="20"/>
          <w:color w:val="auto"/>
        </w:rPr>
      </w:pPr>
      <w:r>
        <w:rPr>
          <w:rFonts w:ascii="Arial" w:cs="Arial" w:eastAsia="Arial" w:hAnsi="Arial"/>
          <w:sz w:val="14"/>
          <w:szCs w:val="14"/>
          <w:b w:val="1"/>
          <w:bCs w:val="1"/>
          <w:color w:val="auto"/>
        </w:rPr>
        <w:t>Chief Financial Officer and Secretary</w:t>
      </w:r>
    </w:p>
    <w:p>
      <w:pPr>
        <w:sectPr>
          <w:pgSz w:w="11900" w:h="16838" w:orient="portrait"/>
          <w:cols w:equalWidth="0" w:num="1">
            <w:col w:w="11400"/>
          </w:cols>
          <w:pgMar w:left="240" w:top="274" w:right="259" w:bottom="1440" w:gutter="0" w:footer="0" w:header="0"/>
        </w:sectPr>
      </w:pPr>
    </w:p>
    <w:bookmarkStart w:id="4" w:name="page5"/>
    <w:bookmarkEnd w:id="4"/>
    <w:p>
      <w:pPr>
        <w:jc w:val="right"/>
        <w:ind w:right="38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13"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Exhibit</w:t>
      </w:r>
    </w:p>
    <w:p>
      <w:pPr>
        <w:spacing w:after="0" w:line="1" w:lineRule="exact"/>
        <w:rPr>
          <w:sz w:val="20"/>
          <w:szCs w:val="20"/>
          <w:color w:val="auto"/>
        </w:rPr>
      </w:pPr>
    </w:p>
    <w:p>
      <w:pPr>
        <w:ind w:left="120"/>
        <w:spacing w:after="0"/>
        <w:tabs>
          <w:tab w:leader="none" w:pos="980" w:val="left"/>
        </w:tabs>
        <w:rPr>
          <w:sz w:val="20"/>
          <w:szCs w:val="20"/>
          <w:color w:val="auto"/>
        </w:rPr>
      </w:pPr>
      <w:r>
        <w:rPr>
          <w:rFonts w:ascii="Arial" w:cs="Arial" w:eastAsia="Arial" w:hAnsi="Arial"/>
          <w:sz w:val="14"/>
          <w:szCs w:val="14"/>
          <w:b w:val="1"/>
          <w:bCs w:val="1"/>
          <w:color w:val="auto"/>
        </w:rPr>
        <w:t>No.</w:t>
      </w:r>
      <w:r>
        <w:rPr>
          <w:sz w:val="20"/>
          <w:szCs w:val="20"/>
          <w:color w:val="auto"/>
        </w:rPr>
        <w:tab/>
      </w:r>
      <w:r>
        <w:rPr>
          <w:rFonts w:ascii="Arial" w:cs="Arial" w:eastAsia="Arial" w:hAnsi="Arial"/>
          <w:sz w:val="14"/>
          <w:szCs w:val="14"/>
          <w:b w:val="1"/>
          <w:bCs w:val="1"/>
          <w:u w:val="single" w:color="auto"/>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-7620</wp:posOffset>
            </wp:positionV>
            <wp:extent cx="29146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291465" cy="8890"/>
                    </a:xfrm>
                    <a:prstGeom prst="rect">
                      <a:avLst/>
                    </a:prstGeom>
                    <a:noFill/>
                  </pic:spPr>
                </pic:pic>
              </a:graphicData>
            </a:graphic>
          </wp:anchor>
        </w:drawing>
      </w:r>
    </w:p>
    <w:p>
      <w:pPr>
        <w:spacing w:after="0" w:line="80" w:lineRule="exact"/>
        <w:rPr>
          <w:sz w:val="20"/>
          <w:szCs w:val="20"/>
          <w:color w:val="auto"/>
        </w:rPr>
      </w:pPr>
    </w:p>
    <w:p>
      <w:pPr>
        <w:ind w:left="60"/>
        <w:spacing w:after="0"/>
        <w:tabs>
          <w:tab w:leader="none" w:pos="9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November 18, 2010</w:t>
      </w:r>
    </w:p>
    <w:p>
      <w:pPr>
        <w:sectPr>
          <w:pgSz w:w="11900" w:h="16838" w:orient="portrait"/>
          <w:cols w:equalWidth="0" w:num="1">
            <w:col w:w="10199"/>
          </w:cols>
          <w:pgMar w:left="260" w:top="274" w:right="1440" w:bottom="1440" w:gutter="0" w:footer="0" w:header="0"/>
        </w:sectPr>
      </w:pPr>
    </w:p>
    <w:bookmarkStart w:id="5" w:name="page6"/>
    <w:bookmarkEnd w:id="5"/>
    <w:p>
      <w:pPr>
        <w:ind w:left="10520"/>
        <w:spacing w:after="0"/>
        <w:rPr>
          <w:sz w:val="20"/>
          <w:szCs w:val="20"/>
          <w:color w:val="auto"/>
        </w:rPr>
      </w:pPr>
      <w:r>
        <w:rPr>
          <w:rFonts w:ascii="Arial" w:cs="Arial" w:eastAsia="Arial" w:hAnsi="Arial"/>
          <w:sz w:val="16"/>
          <w:szCs w:val="16"/>
          <w:b w:val="1"/>
          <w:bCs w:val="1"/>
          <w:color w:val="auto"/>
        </w:rPr>
        <w:t>Exhibit 99.1</w:t>
      </w: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834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1320" w:type="dxa"/>
            <w:vAlign w:val="bottom"/>
          </w:tcPr>
          <w:p>
            <w:pPr>
              <w:spacing w:after="0"/>
              <w:rPr>
                <w:sz w:val="19"/>
                <w:szCs w:val="19"/>
                <w:color w:val="auto"/>
              </w:rPr>
            </w:pPr>
          </w:p>
        </w:tc>
        <w:tc>
          <w:tcPr>
            <w:tcW w:w="160" w:type="dxa"/>
            <w:vAlign w:val="bottom"/>
          </w:tcPr>
          <w:p>
            <w:pPr>
              <w:spacing w:after="0"/>
              <w:rPr>
                <w:sz w:val="19"/>
                <w:szCs w:val="19"/>
                <w:color w:val="auto"/>
              </w:rPr>
            </w:pPr>
          </w:p>
        </w:tc>
      </w:tr>
      <w:tr>
        <w:trPr>
          <w:trHeight w:val="216"/>
        </w:trPr>
        <w:tc>
          <w:tcPr>
            <w:tcW w:w="8340" w:type="dxa"/>
            <w:vAlign w:val="bottom"/>
            <w:gridSpan w:val="2"/>
          </w:tcPr>
          <w:p>
            <w:pPr>
              <w:spacing w:after="0"/>
              <w:rPr>
                <w:sz w:val="20"/>
                <w:szCs w:val="20"/>
                <w:color w:val="auto"/>
              </w:rPr>
            </w:pPr>
            <w:r>
              <w:rPr>
                <w:rFonts w:ascii="Arial" w:cs="Arial" w:eastAsia="Arial" w:hAnsi="Arial"/>
                <w:sz w:val="18"/>
                <w:szCs w:val="18"/>
                <w:color w:val="auto"/>
              </w:rPr>
              <w:t>Jeff Palmer</w:t>
            </w:r>
          </w:p>
        </w:tc>
        <w:tc>
          <w:tcPr>
            <w:tcW w:w="1480" w:type="dxa"/>
            <w:vAlign w:val="bottom"/>
            <w:gridSpan w:val="2"/>
          </w:tcPr>
          <w:p>
            <w:pPr>
              <w:spacing w:after="0"/>
              <w:rPr>
                <w:sz w:val="20"/>
                <w:szCs w:val="20"/>
                <w:color w:val="auto"/>
              </w:rPr>
            </w:pPr>
            <w:r>
              <w:rPr>
                <w:rFonts w:ascii="Arial" w:cs="Arial" w:eastAsia="Arial" w:hAnsi="Arial"/>
                <w:sz w:val="18"/>
                <w:szCs w:val="18"/>
                <w:color w:val="auto"/>
              </w:rPr>
              <w:t>Tom Hayes</w:t>
            </w:r>
          </w:p>
        </w:tc>
      </w:tr>
      <w:tr>
        <w:trPr>
          <w:trHeight w:val="216"/>
        </w:trPr>
        <w:tc>
          <w:tcPr>
            <w:tcW w:w="834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1480" w:type="dxa"/>
            <w:vAlign w:val="bottom"/>
            <w:gridSpan w:val="2"/>
          </w:tcPr>
          <w:p>
            <w:pPr>
              <w:spacing w:after="0"/>
              <w:rPr>
                <w:sz w:val="20"/>
                <w:szCs w:val="20"/>
                <w:color w:val="auto"/>
              </w:rPr>
            </w:pPr>
            <w:r>
              <w:rPr>
                <w:rFonts w:ascii="Arial" w:cs="Arial" w:eastAsia="Arial" w:hAnsi="Arial"/>
                <w:sz w:val="18"/>
                <w:szCs w:val="18"/>
                <w:color w:val="auto"/>
                <w:w w:val="88"/>
              </w:rPr>
              <w:t>Corporate Marketing</w:t>
            </w:r>
          </w:p>
        </w:tc>
      </w:tr>
      <w:tr>
        <w:trPr>
          <w:trHeight w:val="216"/>
        </w:trPr>
        <w:tc>
          <w:tcPr>
            <w:tcW w:w="1580" w:type="dxa"/>
            <w:vAlign w:val="bottom"/>
          </w:tcPr>
          <w:p>
            <w:pPr>
              <w:spacing w:after="0"/>
              <w:rPr>
                <w:sz w:val="20"/>
                <w:szCs w:val="20"/>
                <w:color w:val="auto"/>
              </w:rPr>
            </w:pPr>
            <w:r>
              <w:rPr>
                <w:rFonts w:ascii="Arial" w:cs="Arial" w:eastAsia="Arial" w:hAnsi="Arial"/>
                <w:sz w:val="18"/>
                <w:szCs w:val="18"/>
                <w:color w:val="auto"/>
              </w:rPr>
              <w:t>408-222-8373</w:t>
            </w:r>
          </w:p>
        </w:tc>
        <w:tc>
          <w:tcPr>
            <w:tcW w:w="6760" w:type="dxa"/>
            <w:vAlign w:val="bottom"/>
          </w:tcPr>
          <w:p>
            <w:pPr>
              <w:spacing w:after="0"/>
              <w:rPr>
                <w:sz w:val="18"/>
                <w:szCs w:val="18"/>
                <w:color w:val="auto"/>
              </w:rPr>
            </w:pPr>
          </w:p>
        </w:tc>
        <w:tc>
          <w:tcPr>
            <w:tcW w:w="1320" w:type="dxa"/>
            <w:vAlign w:val="bottom"/>
          </w:tcPr>
          <w:p>
            <w:pPr>
              <w:spacing w:after="0"/>
              <w:rPr>
                <w:sz w:val="20"/>
                <w:szCs w:val="20"/>
                <w:color w:val="auto"/>
              </w:rPr>
            </w:pPr>
            <w:r>
              <w:rPr>
                <w:rFonts w:ascii="Arial" w:cs="Arial" w:eastAsia="Arial" w:hAnsi="Arial"/>
                <w:sz w:val="18"/>
                <w:szCs w:val="18"/>
                <w:color w:val="auto"/>
              </w:rPr>
              <w:t>408-222-2815</w:t>
            </w:r>
          </w:p>
        </w:tc>
        <w:tc>
          <w:tcPr>
            <w:tcW w:w="160" w:type="dxa"/>
            <w:vAlign w:val="bottom"/>
          </w:tcPr>
          <w:p>
            <w:pPr>
              <w:spacing w:after="0"/>
              <w:rPr>
                <w:sz w:val="18"/>
                <w:szCs w:val="18"/>
                <w:color w:val="auto"/>
              </w:rPr>
            </w:pPr>
          </w:p>
        </w:tc>
      </w:tr>
      <w:tr>
        <w:trPr>
          <w:trHeight w:val="184"/>
        </w:trPr>
        <w:tc>
          <w:tcPr>
            <w:tcW w:w="8340" w:type="dxa"/>
            <w:vAlign w:val="bottom"/>
            <w:gridSpan w:val="2"/>
          </w:tcPr>
          <w:p>
            <w:pPr>
              <w:spacing w:after="0" w:line="184" w:lineRule="exact"/>
              <w:rPr>
                <w:sz w:val="20"/>
                <w:szCs w:val="20"/>
                <w:color w:val="auto"/>
              </w:rPr>
            </w:pPr>
            <w:r>
              <w:rPr>
                <w:rFonts w:ascii="Arial" w:cs="Arial" w:eastAsia="Arial" w:hAnsi="Arial"/>
                <w:sz w:val="18"/>
                <w:szCs w:val="18"/>
                <w:color w:val="auto"/>
              </w:rPr>
              <w:t>jpalmer@marvell.com</w:t>
            </w:r>
          </w:p>
        </w:tc>
        <w:tc>
          <w:tcPr>
            <w:tcW w:w="1480" w:type="dxa"/>
            <w:vAlign w:val="bottom"/>
            <w:gridSpan w:val="2"/>
          </w:tcPr>
          <w:p>
            <w:pPr>
              <w:spacing w:after="0" w:line="184" w:lineRule="exact"/>
              <w:rPr>
                <w:sz w:val="20"/>
                <w:szCs w:val="20"/>
                <w:color w:val="auto"/>
              </w:rPr>
            </w:pPr>
            <w:r>
              <w:rPr>
                <w:rFonts w:ascii="Arial" w:cs="Arial" w:eastAsia="Arial" w:hAnsi="Arial"/>
                <w:sz w:val="18"/>
                <w:szCs w:val="18"/>
                <w:color w:val="auto"/>
              </w:rPr>
              <w:t>tom@marvell.com</w:t>
            </w:r>
          </w:p>
        </w:tc>
      </w:tr>
      <w:tr>
        <w:trPr>
          <w:trHeight w:val="20"/>
        </w:trPr>
        <w:tc>
          <w:tcPr>
            <w:tcW w:w="1580" w:type="dxa"/>
            <w:vAlign w:val="bottom"/>
            <w:shd w:val="clear" w:color="auto" w:fill="000000"/>
          </w:tcPr>
          <w:p>
            <w:pPr>
              <w:spacing w:after="0" w:line="20" w:lineRule="exact"/>
              <w:rPr>
                <w:sz w:val="1"/>
                <w:szCs w:val="1"/>
                <w:color w:val="auto"/>
              </w:rPr>
            </w:pPr>
          </w:p>
        </w:tc>
        <w:tc>
          <w:tcPr>
            <w:tcW w:w="6760" w:type="dxa"/>
            <w:vAlign w:val="bottom"/>
          </w:tcPr>
          <w:p>
            <w:pPr>
              <w:spacing w:after="0" w:line="20" w:lineRule="exact"/>
              <w:rPr>
                <w:sz w:val="1"/>
                <w:szCs w:val="1"/>
                <w:color w:val="auto"/>
              </w:rPr>
            </w:pPr>
          </w:p>
        </w:tc>
        <w:tc>
          <w:tcPr>
            <w:tcW w:w="132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r>
    </w:tbl>
    <w:p>
      <w:pPr>
        <w:spacing w:after="0" w:line="337" w:lineRule="exact"/>
        <w:rPr>
          <w:sz w:val="20"/>
          <w:szCs w:val="20"/>
          <w:color w:val="auto"/>
        </w:rPr>
      </w:pPr>
    </w:p>
    <w:p>
      <w:pPr>
        <w:ind w:left="2800"/>
        <w:spacing w:after="0"/>
        <w:rPr>
          <w:sz w:val="20"/>
          <w:szCs w:val="20"/>
          <w:color w:val="auto"/>
        </w:rPr>
      </w:pPr>
      <w:r>
        <w:rPr>
          <w:rFonts w:ascii="Arial" w:cs="Arial" w:eastAsia="Arial" w:hAnsi="Arial"/>
          <w:sz w:val="18"/>
          <w:szCs w:val="18"/>
          <w:b w:val="1"/>
          <w:bCs w:val="1"/>
          <w:color w:val="auto"/>
        </w:rPr>
        <w:t>Marvell Technology Group Ltd. Reports Third Quarter of Fiscal 2011 Results</w:t>
      </w:r>
    </w:p>
    <w:p>
      <w:pPr>
        <w:spacing w:after="0" w:line="177" w:lineRule="exact"/>
        <w:rPr>
          <w:sz w:val="20"/>
          <w:szCs w:val="20"/>
          <w:color w:val="auto"/>
        </w:rPr>
      </w:pPr>
    </w:p>
    <w:p>
      <w:pPr>
        <w:ind w:left="3900"/>
        <w:spacing w:after="0"/>
        <w:rPr>
          <w:sz w:val="20"/>
          <w:szCs w:val="20"/>
          <w:color w:val="auto"/>
        </w:rPr>
      </w:pPr>
      <w:r>
        <w:rPr>
          <w:rFonts w:ascii="Arial" w:cs="Arial" w:eastAsia="Arial" w:hAnsi="Arial"/>
          <w:sz w:val="18"/>
          <w:szCs w:val="18"/>
          <w:b w:val="1"/>
          <w:bCs w:val="1"/>
          <w:i w:val="1"/>
          <w:iCs w:val="1"/>
          <w:color w:val="auto"/>
        </w:rPr>
        <w:t>Revenue: $959 Million, Up 7 Percent Sequentially</w:t>
      </w:r>
    </w:p>
    <w:p>
      <w:pPr>
        <w:spacing w:after="0" w:line="15" w:lineRule="exact"/>
        <w:rPr>
          <w:sz w:val="20"/>
          <w:szCs w:val="20"/>
          <w:color w:val="auto"/>
        </w:rPr>
      </w:pPr>
    </w:p>
    <w:p>
      <w:pPr>
        <w:ind w:left="3740"/>
        <w:spacing w:after="0"/>
        <w:rPr>
          <w:sz w:val="20"/>
          <w:szCs w:val="20"/>
          <w:color w:val="auto"/>
        </w:rPr>
      </w:pPr>
      <w:r>
        <w:rPr>
          <w:rFonts w:ascii="Arial" w:cs="Arial" w:eastAsia="Arial" w:hAnsi="Arial"/>
          <w:sz w:val="18"/>
          <w:szCs w:val="18"/>
          <w:b w:val="1"/>
          <w:bCs w:val="1"/>
          <w:i w:val="1"/>
          <w:iCs w:val="1"/>
          <w:color w:val="auto"/>
        </w:rPr>
        <w:t>GAAP Net Income: $256 Million, $0.38 per share EPS</w:t>
      </w:r>
    </w:p>
    <w:p>
      <w:pPr>
        <w:spacing w:after="0" w:line="9" w:lineRule="exact"/>
        <w:rPr>
          <w:sz w:val="20"/>
          <w:szCs w:val="20"/>
          <w:color w:val="auto"/>
        </w:rPr>
      </w:pPr>
    </w:p>
    <w:p>
      <w:pPr>
        <w:ind w:left="3760"/>
        <w:spacing w:after="0"/>
        <w:rPr>
          <w:sz w:val="20"/>
          <w:szCs w:val="20"/>
          <w:color w:val="auto"/>
        </w:rPr>
      </w:pPr>
      <w:r>
        <w:rPr>
          <w:rFonts w:ascii="Arial" w:cs="Arial" w:eastAsia="Arial" w:hAnsi="Arial"/>
          <w:sz w:val="18"/>
          <w:szCs w:val="18"/>
          <w:b w:val="1"/>
          <w:bCs w:val="1"/>
          <w:i w:val="1"/>
          <w:iCs w:val="1"/>
          <w:color w:val="auto"/>
        </w:rPr>
        <w:t>Free Cash Flow: $338 Million, 35 Percent of Revenue</w:t>
      </w:r>
    </w:p>
    <w:p>
      <w:pPr>
        <w:spacing w:after="0" w:line="159" w:lineRule="exact"/>
        <w:rPr>
          <w:sz w:val="20"/>
          <w:szCs w:val="20"/>
          <w:color w:val="auto"/>
        </w:rPr>
      </w:pPr>
    </w:p>
    <w:p>
      <w:pPr>
        <w:ind w:right="340"/>
        <w:spacing w:after="0" w:line="275" w:lineRule="auto"/>
        <w:rPr>
          <w:sz w:val="20"/>
          <w:szCs w:val="20"/>
          <w:color w:val="auto"/>
        </w:rPr>
      </w:pPr>
      <w:r>
        <w:rPr>
          <w:rFonts w:ascii="Arial" w:cs="Arial" w:eastAsia="Arial" w:hAnsi="Arial"/>
          <w:sz w:val="18"/>
          <w:szCs w:val="18"/>
          <w:b w:val="1"/>
          <w:bCs w:val="1"/>
          <w:color w:val="auto"/>
        </w:rPr>
        <w:t xml:space="preserve">Santa Clara, California (November 18, 2010) </w:t>
      </w:r>
      <w:r>
        <w:rPr>
          <w:rFonts w:ascii="Arial" w:cs="Arial" w:eastAsia="Arial" w:hAnsi="Arial"/>
          <w:sz w:val="18"/>
          <w:szCs w:val="18"/>
          <w:color w:val="auto"/>
        </w:rPr>
        <w:t>— Marvell Technology Group Ltd. (NASDAQ: MRVL), a global leader in integrated silicon solutions, today</w:t>
      </w:r>
      <w:r>
        <w:rPr>
          <w:rFonts w:ascii="Arial" w:cs="Arial" w:eastAsia="Arial" w:hAnsi="Arial"/>
          <w:sz w:val="18"/>
          <w:szCs w:val="18"/>
          <w:b w:val="1"/>
          <w:bCs w:val="1"/>
          <w:color w:val="auto"/>
        </w:rPr>
        <w:t xml:space="preserve"> </w:t>
      </w:r>
      <w:r>
        <w:rPr>
          <w:rFonts w:ascii="Arial" w:cs="Arial" w:eastAsia="Arial" w:hAnsi="Arial"/>
          <w:sz w:val="18"/>
          <w:szCs w:val="18"/>
          <w:color w:val="auto"/>
        </w:rPr>
        <w:t>reported financial results for the third quarter of fiscal 2011, ended October 30, 2010.</w:t>
      </w:r>
    </w:p>
    <w:p>
      <w:pPr>
        <w:spacing w:after="0" w:line="126" w:lineRule="exact"/>
        <w:rPr>
          <w:sz w:val="20"/>
          <w:szCs w:val="20"/>
          <w:color w:val="auto"/>
        </w:rPr>
      </w:pPr>
    </w:p>
    <w:p>
      <w:pPr>
        <w:ind w:right="220"/>
        <w:spacing w:after="0" w:line="268" w:lineRule="auto"/>
        <w:rPr>
          <w:sz w:val="20"/>
          <w:szCs w:val="20"/>
          <w:color w:val="auto"/>
        </w:rPr>
      </w:pPr>
      <w:r>
        <w:rPr>
          <w:rFonts w:ascii="Arial" w:cs="Arial" w:eastAsia="Arial" w:hAnsi="Arial"/>
          <w:sz w:val="18"/>
          <w:szCs w:val="18"/>
          <w:color w:val="auto"/>
        </w:rPr>
        <w:t>Net revenue for the third quarter of fiscal 2011 was $959 million, a 20 percent increase from $803 million in the third quarter of fiscal 2010, ended October 31, 2009, and an 7 percent sequential increase from $896 million in the second quarter of fiscal 2011, ended July 31, 2010.</w:t>
      </w:r>
    </w:p>
    <w:p>
      <w:pPr>
        <w:spacing w:after="0" w:line="132" w:lineRule="exact"/>
        <w:rPr>
          <w:sz w:val="20"/>
          <w:szCs w:val="20"/>
          <w:color w:val="auto"/>
        </w:rPr>
      </w:pPr>
    </w:p>
    <w:p>
      <w:pPr>
        <w:spacing w:after="0"/>
        <w:rPr>
          <w:sz w:val="20"/>
          <w:szCs w:val="20"/>
          <w:color w:val="auto"/>
        </w:rPr>
      </w:pPr>
      <w:r>
        <w:rPr>
          <w:rFonts w:ascii="Arial" w:cs="Arial" w:eastAsia="Arial" w:hAnsi="Arial"/>
          <w:sz w:val="16"/>
          <w:szCs w:val="16"/>
          <w:color w:val="auto"/>
        </w:rPr>
        <w:t>GAAP net income was $256 million, or $0.38 per share (diluted), for the third quarter of fiscal 2011, compared with a GAAP net income of $202 million, or</w:t>
      </w:r>
    </w:p>
    <w:p>
      <w:pPr>
        <w:spacing w:after="0" w:line="38" w:lineRule="exact"/>
        <w:rPr>
          <w:sz w:val="20"/>
          <w:szCs w:val="20"/>
          <w:color w:val="auto"/>
        </w:rPr>
      </w:pPr>
    </w:p>
    <w:p>
      <w:pPr>
        <w:spacing w:after="0"/>
        <w:rPr>
          <w:sz w:val="20"/>
          <w:szCs w:val="20"/>
          <w:color w:val="auto"/>
        </w:rPr>
      </w:pPr>
      <w:r>
        <w:rPr>
          <w:rFonts w:ascii="Arial" w:cs="Arial" w:eastAsia="Arial" w:hAnsi="Arial"/>
          <w:sz w:val="16"/>
          <w:szCs w:val="16"/>
          <w:color w:val="auto"/>
        </w:rPr>
        <w:t>$0.31 per share (diluted), for the third quarter of fiscal 2010. GAAP net income in the second quarter of fiscal 2011 was $220 million, or $0.33 per share (diluted).</w:t>
      </w:r>
    </w:p>
    <w:p>
      <w:pPr>
        <w:spacing w:after="0" w:line="188"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color w:val="auto"/>
        </w:rPr>
        <w:t>Non-GAAP net income was $307 million, or $0.45 per share (diluted), for the third quarter of fiscal 2011, as compared with non-GAAP net income of $232 million, or $0.35 per share (diluted), for the third quarter of fiscal 2010. Non-GAAP net income for the second quarter of fiscal 2011 was $273 million, or $0.40 per share (diluted).</w:t>
      </w:r>
    </w:p>
    <w:p>
      <w:pPr>
        <w:spacing w:after="0" w:line="140" w:lineRule="exact"/>
        <w:rPr>
          <w:sz w:val="20"/>
          <w:szCs w:val="20"/>
          <w:color w:val="auto"/>
        </w:rPr>
      </w:pPr>
    </w:p>
    <w:p>
      <w:pPr>
        <w:ind w:right="80"/>
        <w:spacing w:after="0" w:line="255" w:lineRule="auto"/>
        <w:rPr>
          <w:sz w:val="20"/>
          <w:szCs w:val="20"/>
          <w:color w:val="auto"/>
        </w:rPr>
      </w:pPr>
      <w:r>
        <w:rPr>
          <w:rFonts w:ascii="Arial" w:cs="Arial" w:eastAsia="Arial" w:hAnsi="Arial"/>
          <w:sz w:val="18"/>
          <w:szCs w:val="18"/>
          <w:color w:val="auto"/>
        </w:rPr>
        <w:t>“We delivered excellent results, which were at the high-end of our original guidance for the third quarter,” said Dr. Sehat Sutardja, Marvell’s Chairman and Chief Executive Officer. “We delivered significant long term growth in all of our target end-markets. We continue to make excellent progress within our mobile and wireless end market, which increased over 20 percent sequentially, and we experienced improved demand within our storage end-market as revenue increased 3 percent sequentially. Furthermore, we continue to deliver robust margins and significant free cash flow, which highlights the long term leverage our business model can deliver.”</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20"/>
          </w:cols>
          <w:pgMar w:left="240" w:top="125" w:right="239" w:bottom="1440" w:gutter="0" w:footer="0" w:header="0"/>
        </w:sectPr>
      </w:pPr>
    </w:p>
    <w:bookmarkStart w:id="6" w:name="page7"/>
    <w:bookmarkEnd w:id="6"/>
    <w:p>
      <w:pPr>
        <w:ind w:right="100"/>
        <w:spacing w:after="0" w:line="298"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reports net income, basic and diluted net income per share in accordance with U.S. generally accepted accounting principles (GAAP) and on a non-GAAP basis as outlined below. Reconciliations of GAAP net income to non-GAAP net income for the three months ended October 30, 2010, July 31, 2010 and October 31, 2009 appear in the financial statements below. Non-GAAP net income, where applicable, excludes the effect of stock-based compensation, amortization and write-offs of acquired intangible assets, restructuring costs and certain other expenses or benefits.</w:t>
      </w:r>
    </w:p>
    <w:p>
      <w:pPr>
        <w:spacing w:after="0" w:line="113" w:lineRule="exact"/>
        <w:rPr>
          <w:sz w:val="20"/>
          <w:szCs w:val="20"/>
          <w:color w:val="auto"/>
        </w:rPr>
      </w:pPr>
    </w:p>
    <w:p>
      <w:pPr>
        <w:ind w:right="220"/>
        <w:spacing w:after="0" w:line="268" w:lineRule="auto"/>
        <w:rPr>
          <w:sz w:val="20"/>
          <w:szCs w:val="20"/>
          <w:color w:val="auto"/>
        </w:rPr>
      </w:pPr>
      <w:r>
        <w:rPr>
          <w:rFonts w:ascii="Arial" w:cs="Arial" w:eastAsia="Arial" w:hAnsi="Arial"/>
          <w:sz w:val="18"/>
          <w:szCs w:val="18"/>
          <w:color w:val="auto"/>
        </w:rPr>
        <w:t>GAAP gross margin for the third quarter of fiscal 2011 was 59.3 percent, compared to 57.5 percent for the third quarter of fiscal 2010 and 59.1 percent for the second quarter of fiscal 2011.</w:t>
      </w:r>
    </w:p>
    <w:p>
      <w:pPr>
        <w:spacing w:after="0" w:line="132"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color w:val="auto"/>
        </w:rPr>
        <w:t>Non-GAAP gross margin for the third quarter of fiscal 2011 was 59.5 percent, compared to 57.8 percent for the third quarter of fiscal 2010 and 59.3 percent for the second quarter of fiscal 2011.</w:t>
      </w:r>
    </w:p>
    <w:p>
      <w:pPr>
        <w:spacing w:after="0" w:line="132" w:lineRule="exact"/>
        <w:rPr>
          <w:sz w:val="20"/>
          <w:szCs w:val="20"/>
          <w:color w:val="auto"/>
        </w:rPr>
      </w:pPr>
    </w:p>
    <w:p>
      <w:pPr>
        <w:ind w:right="40"/>
        <w:spacing w:after="0" w:line="256" w:lineRule="auto"/>
        <w:rPr>
          <w:sz w:val="20"/>
          <w:szCs w:val="20"/>
          <w:color w:val="auto"/>
        </w:rPr>
      </w:pPr>
      <w:r>
        <w:rPr>
          <w:rFonts w:ascii="Arial" w:cs="Arial" w:eastAsia="Arial" w:hAnsi="Arial"/>
          <w:sz w:val="18"/>
          <w:szCs w:val="18"/>
          <w:color w:val="auto"/>
        </w:rPr>
        <w:t>Shares used to compute GAAP net income per diluted share for the third quarter of fiscal 2011 were 675 million shares, compared with 660 million shares in the third quarter of fiscal 2010 and 675 million shares in the second quarter of fiscal 2011. Shares used to compute non-GAAP net income per diluted share for the third quarter of fiscal 2011 were 677 million shares, compared with 664 million shares for the third quarter of fiscal 2010 and 678 million shares for the second quarter of fiscal 2011.</w:t>
      </w:r>
    </w:p>
    <w:p>
      <w:pPr>
        <w:spacing w:after="0" w:line="143"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Cash flow from operations for the third quarter of fiscal 2011 was $368 million, up from the $204 million in the third quarter of fiscal 2010 and up from the $319 million reported in the second quarter of fiscal 2011. Free cash flow for the third quarter of fiscal 2011 was $338 million, up from the $196 million reported in third quarter of fiscal 2010, and up from the $292 million reported in the second quarter of fiscal 2011. Free cash flow as presented above is defined as cash flow from operations, less capital expenditures and purchases of technology licenses.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Conference Call</w:t>
      </w:r>
    </w:p>
    <w:p>
      <w:pPr>
        <w:spacing w:after="0" w:line="96" w:lineRule="exact"/>
        <w:rPr>
          <w:sz w:val="20"/>
          <w:szCs w:val="20"/>
          <w:color w:val="auto"/>
        </w:rPr>
      </w:pPr>
    </w:p>
    <w:p>
      <w:pPr>
        <w:ind w:right="160"/>
        <w:spacing w:after="0" w:line="306" w:lineRule="auto"/>
        <w:rPr>
          <w:sz w:val="20"/>
          <w:szCs w:val="20"/>
          <w:color w:val="auto"/>
        </w:rPr>
      </w:pPr>
      <w:r>
        <w:rPr>
          <w:rFonts w:ascii="Arial" w:cs="Arial" w:eastAsia="Arial" w:hAnsi="Arial"/>
          <w:sz w:val="16"/>
          <w:szCs w:val="16"/>
          <w:color w:val="auto"/>
        </w:rPr>
        <w:t xml:space="preserve">Marvell will be conducting a conference call on November 18, 2010 at 1:45 p.m. Pacific Time to discuss results for the third quarter of fiscal 2011. Interested parties may join the conference call by dialing </w:t>
      </w:r>
      <w:r>
        <w:rPr>
          <w:rFonts w:ascii="Arial" w:cs="Arial" w:eastAsia="Arial" w:hAnsi="Arial"/>
          <w:sz w:val="16"/>
          <w:szCs w:val="16"/>
          <w:b w:val="1"/>
          <w:bCs w:val="1"/>
          <w:color w:val="auto"/>
        </w:rPr>
        <w:t>1-866-510-0707, pass-code 19248119</w:t>
      </w:r>
      <w:r>
        <w:rPr>
          <w:rFonts w:ascii="Arial" w:cs="Arial" w:eastAsia="Arial" w:hAnsi="Arial"/>
          <w:sz w:val="16"/>
          <w:szCs w:val="16"/>
          <w:color w:val="auto"/>
        </w:rPr>
        <w:t xml:space="preserve">. The call will be webcast by Thomson Reuters and can be accessed at the Marvell Investor Relations website at </w:t>
      </w:r>
      <w:r>
        <w:rPr>
          <w:rFonts w:ascii="Arial" w:cs="Arial" w:eastAsia="Arial" w:hAnsi="Arial"/>
          <w:sz w:val="16"/>
          <w:szCs w:val="16"/>
          <w:u w:val="single" w:color="auto"/>
          <w:color w:val="auto"/>
        </w:rPr>
        <w:t>http://investor.marvell.com/</w:t>
      </w:r>
      <w:r>
        <w:rPr>
          <w:rFonts w:ascii="Arial" w:cs="Arial" w:eastAsia="Arial" w:hAnsi="Arial"/>
          <w:sz w:val="16"/>
          <w:szCs w:val="16"/>
          <w:color w:val="auto"/>
        </w:rPr>
        <w:t xml:space="preserve"> with a replay available following the call until December 18, 2010.</w:t>
      </w:r>
    </w:p>
    <w:p>
      <w:pPr>
        <w:spacing w:after="0" w:line="93"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40"/>
          </w:cols>
          <w:pgMar w:left="240" w:top="280" w:right="31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Discussion of Non-GAAP Financial Measures</w:t>
      </w:r>
    </w:p>
    <w:p>
      <w:pPr>
        <w:spacing w:after="0" w:line="96" w:lineRule="exact"/>
        <w:rPr>
          <w:sz w:val="20"/>
          <w:szCs w:val="20"/>
          <w:color w:val="auto"/>
        </w:rPr>
      </w:pPr>
    </w:p>
    <w:p>
      <w:pPr>
        <w:ind w:right="40"/>
        <w:spacing w:after="0" w:line="291" w:lineRule="auto"/>
        <w:rPr>
          <w:sz w:val="20"/>
          <w:szCs w:val="20"/>
          <w:color w:val="auto"/>
        </w:rPr>
      </w:pPr>
      <w:r>
        <w:rPr>
          <w:rFonts w:ascii="Arial" w:cs="Arial" w:eastAsia="Arial" w:hAnsi="Arial"/>
          <w:sz w:val="16"/>
          <w:szCs w:val="16"/>
          <w:color w:val="auto"/>
        </w:rPr>
        <w:t>Non-GAAP financial measures exclude stock-based compensation expense as well as charges related to acquisitions, restructuring, gains and other charges that are driven primarily by discrete events that management does not consider to be directly related to Marvell’s core operating performance. Non-GAAP income per share is calculated by dividing non-GAAP net income by non-GAAP weighted average shares outstanding (diluted). For purposes of calculating non-GAAP income per share, the GAAP weighted average shares outstanding (diluted) is adjusted to exclude the potential benefits of compensation costs expected to be incurred in future periods, but not yet recognized in the financial statements. The expected compensation costs are treated as proceeds assumed to be used to repurchase shares under the GAAP treasury stock method and also include the dilutive/antidilutive effects of common stock options and restricted stock.</w:t>
      </w:r>
    </w:p>
    <w:p>
      <w:pPr>
        <w:spacing w:after="0" w:line="120" w:lineRule="exact"/>
        <w:rPr>
          <w:sz w:val="20"/>
          <w:szCs w:val="20"/>
          <w:color w:val="auto"/>
        </w:rPr>
      </w:pPr>
    </w:p>
    <w:p>
      <w:pPr>
        <w:ind w:right="60"/>
        <w:spacing w:after="0" w:line="288" w:lineRule="auto"/>
        <w:rPr>
          <w:sz w:val="20"/>
          <w:szCs w:val="20"/>
          <w:color w:val="auto"/>
        </w:rPr>
      </w:pPr>
      <w:r>
        <w:rPr>
          <w:rFonts w:ascii="Arial" w:cs="Arial" w:eastAsia="Arial" w:hAnsi="Arial"/>
          <w:sz w:val="16"/>
          <w:szCs w:val="16"/>
          <w:color w:val="auto"/>
        </w:rPr>
        <w:t xml:space="preserve">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For further information regarding why Marvell believes that these non-GAAP measures provide useful information to investors, the specific manner in which management uses these measures, and some of the limitations associated with the use of these measures, please refer to Marvell’s Current Report on Form 8-K filed today with the SEC. The Form 8-K is available on the SEC’s website at </w:t>
      </w:r>
      <w:r>
        <w:rPr>
          <w:rFonts w:ascii="Arial" w:cs="Arial" w:eastAsia="Arial" w:hAnsi="Arial"/>
          <w:sz w:val="16"/>
          <w:szCs w:val="16"/>
          <w:u w:val="single" w:color="auto"/>
          <w:color w:val="auto"/>
        </w:rPr>
        <w:t>www.sec.gov</w:t>
      </w:r>
      <w:r>
        <w:rPr>
          <w:rFonts w:ascii="Arial" w:cs="Arial" w:eastAsia="Arial" w:hAnsi="Arial"/>
          <w:sz w:val="16"/>
          <w:szCs w:val="16"/>
          <w:color w:val="auto"/>
        </w:rPr>
        <w:t xml:space="preserve"> as well as on the Marvell website in the Investor Relations section at </w:t>
      </w:r>
      <w:r>
        <w:rPr>
          <w:rFonts w:ascii="Arial" w:cs="Arial" w:eastAsia="Arial" w:hAnsi="Arial"/>
          <w:sz w:val="16"/>
          <w:szCs w:val="16"/>
          <w:u w:val="single" w:color="auto"/>
          <w:color w:val="auto"/>
        </w:rPr>
        <w:t>www.marvell.com</w:t>
      </w:r>
      <w:r>
        <w:rPr>
          <w:rFonts w:ascii="Arial" w:cs="Arial" w:eastAsia="Arial" w:hAnsi="Arial"/>
          <w:sz w:val="16"/>
          <w:szCs w:val="16"/>
          <w:color w:val="auto"/>
        </w:rPr>
        <w:t>.</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96"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 xml:space="preserve">Marvell Technology Group Ltd. (NASDAQ: MRVL) is a global leader in the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 the “Marvell” refers to Marvell Technology Group Ltd. and its subsidiaries. For more information please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w:t>
      </w:r>
    </w:p>
    <w:p>
      <w:pPr>
        <w:spacing w:after="0" w:line="96" w:lineRule="exact"/>
        <w:rPr>
          <w:sz w:val="20"/>
          <w:szCs w:val="20"/>
          <w:color w:val="auto"/>
        </w:rPr>
      </w:pPr>
    </w:p>
    <w:p>
      <w:pPr>
        <w:ind w:right="160"/>
        <w:spacing w:after="0" w:line="306" w:lineRule="auto"/>
        <w:rPr>
          <w:sz w:val="20"/>
          <w:szCs w:val="20"/>
          <w:color w:val="auto"/>
        </w:rPr>
      </w:pPr>
      <w:r>
        <w:rPr>
          <w:rFonts w:ascii="Arial" w:cs="Arial" w:eastAsia="Arial" w:hAnsi="Arial"/>
          <w:sz w:val="16"/>
          <w:szCs w:val="16"/>
          <w:color w:val="auto"/>
        </w:rPr>
        <w:t>This press release contains forward-looking statements that involve risks and uncertainties, including statements regarding the sustainability of Marvell’s ability to deliver long term growth, robust margins and significant free cash flow; and statements concerning Marvell’s use of non-GAAP financial measures as important supplemental information. These statements are not guarantees of results and should not be considered as an</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74" w:right="259" w:bottom="1440" w:gutter="0" w:footer="0" w:header="0"/>
        </w:sectPr>
      </w:pPr>
    </w:p>
    <w:bookmarkStart w:id="8" w:name="page9"/>
    <w:bookmarkEnd w:id="8"/>
    <w:p>
      <w:pPr>
        <w:spacing w:after="0" w:line="28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indication of future performance. Actual events or results may differ materially from those described in this document due to a number of risks and uncertainties, including, among others, Marvell’s financial condition and results of operations may vary from quarter to quarter; the impact of global economic conditions on Marvell’s business; significant dependence on the hard disk drive industry; highly competitive nature of the markets in which Marvell competes; reliance on a few customers; market acceptance of Marvell’s products; and the impact of current or future intellectual property litigation and claims for indemnification. For other factors that could cause Marvell’s results to vary from expectations, please see the risk factors identified in Marvell’s latest Annual Report on Form 10-K for the year ended January 30, 2010, subsequent Quarterly Reports on Form 10-Q and Current Reports on Form 8-K as filed with the SEC. When Marvell files its Form 10-Q for the third quarter of fiscal 2011, the financial statements may differ from the results disclosed in this press release because judgments and estimates that management used in preparing the financial results reported in this press release may need to be updated to the date of the filing. Marvell’s results also remain subject to review by Marvell’s independent registered public accounting firm. Marvell undertakes no obligation to revise or update publicly any forward-looking statements.</w:t>
      </w:r>
    </w:p>
    <w:p>
      <w:pPr>
        <w:spacing w:after="0" w:line="1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280" w:right="239" w:bottom="1440" w:gutter="0" w:footer="0" w:header="0"/>
        </w:sectPr>
      </w:pPr>
    </w:p>
    <w:bookmarkStart w:id="9" w:name="page10"/>
    <w:bookmarkEnd w:id="9"/>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66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280" w:type="dxa"/>
            <w:vAlign w:val="bottom"/>
            <w:gridSpan w:val="5"/>
          </w:tcPr>
          <w:p>
            <w:pPr>
              <w:jc w:val="center"/>
              <w:spacing w:after="0"/>
              <w:rPr>
                <w:sz w:val="20"/>
                <w:szCs w:val="20"/>
                <w:color w:val="auto"/>
              </w:rPr>
            </w:pPr>
            <w:r>
              <w:rPr>
                <w:rFonts w:ascii="Arial" w:cs="Arial" w:eastAsia="Arial" w:hAnsi="Arial"/>
                <w:sz w:val="14"/>
                <w:szCs w:val="14"/>
                <w:b w:val="1"/>
                <w:bCs w:val="1"/>
                <w:color w:val="auto"/>
                <w:w w:val="89"/>
              </w:rPr>
              <w:t>Three Months Ended</w:t>
            </w: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940" w:type="dxa"/>
            <w:vAlign w:val="bottom"/>
            <w:gridSpan w:val="5"/>
          </w:tcPr>
          <w:p>
            <w:pPr>
              <w:jc w:val="right"/>
              <w:ind w:right="48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660" w:type="dxa"/>
            <w:vAlign w:val="bottom"/>
          </w:tcPr>
          <w:p>
            <w:pPr>
              <w:spacing w:after="0"/>
              <w:rPr>
                <w:sz w:val="11"/>
                <w:szCs w:val="11"/>
                <w:color w:val="auto"/>
              </w:rPr>
            </w:pPr>
          </w:p>
        </w:tc>
        <w:tc>
          <w:tcPr>
            <w:tcW w:w="1760" w:type="dxa"/>
            <w:vAlign w:val="bottom"/>
          </w:tcPr>
          <w:p>
            <w:pPr>
              <w:spacing w:after="0"/>
              <w:rPr>
                <w:sz w:val="11"/>
                <w:szCs w:val="11"/>
                <w:color w:val="auto"/>
              </w:rPr>
            </w:pPr>
          </w:p>
        </w:tc>
        <w:tc>
          <w:tcPr>
            <w:tcW w:w="86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30,</w:t>
            </w:r>
          </w:p>
        </w:tc>
        <w:tc>
          <w:tcPr>
            <w:tcW w:w="12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880" w:type="dxa"/>
            <w:vAlign w:val="bottom"/>
            <w:tcBorders>
              <w:top w:val="single" w:sz="8" w:color="auto"/>
            </w:tcBorders>
            <w:gridSpan w:val="2"/>
          </w:tcPr>
          <w:p>
            <w:pPr>
              <w:jc w:val="center"/>
              <w:ind w:right="400"/>
              <w:spacing w:after="0" w:line="129" w:lineRule="exact"/>
              <w:rPr>
                <w:sz w:val="20"/>
                <w:szCs w:val="20"/>
                <w:color w:val="auto"/>
              </w:rPr>
            </w:pPr>
            <w:r>
              <w:rPr>
                <w:rFonts w:ascii="Arial" w:cs="Arial" w:eastAsia="Arial" w:hAnsi="Arial"/>
                <w:sz w:val="14"/>
                <w:szCs w:val="14"/>
                <w:b w:val="1"/>
                <w:bCs w:val="1"/>
                <w:color w:val="auto"/>
                <w:w w:val="85"/>
              </w:rPr>
              <w:t>July 31,</w:t>
            </w: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31,</w:t>
            </w:r>
          </w:p>
        </w:tc>
        <w:tc>
          <w:tcPr>
            <w:tcW w:w="320" w:type="dxa"/>
            <w:vAlign w:val="bottom"/>
          </w:tcPr>
          <w:p>
            <w:pPr>
              <w:spacing w:after="0"/>
              <w:rPr>
                <w:sz w:val="11"/>
                <w:szCs w:val="11"/>
                <w:color w:val="auto"/>
              </w:rPr>
            </w:pPr>
          </w:p>
        </w:tc>
        <w:tc>
          <w:tcPr>
            <w:tcW w:w="1120" w:type="dxa"/>
            <w:vAlign w:val="bottom"/>
            <w:tcBorders>
              <w:top w:val="single" w:sz="8" w:color="auto"/>
            </w:tcBorders>
            <w:gridSpan w:val="3"/>
          </w:tcPr>
          <w:p>
            <w:pPr>
              <w:jc w:val="right"/>
              <w:ind w:right="400"/>
              <w:spacing w:after="0" w:line="129" w:lineRule="exact"/>
              <w:rPr>
                <w:sz w:val="20"/>
                <w:szCs w:val="20"/>
                <w:color w:val="auto"/>
              </w:rPr>
            </w:pPr>
            <w:r>
              <w:rPr>
                <w:rFonts w:ascii="Arial" w:cs="Arial" w:eastAsia="Arial" w:hAnsi="Arial"/>
                <w:sz w:val="14"/>
                <w:szCs w:val="14"/>
                <w:b w:val="1"/>
                <w:bCs w:val="1"/>
                <w:color w:val="auto"/>
                <w:w w:val="90"/>
              </w:rPr>
              <w:t>October 30,</w:t>
            </w: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0"/>
              </w:rPr>
              <w:t>October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66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2010</w:t>
            </w:r>
          </w:p>
        </w:tc>
        <w:tc>
          <w:tcPr>
            <w:tcW w:w="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14"/>
              <w:spacing w:after="0"/>
              <w:rPr>
                <w:sz w:val="20"/>
                <w:szCs w:val="20"/>
                <w:color w:val="auto"/>
              </w:rPr>
            </w:pPr>
            <w:r>
              <w:rPr>
                <w:rFonts w:ascii="Arial" w:cs="Arial" w:eastAsia="Arial" w:hAnsi="Arial"/>
                <w:sz w:val="14"/>
                <w:szCs w:val="14"/>
                <w:b w:val="1"/>
                <w:bCs w:val="1"/>
                <w:color w:val="auto"/>
                <w:w w:val="89"/>
              </w:rPr>
              <w:t>2010</w:t>
            </w:r>
          </w:p>
        </w:tc>
        <w:tc>
          <w:tcPr>
            <w:tcW w:w="3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2009</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2010</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860" w:type="dxa"/>
            <w:vAlign w:val="bottom"/>
            <w:gridSpan w:val="2"/>
            <w:shd w:val="clear" w:color="auto" w:fill="CCEEFF"/>
          </w:tcPr>
          <w:p>
            <w:pPr>
              <w:ind w:left="1760"/>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w w:val="86"/>
              </w:rPr>
              <w:t>959,327</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896,474</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803,098</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2,711,380</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1,965,152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Cost of goods sold</w:t>
            </w:r>
          </w:p>
        </w:tc>
        <w:tc>
          <w:tcPr>
            <w:tcW w:w="1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390,808</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366,682</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341,617</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1,101,475</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887,306</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660" w:type="dxa"/>
            <w:vAlign w:val="bottom"/>
          </w:tcPr>
          <w:p>
            <w:pPr>
              <w:spacing w:after="0"/>
              <w:rPr>
                <w:sz w:val="2"/>
                <w:szCs w:val="2"/>
                <w:color w:val="auto"/>
              </w:rPr>
            </w:pPr>
          </w:p>
        </w:tc>
        <w:tc>
          <w:tcPr>
            <w:tcW w:w="17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1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568,519</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529,792</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461,481</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1,609,905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1,077,846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Operating expenses:</w:t>
            </w:r>
          </w:p>
        </w:tc>
        <w:tc>
          <w:tcPr>
            <w:tcW w:w="1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Research and development</w:t>
            </w:r>
          </w:p>
        </w:tc>
        <w:tc>
          <w:tcPr>
            <w:tcW w:w="1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w w:val="86"/>
              </w:rPr>
              <w:t>218,420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228,211</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212,873</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665,742</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615,152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Selling and marketing</w:t>
            </w:r>
          </w:p>
        </w:tc>
        <w:tc>
          <w:tcPr>
            <w:tcW w:w="1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12"/>
              <w:spacing w:after="0"/>
              <w:rPr>
                <w:sz w:val="20"/>
                <w:szCs w:val="20"/>
                <w:color w:val="auto"/>
              </w:rPr>
            </w:pPr>
            <w:r>
              <w:rPr>
                <w:rFonts w:ascii="Arial" w:cs="Arial" w:eastAsia="Arial" w:hAnsi="Arial"/>
                <w:sz w:val="18"/>
                <w:szCs w:val="18"/>
                <w:color w:val="auto"/>
              </w:rPr>
              <w:t>39,751</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36,863</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35,442</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115,037</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102,260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ind w:left="420"/>
              <w:spacing w:after="0"/>
              <w:rPr>
                <w:sz w:val="20"/>
                <w:szCs w:val="20"/>
                <w:color w:val="auto"/>
              </w:rPr>
            </w:pPr>
            <w:r>
              <w:rPr>
                <w:rFonts w:ascii="Arial" w:cs="Arial" w:eastAsia="Arial" w:hAnsi="Arial"/>
                <w:sz w:val="18"/>
                <w:szCs w:val="18"/>
                <w:color w:val="auto"/>
              </w:rPr>
              <w:t>General and administrative</w:t>
            </w:r>
          </w:p>
        </w:tc>
        <w:tc>
          <w:tcPr>
            <w:tcW w:w="1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rPr>
              <w:t>29,576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25,440</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16,660</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78,124</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148,856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1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21,770</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21,214</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26,450</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65,533</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83,252</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4660" w:type="dxa"/>
            <w:vAlign w:val="bottom"/>
          </w:tcPr>
          <w:p>
            <w:pPr>
              <w:spacing w:after="0"/>
              <w:rPr>
                <w:sz w:val="2"/>
                <w:szCs w:val="2"/>
                <w:color w:val="auto"/>
              </w:rPr>
            </w:pPr>
          </w:p>
        </w:tc>
        <w:tc>
          <w:tcPr>
            <w:tcW w:w="17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466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operating expenses</w:t>
            </w:r>
          </w:p>
        </w:tc>
        <w:tc>
          <w:tcPr>
            <w:tcW w:w="1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309,517</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311,728</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291,425</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924,436</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949,520</w:t>
            </w:r>
          </w:p>
        </w:tc>
        <w:tc>
          <w:tcPr>
            <w:tcW w:w="0" w:type="dxa"/>
            <w:vAlign w:val="bottom"/>
          </w:tcPr>
          <w:p>
            <w:pPr>
              <w:spacing w:after="0"/>
              <w:rPr>
                <w:sz w:val="1"/>
                <w:szCs w:val="1"/>
                <w:color w:val="auto"/>
              </w:rPr>
            </w:pPr>
          </w:p>
        </w:tc>
      </w:tr>
      <w:tr>
        <w:trPr>
          <w:trHeight w:val="20"/>
        </w:trPr>
        <w:tc>
          <w:tcPr>
            <w:tcW w:w="4680" w:type="dxa"/>
            <w:vAlign w:val="bottom"/>
            <w:gridSpan w:val="2"/>
            <w:vMerge w:val="restart"/>
          </w:tcPr>
          <w:p>
            <w:pPr>
              <w:spacing w:after="0"/>
              <w:rPr>
                <w:sz w:val="20"/>
                <w:szCs w:val="20"/>
                <w:color w:val="auto"/>
              </w:rPr>
            </w:pPr>
            <w:r>
              <w:rPr>
                <w:rFonts w:ascii="Arial" w:cs="Arial" w:eastAsia="Arial" w:hAnsi="Arial"/>
                <w:sz w:val="18"/>
                <w:szCs w:val="18"/>
                <w:color w:val="auto"/>
              </w:rPr>
              <w:t>Operating income</w:t>
            </w:r>
          </w:p>
        </w:tc>
        <w:tc>
          <w:tcPr>
            <w:tcW w:w="17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680" w:type="dxa"/>
            <w:vAlign w:val="bottom"/>
            <w:gridSpan w:val="2"/>
            <w:vMerge w:val="continue"/>
          </w:tcPr>
          <w:p>
            <w:pPr>
              <w:spacing w:after="0"/>
              <w:rPr>
                <w:sz w:val="19"/>
                <w:szCs w:val="19"/>
                <w:color w:val="auto"/>
              </w:rPr>
            </w:pPr>
          </w:p>
        </w:tc>
        <w:tc>
          <w:tcPr>
            <w:tcW w:w="17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259,002</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218,064</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170,056</w:t>
            </w:r>
          </w:p>
        </w:tc>
        <w:tc>
          <w:tcPr>
            <w:tcW w:w="80" w:type="dxa"/>
            <w:vAlign w:val="bottom"/>
          </w:tcPr>
          <w:p>
            <w:pPr>
              <w:spacing w:after="0"/>
              <w:rPr>
                <w:sz w:val="19"/>
                <w:szCs w:val="19"/>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685,469</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128,326</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(expense), net</w:t>
            </w:r>
          </w:p>
        </w:tc>
        <w:tc>
          <w:tcPr>
            <w:tcW w:w="1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52"/>
              <w:spacing w:after="0"/>
              <w:rPr>
                <w:sz w:val="20"/>
                <w:szCs w:val="20"/>
                <w:color w:val="auto"/>
              </w:rPr>
            </w:pPr>
            <w:r>
              <w:rPr>
                <w:rFonts w:ascii="Arial" w:cs="Arial" w:eastAsia="Arial" w:hAnsi="Arial"/>
                <w:sz w:val="18"/>
                <w:szCs w:val="18"/>
                <w:color w:val="auto"/>
              </w:rPr>
              <w:t>(1,665)</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4,212</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(1,373)</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(1,205)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(1,254)</w:t>
            </w:r>
          </w:p>
        </w:tc>
        <w:tc>
          <w:tcPr>
            <w:tcW w:w="0" w:type="dxa"/>
            <w:vAlign w:val="bottom"/>
          </w:tcPr>
          <w:p>
            <w:pPr>
              <w:spacing w:after="0"/>
              <w:rPr>
                <w:sz w:val="1"/>
                <w:szCs w:val="1"/>
                <w:color w:val="auto"/>
              </w:rPr>
            </w:pPr>
          </w:p>
        </w:tc>
      </w:tr>
      <w:tr>
        <w:trPr>
          <w:trHeight w:val="20"/>
        </w:trPr>
        <w:tc>
          <w:tcPr>
            <w:tcW w:w="4680" w:type="dxa"/>
            <w:vAlign w:val="bottom"/>
            <w:gridSpan w:val="2"/>
            <w:vMerge w:val="restart"/>
          </w:tcPr>
          <w:p>
            <w:pPr>
              <w:spacing w:after="0"/>
              <w:rPr>
                <w:sz w:val="20"/>
                <w:szCs w:val="20"/>
                <w:color w:val="auto"/>
              </w:rPr>
            </w:pPr>
            <w:r>
              <w:rPr>
                <w:rFonts w:ascii="Arial" w:cs="Arial" w:eastAsia="Arial" w:hAnsi="Arial"/>
                <w:sz w:val="18"/>
                <w:szCs w:val="18"/>
                <w:color w:val="auto"/>
              </w:rPr>
              <w:t>Income before income taxes</w:t>
            </w:r>
          </w:p>
        </w:tc>
        <w:tc>
          <w:tcPr>
            <w:tcW w:w="17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680" w:type="dxa"/>
            <w:vAlign w:val="bottom"/>
            <w:gridSpan w:val="2"/>
            <w:vMerge w:val="continue"/>
          </w:tcPr>
          <w:p>
            <w:pPr>
              <w:spacing w:after="0"/>
              <w:rPr>
                <w:sz w:val="19"/>
                <w:szCs w:val="19"/>
                <w:color w:val="auto"/>
              </w:rPr>
            </w:pPr>
          </w:p>
        </w:tc>
        <w:tc>
          <w:tcPr>
            <w:tcW w:w="17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257,337</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222,276</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168,683</w:t>
            </w:r>
          </w:p>
        </w:tc>
        <w:tc>
          <w:tcPr>
            <w:tcW w:w="80" w:type="dxa"/>
            <w:vAlign w:val="bottom"/>
          </w:tcPr>
          <w:p>
            <w:pPr>
              <w:spacing w:after="0"/>
              <w:rPr>
                <w:sz w:val="19"/>
                <w:szCs w:val="19"/>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684,264</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127,072</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1,605</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2,499</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2"/>
              </w:rPr>
              <w:t>(32,916)</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2,988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(21,563)</w:t>
            </w:r>
          </w:p>
        </w:tc>
        <w:tc>
          <w:tcPr>
            <w:tcW w:w="0" w:type="dxa"/>
            <w:vAlign w:val="bottom"/>
          </w:tcPr>
          <w:p>
            <w:pPr>
              <w:spacing w:after="0"/>
              <w:rPr>
                <w:sz w:val="1"/>
                <w:szCs w:val="1"/>
                <w:color w:val="auto"/>
              </w:rPr>
            </w:pPr>
          </w:p>
        </w:tc>
      </w:tr>
      <w:tr>
        <w:trPr>
          <w:trHeight w:val="20"/>
        </w:trPr>
        <w:tc>
          <w:tcPr>
            <w:tcW w:w="4680" w:type="dxa"/>
            <w:vAlign w:val="bottom"/>
            <w:gridSpan w:val="2"/>
            <w:vMerge w:val="restart"/>
          </w:tcPr>
          <w:p>
            <w:pPr>
              <w:spacing w:after="0"/>
              <w:rPr>
                <w:sz w:val="20"/>
                <w:szCs w:val="20"/>
                <w:color w:val="auto"/>
              </w:rPr>
            </w:pPr>
            <w:r>
              <w:rPr>
                <w:rFonts w:ascii="Arial" w:cs="Arial" w:eastAsia="Arial" w:hAnsi="Arial"/>
                <w:sz w:val="18"/>
                <w:szCs w:val="18"/>
                <w:color w:val="auto"/>
              </w:rPr>
              <w:t>Net income</w:t>
            </w:r>
          </w:p>
        </w:tc>
        <w:tc>
          <w:tcPr>
            <w:tcW w:w="17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680" w:type="dxa"/>
            <w:vAlign w:val="bottom"/>
            <w:gridSpan w:val="2"/>
            <w:vMerge w:val="continue"/>
          </w:tcPr>
          <w:p>
            <w:pPr>
              <w:spacing w:after="0"/>
              <w:rPr>
                <w:sz w:val="19"/>
                <w:szCs w:val="19"/>
                <w:color w:val="auto"/>
              </w:rPr>
            </w:pPr>
          </w:p>
        </w:tc>
        <w:tc>
          <w:tcPr>
            <w:tcW w:w="1860" w:type="dxa"/>
            <w:vAlign w:val="bottom"/>
            <w:gridSpan w:val="2"/>
          </w:tcPr>
          <w:p>
            <w:pPr>
              <w:ind w:left="1760"/>
              <w:spacing w:after="0"/>
              <w:rPr>
                <w:sz w:val="20"/>
                <w:szCs w:val="20"/>
                <w:color w:val="auto"/>
              </w:rPr>
            </w:pPr>
            <w:r>
              <w:rPr>
                <w:rFonts w:ascii="Arial" w:cs="Arial" w:eastAsia="Arial" w:hAnsi="Arial"/>
                <w:sz w:val="18"/>
                <w:szCs w:val="18"/>
                <w:u w:val="single" w:color="auto"/>
                <w:color w:val="auto"/>
                <w:w w:val="79"/>
              </w:rPr>
              <w:t>$</w:t>
            </w:r>
          </w:p>
        </w:tc>
        <w:tc>
          <w:tcPr>
            <w:tcW w:w="760" w:type="dxa"/>
            <w:vAlign w:val="bottom"/>
            <w:gridSpan w:val="2"/>
          </w:tcPr>
          <w:p>
            <w:pPr>
              <w:jc w:val="right"/>
              <w:ind w:right="112"/>
              <w:spacing w:after="0"/>
              <w:rPr>
                <w:sz w:val="20"/>
                <w:szCs w:val="20"/>
                <w:color w:val="auto"/>
              </w:rPr>
            </w:pPr>
            <w:r>
              <w:rPr>
                <w:rFonts w:ascii="Arial" w:cs="Arial" w:eastAsia="Arial" w:hAnsi="Arial"/>
                <w:sz w:val="18"/>
                <w:szCs w:val="18"/>
                <w:color w:val="auto"/>
                <w:w w:val="86"/>
              </w:rPr>
              <w:t>255,732</w:t>
            </w:r>
          </w:p>
        </w:tc>
        <w:tc>
          <w:tcPr>
            <w:tcW w:w="2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219,777</w:t>
            </w:r>
          </w:p>
        </w:tc>
        <w:tc>
          <w:tcPr>
            <w:tcW w:w="300" w:type="dxa"/>
            <w:vAlign w:val="bottom"/>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u w:val="single" w:color="auto"/>
                <w:color w:val="auto"/>
                <w:w w:val="79"/>
              </w:rPr>
              <w:t>$</w:t>
            </w: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201,599</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681,276</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148,635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660" w:type="dxa"/>
            <w:vAlign w:val="bottom"/>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4660" w:type="dxa"/>
            <w:vAlign w:val="bottom"/>
          </w:tcPr>
          <w:p>
            <w:pPr>
              <w:spacing w:after="0"/>
              <w:rPr>
                <w:sz w:val="8"/>
                <w:szCs w:val="8"/>
                <w:color w:val="auto"/>
              </w:rPr>
            </w:pPr>
          </w:p>
        </w:tc>
        <w:tc>
          <w:tcPr>
            <w:tcW w:w="176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12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80" w:type="dxa"/>
            <w:vAlign w:val="bottom"/>
          </w:tcPr>
          <w:p>
            <w:pPr>
              <w:spacing w:after="0"/>
              <w:rPr>
                <w:sz w:val="8"/>
                <w:szCs w:val="8"/>
                <w:color w:val="auto"/>
              </w:rPr>
            </w:pPr>
          </w:p>
        </w:tc>
        <w:tc>
          <w:tcPr>
            <w:tcW w:w="720" w:type="dxa"/>
            <w:vAlign w:val="bottom"/>
          </w:tcPr>
          <w:p>
            <w:pPr>
              <w:spacing w:after="0"/>
              <w:rPr>
                <w:sz w:val="8"/>
                <w:szCs w:val="8"/>
                <w:color w:val="auto"/>
              </w:rPr>
            </w:pPr>
          </w:p>
        </w:tc>
        <w:tc>
          <w:tcPr>
            <w:tcW w:w="320" w:type="dxa"/>
            <w:vAlign w:val="bottom"/>
          </w:tcPr>
          <w:p>
            <w:pPr>
              <w:spacing w:after="0"/>
              <w:rPr>
                <w:sz w:val="8"/>
                <w:szCs w:val="8"/>
                <w:color w:val="auto"/>
              </w:rPr>
            </w:pPr>
          </w:p>
        </w:tc>
        <w:tc>
          <w:tcPr>
            <w:tcW w:w="80" w:type="dxa"/>
            <w:vAlign w:val="bottom"/>
          </w:tcPr>
          <w:p>
            <w:pPr>
              <w:spacing w:after="0"/>
              <w:rPr>
                <w:sz w:val="8"/>
                <w:szCs w:val="8"/>
                <w:color w:val="auto"/>
              </w:rPr>
            </w:pPr>
          </w:p>
        </w:tc>
        <w:tc>
          <w:tcPr>
            <w:tcW w:w="7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per share</w:t>
            </w:r>
          </w:p>
        </w:tc>
        <w:tc>
          <w:tcPr>
            <w:tcW w:w="1860" w:type="dxa"/>
            <w:vAlign w:val="bottom"/>
            <w:gridSpan w:val="2"/>
            <w:shd w:val="clear" w:color="auto" w:fill="CCEEFF"/>
          </w:tcPr>
          <w:p>
            <w:pPr>
              <w:ind w:left="1760"/>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rPr>
              <w:t>0.39</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0.34</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0.32</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1.05</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0.24</w:t>
            </w:r>
          </w:p>
        </w:tc>
        <w:tc>
          <w:tcPr>
            <w:tcW w:w="0" w:type="dxa"/>
            <w:vAlign w:val="bottom"/>
          </w:tcPr>
          <w:p>
            <w:pPr>
              <w:spacing w:after="0"/>
              <w:rPr>
                <w:sz w:val="1"/>
                <w:szCs w:val="1"/>
                <w:color w:val="auto"/>
              </w:rPr>
            </w:pPr>
          </w:p>
        </w:tc>
      </w:tr>
      <w:tr>
        <w:trPr>
          <w:trHeight w:val="20"/>
        </w:trPr>
        <w:tc>
          <w:tcPr>
            <w:tcW w:w="4680" w:type="dxa"/>
            <w:vAlign w:val="bottom"/>
            <w:gridSpan w:val="2"/>
            <w:vMerge w:val="restart"/>
          </w:tcPr>
          <w:p>
            <w:pPr>
              <w:spacing w:after="0"/>
              <w:rPr>
                <w:sz w:val="20"/>
                <w:szCs w:val="20"/>
                <w:color w:val="auto"/>
              </w:rPr>
            </w:pPr>
            <w:r>
              <w:rPr>
                <w:rFonts w:ascii="Arial" w:cs="Arial" w:eastAsia="Arial" w:hAnsi="Arial"/>
                <w:sz w:val="18"/>
                <w:szCs w:val="18"/>
                <w:color w:val="auto"/>
              </w:rPr>
              <w:t>Diluted net income per share</w:t>
            </w:r>
          </w:p>
        </w:tc>
        <w:tc>
          <w:tcPr>
            <w:tcW w:w="17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680" w:type="dxa"/>
            <w:vAlign w:val="bottom"/>
            <w:gridSpan w:val="2"/>
            <w:vMerge w:val="continue"/>
          </w:tcPr>
          <w:p>
            <w:pPr>
              <w:spacing w:after="0"/>
              <w:rPr>
                <w:sz w:val="18"/>
                <w:szCs w:val="18"/>
                <w:color w:val="auto"/>
              </w:rPr>
            </w:pPr>
          </w:p>
        </w:tc>
        <w:tc>
          <w:tcPr>
            <w:tcW w:w="1860" w:type="dxa"/>
            <w:vAlign w:val="bottom"/>
            <w:gridSpan w:val="2"/>
          </w:tcPr>
          <w:p>
            <w:pPr>
              <w:ind w:left="1760"/>
              <w:spacing w:after="0"/>
              <w:rPr>
                <w:sz w:val="20"/>
                <w:szCs w:val="20"/>
                <w:color w:val="auto"/>
              </w:rPr>
            </w:pPr>
            <w:r>
              <w:rPr>
                <w:rFonts w:ascii="Arial" w:cs="Arial" w:eastAsia="Arial" w:hAnsi="Arial"/>
                <w:sz w:val="18"/>
                <w:szCs w:val="18"/>
                <w:color w:val="auto"/>
                <w:w w:val="79"/>
              </w:rPr>
              <w:t>$</w:t>
            </w:r>
          </w:p>
        </w:tc>
        <w:tc>
          <w:tcPr>
            <w:tcW w:w="760" w:type="dxa"/>
            <w:vAlign w:val="bottom"/>
            <w:gridSpan w:val="2"/>
          </w:tcPr>
          <w:p>
            <w:pPr>
              <w:jc w:val="right"/>
              <w:ind w:right="112"/>
              <w:spacing w:after="0"/>
              <w:rPr>
                <w:sz w:val="20"/>
                <w:szCs w:val="20"/>
                <w:color w:val="auto"/>
              </w:rPr>
            </w:pPr>
            <w:r>
              <w:rPr>
                <w:rFonts w:ascii="Arial" w:cs="Arial" w:eastAsia="Arial" w:hAnsi="Arial"/>
                <w:sz w:val="18"/>
                <w:szCs w:val="18"/>
                <w:color w:val="auto"/>
              </w:rPr>
              <w:t>0.38</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0.33</w:t>
            </w:r>
          </w:p>
        </w:tc>
        <w:tc>
          <w:tcPr>
            <w:tcW w:w="30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0.31</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1.01</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0.23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660" w:type="dxa"/>
            <w:vAlign w:val="bottom"/>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4660" w:type="dxa"/>
            <w:vAlign w:val="bottom"/>
          </w:tcPr>
          <w:p>
            <w:pPr>
              <w:spacing w:after="0"/>
              <w:rPr>
                <w:sz w:val="8"/>
                <w:szCs w:val="8"/>
                <w:color w:val="auto"/>
              </w:rPr>
            </w:pPr>
          </w:p>
        </w:tc>
        <w:tc>
          <w:tcPr>
            <w:tcW w:w="176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12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80" w:type="dxa"/>
            <w:vAlign w:val="bottom"/>
          </w:tcPr>
          <w:p>
            <w:pPr>
              <w:spacing w:after="0"/>
              <w:rPr>
                <w:sz w:val="8"/>
                <w:szCs w:val="8"/>
                <w:color w:val="auto"/>
              </w:rPr>
            </w:pPr>
          </w:p>
        </w:tc>
        <w:tc>
          <w:tcPr>
            <w:tcW w:w="720" w:type="dxa"/>
            <w:vAlign w:val="bottom"/>
          </w:tcPr>
          <w:p>
            <w:pPr>
              <w:spacing w:after="0"/>
              <w:rPr>
                <w:sz w:val="8"/>
                <w:szCs w:val="8"/>
                <w:color w:val="auto"/>
              </w:rPr>
            </w:pPr>
          </w:p>
        </w:tc>
        <w:tc>
          <w:tcPr>
            <w:tcW w:w="320" w:type="dxa"/>
            <w:vAlign w:val="bottom"/>
          </w:tcPr>
          <w:p>
            <w:pPr>
              <w:spacing w:after="0"/>
              <w:rPr>
                <w:sz w:val="8"/>
                <w:szCs w:val="8"/>
                <w:color w:val="auto"/>
              </w:rPr>
            </w:pPr>
          </w:p>
        </w:tc>
        <w:tc>
          <w:tcPr>
            <w:tcW w:w="80" w:type="dxa"/>
            <w:vAlign w:val="bottom"/>
          </w:tcPr>
          <w:p>
            <w:pPr>
              <w:spacing w:after="0"/>
              <w:rPr>
                <w:sz w:val="8"/>
                <w:szCs w:val="8"/>
                <w:color w:val="auto"/>
              </w:rPr>
            </w:pPr>
          </w:p>
        </w:tc>
        <w:tc>
          <w:tcPr>
            <w:tcW w:w="7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66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basic earnings per share</w:t>
            </w:r>
          </w:p>
        </w:tc>
        <w:tc>
          <w:tcPr>
            <w:tcW w:w="17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12"/>
              <w:spacing w:after="0"/>
              <w:rPr>
                <w:sz w:val="20"/>
                <w:szCs w:val="20"/>
                <w:color w:val="auto"/>
              </w:rPr>
            </w:pPr>
            <w:r>
              <w:rPr>
                <w:rFonts w:ascii="Arial" w:cs="Arial" w:eastAsia="Arial" w:hAnsi="Arial"/>
                <w:sz w:val="18"/>
                <w:szCs w:val="18"/>
                <w:color w:val="auto"/>
                <w:w w:val="86"/>
              </w:rPr>
              <w:t>649,782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648,028</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623,613</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646,246</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621,057</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660" w:type="dxa"/>
            <w:vAlign w:val="bottom"/>
          </w:tcPr>
          <w:p>
            <w:pPr>
              <w:spacing w:after="0"/>
              <w:rPr>
                <w:sz w:val="20"/>
                <w:szCs w:val="20"/>
                <w:color w:val="auto"/>
              </w:rPr>
            </w:pPr>
            <w:r>
              <w:rPr>
                <w:rFonts w:ascii="Arial" w:cs="Arial" w:eastAsia="Arial" w:hAnsi="Arial"/>
                <w:sz w:val="18"/>
                <w:szCs w:val="18"/>
                <w:color w:val="auto"/>
              </w:rPr>
              <w:t>Shares used in computing diluted earnings per share</w:t>
            </w:r>
          </w:p>
        </w:tc>
        <w:tc>
          <w:tcPr>
            <w:tcW w:w="17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60" w:type="dxa"/>
            <w:vAlign w:val="bottom"/>
            <w:gridSpan w:val="2"/>
          </w:tcPr>
          <w:p>
            <w:pPr>
              <w:jc w:val="right"/>
              <w:ind w:right="112"/>
              <w:spacing w:after="0"/>
              <w:rPr>
                <w:sz w:val="20"/>
                <w:szCs w:val="20"/>
                <w:color w:val="auto"/>
              </w:rPr>
            </w:pPr>
            <w:r>
              <w:rPr>
                <w:rFonts w:ascii="Arial" w:cs="Arial" w:eastAsia="Arial" w:hAnsi="Arial"/>
                <w:sz w:val="18"/>
                <w:szCs w:val="18"/>
                <w:color w:val="auto"/>
                <w:w w:val="86"/>
              </w:rPr>
              <w:t>674,789</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675,220</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659,739</w:t>
            </w:r>
          </w:p>
        </w:tc>
        <w:tc>
          <w:tcPr>
            <w:tcW w:w="80" w:type="dxa"/>
            <w:vAlign w:val="bottom"/>
          </w:tcPr>
          <w:p>
            <w:pPr>
              <w:spacing w:after="0"/>
              <w:rPr>
                <w:sz w:val="19"/>
                <w:szCs w:val="19"/>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676,023</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647,863</w:t>
            </w:r>
          </w:p>
        </w:tc>
        <w:tc>
          <w:tcPr>
            <w:tcW w:w="0" w:type="dxa"/>
            <w:vAlign w:val="bottom"/>
          </w:tcPr>
          <w:p>
            <w:pPr>
              <w:spacing w:after="0"/>
              <w:rPr>
                <w:sz w:val="1"/>
                <w:szCs w:val="1"/>
                <w:color w:val="auto"/>
              </w:rPr>
            </w:pPr>
          </w:p>
        </w:tc>
      </w:tr>
      <w:tr>
        <w:trPr>
          <w:trHeight w:val="356"/>
        </w:trPr>
        <w:tc>
          <w:tcPr>
            <w:tcW w:w="20" w:type="dxa"/>
            <w:vAlign w:val="bottom"/>
          </w:tcPr>
          <w:p>
            <w:pPr>
              <w:spacing w:after="0"/>
              <w:rPr>
                <w:sz w:val="24"/>
                <w:szCs w:val="24"/>
                <w:color w:val="auto"/>
              </w:rPr>
            </w:pPr>
          </w:p>
        </w:tc>
        <w:tc>
          <w:tcPr>
            <w:tcW w:w="4660" w:type="dxa"/>
            <w:vAlign w:val="bottom"/>
          </w:tcPr>
          <w:p>
            <w:pPr>
              <w:spacing w:after="0"/>
              <w:rPr>
                <w:sz w:val="24"/>
                <w:szCs w:val="24"/>
                <w:color w:val="auto"/>
              </w:rPr>
            </w:pPr>
          </w:p>
        </w:tc>
        <w:tc>
          <w:tcPr>
            <w:tcW w:w="1760" w:type="dxa"/>
            <w:vAlign w:val="bottom"/>
          </w:tcPr>
          <w:p>
            <w:pPr>
              <w:ind w:left="1000"/>
              <w:spacing w:after="0"/>
              <w:rPr>
                <w:sz w:val="20"/>
                <w:szCs w:val="20"/>
                <w:color w:val="auto"/>
              </w:rPr>
            </w:pPr>
            <w:r>
              <w:rPr>
                <w:rFonts w:ascii="Arial" w:cs="Arial" w:eastAsia="Arial" w:hAnsi="Arial"/>
                <w:sz w:val="18"/>
                <w:szCs w:val="18"/>
                <w:color w:val="auto"/>
              </w:rPr>
              <w:t>5</w:t>
            </w: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0" w:name="page11"/>
    <w:bookmarkEnd w:id="10"/>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 of GAAP Net Income to Non-GAAP Net Income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52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440" w:type="dxa"/>
            <w:vAlign w:val="bottom"/>
            <w:gridSpan w:val="4"/>
          </w:tcPr>
          <w:p>
            <w:pPr>
              <w:jc w:val="center"/>
              <w:ind w:right="180"/>
              <w:spacing w:after="0"/>
              <w:rPr>
                <w:sz w:val="20"/>
                <w:szCs w:val="20"/>
                <w:color w:val="auto"/>
              </w:rPr>
            </w:pPr>
            <w:r>
              <w:rPr>
                <w:rFonts w:ascii="Arial" w:cs="Arial" w:eastAsia="Arial" w:hAnsi="Arial"/>
                <w:sz w:val="14"/>
                <w:szCs w:val="14"/>
                <w:b w:val="1"/>
                <w:bCs w:val="1"/>
                <w:color w:val="auto"/>
                <w:w w:val="88"/>
              </w:rPr>
              <w:t>Three Months Ended</w:t>
            </w: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180" w:type="dxa"/>
            <w:vAlign w:val="bottom"/>
            <w:gridSpan w:val="5"/>
          </w:tcPr>
          <w:p>
            <w:pPr>
              <w:jc w:val="right"/>
              <w:ind w:right="66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52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86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October 30,</w:t>
            </w:r>
          </w:p>
        </w:tc>
        <w:tc>
          <w:tcPr>
            <w:tcW w:w="3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040" w:type="dxa"/>
            <w:vAlign w:val="bottom"/>
            <w:tcBorders>
              <w:top w:val="single" w:sz="8" w:color="auto"/>
            </w:tcBorders>
            <w:gridSpan w:val="2"/>
          </w:tcPr>
          <w:p>
            <w:pPr>
              <w:jc w:val="center"/>
              <w:ind w:right="580"/>
              <w:spacing w:after="0" w:line="129" w:lineRule="exact"/>
              <w:rPr>
                <w:sz w:val="20"/>
                <w:szCs w:val="20"/>
                <w:color w:val="auto"/>
              </w:rPr>
            </w:pPr>
            <w:r>
              <w:rPr>
                <w:rFonts w:ascii="Arial" w:cs="Arial" w:eastAsia="Arial" w:hAnsi="Arial"/>
                <w:sz w:val="14"/>
                <w:szCs w:val="14"/>
                <w:b w:val="1"/>
                <w:bCs w:val="1"/>
                <w:color w:val="auto"/>
                <w:w w:val="89"/>
              </w:rPr>
              <w:t>July 31,</w:t>
            </w:r>
          </w:p>
        </w:tc>
        <w:tc>
          <w:tcPr>
            <w:tcW w:w="68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5"/>
              </w:rPr>
              <w:t>October 31,</w:t>
            </w:r>
          </w:p>
        </w:tc>
        <w:tc>
          <w:tcPr>
            <w:tcW w:w="3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60" w:type="dxa"/>
            <w:vAlign w:val="bottom"/>
            <w:tcBorders>
              <w:top w:val="single" w:sz="8" w:color="auto"/>
            </w:tcBorders>
            <w:gridSpan w:val="3"/>
          </w:tcPr>
          <w:p>
            <w:pPr>
              <w:jc w:val="right"/>
              <w:ind w:right="540"/>
              <w:spacing w:after="0" w:line="129" w:lineRule="exact"/>
              <w:rPr>
                <w:sz w:val="20"/>
                <w:szCs w:val="20"/>
                <w:color w:val="auto"/>
              </w:rPr>
            </w:pPr>
            <w:r>
              <w:rPr>
                <w:rFonts w:ascii="Arial" w:cs="Arial" w:eastAsia="Arial" w:hAnsi="Arial"/>
                <w:sz w:val="14"/>
                <w:szCs w:val="14"/>
                <w:b w:val="1"/>
                <w:bCs w:val="1"/>
                <w:color w:val="auto"/>
                <w:w w:val="90"/>
              </w:rPr>
              <w:t>October 30,</w:t>
            </w: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October 31,</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52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2010</w:t>
            </w:r>
          </w:p>
        </w:tc>
        <w:tc>
          <w:tcPr>
            <w:tcW w:w="1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center"/>
              <w:ind w:right="33"/>
              <w:spacing w:after="0"/>
              <w:rPr>
                <w:sz w:val="20"/>
                <w:szCs w:val="20"/>
                <w:color w:val="auto"/>
              </w:rPr>
            </w:pPr>
            <w:r>
              <w:rPr>
                <w:rFonts w:ascii="Arial" w:cs="Arial" w:eastAsia="Arial" w:hAnsi="Arial"/>
                <w:sz w:val="14"/>
                <w:szCs w:val="14"/>
                <w:b w:val="1"/>
                <w:bCs w:val="1"/>
                <w:color w:val="auto"/>
                <w:w w:val="83"/>
              </w:rPr>
              <w:t>2010</w:t>
            </w:r>
          </w:p>
        </w:tc>
        <w:tc>
          <w:tcPr>
            <w:tcW w:w="4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2009</w:t>
            </w:r>
          </w:p>
        </w:tc>
        <w:tc>
          <w:tcPr>
            <w:tcW w:w="3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2010</w:t>
            </w:r>
          </w:p>
        </w:tc>
        <w:tc>
          <w:tcPr>
            <w:tcW w:w="4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2009</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GAAP net income</w:t>
            </w:r>
          </w:p>
        </w:tc>
        <w:tc>
          <w:tcPr>
            <w:tcW w:w="1260" w:type="dxa"/>
            <w:vAlign w:val="bottom"/>
            <w:gridSpan w:val="2"/>
            <w:shd w:val="clear" w:color="auto" w:fill="CCEEFF"/>
          </w:tcPr>
          <w:p>
            <w:pPr>
              <w:ind w:left="1160"/>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6"/>
              </w:rPr>
              <w:t>255,732</w:t>
            </w:r>
          </w:p>
        </w:tc>
        <w:tc>
          <w:tcPr>
            <w:tcW w:w="4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219,777</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201,599</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681,276</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148,635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spacing w:after="0"/>
              <w:rPr>
                <w:sz w:val="20"/>
                <w:szCs w:val="20"/>
                <w:color w:val="auto"/>
              </w:rPr>
            </w:pPr>
            <w:r>
              <w:rPr>
                <w:rFonts w:ascii="Arial" w:cs="Arial" w:eastAsia="Arial" w:hAnsi="Arial"/>
                <w:sz w:val="18"/>
                <w:szCs w:val="18"/>
                <w:color w:val="auto"/>
              </w:rPr>
              <w:t>Stock-based compensation</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29,541</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30,689</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34,377</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87,126</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96,040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acquired intangible assets</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21,770</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21,214</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26,450</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65,533</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83,252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spacing w:after="0"/>
              <w:rPr>
                <w:sz w:val="20"/>
                <w:szCs w:val="20"/>
                <w:color w:val="auto"/>
              </w:rPr>
            </w:pPr>
            <w:r>
              <w:rPr>
                <w:rFonts w:ascii="Arial" w:cs="Arial" w:eastAsia="Arial" w:hAnsi="Arial"/>
                <w:sz w:val="18"/>
                <w:szCs w:val="18"/>
                <w:color w:val="auto"/>
              </w:rPr>
              <w:t xml:space="preserve">Restructuring </w:t>
            </w:r>
            <w:r>
              <w:rPr>
                <w:rFonts w:ascii="Arial" w:cs="Arial" w:eastAsia="Arial" w:hAnsi="Arial"/>
                <w:sz w:val="18"/>
                <w:szCs w:val="18"/>
                <w:i w:val="1"/>
                <w:iCs w:val="1"/>
                <w:color w:val="auto"/>
              </w:rPr>
              <w:t>(a)</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259</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1,660</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1,919</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2,504</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15,211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(b)</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w w:val="92"/>
              </w:rPr>
              <w:t>(32,569)</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4,373</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38,229</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520" w:type="dxa"/>
            <w:vAlign w:val="bottom"/>
          </w:tcPr>
          <w:p>
            <w:pPr>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(c)</w:t>
            </w:r>
          </w:p>
        </w:tc>
        <w:tc>
          <w:tcPr>
            <w:tcW w:w="11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990</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Non-GAAP net income</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6"/>
              </w:rPr>
              <w:t>307,302</w:t>
            </w:r>
          </w:p>
        </w:tc>
        <w:tc>
          <w:tcPr>
            <w:tcW w:w="4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273,340</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231,776</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840,812</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382,357</w:t>
            </w:r>
          </w:p>
        </w:tc>
        <w:tc>
          <w:tcPr>
            <w:tcW w:w="0" w:type="dxa"/>
            <w:vAlign w:val="bottom"/>
          </w:tcPr>
          <w:p>
            <w:pPr>
              <w:spacing w:after="0"/>
              <w:rPr>
                <w:sz w:val="1"/>
                <w:szCs w:val="1"/>
                <w:color w:val="auto"/>
              </w:rPr>
            </w:pPr>
          </w:p>
        </w:tc>
      </w:tr>
      <w:tr>
        <w:trPr>
          <w:trHeight w:val="20"/>
        </w:trPr>
        <w:tc>
          <w:tcPr>
            <w:tcW w:w="4540" w:type="dxa"/>
            <w:vAlign w:val="bottom"/>
            <w:gridSpan w:val="2"/>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7"/>
        </w:trPr>
        <w:tc>
          <w:tcPr>
            <w:tcW w:w="4540" w:type="dxa"/>
            <w:vAlign w:val="bottom"/>
            <w:gridSpan w:val="2"/>
          </w:tcPr>
          <w:p>
            <w:pPr>
              <w:spacing w:after="0"/>
              <w:rPr>
                <w:sz w:val="20"/>
                <w:szCs w:val="20"/>
                <w:color w:val="auto"/>
              </w:rPr>
            </w:pPr>
            <w:r>
              <w:rPr>
                <w:rFonts w:ascii="Arial" w:cs="Arial" w:eastAsia="Arial" w:hAnsi="Arial"/>
                <w:sz w:val="18"/>
                <w:szCs w:val="18"/>
                <w:color w:val="auto"/>
              </w:rPr>
              <w:t>GAAP weighted average shares - diluted</w:t>
            </w:r>
          </w:p>
        </w:tc>
        <w:tc>
          <w:tcPr>
            <w:tcW w:w="1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w w:val="86"/>
              </w:rPr>
              <w:t>674,789</w:t>
            </w: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675,220</w:t>
            </w:r>
          </w:p>
        </w:tc>
        <w:tc>
          <w:tcPr>
            <w:tcW w:w="4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659,739</w:t>
            </w:r>
          </w:p>
        </w:tc>
        <w:tc>
          <w:tcPr>
            <w:tcW w:w="1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676,023</w:t>
            </w: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647,863</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Non-GAAP adjustment</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2,710</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3,131</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4,297</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3,050</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2,938</w:t>
            </w:r>
          </w:p>
        </w:tc>
        <w:tc>
          <w:tcPr>
            <w:tcW w:w="0" w:type="dxa"/>
            <w:vAlign w:val="bottom"/>
          </w:tcPr>
          <w:p>
            <w:pPr>
              <w:spacing w:after="0"/>
              <w:rPr>
                <w:sz w:val="1"/>
                <w:szCs w:val="1"/>
                <w:color w:val="auto"/>
              </w:rPr>
            </w:pPr>
          </w:p>
        </w:tc>
      </w:tr>
      <w:tr>
        <w:trPr>
          <w:trHeight w:val="20"/>
        </w:trPr>
        <w:tc>
          <w:tcPr>
            <w:tcW w:w="4540" w:type="dxa"/>
            <w:vAlign w:val="bottom"/>
            <w:gridSpan w:val="2"/>
            <w:vMerge w:val="restart"/>
          </w:tcPr>
          <w:p>
            <w:pPr>
              <w:spacing w:after="0"/>
              <w:rPr>
                <w:sz w:val="20"/>
                <w:szCs w:val="20"/>
                <w:color w:val="auto"/>
              </w:rPr>
            </w:pPr>
            <w:r>
              <w:rPr>
                <w:rFonts w:ascii="Arial" w:cs="Arial" w:eastAsia="Arial" w:hAnsi="Arial"/>
                <w:sz w:val="18"/>
                <w:szCs w:val="18"/>
                <w:color w:val="auto"/>
              </w:rPr>
              <w:t xml:space="preserve">Non-GAAP weighted average shares diluted </w:t>
            </w:r>
            <w:r>
              <w:rPr>
                <w:rFonts w:ascii="Arial" w:cs="Arial" w:eastAsia="Arial" w:hAnsi="Arial"/>
                <w:sz w:val="18"/>
                <w:szCs w:val="18"/>
                <w:i w:val="1"/>
                <w:iCs w:val="1"/>
                <w:color w:val="auto"/>
              </w:rPr>
              <w:t>(d)</w:t>
            </w:r>
          </w:p>
        </w:tc>
        <w:tc>
          <w:tcPr>
            <w:tcW w:w="11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540" w:type="dxa"/>
            <w:vAlign w:val="bottom"/>
            <w:gridSpan w:val="2"/>
            <w:vMerge w:val="continue"/>
          </w:tcPr>
          <w:p>
            <w:pPr>
              <w:spacing w:after="0"/>
              <w:rPr>
                <w:sz w:val="19"/>
                <w:szCs w:val="19"/>
                <w:color w:val="auto"/>
              </w:rPr>
            </w:pPr>
          </w:p>
        </w:tc>
        <w:tc>
          <w:tcPr>
            <w:tcW w:w="1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w w:val="86"/>
              </w:rPr>
              <w:t>677,499</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678,351</w:t>
            </w:r>
          </w:p>
        </w:tc>
        <w:tc>
          <w:tcPr>
            <w:tcW w:w="4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664,036</w:t>
            </w:r>
          </w:p>
        </w:tc>
        <w:tc>
          <w:tcPr>
            <w:tcW w:w="1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679,073</w:t>
            </w:r>
          </w:p>
        </w:tc>
        <w:tc>
          <w:tcPr>
            <w:tcW w:w="4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650,801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2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GAAP diluted net income per share</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0.38</w:t>
            </w:r>
          </w:p>
        </w:tc>
        <w:tc>
          <w:tcPr>
            <w:tcW w:w="4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0.33</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0.31</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0.23</w:t>
            </w:r>
          </w:p>
        </w:tc>
        <w:tc>
          <w:tcPr>
            <w:tcW w:w="0" w:type="dxa"/>
            <w:vAlign w:val="bottom"/>
          </w:tcPr>
          <w:p>
            <w:pPr>
              <w:spacing w:after="0"/>
              <w:rPr>
                <w:sz w:val="1"/>
                <w:szCs w:val="1"/>
                <w:color w:val="auto"/>
              </w:rPr>
            </w:pPr>
          </w:p>
        </w:tc>
      </w:tr>
      <w:tr>
        <w:trPr>
          <w:trHeight w:val="20"/>
        </w:trPr>
        <w:tc>
          <w:tcPr>
            <w:tcW w:w="4540" w:type="dxa"/>
            <w:vAlign w:val="bottom"/>
            <w:gridSpan w:val="2"/>
            <w:vMerge w:val="restart"/>
          </w:tcPr>
          <w:p>
            <w:pPr>
              <w:spacing w:after="0"/>
              <w:rPr>
                <w:sz w:val="20"/>
                <w:szCs w:val="20"/>
                <w:color w:val="auto"/>
              </w:rPr>
            </w:pPr>
            <w:r>
              <w:rPr>
                <w:rFonts w:ascii="Arial" w:cs="Arial" w:eastAsia="Arial" w:hAnsi="Arial"/>
                <w:sz w:val="18"/>
                <w:szCs w:val="18"/>
                <w:color w:val="auto"/>
              </w:rPr>
              <w:t>Non-GAAP diluted net income per share</w:t>
            </w: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540" w:type="dxa"/>
            <w:vAlign w:val="bottom"/>
            <w:gridSpan w:val="2"/>
            <w:vMerge w:val="continue"/>
          </w:tcPr>
          <w:p>
            <w:pPr>
              <w:spacing w:after="0"/>
              <w:rPr>
                <w:sz w:val="18"/>
                <w:szCs w:val="18"/>
                <w:color w:val="auto"/>
              </w:rPr>
            </w:pPr>
          </w:p>
        </w:tc>
        <w:tc>
          <w:tcPr>
            <w:tcW w:w="1260" w:type="dxa"/>
            <w:vAlign w:val="bottom"/>
            <w:gridSpan w:val="2"/>
          </w:tcPr>
          <w:p>
            <w:pPr>
              <w:ind w:left="1160"/>
              <w:spacing w:after="0"/>
              <w:rPr>
                <w:sz w:val="20"/>
                <w:szCs w:val="20"/>
                <w:color w:val="auto"/>
              </w:rPr>
            </w:pPr>
            <w:r>
              <w:rPr>
                <w:rFonts w:ascii="Arial" w:cs="Arial" w:eastAsia="Arial" w:hAnsi="Arial"/>
                <w:sz w:val="18"/>
                <w:szCs w:val="18"/>
                <w:color w:val="auto"/>
                <w:w w:val="79"/>
              </w:rPr>
              <w:t>$</w:t>
            </w: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0.45</w:t>
            </w:r>
          </w:p>
        </w:tc>
        <w:tc>
          <w:tcPr>
            <w:tcW w:w="4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0.40</w:t>
            </w:r>
          </w:p>
        </w:tc>
        <w:tc>
          <w:tcPr>
            <w:tcW w:w="46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0.35</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1.24</w:t>
            </w:r>
          </w:p>
        </w:tc>
        <w:tc>
          <w:tcPr>
            <w:tcW w:w="480" w:type="dxa"/>
            <w:vAlign w:val="bottom"/>
          </w:tcPr>
          <w:p>
            <w:pPr>
              <w:spacing w:after="0"/>
              <w:rPr>
                <w:sz w:val="18"/>
                <w:szCs w:val="18"/>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0.59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2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452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46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 w:type="dxa"/>
            <w:vAlign w:val="bottom"/>
          </w:tcPr>
          <w:p>
            <w:pPr>
              <w:spacing w:after="0"/>
              <w:rPr>
                <w:sz w:val="8"/>
                <w:szCs w:val="8"/>
                <w:color w:val="auto"/>
              </w:rPr>
            </w:pPr>
          </w:p>
        </w:tc>
        <w:tc>
          <w:tcPr>
            <w:tcW w:w="70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GAAP gross profit:</w:t>
            </w:r>
          </w:p>
        </w:tc>
        <w:tc>
          <w:tcPr>
            <w:tcW w:w="1260" w:type="dxa"/>
            <w:vAlign w:val="bottom"/>
            <w:gridSpan w:val="2"/>
            <w:shd w:val="clear" w:color="auto" w:fill="CCEEFF"/>
          </w:tcPr>
          <w:p>
            <w:pPr>
              <w:ind w:left="1160"/>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6"/>
              </w:rPr>
              <w:t>568,519</w:t>
            </w:r>
          </w:p>
        </w:tc>
        <w:tc>
          <w:tcPr>
            <w:tcW w:w="4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529,792</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461,481</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1,609,905</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4"/>
              </w:rPr>
              <w:t>1,077,846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1,818</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1,692</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2,389</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5,746</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8,315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Other</w:t>
            </w:r>
          </w:p>
        </w:tc>
        <w:tc>
          <w:tcPr>
            <w:tcW w:w="11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990</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540" w:type="dxa"/>
            <w:vAlign w:val="bottom"/>
            <w:gridSpan w:val="2"/>
          </w:tcPr>
          <w:p>
            <w:pPr>
              <w:spacing w:after="0"/>
              <w:rPr>
                <w:sz w:val="20"/>
                <w:szCs w:val="20"/>
                <w:color w:val="auto"/>
              </w:rPr>
            </w:pPr>
            <w:r>
              <w:rPr>
                <w:rFonts w:ascii="Arial" w:cs="Arial" w:eastAsia="Arial" w:hAnsi="Arial"/>
                <w:sz w:val="18"/>
                <w:szCs w:val="18"/>
                <w:color w:val="auto"/>
              </w:rPr>
              <w:t>Non-GAAP gross profit</w:t>
            </w:r>
          </w:p>
        </w:tc>
        <w:tc>
          <w:tcPr>
            <w:tcW w:w="1260" w:type="dxa"/>
            <w:vAlign w:val="bottom"/>
            <w:gridSpan w:val="2"/>
          </w:tcPr>
          <w:p>
            <w:pPr>
              <w:ind w:left="1160"/>
              <w:spacing w:after="0"/>
              <w:rPr>
                <w:sz w:val="20"/>
                <w:szCs w:val="20"/>
                <w:color w:val="auto"/>
              </w:rPr>
            </w:pPr>
            <w:r>
              <w:rPr>
                <w:rFonts w:ascii="Arial" w:cs="Arial" w:eastAsia="Arial" w:hAnsi="Arial"/>
                <w:sz w:val="18"/>
                <w:szCs w:val="18"/>
                <w:u w:val="single" w:color="auto"/>
                <w:color w:val="auto"/>
                <w:w w:val="79"/>
              </w:rPr>
              <w:t>$</w:t>
            </w: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w w:val="86"/>
              </w:rPr>
              <w:t>570,337</w:t>
            </w:r>
          </w:p>
        </w:tc>
        <w:tc>
          <w:tcPr>
            <w:tcW w:w="400" w:type="dxa"/>
            <w:vAlign w:val="bottom"/>
            <w:gridSpan w:val="2"/>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531,484</w:t>
            </w:r>
          </w:p>
        </w:tc>
        <w:tc>
          <w:tcPr>
            <w:tcW w:w="460" w:type="dxa"/>
            <w:vAlign w:val="bottom"/>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u w:val="single" w:color="auto"/>
                <w:color w:val="auto"/>
                <w:w w:val="7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w w:val="86"/>
              </w:rPr>
              <w:t>463,870</w:t>
            </w:r>
          </w:p>
        </w:tc>
        <w:tc>
          <w:tcPr>
            <w:tcW w:w="26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1,615,651</w:t>
            </w:r>
          </w:p>
        </w:tc>
        <w:tc>
          <w:tcPr>
            <w:tcW w:w="4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1,087,151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2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452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46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 w:type="dxa"/>
            <w:vAlign w:val="bottom"/>
          </w:tcPr>
          <w:p>
            <w:pPr>
              <w:spacing w:after="0"/>
              <w:rPr>
                <w:sz w:val="8"/>
                <w:szCs w:val="8"/>
                <w:color w:val="auto"/>
              </w:rPr>
            </w:pPr>
          </w:p>
        </w:tc>
        <w:tc>
          <w:tcPr>
            <w:tcW w:w="70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GAAP gross profit as a % of revenue</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59.3%</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59.1%</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57.5%</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59.4%</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54.8%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40"/>
              <w:spacing w:after="0"/>
              <w:rPr>
                <w:sz w:val="20"/>
                <w:szCs w:val="20"/>
                <w:color w:val="auto"/>
              </w:rPr>
            </w:pPr>
            <w:r>
              <w:rPr>
                <w:rFonts w:ascii="Arial" w:cs="Arial" w:eastAsia="Arial" w:hAnsi="Arial"/>
                <w:sz w:val="18"/>
                <w:szCs w:val="18"/>
                <w:color w:val="auto"/>
              </w:rPr>
              <w:t>0.2%</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0.2%</w:t>
            </w:r>
          </w:p>
        </w:tc>
        <w:tc>
          <w:tcPr>
            <w:tcW w:w="100" w:type="dxa"/>
            <w:vAlign w:val="bottom"/>
          </w:tcPr>
          <w:p>
            <w:pPr>
              <w:spacing w:after="0"/>
              <w:rPr>
                <w:sz w:val="18"/>
                <w:szCs w:val="18"/>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0.3%</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320"/>
              <w:spacing w:after="0"/>
              <w:rPr>
                <w:sz w:val="20"/>
                <w:szCs w:val="20"/>
                <w:color w:val="auto"/>
              </w:rPr>
            </w:pPr>
            <w:r>
              <w:rPr>
                <w:rFonts w:ascii="Arial" w:cs="Arial" w:eastAsia="Arial" w:hAnsi="Arial"/>
                <w:sz w:val="18"/>
                <w:szCs w:val="18"/>
                <w:color w:val="auto"/>
              </w:rPr>
              <w:t>0.2%</w:t>
            </w:r>
          </w:p>
        </w:tc>
        <w:tc>
          <w:tcPr>
            <w:tcW w:w="100" w:type="dxa"/>
            <w:vAlign w:val="bottom"/>
          </w:tcPr>
          <w:p>
            <w:pPr>
              <w:spacing w:after="0"/>
              <w:rPr>
                <w:sz w:val="18"/>
                <w:szCs w:val="18"/>
                <w:color w:val="auto"/>
              </w:rPr>
            </w:pP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Other</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0.1%</w:t>
            </w:r>
          </w:p>
        </w:tc>
        <w:tc>
          <w:tcPr>
            <w:tcW w:w="0" w:type="dxa"/>
            <w:vAlign w:val="bottom"/>
          </w:tcPr>
          <w:p>
            <w:pPr>
              <w:spacing w:after="0"/>
              <w:rPr>
                <w:sz w:val="1"/>
                <w:szCs w:val="1"/>
                <w:color w:val="auto"/>
              </w:rPr>
            </w:pPr>
          </w:p>
        </w:tc>
      </w:tr>
      <w:tr>
        <w:trPr>
          <w:trHeight w:val="20"/>
        </w:trPr>
        <w:tc>
          <w:tcPr>
            <w:tcW w:w="4540" w:type="dxa"/>
            <w:vAlign w:val="bottom"/>
            <w:gridSpan w:val="2"/>
            <w:vMerge w:val="restart"/>
          </w:tcPr>
          <w:p>
            <w:pPr>
              <w:spacing w:after="0"/>
              <w:rPr>
                <w:sz w:val="20"/>
                <w:szCs w:val="20"/>
                <w:color w:val="auto"/>
              </w:rPr>
            </w:pPr>
            <w:r>
              <w:rPr>
                <w:rFonts w:ascii="Arial" w:cs="Arial" w:eastAsia="Arial" w:hAnsi="Arial"/>
                <w:sz w:val="18"/>
                <w:szCs w:val="18"/>
                <w:color w:val="auto"/>
              </w:rPr>
              <w:t>Non-GAAP gross profit</w:t>
            </w:r>
          </w:p>
        </w:tc>
        <w:tc>
          <w:tcPr>
            <w:tcW w:w="11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540" w:type="dxa"/>
            <w:vAlign w:val="bottom"/>
            <w:gridSpan w:val="2"/>
            <w:vMerge w:val="continue"/>
          </w:tcPr>
          <w:p>
            <w:pPr>
              <w:spacing w:after="0"/>
              <w:rPr>
                <w:sz w:val="19"/>
                <w:szCs w:val="19"/>
                <w:color w:val="auto"/>
              </w:rPr>
            </w:pPr>
          </w:p>
        </w:tc>
        <w:tc>
          <w:tcPr>
            <w:tcW w:w="1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60" w:type="dxa"/>
            <w:vAlign w:val="bottom"/>
            <w:gridSpan w:val="2"/>
          </w:tcPr>
          <w:p>
            <w:pPr>
              <w:jc w:val="right"/>
              <w:ind w:right="40"/>
              <w:spacing w:after="0"/>
              <w:rPr>
                <w:sz w:val="20"/>
                <w:szCs w:val="20"/>
                <w:color w:val="auto"/>
              </w:rPr>
            </w:pPr>
            <w:r>
              <w:rPr>
                <w:rFonts w:ascii="Arial" w:cs="Arial" w:eastAsia="Arial" w:hAnsi="Arial"/>
                <w:sz w:val="18"/>
                <w:szCs w:val="18"/>
                <w:color w:val="auto"/>
              </w:rPr>
              <w:t>59.5%</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59.3%</w:t>
            </w:r>
          </w:p>
        </w:tc>
        <w:tc>
          <w:tcPr>
            <w:tcW w:w="100" w:type="dxa"/>
            <w:vAlign w:val="bottom"/>
          </w:tcPr>
          <w:p>
            <w:pPr>
              <w:spacing w:after="0"/>
              <w:rPr>
                <w:sz w:val="19"/>
                <w:szCs w:val="19"/>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8"/>
                <w:szCs w:val="18"/>
                <w:color w:val="auto"/>
              </w:rPr>
              <w:t>57.8%</w:t>
            </w:r>
          </w:p>
        </w:tc>
        <w:tc>
          <w:tcPr>
            <w:tcW w:w="1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180" w:type="dxa"/>
            <w:vAlign w:val="bottom"/>
            <w:gridSpan w:val="2"/>
          </w:tcPr>
          <w:p>
            <w:pPr>
              <w:jc w:val="right"/>
              <w:ind w:right="320"/>
              <w:spacing w:after="0"/>
              <w:rPr>
                <w:sz w:val="20"/>
                <w:szCs w:val="20"/>
                <w:color w:val="auto"/>
              </w:rPr>
            </w:pPr>
            <w:r>
              <w:rPr>
                <w:rFonts w:ascii="Arial" w:cs="Arial" w:eastAsia="Arial" w:hAnsi="Arial"/>
                <w:sz w:val="18"/>
                <w:szCs w:val="18"/>
                <w:color w:val="auto"/>
              </w:rPr>
              <w:t>59.6%</w:t>
            </w:r>
          </w:p>
        </w:tc>
        <w:tc>
          <w:tcPr>
            <w:tcW w:w="100" w:type="dxa"/>
            <w:vAlign w:val="bottom"/>
          </w:tcPr>
          <w:p>
            <w:pPr>
              <w:spacing w:after="0"/>
              <w:rPr>
                <w:sz w:val="19"/>
                <w:szCs w:val="19"/>
                <w:color w:val="auto"/>
              </w:rPr>
            </w:pPr>
          </w:p>
        </w:tc>
        <w:tc>
          <w:tcPr>
            <w:tcW w:w="900" w:type="dxa"/>
            <w:vAlign w:val="bottom"/>
            <w:gridSpan w:val="2"/>
          </w:tcPr>
          <w:p>
            <w:pPr>
              <w:jc w:val="right"/>
              <w:ind w:right="60"/>
              <w:spacing w:after="0"/>
              <w:rPr>
                <w:sz w:val="20"/>
                <w:szCs w:val="20"/>
                <w:color w:val="auto"/>
              </w:rPr>
            </w:pPr>
            <w:r>
              <w:rPr>
                <w:rFonts w:ascii="Arial" w:cs="Arial" w:eastAsia="Arial" w:hAnsi="Arial"/>
                <w:sz w:val="18"/>
                <w:szCs w:val="18"/>
                <w:color w:val="auto"/>
              </w:rPr>
              <w:t>55.3%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2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452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46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 w:type="dxa"/>
            <w:vAlign w:val="bottom"/>
          </w:tcPr>
          <w:p>
            <w:pPr>
              <w:spacing w:after="0"/>
              <w:rPr>
                <w:sz w:val="8"/>
                <w:szCs w:val="8"/>
                <w:color w:val="auto"/>
              </w:rPr>
            </w:pPr>
          </w:p>
        </w:tc>
        <w:tc>
          <w:tcPr>
            <w:tcW w:w="70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GAAP research and development:</w:t>
            </w:r>
          </w:p>
        </w:tc>
        <w:tc>
          <w:tcPr>
            <w:tcW w:w="1260" w:type="dxa"/>
            <w:vAlign w:val="bottom"/>
            <w:gridSpan w:val="2"/>
            <w:shd w:val="clear" w:color="auto" w:fill="CCEEFF"/>
          </w:tcPr>
          <w:p>
            <w:pPr>
              <w:ind w:left="1160"/>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6"/>
              </w:rPr>
              <w:t>218,420</w:t>
            </w:r>
          </w:p>
        </w:tc>
        <w:tc>
          <w:tcPr>
            <w:tcW w:w="4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228,211</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212,873</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665,742</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615,152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w w:val="92"/>
              </w:rPr>
              <w:t>(19,795)</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420"/>
              <w:spacing w:after="0"/>
              <w:rPr>
                <w:sz w:val="20"/>
                <w:szCs w:val="20"/>
                <w:color w:val="auto"/>
              </w:rPr>
            </w:pPr>
            <w:r>
              <w:rPr>
                <w:rFonts w:ascii="Arial" w:cs="Arial" w:eastAsia="Arial" w:hAnsi="Arial"/>
                <w:sz w:val="18"/>
                <w:szCs w:val="18"/>
                <w:color w:val="auto"/>
                <w:w w:val="89"/>
              </w:rPr>
              <w:t>(22,089)</w:t>
            </w:r>
          </w:p>
        </w:tc>
        <w:tc>
          <w:tcPr>
            <w:tcW w:w="10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w w:val="92"/>
              </w:rPr>
              <w:t>(24,134)</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(60,735)</w:t>
            </w: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(68,064)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Restructuring</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(187)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(1,370)</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(1,338)</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(1,686)</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(10,704)</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Legal/Tax settlement</w:t>
            </w:r>
          </w:p>
        </w:tc>
        <w:tc>
          <w:tcPr>
            <w:tcW w:w="11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1,820</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Non-GAAP research and development</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6"/>
              </w:rPr>
              <w:t>198,438</w:t>
            </w:r>
          </w:p>
        </w:tc>
        <w:tc>
          <w:tcPr>
            <w:tcW w:w="4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204,752</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u w:val="single" w:color="auto"/>
                <w:color w:val="auto"/>
                <w:w w:val="7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6"/>
              </w:rPr>
              <w:t>187,401</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603,321</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538,204</w:t>
            </w:r>
          </w:p>
        </w:tc>
        <w:tc>
          <w:tcPr>
            <w:tcW w:w="0" w:type="dxa"/>
            <w:vAlign w:val="bottom"/>
          </w:tcPr>
          <w:p>
            <w:pPr>
              <w:spacing w:after="0"/>
              <w:rPr>
                <w:sz w:val="1"/>
                <w:szCs w:val="1"/>
                <w:color w:val="auto"/>
              </w:rPr>
            </w:pPr>
          </w:p>
        </w:tc>
      </w:tr>
      <w:tr>
        <w:trPr>
          <w:trHeight w:val="20"/>
        </w:trPr>
        <w:tc>
          <w:tcPr>
            <w:tcW w:w="4540" w:type="dxa"/>
            <w:vAlign w:val="bottom"/>
            <w:gridSpan w:val="2"/>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7"/>
        </w:trPr>
        <w:tc>
          <w:tcPr>
            <w:tcW w:w="4540" w:type="dxa"/>
            <w:vAlign w:val="bottom"/>
            <w:gridSpan w:val="2"/>
          </w:tcPr>
          <w:p>
            <w:pPr>
              <w:spacing w:after="0"/>
              <w:rPr>
                <w:sz w:val="20"/>
                <w:szCs w:val="20"/>
                <w:color w:val="auto"/>
              </w:rPr>
            </w:pPr>
            <w:r>
              <w:rPr>
                <w:rFonts w:ascii="Arial" w:cs="Arial" w:eastAsia="Arial" w:hAnsi="Arial"/>
                <w:sz w:val="18"/>
                <w:szCs w:val="18"/>
                <w:color w:val="auto"/>
              </w:rPr>
              <w:t>GAAP selling and marketing:</w:t>
            </w:r>
          </w:p>
        </w:tc>
        <w:tc>
          <w:tcPr>
            <w:tcW w:w="1260" w:type="dxa"/>
            <w:vAlign w:val="bottom"/>
            <w:gridSpan w:val="2"/>
          </w:tcPr>
          <w:p>
            <w:pPr>
              <w:ind w:left="1160"/>
              <w:spacing w:after="0"/>
              <w:rPr>
                <w:sz w:val="20"/>
                <w:szCs w:val="20"/>
                <w:color w:val="auto"/>
              </w:rPr>
            </w:pPr>
            <w:r>
              <w:rPr>
                <w:rFonts w:ascii="Arial" w:cs="Arial" w:eastAsia="Arial" w:hAnsi="Arial"/>
                <w:sz w:val="18"/>
                <w:szCs w:val="18"/>
                <w:color w:val="auto"/>
                <w:w w:val="79"/>
              </w:rPr>
              <w:t>$</w:t>
            </w: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39,751</w:t>
            </w:r>
          </w:p>
        </w:tc>
        <w:tc>
          <w:tcPr>
            <w:tcW w:w="4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36,863</w:t>
            </w:r>
          </w:p>
        </w:tc>
        <w:tc>
          <w:tcPr>
            <w:tcW w:w="460" w:type="dxa"/>
            <w:vAlign w:val="bottom"/>
          </w:tcPr>
          <w:p>
            <w:pPr>
              <w:spacing w:after="0"/>
              <w:rPr>
                <w:sz w:val="24"/>
                <w:szCs w:val="24"/>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35,442</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80" w:type="dxa"/>
            <w:vAlign w:val="bottom"/>
            <w:gridSpan w:val="2"/>
          </w:tcPr>
          <w:p>
            <w:pPr>
              <w:jc w:val="right"/>
              <w:ind w:right="480"/>
              <w:spacing w:after="0"/>
              <w:rPr>
                <w:sz w:val="20"/>
                <w:szCs w:val="20"/>
                <w:color w:val="auto"/>
              </w:rPr>
            </w:pPr>
            <w:r>
              <w:rPr>
                <w:rFonts w:ascii="Arial" w:cs="Arial" w:eastAsia="Arial" w:hAnsi="Arial"/>
                <w:sz w:val="18"/>
                <w:szCs w:val="18"/>
                <w:color w:val="auto"/>
              </w:rPr>
              <w:t>115,037</w:t>
            </w: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102,260</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(3,208)</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(2,397)</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(4,087)</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(8,778)</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(11,457)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Restructuring</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5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(51)</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5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(1,839)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Legal/Tax settlement</w:t>
            </w:r>
          </w:p>
        </w:tc>
        <w:tc>
          <w:tcPr>
            <w:tcW w:w="11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659</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540" w:type="dxa"/>
            <w:vAlign w:val="bottom"/>
            <w:gridSpan w:val="2"/>
          </w:tcPr>
          <w:p>
            <w:pPr>
              <w:spacing w:after="0"/>
              <w:rPr>
                <w:sz w:val="20"/>
                <w:szCs w:val="20"/>
                <w:color w:val="auto"/>
              </w:rPr>
            </w:pPr>
            <w:r>
              <w:rPr>
                <w:rFonts w:ascii="Arial" w:cs="Arial" w:eastAsia="Arial" w:hAnsi="Arial"/>
                <w:sz w:val="18"/>
                <w:szCs w:val="18"/>
                <w:color w:val="auto"/>
              </w:rPr>
              <w:t>Non-GAAP selling and marketing</w:t>
            </w:r>
          </w:p>
        </w:tc>
        <w:tc>
          <w:tcPr>
            <w:tcW w:w="1260" w:type="dxa"/>
            <w:vAlign w:val="bottom"/>
            <w:gridSpan w:val="2"/>
          </w:tcPr>
          <w:p>
            <w:pPr>
              <w:ind w:left="1160"/>
              <w:spacing w:after="0"/>
              <w:rPr>
                <w:sz w:val="20"/>
                <w:szCs w:val="20"/>
                <w:color w:val="auto"/>
              </w:rPr>
            </w:pPr>
            <w:r>
              <w:rPr>
                <w:rFonts w:ascii="Arial" w:cs="Arial" w:eastAsia="Arial" w:hAnsi="Arial"/>
                <w:sz w:val="18"/>
                <w:szCs w:val="18"/>
                <w:color w:val="auto"/>
                <w:w w:val="79"/>
              </w:rPr>
              <w:t>$</w:t>
            </w: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36,543</w:t>
            </w:r>
          </w:p>
        </w:tc>
        <w:tc>
          <w:tcPr>
            <w:tcW w:w="4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34,466</w:t>
            </w:r>
          </w:p>
        </w:tc>
        <w:tc>
          <w:tcPr>
            <w:tcW w:w="460" w:type="dxa"/>
            <w:vAlign w:val="bottom"/>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tcPr>
          <w:p>
            <w:pPr>
              <w:jc w:val="right"/>
              <w:ind w:right="300"/>
              <w:spacing w:after="0"/>
              <w:rPr>
                <w:sz w:val="20"/>
                <w:szCs w:val="20"/>
                <w:color w:val="auto"/>
              </w:rPr>
            </w:pPr>
            <w:r>
              <w:rPr>
                <w:rFonts w:ascii="Arial" w:cs="Arial" w:eastAsia="Arial" w:hAnsi="Arial"/>
                <w:sz w:val="18"/>
                <w:szCs w:val="18"/>
                <w:color w:val="auto"/>
              </w:rPr>
              <w:t>31,304</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106,259</w:t>
            </w:r>
          </w:p>
        </w:tc>
        <w:tc>
          <w:tcPr>
            <w:tcW w:w="48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89,623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2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452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46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 w:type="dxa"/>
            <w:vAlign w:val="bottom"/>
          </w:tcPr>
          <w:p>
            <w:pPr>
              <w:spacing w:after="0"/>
              <w:rPr>
                <w:sz w:val="8"/>
                <w:szCs w:val="8"/>
                <w:color w:val="auto"/>
              </w:rPr>
            </w:pPr>
          </w:p>
        </w:tc>
        <w:tc>
          <w:tcPr>
            <w:tcW w:w="700" w:type="dxa"/>
            <w:vAlign w:val="bottom"/>
          </w:tcPr>
          <w:p>
            <w:pPr>
              <w:spacing w:after="0"/>
              <w:rPr>
                <w:sz w:val="8"/>
                <w:szCs w:val="8"/>
                <w:color w:val="auto"/>
              </w:rPr>
            </w:pPr>
          </w:p>
        </w:tc>
        <w:tc>
          <w:tcPr>
            <w:tcW w:w="48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GAAP general and administrative:</w:t>
            </w:r>
          </w:p>
        </w:tc>
        <w:tc>
          <w:tcPr>
            <w:tcW w:w="1260" w:type="dxa"/>
            <w:vAlign w:val="bottom"/>
            <w:gridSpan w:val="2"/>
            <w:shd w:val="clear" w:color="auto" w:fill="CCEEFF"/>
          </w:tcPr>
          <w:p>
            <w:pPr>
              <w:ind w:left="1160"/>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29,576</w:t>
            </w:r>
          </w:p>
        </w:tc>
        <w:tc>
          <w:tcPr>
            <w:tcW w:w="4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25,440</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16,660</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78,124</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148,856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Stock-based compensation</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(4,720)</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40" w:type="dxa"/>
            <w:vAlign w:val="bottom"/>
            <w:gridSpan w:val="2"/>
          </w:tcPr>
          <w:p>
            <w:pPr>
              <w:jc w:val="right"/>
              <w:ind w:right="420"/>
              <w:spacing w:after="0"/>
              <w:rPr>
                <w:sz w:val="20"/>
                <w:szCs w:val="20"/>
                <w:color w:val="auto"/>
              </w:rPr>
            </w:pPr>
            <w:r>
              <w:rPr>
                <w:rFonts w:ascii="Arial" w:cs="Arial" w:eastAsia="Arial" w:hAnsi="Arial"/>
                <w:sz w:val="18"/>
                <w:szCs w:val="18"/>
                <w:color w:val="auto"/>
              </w:rPr>
              <w:t>(4,511)</w:t>
            </w:r>
          </w:p>
        </w:tc>
        <w:tc>
          <w:tcPr>
            <w:tcW w:w="100" w:type="dxa"/>
            <w:vAlign w:val="bottom"/>
          </w:tcPr>
          <w:p>
            <w:pPr>
              <w:spacing w:after="0"/>
              <w:rPr>
                <w:sz w:val="18"/>
                <w:szCs w:val="18"/>
                <w:color w:val="auto"/>
              </w:rPr>
            </w:pPr>
          </w:p>
        </w:tc>
        <w:tc>
          <w:tcPr>
            <w:tcW w:w="880" w:type="dxa"/>
            <w:vAlign w:val="bottom"/>
            <w:gridSpan w:val="2"/>
          </w:tcPr>
          <w:p>
            <w:pPr>
              <w:jc w:val="right"/>
              <w:ind w:right="240"/>
              <w:spacing w:after="0"/>
              <w:rPr>
                <w:sz w:val="20"/>
                <w:szCs w:val="20"/>
                <w:color w:val="auto"/>
              </w:rPr>
            </w:pPr>
            <w:r>
              <w:rPr>
                <w:rFonts w:ascii="Arial" w:cs="Arial" w:eastAsia="Arial" w:hAnsi="Arial"/>
                <w:sz w:val="18"/>
                <w:szCs w:val="18"/>
                <w:color w:val="auto"/>
              </w:rPr>
              <w:t>(3,767)</w:t>
            </w: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420"/>
              <w:spacing w:after="0"/>
              <w:rPr>
                <w:sz w:val="20"/>
                <w:szCs w:val="20"/>
                <w:color w:val="auto"/>
              </w:rPr>
            </w:pPr>
            <w:r>
              <w:rPr>
                <w:rFonts w:ascii="Arial" w:cs="Arial" w:eastAsia="Arial" w:hAnsi="Arial"/>
                <w:sz w:val="18"/>
                <w:szCs w:val="18"/>
                <w:color w:val="auto"/>
              </w:rPr>
              <w:t>(11,867)</w:t>
            </w: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(8,204)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Restructuring</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(72)</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(290)</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(530)</w:t>
            </w:r>
          </w:p>
        </w:tc>
        <w:tc>
          <w:tcPr>
            <w:tcW w:w="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(818)</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(2,668)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20" w:type="dxa"/>
            <w:vAlign w:val="bottom"/>
          </w:tcPr>
          <w:p>
            <w:pPr>
              <w:ind w:left="420"/>
              <w:spacing w:after="0"/>
              <w:rPr>
                <w:sz w:val="20"/>
                <w:szCs w:val="20"/>
                <w:color w:val="auto"/>
              </w:rPr>
            </w:pPr>
            <w:r>
              <w:rPr>
                <w:rFonts w:ascii="Arial" w:cs="Arial" w:eastAsia="Arial" w:hAnsi="Arial"/>
                <w:sz w:val="18"/>
                <w:szCs w:val="18"/>
                <w:color w:val="auto"/>
              </w:rPr>
              <w:t>Legal/Tax settlement</w:t>
            </w: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3"/>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(71,842)</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5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20" w:type="dxa"/>
            <w:vAlign w:val="bottom"/>
            <w:shd w:val="clear" w:color="auto" w:fill="CCEEFF"/>
          </w:tcPr>
          <w:p>
            <w:pPr>
              <w:spacing w:after="0"/>
              <w:rPr>
                <w:sz w:val="20"/>
                <w:szCs w:val="20"/>
                <w:color w:val="auto"/>
              </w:rPr>
            </w:pPr>
            <w:r>
              <w:rPr>
                <w:rFonts w:ascii="Arial" w:cs="Arial" w:eastAsia="Arial" w:hAnsi="Arial"/>
                <w:sz w:val="18"/>
                <w:szCs w:val="18"/>
                <w:color w:val="auto"/>
              </w:rPr>
              <w:t>Non-GAAP general and administrative</w:t>
            </w:r>
          </w:p>
        </w:tc>
        <w:tc>
          <w:tcPr>
            <w:tcW w:w="1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24,784</w:t>
            </w:r>
          </w:p>
        </w:tc>
        <w:tc>
          <w:tcPr>
            <w:tcW w:w="4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20,639</w:t>
            </w:r>
          </w:p>
        </w:tc>
        <w:tc>
          <w:tcPr>
            <w:tcW w:w="4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88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12,363</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65,439</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66,142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2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8" w:lineRule="exact"/>
        <w:rPr>
          <w:sz w:val="20"/>
          <w:szCs w:val="20"/>
          <w:color w:val="auto"/>
        </w:rPr>
      </w:pPr>
    </w:p>
    <w:p>
      <w:pPr>
        <w:ind w:left="460" w:right="320" w:hanging="452"/>
        <w:spacing w:after="0" w:line="254" w:lineRule="auto"/>
        <w:tabs>
          <w:tab w:leader="none" w:pos="46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Amounts represent restructuring-related charges, including severance costs from reductions in force and asset impairment, as well as a charge related to facilities impairment.</w:t>
      </w:r>
    </w:p>
    <w:p>
      <w:pPr>
        <w:ind w:left="460" w:right="160" w:hanging="452"/>
        <w:spacing w:after="0" w:line="250" w:lineRule="auto"/>
        <w:tabs>
          <w:tab w:leader="none" w:pos="46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The nine months ended October 30, 2010 includes an amount representing the portion of an IP litigation settlement. The nine months ended October 31, 2009 includes a $72.0 million charge in connection with the settlement of a class action litigation. This is offset by a $27.3 million benefit in the fiscal quarter ended October 31, 2009 resulting from the expiration of the statute of limitations related to a tax contingency reserve, in addition to a $5.3 million income tax benefit related to the adjustment of a prior year deferred tax asset.</w:t>
      </w:r>
    </w:p>
    <w:p>
      <w:pPr>
        <w:spacing w:after="0" w:line="1" w:lineRule="exact"/>
        <w:rPr>
          <w:rFonts w:ascii="Arial" w:cs="Arial" w:eastAsia="Arial" w:hAnsi="Arial"/>
          <w:sz w:val="18"/>
          <w:szCs w:val="18"/>
          <w:i w:val="1"/>
          <w:iCs w:val="1"/>
          <w:color w:val="auto"/>
        </w:rPr>
      </w:pPr>
    </w:p>
    <w:p>
      <w:pPr>
        <w:ind w:left="460" w:hanging="452"/>
        <w:spacing w:after="0"/>
        <w:tabs>
          <w:tab w:leader="none" w:pos="46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The nine months ended October 31, 2009 includes underutilization charges related to the rampdown of the Malaysia test operations.</w:t>
      </w:r>
    </w:p>
    <w:p>
      <w:pPr>
        <w:spacing w:after="0" w:line="9" w:lineRule="exact"/>
        <w:rPr>
          <w:rFonts w:ascii="Arial" w:cs="Arial" w:eastAsia="Arial" w:hAnsi="Arial"/>
          <w:sz w:val="18"/>
          <w:szCs w:val="18"/>
          <w:i w:val="1"/>
          <w:iCs w:val="1"/>
          <w:color w:val="auto"/>
        </w:rPr>
      </w:pPr>
    </w:p>
    <w:p>
      <w:pPr>
        <w:ind w:left="460" w:right="380" w:hanging="452"/>
        <w:spacing w:after="0" w:line="323" w:lineRule="auto"/>
        <w:tabs>
          <w:tab w:leader="none" w:pos="460" w:val="left"/>
        </w:tabs>
        <w:numPr>
          <w:ilvl w:val="0"/>
          <w:numId w:val="7"/>
        </w:numPr>
        <w:rPr>
          <w:rFonts w:ascii="Arial" w:cs="Arial" w:eastAsia="Arial" w:hAnsi="Arial"/>
          <w:sz w:val="16"/>
          <w:szCs w:val="16"/>
          <w:i w:val="1"/>
          <w:iCs w:val="1"/>
          <w:color w:val="auto"/>
        </w:rPr>
      </w:pPr>
      <w:r>
        <w:rPr>
          <w:rFonts w:ascii="Arial" w:cs="Arial" w:eastAsia="Arial" w:hAnsi="Arial"/>
          <w:sz w:val="16"/>
          <w:szCs w:val="16"/>
          <w:color w:val="auto"/>
        </w:rPr>
        <w:t>For purposes of calculating non-GAAP diluted net income per share, the GAAP diluted weighted average shares outstanding is adjusted to exclude the benefits of stock compensation costs attributable to future services and not yet recognized in the financial statements.</w:t>
      </w:r>
    </w:p>
    <w:p>
      <w:pPr>
        <w:spacing w:after="0" w:line="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274" w:right="23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84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1120" w:type="dxa"/>
            <w:vAlign w:val="bottom"/>
            <w:gridSpan w:val="3"/>
          </w:tcPr>
          <w:p>
            <w:pPr>
              <w:jc w:val="right"/>
              <w:ind w:right="380"/>
              <w:spacing w:after="0"/>
              <w:rPr>
                <w:sz w:val="20"/>
                <w:szCs w:val="20"/>
                <w:color w:val="auto"/>
              </w:rPr>
            </w:pPr>
            <w:r>
              <w:rPr>
                <w:rFonts w:ascii="Arial" w:cs="Arial" w:eastAsia="Arial" w:hAnsi="Arial"/>
                <w:sz w:val="14"/>
                <w:szCs w:val="14"/>
                <w:b w:val="1"/>
                <w:bCs w:val="1"/>
                <w:color w:val="auto"/>
                <w:w w:val="93"/>
              </w:rPr>
              <w:t>October 31,</w:t>
            </w:r>
          </w:p>
        </w:tc>
        <w:tc>
          <w:tcPr>
            <w:tcW w:w="900" w:type="dxa"/>
            <w:vAlign w:val="bottom"/>
            <w:gridSpan w:val="3"/>
          </w:tcPr>
          <w:p>
            <w:pPr>
              <w:jc w:val="right"/>
              <w:ind w:right="160"/>
              <w:spacing w:after="0"/>
              <w:rPr>
                <w:sz w:val="20"/>
                <w:szCs w:val="20"/>
                <w:color w:val="auto"/>
              </w:rPr>
            </w:pPr>
            <w:r>
              <w:rPr>
                <w:rFonts w:ascii="Arial" w:cs="Arial" w:eastAsia="Arial" w:hAnsi="Arial"/>
                <w:sz w:val="14"/>
                <w:szCs w:val="14"/>
                <w:b w:val="1"/>
                <w:bCs w:val="1"/>
                <w:color w:val="auto"/>
                <w:w w:val="93"/>
              </w:rPr>
              <w:t>January 30,</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84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2010</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Assets</w:t>
            </w:r>
          </w:p>
        </w:tc>
        <w:tc>
          <w:tcPr>
            <w:tcW w:w="4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Current assets:</w:t>
            </w:r>
          </w:p>
        </w:tc>
        <w:tc>
          <w:tcPr>
            <w:tcW w:w="4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Cash, cash equivalents, and short-term investments</w:t>
            </w:r>
          </w:p>
        </w:tc>
        <w:tc>
          <w:tcPr>
            <w:tcW w:w="4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2,675,273</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1,796,717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Accounts receivable, net</w:t>
            </w:r>
          </w:p>
        </w:tc>
        <w:tc>
          <w:tcPr>
            <w:tcW w:w="4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467,975</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356,796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Inventories</w:t>
            </w:r>
          </w:p>
        </w:tc>
        <w:tc>
          <w:tcPr>
            <w:tcW w:w="4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227,936</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241,541</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Prepaid expenses and other current assets</w:t>
            </w:r>
          </w:p>
        </w:tc>
        <w:tc>
          <w:tcPr>
            <w:tcW w:w="45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78,576</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70,491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current assets</w:t>
            </w:r>
          </w:p>
        </w:tc>
        <w:tc>
          <w:tcPr>
            <w:tcW w:w="4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3,449,760</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2,465,545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4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347,588</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342,497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4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30,865</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34,281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4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2,131,666</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2,176,763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45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161,793</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151,854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assets</w:t>
            </w:r>
          </w:p>
        </w:tc>
        <w:tc>
          <w:tcPr>
            <w:tcW w:w="464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6,121,672</w:t>
            </w:r>
          </w:p>
        </w:tc>
        <w:tc>
          <w:tcPr>
            <w:tcW w:w="320" w:type="dxa"/>
            <w:vAlign w:val="bottom"/>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5,170,940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40" w:type="dxa"/>
            <w:vAlign w:val="bottom"/>
          </w:tcPr>
          <w:p>
            <w:pPr>
              <w:spacing w:after="0" w:line="20" w:lineRule="exact"/>
              <w:rPr>
                <w:sz w:val="1"/>
                <w:szCs w:val="1"/>
                <w:color w:val="auto"/>
              </w:rPr>
            </w:pPr>
          </w:p>
        </w:tc>
        <w:tc>
          <w:tcPr>
            <w:tcW w:w="45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20" w:type="dxa"/>
            <w:vAlign w:val="bottom"/>
            <w:vMerge w:val="restart"/>
          </w:tcPr>
          <w:p>
            <w:pPr>
              <w:spacing w:after="0"/>
              <w:rPr>
                <w:sz w:val="8"/>
                <w:szCs w:val="8"/>
                <w:color w:val="auto"/>
              </w:rPr>
            </w:pPr>
          </w:p>
        </w:tc>
        <w:tc>
          <w:tcPr>
            <w:tcW w:w="4840" w:type="dxa"/>
            <w:vAlign w:val="bottom"/>
          </w:tcPr>
          <w:p>
            <w:pPr>
              <w:spacing w:after="0"/>
              <w:rPr>
                <w:sz w:val="8"/>
                <w:szCs w:val="8"/>
                <w:color w:val="auto"/>
              </w:rPr>
            </w:pPr>
          </w:p>
        </w:tc>
        <w:tc>
          <w:tcPr>
            <w:tcW w:w="4540" w:type="dxa"/>
            <w:vAlign w:val="bottom"/>
          </w:tcPr>
          <w:p>
            <w:pPr>
              <w:spacing w:after="0"/>
              <w:rPr>
                <w:sz w:val="8"/>
                <w:szCs w:val="8"/>
                <w:color w:val="auto"/>
              </w:rPr>
            </w:pPr>
          </w:p>
        </w:tc>
        <w:tc>
          <w:tcPr>
            <w:tcW w:w="100" w:type="dxa"/>
            <w:vAlign w:val="bottom"/>
          </w:tcPr>
          <w:p>
            <w:pPr>
              <w:spacing w:after="0"/>
              <w:rPr>
                <w:sz w:val="8"/>
                <w:szCs w:val="8"/>
                <w:color w:val="auto"/>
              </w:rPr>
            </w:pPr>
          </w:p>
        </w:tc>
        <w:tc>
          <w:tcPr>
            <w:tcW w:w="700" w:type="dxa"/>
            <w:vAlign w:val="bottom"/>
          </w:tcPr>
          <w:p>
            <w:pPr>
              <w:spacing w:after="0"/>
              <w:rPr>
                <w:sz w:val="8"/>
                <w:szCs w:val="8"/>
                <w:color w:val="auto"/>
              </w:rPr>
            </w:pPr>
          </w:p>
        </w:tc>
        <w:tc>
          <w:tcPr>
            <w:tcW w:w="320" w:type="dxa"/>
            <w:vAlign w:val="bottom"/>
          </w:tcPr>
          <w:p>
            <w:pPr>
              <w:spacing w:after="0"/>
              <w:rPr>
                <w:sz w:val="8"/>
                <w:szCs w:val="8"/>
                <w:color w:val="auto"/>
              </w:rPr>
            </w:pPr>
          </w:p>
        </w:tc>
        <w:tc>
          <w:tcPr>
            <w:tcW w:w="80" w:type="dxa"/>
            <w:vAlign w:val="bottom"/>
          </w:tcPr>
          <w:p>
            <w:pPr>
              <w:spacing w:after="0"/>
              <w:rPr>
                <w:sz w:val="8"/>
                <w:szCs w:val="8"/>
                <w:color w:val="auto"/>
              </w:rPr>
            </w:pPr>
          </w:p>
        </w:tc>
        <w:tc>
          <w:tcPr>
            <w:tcW w:w="7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4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Current liabilities:</w:t>
            </w:r>
          </w:p>
        </w:tc>
        <w:tc>
          <w:tcPr>
            <w:tcW w:w="4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Accounts payable</w:t>
            </w:r>
          </w:p>
        </w:tc>
        <w:tc>
          <w:tcPr>
            <w:tcW w:w="46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352,216</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283,362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Accrued liabilities</w:t>
            </w:r>
          </w:p>
        </w:tc>
        <w:tc>
          <w:tcPr>
            <w:tcW w:w="4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234,710</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201,920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Income taxes payable</w:t>
            </w:r>
          </w:p>
        </w:tc>
        <w:tc>
          <w:tcPr>
            <w:tcW w:w="4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22,540</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19,992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Deferred income</w:t>
            </w:r>
          </w:p>
        </w:tc>
        <w:tc>
          <w:tcPr>
            <w:tcW w:w="4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88,216</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59,396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Current portion of capital lease obligations</w:t>
            </w:r>
          </w:p>
        </w:tc>
        <w:tc>
          <w:tcPr>
            <w:tcW w:w="4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1,011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1,940</w:t>
            </w: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current liabilities</w:t>
            </w:r>
          </w:p>
        </w:tc>
        <w:tc>
          <w:tcPr>
            <w:tcW w:w="45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698,693</w:t>
            </w:r>
          </w:p>
        </w:tc>
        <w:tc>
          <w:tcPr>
            <w:tcW w:w="32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566,610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Capital lease obligations, net of current portion</w:t>
            </w:r>
          </w:p>
        </w:tc>
        <w:tc>
          <w:tcPr>
            <w:tcW w:w="4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511</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4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45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194,973</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185,840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liabilities</w:t>
            </w:r>
          </w:p>
        </w:tc>
        <w:tc>
          <w:tcPr>
            <w:tcW w:w="4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893,666</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752,961</w:t>
            </w:r>
          </w:p>
        </w:tc>
        <w:tc>
          <w:tcPr>
            <w:tcW w:w="0" w:type="dxa"/>
            <w:vAlign w:val="bottom"/>
          </w:tcPr>
          <w:p>
            <w:pPr>
              <w:spacing w:after="0"/>
              <w:rPr>
                <w:sz w:val="1"/>
                <w:szCs w:val="1"/>
                <w:color w:val="auto"/>
              </w:rPr>
            </w:pPr>
          </w:p>
        </w:tc>
      </w:tr>
      <w:tr>
        <w:trPr>
          <w:trHeight w:val="330"/>
        </w:trPr>
        <w:tc>
          <w:tcPr>
            <w:tcW w:w="4860" w:type="dxa"/>
            <w:vAlign w:val="bottom"/>
            <w:gridSpan w:val="2"/>
          </w:tcPr>
          <w:p>
            <w:pPr>
              <w:spacing w:after="0"/>
              <w:rPr>
                <w:sz w:val="20"/>
                <w:szCs w:val="20"/>
                <w:color w:val="auto"/>
              </w:rPr>
            </w:pPr>
            <w:r>
              <w:rPr>
                <w:rFonts w:ascii="Arial" w:cs="Arial" w:eastAsia="Arial" w:hAnsi="Arial"/>
                <w:sz w:val="18"/>
                <w:szCs w:val="18"/>
                <w:color w:val="auto"/>
              </w:rPr>
              <w:t>Shareholders’ equity:</w:t>
            </w:r>
          </w:p>
        </w:tc>
        <w:tc>
          <w:tcPr>
            <w:tcW w:w="4540" w:type="dxa"/>
            <w:vAlign w:val="bottom"/>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700" w:type="dxa"/>
            <w:vAlign w:val="bottom"/>
            <w:tcBorders>
              <w:top w:val="single" w:sz="8" w:color="auto"/>
            </w:tcBorders>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72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Common stock</w:t>
            </w:r>
          </w:p>
        </w:tc>
        <w:tc>
          <w:tcPr>
            <w:tcW w:w="4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1,297</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1,277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Additional paid-in capital</w:t>
            </w:r>
          </w:p>
        </w:tc>
        <w:tc>
          <w:tcPr>
            <w:tcW w:w="45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4,732,088</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4,607,844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Accumulated other comprehensive income (loss)</w:t>
            </w:r>
          </w:p>
        </w:tc>
        <w:tc>
          <w:tcPr>
            <w:tcW w:w="45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3,602</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(885)</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840" w:type="dxa"/>
            <w:vAlign w:val="bottom"/>
          </w:tcPr>
          <w:p>
            <w:pPr>
              <w:ind w:left="420"/>
              <w:spacing w:after="0"/>
              <w:rPr>
                <w:sz w:val="20"/>
                <w:szCs w:val="20"/>
                <w:color w:val="auto"/>
              </w:rPr>
            </w:pPr>
            <w:r>
              <w:rPr>
                <w:rFonts w:ascii="Arial" w:cs="Arial" w:eastAsia="Arial" w:hAnsi="Arial"/>
                <w:sz w:val="18"/>
                <w:szCs w:val="18"/>
                <w:color w:val="auto"/>
              </w:rPr>
              <w:t>Retained earnings (accumulated deficit)</w:t>
            </w:r>
          </w:p>
        </w:tc>
        <w:tc>
          <w:tcPr>
            <w:tcW w:w="45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491,019</w:t>
            </w: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w w:val="98"/>
              </w:rPr>
              <w:t>(190,257)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4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shareholders’ equity</w:t>
            </w:r>
          </w:p>
        </w:tc>
        <w:tc>
          <w:tcPr>
            <w:tcW w:w="4540" w:type="dxa"/>
            <w:vAlign w:val="bottom"/>
            <w:shd w:val="clear" w:color="auto" w:fill="CCEEFF"/>
          </w:tcPr>
          <w:p>
            <w:pPr>
              <w:spacing w:after="0"/>
              <w:rPr>
                <w:sz w:val="18"/>
                <w:szCs w:val="18"/>
                <w:color w:val="auto"/>
              </w:rPr>
            </w:pPr>
          </w:p>
        </w:tc>
        <w:tc>
          <w:tcPr>
            <w:tcW w:w="100" w:type="dxa"/>
            <w:vAlign w:val="bottom"/>
            <w:tcBorders>
              <w:top w:val="single" w:sz="8" w:color="auto"/>
              <w:bottom w:val="single" w:sz="8" w:color="auto"/>
            </w:tcBorders>
            <w:shd w:val="clear" w:color="auto" w:fill="CCEEFF"/>
          </w:tcPr>
          <w:p>
            <w:pPr>
              <w:spacing w:after="0"/>
              <w:rPr>
                <w:sz w:val="18"/>
                <w:szCs w:val="18"/>
                <w:color w:val="auto"/>
              </w:rPr>
            </w:pPr>
          </w:p>
        </w:tc>
        <w:tc>
          <w:tcPr>
            <w:tcW w:w="7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5,228,006</w:t>
            </w:r>
          </w:p>
        </w:tc>
        <w:tc>
          <w:tcPr>
            <w:tcW w:w="32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4,417,979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4840" w:type="dxa"/>
            <w:vAlign w:val="bottom"/>
          </w:tcPr>
          <w:p>
            <w:pPr>
              <w:ind w:left="860"/>
              <w:spacing w:after="0"/>
              <w:rPr>
                <w:sz w:val="20"/>
                <w:szCs w:val="20"/>
                <w:color w:val="auto"/>
              </w:rPr>
            </w:pPr>
            <w:r>
              <w:rPr>
                <w:rFonts w:ascii="Arial" w:cs="Arial" w:eastAsia="Arial" w:hAnsi="Arial"/>
                <w:sz w:val="18"/>
                <w:szCs w:val="18"/>
                <w:color w:val="auto"/>
              </w:rPr>
              <w:t>Total liabilities and shareholders’ equity</w:t>
            </w:r>
          </w:p>
        </w:tc>
        <w:tc>
          <w:tcPr>
            <w:tcW w:w="464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6,121,672</w:t>
            </w:r>
          </w:p>
        </w:tc>
        <w:tc>
          <w:tcPr>
            <w:tcW w:w="320" w:type="dxa"/>
            <w:vAlign w:val="bottom"/>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5,170,940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40" w:type="dxa"/>
            <w:vAlign w:val="bottom"/>
          </w:tcPr>
          <w:p>
            <w:pPr>
              <w:spacing w:after="0" w:line="20" w:lineRule="exact"/>
              <w:rPr>
                <w:sz w:val="1"/>
                <w:szCs w:val="1"/>
                <w:color w:val="auto"/>
              </w:rPr>
            </w:pPr>
          </w:p>
        </w:tc>
        <w:tc>
          <w:tcPr>
            <w:tcW w:w="4540" w:type="dxa"/>
            <w:vAlign w:val="bottom"/>
            <w:vMerge w:val="restart"/>
          </w:tcPr>
          <w:p>
            <w:pPr>
              <w:jc w:val="right"/>
              <w:ind w:right="3552"/>
              <w:spacing w:after="0"/>
              <w:rPr>
                <w:sz w:val="20"/>
                <w:szCs w:val="20"/>
                <w:color w:val="auto"/>
              </w:rPr>
            </w:pPr>
            <w:r>
              <w:rPr>
                <w:rFonts w:ascii="Arial" w:cs="Arial" w:eastAsia="Arial" w:hAnsi="Arial"/>
                <w:sz w:val="18"/>
                <w:szCs w:val="18"/>
                <w:color w:val="auto"/>
              </w:rPr>
              <w:t>7</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4840" w:type="dxa"/>
            <w:vAlign w:val="bottom"/>
          </w:tcPr>
          <w:p>
            <w:pPr>
              <w:spacing w:after="0"/>
              <w:rPr>
                <w:sz w:val="24"/>
                <w:szCs w:val="24"/>
                <w:color w:val="auto"/>
              </w:rPr>
            </w:pPr>
          </w:p>
        </w:tc>
        <w:tc>
          <w:tcPr>
            <w:tcW w:w="454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2" w:name="page13"/>
    <w:bookmarkEnd w:id="1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00" w:type="dxa"/>
            <w:vAlign w:val="bottom"/>
            <w:gridSpan w:val="6"/>
          </w:tcPr>
          <w:p>
            <w:pPr>
              <w:jc w:val="right"/>
              <w:ind w:right="520"/>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0" w:type="dxa"/>
            <w:vAlign w:val="bottom"/>
            <w:gridSpan w:val="5"/>
          </w:tcPr>
          <w:p>
            <w:pPr>
              <w:jc w:val="right"/>
              <w:ind w:right="52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100" w:type="dxa"/>
            <w:vAlign w:val="bottom"/>
          </w:tcPr>
          <w:p>
            <w:pPr>
              <w:spacing w:after="0"/>
              <w:rPr>
                <w:sz w:val="11"/>
                <w:szCs w:val="11"/>
                <w:color w:val="auto"/>
              </w:rPr>
            </w:pPr>
          </w:p>
        </w:tc>
        <w:tc>
          <w:tcPr>
            <w:tcW w:w="980" w:type="dxa"/>
            <w:vAlign w:val="bottom"/>
            <w:tcBorders>
              <w:top w:val="single" w:sz="8" w:color="auto"/>
            </w:tcBorders>
            <w:gridSpan w:val="3"/>
          </w:tcPr>
          <w:p>
            <w:pPr>
              <w:jc w:val="right"/>
              <w:ind w:right="260"/>
              <w:spacing w:after="0" w:line="129" w:lineRule="exact"/>
              <w:rPr>
                <w:sz w:val="20"/>
                <w:szCs w:val="20"/>
                <w:color w:val="auto"/>
              </w:rPr>
            </w:pPr>
            <w:r>
              <w:rPr>
                <w:rFonts w:ascii="Arial" w:cs="Arial" w:eastAsia="Arial" w:hAnsi="Arial"/>
                <w:sz w:val="14"/>
                <w:szCs w:val="14"/>
                <w:b w:val="1"/>
                <w:bCs w:val="1"/>
                <w:color w:val="auto"/>
                <w:w w:val="90"/>
              </w:rPr>
              <w:t>October 30,</w:t>
            </w:r>
          </w:p>
        </w:tc>
        <w:tc>
          <w:tcPr>
            <w:tcW w:w="120" w:type="dxa"/>
            <w:vAlign w:val="bottom"/>
            <w:tcBorders>
              <w:top w:val="single" w:sz="8" w:color="auto"/>
            </w:tcBorders>
          </w:tcPr>
          <w:p>
            <w:pPr>
              <w:spacing w:after="0"/>
              <w:rPr>
                <w:sz w:val="11"/>
                <w:szCs w:val="11"/>
                <w:color w:val="auto"/>
              </w:rPr>
            </w:pP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3"/>
              </w:rPr>
              <w:t>October 31,</w:t>
            </w:r>
          </w:p>
        </w:tc>
        <w:tc>
          <w:tcPr>
            <w:tcW w:w="1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100" w:type="dxa"/>
            <w:vAlign w:val="bottom"/>
            <w:tcBorders>
              <w:top w:val="single" w:sz="8" w:color="auto"/>
            </w:tcBorders>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5"/>
              </w:rPr>
              <w:t>October 30,</w:t>
            </w:r>
          </w:p>
        </w:tc>
        <w:tc>
          <w:tcPr>
            <w:tcW w:w="80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w w:val="90"/>
              </w:rPr>
              <w:t>October 31,</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710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2010</w:t>
            </w:r>
          </w:p>
        </w:tc>
        <w:tc>
          <w:tcPr>
            <w:tcW w:w="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2009</w:t>
            </w:r>
          </w:p>
        </w:tc>
        <w:tc>
          <w:tcPr>
            <w:tcW w:w="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80" w:type="dxa"/>
            <w:vAlign w:val="bottom"/>
            <w:tcBorders>
              <w:bottom w:val="single" w:sz="8" w:color="auto"/>
            </w:tcBorders>
          </w:tcPr>
          <w:p>
            <w:pPr>
              <w:jc w:val="right"/>
              <w:ind w:right="214"/>
              <w:spacing w:after="0"/>
              <w:rPr>
                <w:sz w:val="20"/>
                <w:szCs w:val="20"/>
                <w:color w:val="auto"/>
              </w:rPr>
            </w:pPr>
            <w:r>
              <w:rPr>
                <w:rFonts w:ascii="Arial" w:cs="Arial" w:eastAsia="Arial" w:hAnsi="Arial"/>
                <w:sz w:val="14"/>
                <w:szCs w:val="14"/>
                <w:b w:val="1"/>
                <w:bCs w:val="1"/>
                <w:color w:val="auto"/>
              </w:rPr>
              <w:t>2010</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10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operating activities:</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spacing w:after="0"/>
              <w:rPr>
                <w:sz w:val="20"/>
                <w:szCs w:val="20"/>
                <w:color w:val="auto"/>
              </w:rPr>
            </w:pPr>
            <w:r>
              <w:rPr>
                <w:rFonts w:ascii="Arial" w:cs="Arial" w:eastAsia="Arial" w:hAnsi="Arial"/>
                <w:sz w:val="18"/>
                <w:szCs w:val="18"/>
                <w:color w:val="auto"/>
              </w:rPr>
              <w:t>Net income</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255,732</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201,599</w:t>
            </w:r>
          </w:p>
        </w:tc>
        <w:tc>
          <w:tcPr>
            <w:tcW w:w="180" w:type="dxa"/>
            <w:vAlign w:val="bottom"/>
          </w:tcPr>
          <w:p>
            <w:pPr>
              <w:spacing w:after="0"/>
              <w:rPr>
                <w:sz w:val="18"/>
                <w:szCs w:val="18"/>
                <w:color w:val="auto"/>
              </w:rPr>
            </w:pP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rPr>
              <w:t>681,276</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148,635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420"/>
              <w:spacing w:after="0"/>
              <w:rPr>
                <w:sz w:val="20"/>
                <w:szCs w:val="20"/>
                <w:color w:val="auto"/>
              </w:rPr>
            </w:pPr>
            <w:r>
              <w:rPr>
                <w:rFonts w:ascii="Arial" w:cs="Arial" w:eastAsia="Arial" w:hAnsi="Arial"/>
                <w:sz w:val="18"/>
                <w:szCs w:val="18"/>
                <w:color w:val="auto"/>
              </w:rPr>
              <w:t>Depreciation and amortization</w:t>
            </w:r>
          </w:p>
        </w:tc>
        <w:tc>
          <w:tcPr>
            <w:tcW w:w="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23,140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24,571</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rPr>
              <w:t>68,991</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74,976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29,541</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34,377</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87,126</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96,040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420"/>
              <w:spacing w:after="0"/>
              <w:rPr>
                <w:sz w:val="20"/>
                <w:szCs w:val="20"/>
                <w:color w:val="auto"/>
              </w:rPr>
            </w:pPr>
            <w:r>
              <w:rPr>
                <w:rFonts w:ascii="Arial" w:cs="Arial" w:eastAsia="Arial" w:hAnsi="Arial"/>
                <w:sz w:val="18"/>
                <w:szCs w:val="18"/>
                <w:color w:val="auto"/>
              </w:rPr>
              <w:t>Amortization of acquired intangible assets</w:t>
            </w:r>
          </w:p>
        </w:tc>
        <w:tc>
          <w:tcPr>
            <w:tcW w:w="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21,770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26,450</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rPr>
              <w:t>65,533</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83,252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Facilities impairment</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1,140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420"/>
              <w:spacing w:after="0"/>
              <w:rPr>
                <w:sz w:val="20"/>
                <w:szCs w:val="20"/>
                <w:color w:val="auto"/>
              </w:rPr>
            </w:pPr>
            <w:r>
              <w:rPr>
                <w:rFonts w:ascii="Arial" w:cs="Arial" w:eastAsia="Arial" w:hAnsi="Arial"/>
                <w:sz w:val="18"/>
                <w:szCs w:val="18"/>
                <w:color w:val="auto"/>
              </w:rPr>
              <w:t>Amortization of marketable securities premium</w:t>
            </w:r>
          </w:p>
        </w:tc>
        <w:tc>
          <w:tcPr>
            <w:tcW w:w="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4,756</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rPr>
              <w:t>9,568</w:t>
            </w:r>
          </w:p>
        </w:tc>
        <w:tc>
          <w:tcPr>
            <w:tcW w:w="80" w:type="dxa"/>
            <w:vAlign w:val="bottom"/>
          </w:tcPr>
          <w:p>
            <w:pPr>
              <w:spacing w:after="0"/>
              <w:rPr>
                <w:sz w:val="18"/>
                <w:szCs w:val="18"/>
                <w:color w:val="auto"/>
              </w:rPr>
            </w:pP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Fair market value adjustment to acquired inventory sold</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(401)</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(10,807)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(2,391)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(13,883)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8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(440)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(136)</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280"/>
              <w:spacing w:after="0"/>
              <w:rPr>
                <w:sz w:val="20"/>
                <w:szCs w:val="20"/>
                <w:color w:val="auto"/>
              </w:rPr>
            </w:pPr>
            <w:r>
              <w:rPr>
                <w:rFonts w:ascii="Arial" w:cs="Arial" w:eastAsia="Arial" w:hAnsi="Arial"/>
                <w:sz w:val="18"/>
                <w:szCs w:val="18"/>
                <w:color w:val="auto"/>
              </w:rPr>
              <w:t>(669)</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(205)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Deferred income taxes</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(5,029)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263</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(6,486)</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6,131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420"/>
              <w:spacing w:after="0"/>
              <w:rPr>
                <w:sz w:val="20"/>
                <w:szCs w:val="20"/>
                <w:color w:val="auto"/>
              </w:rPr>
            </w:pPr>
            <w:r>
              <w:rPr>
                <w:rFonts w:ascii="Arial" w:cs="Arial" w:eastAsia="Arial" w:hAnsi="Arial"/>
                <w:sz w:val="18"/>
                <w:szCs w:val="18"/>
                <w:color w:val="auto"/>
              </w:rPr>
              <w:t>Changes in assets and liabilities:</w:t>
            </w: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Restricted cash</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24,500</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24,500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860"/>
              <w:spacing w:after="0"/>
              <w:rPr>
                <w:sz w:val="20"/>
                <w:szCs w:val="20"/>
                <w:color w:val="auto"/>
              </w:rPr>
            </w:pPr>
            <w:r>
              <w:rPr>
                <w:rFonts w:ascii="Arial" w:cs="Arial" w:eastAsia="Arial" w:hAnsi="Arial"/>
                <w:sz w:val="18"/>
                <w:szCs w:val="18"/>
                <w:color w:val="auto"/>
              </w:rPr>
              <w:t>Accounts receivable</w:t>
            </w:r>
          </w:p>
        </w:tc>
        <w:tc>
          <w:tcPr>
            <w:tcW w:w="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22,780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(65,857)</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280"/>
              <w:spacing w:after="0"/>
              <w:rPr>
                <w:sz w:val="20"/>
                <w:szCs w:val="20"/>
                <w:color w:val="auto"/>
              </w:rPr>
            </w:pPr>
            <w:r>
              <w:rPr>
                <w:rFonts w:ascii="Arial" w:cs="Arial" w:eastAsia="Arial" w:hAnsi="Arial"/>
                <w:sz w:val="18"/>
                <w:szCs w:val="18"/>
                <w:color w:val="auto"/>
              </w:rPr>
              <w:t>(111,179)</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w w:val="98"/>
              </w:rPr>
              <w:t>(172,218)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Inventories</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11,940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(17,039)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15,856</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83,548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860"/>
              <w:spacing w:after="0"/>
              <w:rPr>
                <w:sz w:val="20"/>
                <w:szCs w:val="20"/>
                <w:color w:val="auto"/>
              </w:rPr>
            </w:pPr>
            <w:r>
              <w:rPr>
                <w:rFonts w:ascii="Arial" w:cs="Arial" w:eastAsia="Arial" w:hAnsi="Arial"/>
                <w:sz w:val="18"/>
                <w:szCs w:val="18"/>
                <w:color w:val="auto"/>
              </w:rPr>
              <w:t>Prepaid expenses and other assets</w:t>
            </w:r>
          </w:p>
        </w:tc>
        <w:tc>
          <w:tcPr>
            <w:tcW w:w="8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(10,172)</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(1,362)</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280"/>
              <w:spacing w:after="0"/>
              <w:rPr>
                <w:sz w:val="20"/>
                <w:szCs w:val="20"/>
                <w:color w:val="auto"/>
              </w:rPr>
            </w:pPr>
            <w:r>
              <w:rPr>
                <w:rFonts w:ascii="Arial" w:cs="Arial" w:eastAsia="Arial" w:hAnsi="Arial"/>
                <w:sz w:val="18"/>
                <w:szCs w:val="18"/>
                <w:color w:val="auto"/>
              </w:rPr>
              <w:t>(3,718)</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7,559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Accounts payable</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(34,508)</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38,281</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63,935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172,062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860"/>
              <w:spacing w:after="0"/>
              <w:rPr>
                <w:sz w:val="20"/>
                <w:szCs w:val="20"/>
                <w:color w:val="auto"/>
              </w:rPr>
            </w:pPr>
            <w:r>
              <w:rPr>
                <w:rFonts w:ascii="Arial" w:cs="Arial" w:eastAsia="Arial" w:hAnsi="Arial"/>
                <w:sz w:val="18"/>
                <w:szCs w:val="18"/>
                <w:color w:val="auto"/>
              </w:rPr>
              <w:t>Accrued liabilities and other</w:t>
            </w:r>
          </w:p>
        </w:tc>
        <w:tc>
          <w:tcPr>
            <w:tcW w:w="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8,205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(82,687)</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rPr>
              <w:t>10,785</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(13,628)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Accrued employee compensation</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33,065</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36,123</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26,965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35,149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860"/>
              <w:spacing w:after="0"/>
              <w:rPr>
                <w:sz w:val="20"/>
                <w:szCs w:val="20"/>
                <w:color w:val="auto"/>
              </w:rPr>
            </w:pPr>
            <w:r>
              <w:rPr>
                <w:rFonts w:ascii="Arial" w:cs="Arial" w:eastAsia="Arial" w:hAnsi="Arial"/>
                <w:sz w:val="18"/>
                <w:szCs w:val="18"/>
                <w:color w:val="auto"/>
              </w:rPr>
              <w:t>Income taxes payable</w:t>
            </w:r>
          </w:p>
        </w:tc>
        <w:tc>
          <w:tcPr>
            <w:tcW w:w="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5,310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(33,988)</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rPr>
              <w:t>7,163</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(29,060)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Deferred income</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2,197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29,246</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28,820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27,538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100" w:type="dxa"/>
            <w:vAlign w:val="bottom"/>
            <w:vMerge w:val="restart"/>
          </w:tcPr>
          <w:p>
            <w:pPr>
              <w:ind w:left="1280"/>
              <w:spacing w:after="0"/>
              <w:rPr>
                <w:sz w:val="20"/>
                <w:szCs w:val="20"/>
                <w:color w:val="auto"/>
              </w:rPr>
            </w:pPr>
            <w:r>
              <w:rPr>
                <w:rFonts w:ascii="Arial" w:cs="Arial" w:eastAsia="Arial" w:hAnsi="Arial"/>
                <w:sz w:val="18"/>
                <w:szCs w:val="18"/>
                <w:color w:val="auto"/>
              </w:rPr>
              <w:t>Net cash provided by operating activities</w:t>
            </w: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20" w:type="dxa"/>
            <w:vAlign w:val="bottom"/>
          </w:tcPr>
          <w:p>
            <w:pPr>
              <w:spacing w:after="0"/>
              <w:rPr>
                <w:sz w:val="19"/>
                <w:szCs w:val="19"/>
                <w:color w:val="auto"/>
              </w:rPr>
            </w:pPr>
          </w:p>
        </w:tc>
        <w:tc>
          <w:tcPr>
            <w:tcW w:w="7100" w:type="dxa"/>
            <w:vAlign w:val="bottom"/>
            <w:vMerge w:val="continue"/>
          </w:tcPr>
          <w:p>
            <w:pPr>
              <w:spacing w:after="0"/>
              <w:rPr>
                <w:sz w:val="19"/>
                <w:szCs w:val="19"/>
                <w:color w:val="auto"/>
              </w:rPr>
            </w:pPr>
          </w:p>
        </w:tc>
        <w:tc>
          <w:tcPr>
            <w:tcW w:w="80" w:type="dxa"/>
            <w:vAlign w:val="bottom"/>
          </w:tcPr>
          <w:p>
            <w:pPr>
              <w:spacing w:after="0"/>
              <w:rPr>
                <w:sz w:val="19"/>
                <w:szCs w:val="19"/>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367,886</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203,534</w:t>
            </w:r>
          </w:p>
        </w:tc>
        <w:tc>
          <w:tcPr>
            <w:tcW w:w="1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rPr>
              <w:t>942,715</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530,396</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10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investing activities:</w:t>
            </w: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420"/>
              <w:spacing w:after="0"/>
              <w:rPr>
                <w:sz w:val="20"/>
                <w:szCs w:val="20"/>
                <w:color w:val="auto"/>
              </w:rPr>
            </w:pPr>
            <w:r>
              <w:rPr>
                <w:rFonts w:ascii="Arial" w:cs="Arial" w:eastAsia="Arial" w:hAnsi="Arial"/>
                <w:sz w:val="18"/>
                <w:szCs w:val="18"/>
                <w:color w:val="auto"/>
              </w:rPr>
              <w:t>Purchases of investments</w:t>
            </w:r>
          </w:p>
        </w:tc>
        <w:tc>
          <w:tcPr>
            <w:tcW w:w="8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w w:val="95"/>
              </w:rPr>
              <w:t>(312,890)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w w:val="95"/>
              </w:rPr>
              <w:t>(426,998)</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280"/>
              <w:spacing w:after="0"/>
              <w:rPr>
                <w:sz w:val="20"/>
                <w:szCs w:val="20"/>
                <w:color w:val="auto"/>
              </w:rPr>
            </w:pPr>
            <w:r>
              <w:rPr>
                <w:rFonts w:ascii="Arial" w:cs="Arial" w:eastAsia="Arial" w:hAnsi="Arial"/>
                <w:sz w:val="18"/>
                <w:szCs w:val="18"/>
                <w:color w:val="auto"/>
                <w:w w:val="86"/>
              </w:rPr>
              <w:t>(1,023,700)</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w w:val="98"/>
              </w:rPr>
              <w:t>(426,998)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Sales and maturities of investments</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330,993</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10,268</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678,738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10,318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420"/>
              <w:spacing w:after="0"/>
              <w:rPr>
                <w:sz w:val="20"/>
                <w:szCs w:val="20"/>
                <w:color w:val="auto"/>
              </w:rPr>
            </w:pPr>
            <w:r>
              <w:rPr>
                <w:rFonts w:ascii="Arial" w:cs="Arial" w:eastAsia="Arial" w:hAnsi="Arial"/>
                <w:sz w:val="18"/>
                <w:szCs w:val="18"/>
                <w:color w:val="auto"/>
              </w:rPr>
              <w:t>Cash paid for acquisitions, net</w:t>
            </w:r>
          </w:p>
        </w:tc>
        <w:tc>
          <w:tcPr>
            <w:tcW w:w="80" w:type="dxa"/>
            <w:vAlign w:val="bottom"/>
          </w:tcPr>
          <w:p>
            <w:pPr>
              <w:spacing w:after="0"/>
              <w:rPr>
                <w:sz w:val="18"/>
                <w:szCs w:val="18"/>
                <w:color w:val="auto"/>
              </w:rPr>
            </w:pPr>
          </w:p>
        </w:tc>
        <w:tc>
          <w:tcPr>
            <w:tcW w:w="90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280"/>
              <w:spacing w:after="0"/>
              <w:rPr>
                <w:sz w:val="20"/>
                <w:szCs w:val="20"/>
                <w:color w:val="auto"/>
              </w:rPr>
            </w:pPr>
            <w:r>
              <w:rPr>
                <w:rFonts w:ascii="Arial" w:cs="Arial" w:eastAsia="Arial" w:hAnsi="Arial"/>
                <w:sz w:val="18"/>
                <w:szCs w:val="18"/>
                <w:color w:val="auto"/>
              </w:rPr>
              <w:t>(20,679)</w:t>
            </w:r>
          </w:p>
        </w:tc>
        <w:tc>
          <w:tcPr>
            <w:tcW w:w="80" w:type="dxa"/>
            <w:vAlign w:val="bottom"/>
          </w:tcPr>
          <w:p>
            <w:pPr>
              <w:spacing w:after="0"/>
              <w:rPr>
                <w:sz w:val="18"/>
                <w:szCs w:val="18"/>
                <w:color w:val="auto"/>
              </w:rPr>
            </w:pP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technology licenses</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(5,803)</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(12,649)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(12,550)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420"/>
              <w:spacing w:after="0"/>
              <w:rPr>
                <w:sz w:val="20"/>
                <w:szCs w:val="20"/>
                <w:color w:val="auto"/>
              </w:rPr>
            </w:pPr>
            <w:r>
              <w:rPr>
                <w:rFonts w:ascii="Arial" w:cs="Arial" w:eastAsia="Arial" w:hAnsi="Arial"/>
                <w:sz w:val="18"/>
                <w:szCs w:val="18"/>
                <w:color w:val="auto"/>
              </w:rPr>
              <w:t>Purchases of property and equipment</w:t>
            </w:r>
          </w:p>
        </w:tc>
        <w:tc>
          <w:tcPr>
            <w:tcW w:w="8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8"/>
                <w:szCs w:val="18"/>
                <w:color w:val="auto"/>
              </w:rPr>
              <w:t>(23,969)</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rPr>
              <w:t>(7,629)</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280"/>
              <w:spacing w:after="0"/>
              <w:rPr>
                <w:sz w:val="20"/>
                <w:szCs w:val="20"/>
                <w:color w:val="auto"/>
              </w:rPr>
            </w:pPr>
            <w:r>
              <w:rPr>
                <w:rFonts w:ascii="Arial" w:cs="Arial" w:eastAsia="Arial" w:hAnsi="Arial"/>
                <w:sz w:val="18"/>
                <w:szCs w:val="18"/>
                <w:color w:val="auto"/>
              </w:rPr>
              <w:t>(63,267)</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(14,808)</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71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used in investing activities</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(11,669)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5"/>
              </w:rPr>
              <w:t>(424,359)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(441,557)</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(444,038)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spacing w:after="0"/>
              <w:rPr>
                <w:sz w:val="20"/>
                <w:szCs w:val="20"/>
                <w:color w:val="auto"/>
              </w:rPr>
            </w:pPr>
            <w:r>
              <w:rPr>
                <w:rFonts w:ascii="Arial" w:cs="Arial" w:eastAsia="Arial" w:hAnsi="Arial"/>
                <w:sz w:val="18"/>
                <w:szCs w:val="18"/>
                <w:color w:val="auto"/>
              </w:rPr>
              <w:t>Cash flows from financing activities:</w:t>
            </w: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Repurchase of common stock</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(60,594)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(60,594)</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420"/>
              <w:spacing w:after="0"/>
              <w:rPr>
                <w:sz w:val="20"/>
                <w:szCs w:val="20"/>
                <w:color w:val="auto"/>
              </w:rPr>
            </w:pPr>
            <w:r>
              <w:rPr>
                <w:rFonts w:ascii="Arial" w:cs="Arial" w:eastAsia="Arial" w:hAnsi="Arial"/>
                <w:sz w:val="18"/>
                <w:szCs w:val="18"/>
                <w:color w:val="auto"/>
              </w:rPr>
              <w:t>Proceeds from employee stock plans</w:t>
            </w:r>
          </w:p>
        </w:tc>
        <w:tc>
          <w:tcPr>
            <w:tcW w:w="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17,196</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13,728</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rPr>
              <w:t>97,673</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34,749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Principal payments on capital lease obligations</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(490)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(451)</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(1,440)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(1,326)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8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440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136</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rPr>
              <w:t>669</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205</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71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710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(used in) provided by financing activities</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(43,448)</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13,413</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36,308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33,628</w:t>
            </w:r>
          </w:p>
        </w:tc>
        <w:tc>
          <w:tcPr>
            <w:tcW w:w="0" w:type="dxa"/>
            <w:vAlign w:val="bottom"/>
          </w:tcPr>
          <w:p>
            <w:pPr>
              <w:spacing w:after="0"/>
              <w:rPr>
                <w:sz w:val="1"/>
                <w:szCs w:val="1"/>
                <w:color w:val="auto"/>
              </w:rPr>
            </w:pPr>
          </w:p>
        </w:tc>
      </w:tr>
      <w:tr>
        <w:trPr>
          <w:trHeight w:val="20"/>
        </w:trPr>
        <w:tc>
          <w:tcPr>
            <w:tcW w:w="7120" w:type="dxa"/>
            <w:vAlign w:val="bottom"/>
            <w:gridSpan w:val="2"/>
            <w:vMerge w:val="restart"/>
          </w:tcPr>
          <w:p>
            <w:pPr>
              <w:spacing w:after="0"/>
              <w:rPr>
                <w:sz w:val="20"/>
                <w:szCs w:val="20"/>
                <w:color w:val="auto"/>
              </w:rPr>
            </w:pPr>
            <w:r>
              <w:rPr>
                <w:rFonts w:ascii="Arial" w:cs="Arial" w:eastAsia="Arial" w:hAnsi="Arial"/>
                <w:sz w:val="18"/>
                <w:szCs w:val="18"/>
                <w:color w:val="auto"/>
              </w:rPr>
              <w:t>Net increase (decrease) in cash and cash equivalents</w:t>
            </w: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7120" w:type="dxa"/>
            <w:vAlign w:val="bottom"/>
            <w:gridSpan w:val="2"/>
            <w:vMerge w:val="continue"/>
          </w:tcPr>
          <w:p>
            <w:pPr>
              <w:spacing w:after="0"/>
              <w:rPr>
                <w:sz w:val="19"/>
                <w:szCs w:val="19"/>
                <w:color w:val="auto"/>
              </w:rPr>
            </w:pPr>
          </w:p>
        </w:tc>
        <w:tc>
          <w:tcPr>
            <w:tcW w:w="80" w:type="dxa"/>
            <w:vAlign w:val="bottom"/>
          </w:tcPr>
          <w:p>
            <w:pPr>
              <w:spacing w:after="0"/>
              <w:rPr>
                <w:sz w:val="19"/>
                <w:szCs w:val="19"/>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312,769</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80" w:type="dxa"/>
            <w:vAlign w:val="bottom"/>
            <w:gridSpan w:val="2"/>
          </w:tcPr>
          <w:p>
            <w:pPr>
              <w:jc w:val="right"/>
              <w:ind w:right="120"/>
              <w:spacing w:after="0"/>
              <w:rPr>
                <w:sz w:val="20"/>
                <w:szCs w:val="20"/>
                <w:color w:val="auto"/>
              </w:rPr>
            </w:pPr>
            <w:r>
              <w:rPr>
                <w:rFonts w:ascii="Arial" w:cs="Arial" w:eastAsia="Arial" w:hAnsi="Arial"/>
                <w:sz w:val="18"/>
                <w:szCs w:val="18"/>
                <w:color w:val="auto"/>
                <w:w w:val="95"/>
              </w:rPr>
              <w:t>(207,412)</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rPr>
              <w:t>537,466</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119,986</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71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10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84"/>
              </w:rPr>
              <w:t>1,330,152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1,254,807</w:t>
            </w:r>
          </w:p>
        </w:tc>
        <w:tc>
          <w:tcPr>
            <w:tcW w:w="1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94"/>
              </w:rPr>
              <w:t>1,105,428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927,409</w:t>
            </w:r>
          </w:p>
        </w:tc>
        <w:tc>
          <w:tcPr>
            <w:tcW w:w="0" w:type="dxa"/>
            <w:vAlign w:val="bottom"/>
          </w:tcPr>
          <w:p>
            <w:pPr>
              <w:spacing w:after="0"/>
              <w:rPr>
                <w:sz w:val="1"/>
                <w:szCs w:val="1"/>
                <w:color w:val="auto"/>
              </w:rPr>
            </w:pPr>
          </w:p>
        </w:tc>
      </w:tr>
      <w:tr>
        <w:trPr>
          <w:trHeight w:val="20"/>
        </w:trPr>
        <w:tc>
          <w:tcPr>
            <w:tcW w:w="7120" w:type="dxa"/>
            <w:vAlign w:val="bottom"/>
            <w:gridSpan w:val="2"/>
            <w:vMerge w:val="restart"/>
          </w:tcPr>
          <w:p>
            <w:pPr>
              <w:spacing w:after="0"/>
              <w:rPr>
                <w:sz w:val="20"/>
                <w:szCs w:val="20"/>
                <w:color w:val="auto"/>
              </w:rPr>
            </w:pPr>
            <w:r>
              <w:rPr>
                <w:rFonts w:ascii="Arial" w:cs="Arial" w:eastAsia="Arial" w:hAnsi="Arial"/>
                <w:sz w:val="18"/>
                <w:szCs w:val="18"/>
                <w:color w:val="auto"/>
              </w:rPr>
              <w:t>Cash and cash equivalents at end of period</w:t>
            </w: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7120" w:type="dxa"/>
            <w:vAlign w:val="bottom"/>
            <w:gridSpan w:val="2"/>
            <w:vMerge w:val="continue"/>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1,642,894</w:t>
            </w:r>
          </w:p>
        </w:tc>
        <w:tc>
          <w:tcPr>
            <w:tcW w:w="2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1,047,395</w:t>
            </w:r>
          </w:p>
        </w:tc>
        <w:tc>
          <w:tcPr>
            <w:tcW w:w="180" w:type="dxa"/>
            <w:vAlign w:val="bottom"/>
          </w:tcPr>
          <w:p>
            <w:pPr>
              <w:spacing w:after="0"/>
              <w:rPr>
                <w:sz w:val="19"/>
                <w:szCs w:val="19"/>
                <w:color w:val="auto"/>
              </w:rPr>
            </w:pP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320"/>
              <w:spacing w:after="0"/>
              <w:rPr>
                <w:sz w:val="20"/>
                <w:szCs w:val="20"/>
                <w:color w:val="auto"/>
              </w:rPr>
            </w:pPr>
            <w:r>
              <w:rPr>
                <w:rFonts w:ascii="Arial" w:cs="Arial" w:eastAsia="Arial" w:hAnsi="Arial"/>
                <w:sz w:val="18"/>
                <w:szCs w:val="18"/>
                <w:color w:val="auto"/>
                <w:w w:val="94"/>
              </w:rPr>
              <w:t>1,642,894</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1,047,395</w:t>
            </w:r>
          </w:p>
        </w:tc>
        <w:tc>
          <w:tcPr>
            <w:tcW w:w="0" w:type="dxa"/>
            <w:vAlign w:val="bottom"/>
          </w:tcPr>
          <w:p>
            <w:pPr>
              <w:spacing w:after="0"/>
              <w:rPr>
                <w:sz w:val="1"/>
                <w:szCs w:val="1"/>
                <w:color w:val="auto"/>
              </w:rPr>
            </w:pPr>
          </w:p>
        </w:tc>
      </w:tr>
      <w:tr>
        <w:trPr>
          <w:trHeight w:val="20"/>
        </w:trPr>
        <w:tc>
          <w:tcPr>
            <w:tcW w:w="7120" w:type="dxa"/>
            <w:vAlign w:val="bottom"/>
            <w:gridSpan w:val="2"/>
            <w:vMerge w:val="restart"/>
          </w:tcPr>
          <w:p>
            <w:pPr>
              <w:jc w:val="right"/>
              <w:ind w:right="1272"/>
              <w:spacing w:after="0"/>
              <w:rPr>
                <w:sz w:val="20"/>
                <w:szCs w:val="20"/>
                <w:color w:val="auto"/>
              </w:rPr>
            </w:pPr>
            <w:r>
              <w:rPr>
                <w:rFonts w:ascii="Arial" w:cs="Arial" w:eastAsia="Arial" w:hAnsi="Arial"/>
                <w:sz w:val="18"/>
                <w:szCs w:val="18"/>
                <w:color w:val="auto"/>
              </w:rPr>
              <w:t>8</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7120" w:type="dxa"/>
            <w:vAlign w:val="bottom"/>
            <w:gridSpan w:val="2"/>
            <w:vMerge w:val="continue"/>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 w:lineRule="exact"/>
        <w:rPr>
          <w:sz w:val="20"/>
          <w:szCs w:val="20"/>
          <w:color w:val="auto"/>
        </w:rPr>
      </w:pPr>
    </w:p>
    <w:sectPr>
      <w:pgSz w:w="11900" w:h="16838" w:orient="portrait"/>
      <w:cols w:equalWidth="0" w:num="1">
        <w:col w:w="11420"/>
      </w:cols>
      <w:pgMar w:left="240" w:top="274"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
      <w:numFmt w:val="bullet"/>
      <w:start w:val="1"/>
    </w:lvl>
  </w:abstractNum>
  <w:abstractNum w:abstractNumId="2">
    <w:nsid w:val="46E87CCD"/>
    <w:multiLevelType w:val="hybridMultilevel"/>
    <w:lvl w:ilvl="0">
      <w:lvlJc w:val="left"/>
      <w:lvlText w:val="•"/>
      <w:numFmt w:val="bullet"/>
      <w:start w:val="1"/>
    </w:lvl>
  </w:abstractNum>
  <w:abstractNum w:abstractNumId="3">
    <w:nsid w:val="3D1B58BA"/>
    <w:multiLevelType w:val="hybridMultilevel"/>
    <w:lvl w:ilvl="0">
      <w:lvlJc w:val="left"/>
      <w:lvlText w:val="•"/>
      <w:numFmt w:val="bullet"/>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lowerLetter"/>
      <w:start w:val="4"/>
    </w:lvl>
  </w:abstractNum>
  <w:abstractNum w:abstractNumId="6">
    <w:nsid w:val="41B71E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2019-12-10T17:09:33Z</dcterms:created>
  <dcterms:modified xsi:type="dcterms:W3CDTF">2019-12-10T17:09:33Z</dcterms:modified>
</cp:coreProperties>
</file>